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92B6C" w14:textId="451D4997" w:rsidR="0028780C" w:rsidRDefault="0028780C">
      <w:pPr>
        <w:rPr>
          <w:rFonts w:ascii="Arial" w:hAnsi="Arial" w:cs="Arial"/>
          <w:b/>
          <w:bCs/>
          <w:kern w:val="28"/>
          <w:sz w:val="40"/>
          <w:szCs w:val="32"/>
        </w:rPr>
      </w:pPr>
      <w:bookmarkStart w:id="0" w:name="_Hlk127543539"/>
    </w:p>
    <w:p w14:paraId="13EB3416" w14:textId="2C174B86" w:rsidR="00057044" w:rsidRDefault="00057044" w:rsidP="003D3B28">
      <w:pPr>
        <w:pStyle w:val="Title1"/>
      </w:pPr>
      <w:r w:rsidRPr="003D3B28">
        <w:t>Board meeting</w:t>
      </w:r>
    </w:p>
    <w:p w14:paraId="4139DE73" w14:textId="516C0060" w:rsidR="004B4705" w:rsidRDefault="00CB4C7D" w:rsidP="003D3B28">
      <w:pPr>
        <w:pStyle w:val="Title20"/>
      </w:pPr>
      <w:r>
        <w:t>13</w:t>
      </w:r>
      <w:r w:rsidR="00F14C23">
        <w:t xml:space="preserve"> </w:t>
      </w:r>
      <w:r>
        <w:t xml:space="preserve">December </w:t>
      </w:r>
      <w:r w:rsidR="00F14C23">
        <w:t>202</w:t>
      </w:r>
      <w:r w:rsidR="0039634D">
        <w:t>3</w:t>
      </w:r>
    </w:p>
    <w:p w14:paraId="38E8A489" w14:textId="4494B938" w:rsidR="037A9947" w:rsidRDefault="00A86F75" w:rsidP="00A86F75">
      <w:pPr>
        <w:pStyle w:val="Title1"/>
      </w:pPr>
      <w:bookmarkStart w:id="1" w:name="_Hlk129789595"/>
      <w:bookmarkStart w:id="2" w:name="_Hlk150347091"/>
      <w:r>
        <w:t xml:space="preserve">Update on </w:t>
      </w:r>
      <w:r w:rsidR="00DF330F">
        <w:t>development</w:t>
      </w:r>
      <w:r w:rsidR="00FC3D72">
        <w:t>,</w:t>
      </w:r>
      <w:r w:rsidR="00DF330F">
        <w:t xml:space="preserve"> </w:t>
      </w:r>
      <w:proofErr w:type="gramStart"/>
      <w:r w:rsidR="00DF330F">
        <w:t>alignment</w:t>
      </w:r>
      <w:proofErr w:type="gramEnd"/>
      <w:r w:rsidR="00FC3D72">
        <w:t xml:space="preserve"> and implementation</w:t>
      </w:r>
      <w:r w:rsidR="00DF330F">
        <w:t xml:space="preserve"> of </w:t>
      </w:r>
      <w:r w:rsidR="00FC3D72">
        <w:t xml:space="preserve">changes to </w:t>
      </w:r>
      <w:r>
        <w:t>NICE methods and processes</w:t>
      </w:r>
      <w:bookmarkEnd w:id="1"/>
    </w:p>
    <w:bookmarkEnd w:id="2"/>
    <w:p w14:paraId="7B52076A" w14:textId="77777777" w:rsidR="009B1D56" w:rsidRPr="003D3B28" w:rsidRDefault="009B1D56" w:rsidP="003D3B28">
      <w:pPr>
        <w:pStyle w:val="Heading1boardreport"/>
      </w:pPr>
      <w:r w:rsidRPr="003D3B28">
        <w:t>Purpose of paper</w:t>
      </w:r>
    </w:p>
    <w:p w14:paraId="14F36F5D" w14:textId="1F53DDE8" w:rsidR="009B1D56" w:rsidRPr="003830CE" w:rsidRDefault="00652F14" w:rsidP="003830CE">
      <w:pPr>
        <w:pStyle w:val="NICEnormal"/>
        <w:rPr>
          <w:highlight w:val="lightGray"/>
        </w:rPr>
      </w:pPr>
      <w:r>
        <w:t>For information and approval</w:t>
      </w:r>
    </w:p>
    <w:p w14:paraId="5A03EE04" w14:textId="521067AA" w:rsidR="009B1D56" w:rsidRPr="003D3B28" w:rsidRDefault="009B1D56" w:rsidP="003D3B28">
      <w:pPr>
        <w:pStyle w:val="Heading1boardreport"/>
      </w:pPr>
      <w:r w:rsidRPr="003D3B28">
        <w:t xml:space="preserve">Board action </w:t>
      </w:r>
      <w:proofErr w:type="gramStart"/>
      <w:r w:rsidRPr="003D3B28">
        <w:t>required</w:t>
      </w:r>
      <w:proofErr w:type="gramEnd"/>
    </w:p>
    <w:p w14:paraId="1ACFDD6E" w14:textId="77777777" w:rsidR="009972AD" w:rsidRDefault="007B5841" w:rsidP="002E0442">
      <w:pPr>
        <w:pStyle w:val="NICEnormalnumbered"/>
      </w:pPr>
      <w:bookmarkStart w:id="3" w:name="_Hlk152660284"/>
      <w:r>
        <w:t>T</w:t>
      </w:r>
      <w:r w:rsidRPr="007B5841">
        <w:t xml:space="preserve">he Board </w:t>
      </w:r>
      <w:r w:rsidR="00046D3A">
        <w:t xml:space="preserve">is </w:t>
      </w:r>
      <w:r w:rsidRPr="007B5841">
        <w:t>asked to</w:t>
      </w:r>
      <w:r w:rsidR="009972AD">
        <w:t>:</w:t>
      </w:r>
    </w:p>
    <w:p w14:paraId="5F69041A" w14:textId="2A61B440" w:rsidR="009972AD" w:rsidRDefault="009972AD" w:rsidP="009972AD">
      <w:pPr>
        <w:pStyle w:val="NICEnormalnumbered"/>
        <w:numPr>
          <w:ilvl w:val="0"/>
          <w:numId w:val="46"/>
        </w:numPr>
      </w:pPr>
      <w:r>
        <w:t xml:space="preserve">Approve the </w:t>
      </w:r>
      <w:r w:rsidR="00417911">
        <w:t>I</w:t>
      </w:r>
      <w:r w:rsidR="00417911" w:rsidRPr="0054732C">
        <w:t>nterim methods and process statement for incorporating and integrating NICE technology appraisals into guideline topic areas</w:t>
      </w:r>
      <w:r w:rsidR="00417911">
        <w:t xml:space="preserve"> (Appendix D) to proceed to public consultation and delegate authority to the NICE Guidance Executive to approve the final version following consultation. </w:t>
      </w:r>
      <w:r w:rsidR="00417911" w:rsidRPr="0054732C">
        <w:t> </w:t>
      </w:r>
    </w:p>
    <w:p w14:paraId="249C682C" w14:textId="1A92A1E1" w:rsidR="0039634D" w:rsidRDefault="00417911" w:rsidP="009972AD">
      <w:pPr>
        <w:pStyle w:val="NICEnormalnumbered"/>
        <w:numPr>
          <w:ilvl w:val="0"/>
          <w:numId w:val="46"/>
        </w:numPr>
      </w:pPr>
      <w:r>
        <w:t>Note the progress in other areas of the paper and provide a steer to inform further work</w:t>
      </w:r>
      <w:r w:rsidR="003B5CA0">
        <w:t>.</w:t>
      </w:r>
    </w:p>
    <w:bookmarkEnd w:id="3"/>
    <w:p w14:paraId="4954937B" w14:textId="582D53FE" w:rsidR="009B1A87" w:rsidRPr="009B1A87" w:rsidRDefault="009B1D56" w:rsidP="00376029">
      <w:pPr>
        <w:pStyle w:val="Heading1boardreport"/>
      </w:pPr>
      <w:r w:rsidRPr="003D3B28">
        <w:t>Board sponsor</w:t>
      </w:r>
      <w:r w:rsidR="00BF3BAB">
        <w:t>s</w:t>
      </w:r>
    </w:p>
    <w:p w14:paraId="3E848DEB" w14:textId="4E1E7C69" w:rsidR="00BF3BAB" w:rsidRDefault="00BF3BAB" w:rsidP="003B77E6">
      <w:pPr>
        <w:pStyle w:val="Bulletindent1"/>
      </w:pPr>
      <w:r>
        <w:t>Nick Crabb, Interim Director of Science, Evidence and Analytics</w:t>
      </w:r>
    </w:p>
    <w:p w14:paraId="10251B97" w14:textId="73173AE8" w:rsidR="00BF3BAB" w:rsidRDefault="00BF3BAB" w:rsidP="003B77E6">
      <w:pPr>
        <w:pStyle w:val="Bulletindent1"/>
      </w:pPr>
      <w:r>
        <w:t>Jonathan Benger,</w:t>
      </w:r>
      <w:r w:rsidR="00105E74">
        <w:t xml:space="preserve"> CBE, </w:t>
      </w:r>
      <w:r>
        <w:t>Chief Medical Officer and Interim Director</w:t>
      </w:r>
      <w:r w:rsidR="00105E74">
        <w:t>, Centre for Guidelines</w:t>
      </w:r>
    </w:p>
    <w:p w14:paraId="2964F917" w14:textId="1D24039C" w:rsidR="00BF3BAB" w:rsidRDefault="00BF3BAB" w:rsidP="003B77E6">
      <w:pPr>
        <w:pStyle w:val="Bulletindent1"/>
      </w:pPr>
      <w:r>
        <w:t xml:space="preserve">Mark Chapman, Interim Director of </w:t>
      </w:r>
      <w:r w:rsidR="00E35F6E">
        <w:t xml:space="preserve">Medical Technology </w:t>
      </w:r>
      <w:r>
        <w:t>Evaluation</w:t>
      </w:r>
    </w:p>
    <w:p w14:paraId="7F41C650" w14:textId="41E9B9AA" w:rsidR="00A4691D" w:rsidRDefault="00A4691D" w:rsidP="003B77E6">
      <w:pPr>
        <w:pStyle w:val="Bulletindent1"/>
      </w:pPr>
      <w:r>
        <w:t>Helen Knight, Director of Medicines Evaluation</w:t>
      </w:r>
    </w:p>
    <w:p w14:paraId="44408BF1" w14:textId="46609A5F" w:rsidR="00CC3BC4" w:rsidRDefault="00CC3BC4">
      <w:pPr>
        <w:rPr>
          <w:rFonts w:ascii="Arial" w:hAnsi="Arial"/>
        </w:rPr>
      </w:pPr>
      <w:r>
        <w:br w:type="page"/>
      </w:r>
    </w:p>
    <w:p w14:paraId="1720B783" w14:textId="77777777" w:rsidR="001E38F3" w:rsidRPr="00BE079E" w:rsidRDefault="001E38F3" w:rsidP="00BE079E">
      <w:pPr>
        <w:pStyle w:val="Heading1boardreport"/>
        <w:jc w:val="center"/>
        <w:rPr>
          <w:sz w:val="40"/>
          <w:szCs w:val="40"/>
        </w:rPr>
      </w:pPr>
      <w:r w:rsidRPr="00BE079E">
        <w:rPr>
          <w:sz w:val="40"/>
          <w:szCs w:val="40"/>
        </w:rPr>
        <w:lastRenderedPageBreak/>
        <w:t xml:space="preserve">Update on development, </w:t>
      </w:r>
      <w:proofErr w:type="gramStart"/>
      <w:r w:rsidRPr="00BE079E">
        <w:rPr>
          <w:sz w:val="40"/>
          <w:szCs w:val="40"/>
        </w:rPr>
        <w:t>alignment</w:t>
      </w:r>
      <w:proofErr w:type="gramEnd"/>
      <w:r w:rsidRPr="00BE079E">
        <w:rPr>
          <w:sz w:val="40"/>
          <w:szCs w:val="40"/>
        </w:rPr>
        <w:t xml:space="preserve"> and implementation of changes to NICE methods and processes</w:t>
      </w:r>
    </w:p>
    <w:p w14:paraId="71111CDA" w14:textId="2B792331" w:rsidR="00567688" w:rsidRDefault="00F40059" w:rsidP="004E3EAE">
      <w:pPr>
        <w:pStyle w:val="ListParagraph"/>
        <w:numPr>
          <w:ilvl w:val="0"/>
          <w:numId w:val="26"/>
        </w:numPr>
        <w:spacing w:line="360" w:lineRule="auto"/>
        <w:rPr>
          <w:rFonts w:ascii="Arial" w:hAnsi="Arial" w:cs="Arial"/>
          <w:kern w:val="32"/>
        </w:rPr>
      </w:pPr>
      <w:r w:rsidRPr="00F40059">
        <w:rPr>
          <w:rFonts w:ascii="Arial" w:hAnsi="Arial" w:cs="Arial"/>
          <w:kern w:val="32"/>
        </w:rPr>
        <w:t xml:space="preserve">NICE is transforming to become more relevant (by focusing on what matters most), </w:t>
      </w:r>
      <w:proofErr w:type="gramStart"/>
      <w:r w:rsidRPr="00F40059">
        <w:rPr>
          <w:rFonts w:ascii="Arial" w:hAnsi="Arial" w:cs="Arial"/>
          <w:kern w:val="32"/>
        </w:rPr>
        <w:t>more timely and useable</w:t>
      </w:r>
      <w:proofErr w:type="gramEnd"/>
      <w:r w:rsidRPr="00F40059">
        <w:rPr>
          <w:rFonts w:ascii="Arial" w:hAnsi="Arial" w:cs="Arial"/>
          <w:kern w:val="32"/>
        </w:rPr>
        <w:t xml:space="preserve"> and more impactful (by constantly learning from data and implementation).</w:t>
      </w:r>
      <w:r w:rsidR="00A31070">
        <w:rPr>
          <w:rFonts w:ascii="Arial" w:hAnsi="Arial" w:cs="Arial"/>
          <w:kern w:val="32"/>
        </w:rPr>
        <w:t xml:space="preserve"> </w:t>
      </w:r>
    </w:p>
    <w:p w14:paraId="6907A646" w14:textId="77777777" w:rsidR="002153B2" w:rsidRDefault="002153B2" w:rsidP="002153B2">
      <w:pPr>
        <w:pStyle w:val="ListParagraph"/>
        <w:spacing w:line="360" w:lineRule="auto"/>
        <w:rPr>
          <w:rFonts w:ascii="Arial" w:hAnsi="Arial" w:cs="Arial"/>
          <w:kern w:val="32"/>
        </w:rPr>
      </w:pPr>
    </w:p>
    <w:p w14:paraId="15CCB809" w14:textId="2D4F8483" w:rsidR="00F40059" w:rsidRDefault="00A31070" w:rsidP="00036918">
      <w:pPr>
        <w:pStyle w:val="NICEnormalnumbered"/>
        <w:numPr>
          <w:ilvl w:val="0"/>
          <w:numId w:val="26"/>
        </w:numPr>
      </w:pPr>
      <w:r>
        <w:t>A rolling programme of methods work underpins this transformation</w:t>
      </w:r>
      <w:r w:rsidR="00567688">
        <w:t>:</w:t>
      </w:r>
    </w:p>
    <w:p w14:paraId="396415B1" w14:textId="4F827C62" w:rsidR="00A31070" w:rsidRPr="009C6440" w:rsidRDefault="00942747" w:rsidP="00FD1396">
      <w:pPr>
        <w:pStyle w:val="Bulletindent1"/>
        <w:numPr>
          <w:ilvl w:val="2"/>
          <w:numId w:val="17"/>
        </w:numPr>
      </w:pPr>
      <w:r w:rsidRPr="009C6440">
        <w:t>Improving relevance through ensuring our new methods are working well, that we update methods through modular updates and consider flexibilities where relevant.</w:t>
      </w:r>
    </w:p>
    <w:p w14:paraId="67DA3193" w14:textId="72A63CCC" w:rsidR="00942747" w:rsidRPr="009C6440" w:rsidRDefault="00567688" w:rsidP="00FD1396">
      <w:pPr>
        <w:pStyle w:val="Bulletindent1"/>
        <w:numPr>
          <w:ilvl w:val="2"/>
          <w:numId w:val="17"/>
        </w:numPr>
      </w:pPr>
      <w:r w:rsidRPr="009C6440">
        <w:t xml:space="preserve">Improving timeliness through the proportionate approach to Technology Appraisals. </w:t>
      </w:r>
    </w:p>
    <w:p w14:paraId="10064B8D" w14:textId="16311216" w:rsidR="00567688" w:rsidRDefault="00567688" w:rsidP="00FD1396">
      <w:pPr>
        <w:pStyle w:val="Bulletindent1"/>
        <w:numPr>
          <w:ilvl w:val="2"/>
          <w:numId w:val="17"/>
        </w:numPr>
      </w:pPr>
      <w:r>
        <w:t>Improving usability through incorporation and integration of Technology Appraisal recommendations in guidelines.</w:t>
      </w:r>
      <w:r w:rsidR="0017533F">
        <w:t xml:space="preserve"> </w:t>
      </w:r>
    </w:p>
    <w:p w14:paraId="214C590D" w14:textId="1893A925" w:rsidR="008B035D" w:rsidRPr="0017533F" w:rsidRDefault="00567688" w:rsidP="004E3EAE">
      <w:pPr>
        <w:pStyle w:val="Heading1boardreport"/>
        <w:numPr>
          <w:ilvl w:val="0"/>
          <w:numId w:val="26"/>
        </w:numPr>
        <w:rPr>
          <w:b w:val="0"/>
          <w:bCs w:val="0"/>
          <w:sz w:val="24"/>
          <w:szCs w:val="24"/>
        </w:rPr>
      </w:pPr>
      <w:r w:rsidRPr="0017533F">
        <w:rPr>
          <w:b w:val="0"/>
          <w:bCs w:val="0"/>
          <w:sz w:val="24"/>
          <w:szCs w:val="24"/>
        </w:rPr>
        <w:t xml:space="preserve">Key progress and findings </w:t>
      </w:r>
      <w:r w:rsidR="00B66552" w:rsidRPr="0017533F">
        <w:rPr>
          <w:b w:val="0"/>
          <w:bCs w:val="0"/>
          <w:sz w:val="24"/>
          <w:szCs w:val="24"/>
        </w:rPr>
        <w:t>in</w:t>
      </w:r>
      <w:r w:rsidRPr="0017533F">
        <w:rPr>
          <w:b w:val="0"/>
          <w:bCs w:val="0"/>
          <w:sz w:val="24"/>
          <w:szCs w:val="24"/>
        </w:rPr>
        <w:t xml:space="preserve"> each area are outlined below</w:t>
      </w:r>
      <w:r w:rsidR="00AC3B68" w:rsidRPr="0017533F">
        <w:rPr>
          <w:b w:val="0"/>
          <w:bCs w:val="0"/>
          <w:sz w:val="24"/>
          <w:szCs w:val="24"/>
        </w:rPr>
        <w:t>, with more information in the appendices</w:t>
      </w:r>
      <w:r w:rsidR="008B035D" w:rsidRPr="0017533F">
        <w:rPr>
          <w:b w:val="0"/>
          <w:bCs w:val="0"/>
          <w:sz w:val="24"/>
          <w:szCs w:val="24"/>
        </w:rPr>
        <w:t>.</w:t>
      </w:r>
    </w:p>
    <w:p w14:paraId="79AA5B1B" w14:textId="3DB9C033" w:rsidR="008B035D" w:rsidRDefault="008B035D" w:rsidP="008B035D">
      <w:pPr>
        <w:pStyle w:val="Heading1boardreport"/>
      </w:pPr>
      <w:r w:rsidRPr="008B035D">
        <w:t>Improving relevance</w:t>
      </w:r>
    </w:p>
    <w:p w14:paraId="27EC4D72" w14:textId="77777777" w:rsidR="00CB4577" w:rsidRPr="00CB4577" w:rsidRDefault="00CB4577" w:rsidP="00CB4577">
      <w:pPr>
        <w:pStyle w:val="Heading1boardreport"/>
        <w:rPr>
          <w:sz w:val="28"/>
          <w:szCs w:val="28"/>
        </w:rPr>
      </w:pPr>
      <w:r w:rsidRPr="00CB4577">
        <w:rPr>
          <w:sz w:val="28"/>
          <w:szCs w:val="28"/>
        </w:rPr>
        <w:t xml:space="preserve">First year of implementation of the updated CHTE manual </w:t>
      </w:r>
    </w:p>
    <w:p w14:paraId="7611F67C" w14:textId="77777777" w:rsidR="000C4583" w:rsidRDefault="000C4583" w:rsidP="004E3EAE">
      <w:pPr>
        <w:pStyle w:val="Heading1boardreport"/>
        <w:numPr>
          <w:ilvl w:val="0"/>
          <w:numId w:val="26"/>
        </w:numPr>
        <w:rPr>
          <w:b w:val="0"/>
          <w:bCs w:val="0"/>
          <w:sz w:val="24"/>
          <w:szCs w:val="24"/>
        </w:rPr>
      </w:pPr>
      <w:r>
        <w:rPr>
          <w:b w:val="0"/>
          <w:bCs w:val="0"/>
          <w:sz w:val="24"/>
          <w:szCs w:val="24"/>
        </w:rPr>
        <w:t>Early experience following the implementation of the above manual was presented at the March 2023 Board meeting. This update reflects that the new manual has now been applied in committee meetings for a full year.</w:t>
      </w:r>
    </w:p>
    <w:p w14:paraId="39DCA411" w14:textId="5FA930F2" w:rsidR="00ED02C6" w:rsidRDefault="000C4583" w:rsidP="004E3EAE">
      <w:pPr>
        <w:pStyle w:val="Heading1boardreport"/>
        <w:numPr>
          <w:ilvl w:val="0"/>
          <w:numId w:val="26"/>
        </w:numPr>
        <w:rPr>
          <w:b w:val="0"/>
          <w:bCs w:val="0"/>
          <w:sz w:val="24"/>
          <w:szCs w:val="24"/>
        </w:rPr>
      </w:pPr>
      <w:r>
        <w:rPr>
          <w:b w:val="0"/>
          <w:bCs w:val="0"/>
          <w:sz w:val="24"/>
          <w:szCs w:val="24"/>
        </w:rPr>
        <w:t xml:space="preserve">The manual has generally been well received. We have conducted quarterly reviews to monitor </w:t>
      </w:r>
      <w:r w:rsidR="00ED02C6">
        <w:rPr>
          <w:b w:val="0"/>
          <w:bCs w:val="0"/>
          <w:sz w:val="24"/>
          <w:szCs w:val="24"/>
        </w:rPr>
        <w:t xml:space="preserve">implementation, including areas such as where the severity </w:t>
      </w:r>
      <w:r w:rsidR="00ED02C6">
        <w:rPr>
          <w:b w:val="0"/>
          <w:bCs w:val="0"/>
          <w:sz w:val="24"/>
          <w:szCs w:val="24"/>
        </w:rPr>
        <w:lastRenderedPageBreak/>
        <w:t xml:space="preserve">modifier has been used, the use of real-world data in submissions and the use of additional flexibilities.  </w:t>
      </w:r>
    </w:p>
    <w:p w14:paraId="4EAF9B0E" w14:textId="77777777" w:rsidR="004058CE" w:rsidRDefault="00ED02C6" w:rsidP="004E3EAE">
      <w:pPr>
        <w:pStyle w:val="Heading1boardreport"/>
        <w:numPr>
          <w:ilvl w:val="0"/>
          <w:numId w:val="26"/>
        </w:numPr>
        <w:rPr>
          <w:b w:val="0"/>
          <w:bCs w:val="0"/>
          <w:sz w:val="24"/>
          <w:szCs w:val="24"/>
        </w:rPr>
      </w:pPr>
      <w:r>
        <w:rPr>
          <w:b w:val="0"/>
          <w:bCs w:val="0"/>
          <w:sz w:val="24"/>
          <w:szCs w:val="24"/>
        </w:rPr>
        <w:t xml:space="preserve">The severity modifier has been applied in multiple topics, both cancer and non-cancer. </w:t>
      </w:r>
      <w:r w:rsidR="004058CE">
        <w:rPr>
          <w:b w:val="0"/>
          <w:bCs w:val="0"/>
          <w:sz w:val="24"/>
          <w:szCs w:val="24"/>
        </w:rPr>
        <w:t>Severity weightings of both 1.7 and 1.2 have been applied. Wider use of the 1.2 severity weighting had been anticipated and this will be the subject of a review in 2024/25.</w:t>
      </w:r>
    </w:p>
    <w:p w14:paraId="03B8C845" w14:textId="77777777" w:rsidR="00924D5E" w:rsidRDefault="00701F3C" w:rsidP="004E3EAE">
      <w:pPr>
        <w:pStyle w:val="Heading1boardreport"/>
        <w:numPr>
          <w:ilvl w:val="0"/>
          <w:numId w:val="26"/>
        </w:numPr>
        <w:rPr>
          <w:b w:val="0"/>
          <w:bCs w:val="0"/>
          <w:sz w:val="24"/>
          <w:szCs w:val="24"/>
        </w:rPr>
      </w:pPr>
      <w:r>
        <w:rPr>
          <w:b w:val="0"/>
          <w:bCs w:val="0"/>
          <w:sz w:val="24"/>
          <w:szCs w:val="24"/>
        </w:rPr>
        <w:t xml:space="preserve">The use of real-world evidence is progressing well, with committees accepting it as primary or supportive evidence in several topics. There is also evidence of </w:t>
      </w:r>
      <w:r w:rsidR="00924D5E">
        <w:rPr>
          <w:b w:val="0"/>
          <w:bCs w:val="0"/>
          <w:sz w:val="24"/>
          <w:szCs w:val="24"/>
        </w:rPr>
        <w:t>a trend towards increasing use of real-world evidence in company submissions and acceptance by committees.</w:t>
      </w:r>
    </w:p>
    <w:p w14:paraId="3661200E" w14:textId="77777777" w:rsidR="0071412B" w:rsidRDefault="0071412B" w:rsidP="004E3EAE">
      <w:pPr>
        <w:pStyle w:val="Heading1boardreport"/>
        <w:numPr>
          <w:ilvl w:val="0"/>
          <w:numId w:val="26"/>
        </w:numPr>
        <w:rPr>
          <w:b w:val="0"/>
          <w:bCs w:val="0"/>
          <w:sz w:val="24"/>
          <w:szCs w:val="24"/>
        </w:rPr>
      </w:pPr>
      <w:r>
        <w:rPr>
          <w:b w:val="0"/>
          <w:bCs w:val="0"/>
          <w:sz w:val="24"/>
          <w:szCs w:val="24"/>
        </w:rPr>
        <w:t xml:space="preserve">The updated manual allows for committees to use additional flexibilities in some circumstances. Such flexibilities have been applied over multiple topics where there were significant challenges to evidence generation, where the technology addressed health inequalities, where there was high unmet need or where the committee considered that there were significant benefits beyond those reflected in the health economic model. </w:t>
      </w:r>
    </w:p>
    <w:p w14:paraId="5F9688FA" w14:textId="77777777" w:rsidR="00755321" w:rsidRDefault="0071412B" w:rsidP="004E3EAE">
      <w:pPr>
        <w:pStyle w:val="Heading1boardreport"/>
        <w:numPr>
          <w:ilvl w:val="0"/>
          <w:numId w:val="26"/>
        </w:numPr>
        <w:rPr>
          <w:b w:val="0"/>
          <w:bCs w:val="0"/>
          <w:sz w:val="24"/>
          <w:szCs w:val="24"/>
        </w:rPr>
      </w:pPr>
      <w:r>
        <w:rPr>
          <w:b w:val="0"/>
          <w:bCs w:val="0"/>
          <w:sz w:val="24"/>
          <w:szCs w:val="24"/>
        </w:rPr>
        <w:t>Further information is shown in Appendix A.</w:t>
      </w:r>
    </w:p>
    <w:p w14:paraId="1A545474" w14:textId="2DFD57EB" w:rsidR="00755321" w:rsidRPr="00755321" w:rsidRDefault="00755321" w:rsidP="00755321">
      <w:pPr>
        <w:pStyle w:val="Heading1boardreport"/>
        <w:rPr>
          <w:sz w:val="28"/>
          <w:szCs w:val="28"/>
        </w:rPr>
      </w:pPr>
      <w:r>
        <w:rPr>
          <w:sz w:val="28"/>
          <w:szCs w:val="28"/>
        </w:rPr>
        <w:t>Modular updates</w:t>
      </w:r>
    </w:p>
    <w:p w14:paraId="3E9A29FA" w14:textId="3B492C5E" w:rsidR="00755321" w:rsidRDefault="00755321" w:rsidP="004E3EAE">
      <w:pPr>
        <w:pStyle w:val="Heading1boardreport"/>
        <w:numPr>
          <w:ilvl w:val="0"/>
          <w:numId w:val="26"/>
        </w:numPr>
        <w:rPr>
          <w:b w:val="0"/>
          <w:bCs w:val="0"/>
          <w:sz w:val="24"/>
          <w:szCs w:val="24"/>
        </w:rPr>
      </w:pPr>
      <w:r>
        <w:rPr>
          <w:b w:val="0"/>
          <w:bCs w:val="0"/>
          <w:sz w:val="24"/>
          <w:szCs w:val="24"/>
        </w:rPr>
        <w:t>The intended approach to updating NICE manuals is to undertake reviews and updates that are limited to specific subject areas rather than periodic reviews of the entire manuals.</w:t>
      </w:r>
    </w:p>
    <w:p w14:paraId="213C9F01" w14:textId="448091B1" w:rsidR="00F20D7F" w:rsidRDefault="00755321" w:rsidP="003D49AD">
      <w:pPr>
        <w:pStyle w:val="ListParagraph"/>
        <w:numPr>
          <w:ilvl w:val="0"/>
          <w:numId w:val="26"/>
        </w:numPr>
        <w:spacing w:line="360" w:lineRule="auto"/>
        <w:ind w:left="714" w:hanging="357"/>
        <w:contextualSpacing w:val="0"/>
        <w:rPr>
          <w:rFonts w:ascii="Arial" w:hAnsi="Arial" w:cs="Arial"/>
        </w:rPr>
      </w:pPr>
      <w:r w:rsidRPr="001C7673">
        <w:rPr>
          <w:rFonts w:ascii="Arial" w:hAnsi="Arial" w:cs="Arial"/>
        </w:rPr>
        <w:t xml:space="preserve">The first modular update </w:t>
      </w:r>
      <w:r w:rsidR="00FC0AD6">
        <w:rPr>
          <w:rFonts w:ascii="Arial" w:hAnsi="Arial" w:cs="Arial"/>
        </w:rPr>
        <w:t xml:space="preserve">of the CHTE Manual </w:t>
      </w:r>
      <w:r w:rsidRPr="001C7673">
        <w:rPr>
          <w:rFonts w:ascii="Arial" w:hAnsi="Arial" w:cs="Arial"/>
        </w:rPr>
        <w:t>comp</w:t>
      </w:r>
      <w:r w:rsidR="003D49AD">
        <w:rPr>
          <w:rFonts w:ascii="Arial" w:hAnsi="Arial" w:cs="Arial"/>
        </w:rPr>
        <w:t>l</w:t>
      </w:r>
      <w:r w:rsidRPr="001C7673">
        <w:rPr>
          <w:rFonts w:ascii="Arial" w:hAnsi="Arial" w:cs="Arial"/>
        </w:rPr>
        <w:t xml:space="preserve">eted concerned the implementation </w:t>
      </w:r>
      <w:r w:rsidR="00F20D7F" w:rsidRPr="001C7673">
        <w:rPr>
          <w:rFonts w:ascii="Arial" w:hAnsi="Arial" w:cs="Arial"/>
        </w:rPr>
        <w:t xml:space="preserve">of updates from the proportionate approach to technology appraisals (PATT) initiative. The update was published following a public consultation and </w:t>
      </w:r>
      <w:r w:rsidR="001C7673" w:rsidRPr="001C7673">
        <w:rPr>
          <w:rFonts w:ascii="Arial" w:hAnsi="Arial" w:cs="Arial"/>
        </w:rPr>
        <w:t xml:space="preserve">included </w:t>
      </w:r>
      <w:r w:rsidR="00F20D7F" w:rsidRPr="001C7673">
        <w:rPr>
          <w:rFonts w:ascii="Arial" w:hAnsi="Arial" w:cs="Arial"/>
        </w:rPr>
        <w:t>changes to the handling of confidential information, the cost comparison process and streamlined decision making.</w:t>
      </w:r>
    </w:p>
    <w:p w14:paraId="642CA422" w14:textId="3ABCAF2C" w:rsidR="00FC0AD6" w:rsidRPr="001C7673" w:rsidRDefault="00FC0AD6" w:rsidP="003D49AD">
      <w:pPr>
        <w:pStyle w:val="ListParagraph"/>
        <w:numPr>
          <w:ilvl w:val="0"/>
          <w:numId w:val="26"/>
        </w:numPr>
        <w:spacing w:before="240" w:after="120" w:line="360" w:lineRule="auto"/>
        <w:ind w:left="714" w:hanging="357"/>
        <w:contextualSpacing w:val="0"/>
        <w:rPr>
          <w:rFonts w:ascii="Arial" w:hAnsi="Arial" w:cs="Arial"/>
        </w:rPr>
      </w:pPr>
      <w:r>
        <w:rPr>
          <w:rFonts w:ascii="Arial" w:hAnsi="Arial" w:cs="Arial"/>
        </w:rPr>
        <w:t xml:space="preserve">The Guidelines Manual was also updated following a public consultation and included changes to the sections on </w:t>
      </w:r>
      <w:r w:rsidRPr="00FC0AD6">
        <w:rPr>
          <w:rStyle w:val="ui-provider"/>
          <w:rFonts w:ascii="Arial" w:hAnsi="Arial" w:cs="Arial"/>
        </w:rPr>
        <w:t>scoping</w:t>
      </w:r>
      <w:r w:rsidR="00C6102A">
        <w:rPr>
          <w:rStyle w:val="ui-provider"/>
          <w:rFonts w:ascii="Arial" w:hAnsi="Arial" w:cs="Arial"/>
        </w:rPr>
        <w:t>,</w:t>
      </w:r>
      <w:r w:rsidRPr="00FC0AD6">
        <w:rPr>
          <w:rStyle w:val="ui-provider"/>
          <w:rFonts w:ascii="Arial" w:hAnsi="Arial" w:cs="Arial"/>
        </w:rPr>
        <w:t xml:space="preserve"> searching for evidence</w:t>
      </w:r>
      <w:r w:rsidR="00C6102A">
        <w:rPr>
          <w:rStyle w:val="ui-provider"/>
          <w:rFonts w:ascii="Arial" w:hAnsi="Arial" w:cs="Arial"/>
        </w:rPr>
        <w:t>,</w:t>
      </w:r>
      <w:r w:rsidRPr="00FC0AD6">
        <w:rPr>
          <w:rStyle w:val="ui-provider"/>
          <w:rFonts w:ascii="Arial" w:hAnsi="Arial" w:cs="Arial"/>
        </w:rPr>
        <w:t xml:space="preserve"> writing </w:t>
      </w:r>
      <w:r w:rsidRPr="00FC0AD6">
        <w:rPr>
          <w:rStyle w:val="ui-provider"/>
          <w:rFonts w:ascii="Arial" w:hAnsi="Arial" w:cs="Arial"/>
        </w:rPr>
        <w:lastRenderedPageBreak/>
        <w:t>the guideline recommendations</w:t>
      </w:r>
      <w:r w:rsidR="00C6102A">
        <w:rPr>
          <w:rStyle w:val="ui-provider"/>
          <w:rFonts w:ascii="Arial" w:hAnsi="Arial" w:cs="Arial"/>
        </w:rPr>
        <w:t>,</w:t>
      </w:r>
      <w:r w:rsidRPr="00FC0AD6">
        <w:rPr>
          <w:rStyle w:val="ui-provider"/>
          <w:rFonts w:ascii="Arial" w:hAnsi="Arial" w:cs="Arial"/>
        </w:rPr>
        <w:t xml:space="preserve"> finalising the guideline recommendations</w:t>
      </w:r>
      <w:r w:rsidR="00C6102A">
        <w:rPr>
          <w:rStyle w:val="ui-provider"/>
          <w:rFonts w:ascii="Arial" w:hAnsi="Arial" w:cs="Arial"/>
        </w:rPr>
        <w:t xml:space="preserve"> and </w:t>
      </w:r>
      <w:r w:rsidRPr="00FC0AD6">
        <w:rPr>
          <w:rStyle w:val="ui-provider"/>
          <w:rFonts w:ascii="Arial" w:hAnsi="Arial" w:cs="Arial"/>
        </w:rPr>
        <w:t>support for putting the guideline recommendations into practice</w:t>
      </w:r>
      <w:r w:rsidR="00C6102A">
        <w:rPr>
          <w:rStyle w:val="ui-provider"/>
          <w:rFonts w:ascii="Arial" w:hAnsi="Arial" w:cs="Arial"/>
        </w:rPr>
        <w:t>.</w:t>
      </w:r>
    </w:p>
    <w:p w14:paraId="5C944CAD" w14:textId="77777777" w:rsidR="00C0128A" w:rsidRDefault="00146284" w:rsidP="004E3EAE">
      <w:pPr>
        <w:pStyle w:val="Heading1boardreport"/>
        <w:numPr>
          <w:ilvl w:val="0"/>
          <w:numId w:val="26"/>
        </w:numPr>
        <w:rPr>
          <w:b w:val="0"/>
          <w:bCs w:val="0"/>
          <w:sz w:val="24"/>
          <w:szCs w:val="24"/>
        </w:rPr>
      </w:pPr>
      <w:r>
        <w:rPr>
          <w:b w:val="0"/>
          <w:bCs w:val="0"/>
          <w:sz w:val="24"/>
          <w:szCs w:val="24"/>
        </w:rPr>
        <w:t xml:space="preserve">A NICE-wide framework for prioritising and delivering modular updates is under development and will be </w:t>
      </w:r>
      <w:r w:rsidR="005F3D63">
        <w:rPr>
          <w:b w:val="0"/>
          <w:bCs w:val="0"/>
          <w:sz w:val="24"/>
          <w:szCs w:val="24"/>
        </w:rPr>
        <w:t xml:space="preserve">completed </w:t>
      </w:r>
      <w:r>
        <w:rPr>
          <w:b w:val="0"/>
          <w:bCs w:val="0"/>
          <w:sz w:val="24"/>
          <w:szCs w:val="24"/>
        </w:rPr>
        <w:t>in Spring 2024</w:t>
      </w:r>
    </w:p>
    <w:p w14:paraId="2A0027C7" w14:textId="0F9055AC" w:rsidR="00C240A6" w:rsidRDefault="00C0128A" w:rsidP="004E3EAE">
      <w:pPr>
        <w:pStyle w:val="Heading1boardreport"/>
        <w:numPr>
          <w:ilvl w:val="0"/>
          <w:numId w:val="26"/>
        </w:numPr>
        <w:rPr>
          <w:b w:val="0"/>
          <w:bCs w:val="0"/>
          <w:sz w:val="24"/>
          <w:szCs w:val="24"/>
        </w:rPr>
      </w:pPr>
      <w:r>
        <w:rPr>
          <w:b w:val="0"/>
          <w:bCs w:val="0"/>
          <w:sz w:val="24"/>
          <w:szCs w:val="24"/>
        </w:rPr>
        <w:t>Further information is shown in Appendix B</w:t>
      </w:r>
      <w:r w:rsidR="00146284">
        <w:rPr>
          <w:b w:val="0"/>
          <w:bCs w:val="0"/>
          <w:sz w:val="24"/>
          <w:szCs w:val="24"/>
        </w:rPr>
        <w:t>.</w:t>
      </w:r>
    </w:p>
    <w:p w14:paraId="52B29573" w14:textId="34EE7C50" w:rsidR="005A4F41" w:rsidRPr="005A4F41" w:rsidRDefault="005A4F41" w:rsidP="00193D76">
      <w:pPr>
        <w:pStyle w:val="Heading1boardreport"/>
        <w:keepNext w:val="0"/>
        <w:rPr>
          <w:sz w:val="28"/>
          <w:szCs w:val="28"/>
        </w:rPr>
      </w:pPr>
      <w:r>
        <w:rPr>
          <w:sz w:val="28"/>
          <w:szCs w:val="28"/>
        </w:rPr>
        <w:t xml:space="preserve">Use of existing flexibilities to adopt a broader </w:t>
      </w:r>
      <w:proofErr w:type="gramStart"/>
      <w:r>
        <w:rPr>
          <w:sz w:val="28"/>
          <w:szCs w:val="28"/>
        </w:rPr>
        <w:t>perspective</w:t>
      </w:r>
      <w:proofErr w:type="gramEnd"/>
    </w:p>
    <w:p w14:paraId="001EC741" w14:textId="058DE78E" w:rsidR="005A4F41" w:rsidRDefault="003D5763" w:rsidP="00193D76">
      <w:pPr>
        <w:pStyle w:val="Heading1boardreport"/>
        <w:keepNext w:val="0"/>
        <w:numPr>
          <w:ilvl w:val="0"/>
          <w:numId w:val="26"/>
        </w:numPr>
        <w:rPr>
          <w:b w:val="0"/>
          <w:bCs w:val="0"/>
          <w:sz w:val="24"/>
          <w:szCs w:val="24"/>
        </w:rPr>
      </w:pPr>
      <w:r>
        <w:rPr>
          <w:b w:val="0"/>
          <w:bCs w:val="0"/>
          <w:sz w:val="24"/>
          <w:szCs w:val="24"/>
        </w:rPr>
        <w:t>In December 2022, the Board approved recommendations to strengthen internal processes within NICE to identify topics where wider costs and benefits, beyond those accruing to health and social care, are relevant and should be included within the scope of a NICE evaluation.</w:t>
      </w:r>
      <w:r w:rsidR="009574E5">
        <w:rPr>
          <w:b w:val="0"/>
          <w:bCs w:val="0"/>
          <w:sz w:val="24"/>
          <w:szCs w:val="24"/>
        </w:rPr>
        <w:t xml:space="preserve"> The Board also requested an update on where the flexibilities to adopt a broader perspective had been applied.</w:t>
      </w:r>
      <w:r>
        <w:rPr>
          <w:b w:val="0"/>
          <w:bCs w:val="0"/>
          <w:sz w:val="24"/>
          <w:szCs w:val="24"/>
        </w:rPr>
        <w:t xml:space="preserve"> </w:t>
      </w:r>
    </w:p>
    <w:p w14:paraId="4CE91A66" w14:textId="69CC13FB" w:rsidR="009574E5" w:rsidRDefault="00F20D7F" w:rsidP="00193D76">
      <w:pPr>
        <w:pStyle w:val="Heading1boardreport"/>
        <w:keepNext w:val="0"/>
        <w:numPr>
          <w:ilvl w:val="0"/>
          <w:numId w:val="26"/>
        </w:numPr>
        <w:rPr>
          <w:b w:val="0"/>
          <w:bCs w:val="0"/>
          <w:sz w:val="24"/>
          <w:szCs w:val="24"/>
        </w:rPr>
      </w:pPr>
      <w:r>
        <w:rPr>
          <w:b w:val="0"/>
          <w:bCs w:val="0"/>
          <w:sz w:val="24"/>
          <w:szCs w:val="24"/>
        </w:rPr>
        <w:t xml:space="preserve"> </w:t>
      </w:r>
      <w:r w:rsidR="009574E5">
        <w:rPr>
          <w:b w:val="0"/>
          <w:bCs w:val="0"/>
          <w:sz w:val="24"/>
          <w:szCs w:val="24"/>
        </w:rPr>
        <w:t>We reviewed all Highly Specialised Technologies (HST) guidance published or updated since December 2022.Out of 8 topics, 4 considered the impacts of the technologies outside of direct health benefits with the committee agreeing that wellbeing and educational impacts were relevant and including them in deliberations.</w:t>
      </w:r>
      <w:r w:rsidR="00A37CDA">
        <w:rPr>
          <w:b w:val="0"/>
          <w:bCs w:val="0"/>
          <w:sz w:val="24"/>
          <w:szCs w:val="24"/>
        </w:rPr>
        <w:t xml:space="preserve"> For one technology (HST27), the company provided quantitative evidence on benefits of returning to work. The committee questioned the assumptions and decided to consider these impacts qualitatively through their deliberations.</w:t>
      </w:r>
    </w:p>
    <w:p w14:paraId="1770BC82" w14:textId="6803AF28" w:rsidR="00193D76" w:rsidRDefault="00E61D4E" w:rsidP="00193D76">
      <w:pPr>
        <w:pStyle w:val="Heading1boardreport"/>
        <w:keepNext w:val="0"/>
        <w:numPr>
          <w:ilvl w:val="0"/>
          <w:numId w:val="26"/>
        </w:numPr>
        <w:rPr>
          <w:b w:val="0"/>
          <w:bCs w:val="0"/>
          <w:sz w:val="24"/>
          <w:szCs w:val="24"/>
        </w:rPr>
      </w:pPr>
      <w:r>
        <w:rPr>
          <w:b w:val="0"/>
          <w:bCs w:val="0"/>
          <w:sz w:val="24"/>
          <w:szCs w:val="24"/>
        </w:rPr>
        <w:t xml:space="preserve"> We also identified 1 technology appraisal completed since the implementation of the updated manual where evidence on wider outcomes was included in the submission (TA922). However, the company’s analysis of productivity benefits was not considered by the committee because it was not detailed in the final topic scope.</w:t>
      </w:r>
    </w:p>
    <w:p w14:paraId="706392DB" w14:textId="77777777" w:rsidR="00193D76" w:rsidRDefault="00193D76">
      <w:pPr>
        <w:rPr>
          <w:rFonts w:ascii="Arial" w:hAnsi="Arial" w:cs="Arial"/>
          <w:kern w:val="32"/>
        </w:rPr>
      </w:pPr>
      <w:r>
        <w:rPr>
          <w:b/>
          <w:bCs/>
        </w:rPr>
        <w:br w:type="page"/>
      </w:r>
    </w:p>
    <w:p w14:paraId="72483D4B" w14:textId="5217908E" w:rsidR="008B035D" w:rsidRDefault="008B035D" w:rsidP="00193D76">
      <w:pPr>
        <w:pStyle w:val="Heading1boardreport"/>
        <w:keepNext w:val="0"/>
      </w:pPr>
      <w:r w:rsidRPr="008B035D">
        <w:lastRenderedPageBreak/>
        <w:t>Improving timeliness</w:t>
      </w:r>
    </w:p>
    <w:p w14:paraId="21A2E3DD" w14:textId="38F90C11" w:rsidR="009D434A" w:rsidRPr="009D434A" w:rsidRDefault="009D434A" w:rsidP="00193D76">
      <w:pPr>
        <w:pStyle w:val="Heading2boardreport"/>
        <w:keepNext w:val="0"/>
      </w:pPr>
      <w:r>
        <w:t xml:space="preserve">New methods and process from PATT initiative </w:t>
      </w:r>
    </w:p>
    <w:p w14:paraId="6E4663FD" w14:textId="4C7EFD8C" w:rsidR="009D434A" w:rsidRDefault="009D434A" w:rsidP="00193D76">
      <w:pPr>
        <w:pStyle w:val="Heading1boardreport"/>
        <w:keepNext w:val="0"/>
        <w:numPr>
          <w:ilvl w:val="0"/>
          <w:numId w:val="26"/>
        </w:numPr>
        <w:rPr>
          <w:b w:val="0"/>
          <w:bCs w:val="0"/>
          <w:sz w:val="24"/>
          <w:szCs w:val="24"/>
        </w:rPr>
      </w:pPr>
      <w:r>
        <w:rPr>
          <w:b w:val="0"/>
          <w:bCs w:val="0"/>
          <w:sz w:val="24"/>
          <w:szCs w:val="24"/>
        </w:rPr>
        <w:t xml:space="preserve">The </w:t>
      </w:r>
      <w:r w:rsidR="005A54A6">
        <w:rPr>
          <w:b w:val="0"/>
          <w:bCs w:val="0"/>
          <w:sz w:val="24"/>
          <w:szCs w:val="24"/>
        </w:rPr>
        <w:t xml:space="preserve">first round of </w:t>
      </w:r>
      <w:r>
        <w:rPr>
          <w:b w:val="0"/>
          <w:bCs w:val="0"/>
          <w:sz w:val="24"/>
          <w:szCs w:val="24"/>
        </w:rPr>
        <w:t>new methods and processes form the Proportionate Approach to Technology Appraisals (PATT) work resulted in a 17% reduction in time taken on average for Technology Appraisals in 2023/24 to date, with more streamlined topics being evaluated up to 50% faster.</w:t>
      </w:r>
    </w:p>
    <w:p w14:paraId="5B76662F" w14:textId="683AF156" w:rsidR="00FE508C" w:rsidRDefault="00FE508C" w:rsidP="00193D76">
      <w:pPr>
        <w:pStyle w:val="Heading1boardreport"/>
        <w:keepNext w:val="0"/>
        <w:numPr>
          <w:ilvl w:val="0"/>
          <w:numId w:val="26"/>
        </w:numPr>
        <w:rPr>
          <w:b w:val="0"/>
          <w:bCs w:val="0"/>
          <w:sz w:val="24"/>
          <w:szCs w:val="24"/>
        </w:rPr>
      </w:pPr>
      <w:r>
        <w:rPr>
          <w:b w:val="0"/>
          <w:bCs w:val="0"/>
          <w:sz w:val="24"/>
          <w:szCs w:val="24"/>
        </w:rPr>
        <w:t>The updated methods and processes were implemented through a modular update as outlined above.</w:t>
      </w:r>
    </w:p>
    <w:p w14:paraId="0C7B896E" w14:textId="2D96A46C" w:rsidR="009D434A" w:rsidRPr="00FE508C" w:rsidRDefault="00FE508C" w:rsidP="00193D76">
      <w:pPr>
        <w:pStyle w:val="Heading1boardreport"/>
        <w:keepNext w:val="0"/>
        <w:rPr>
          <w:sz w:val="28"/>
          <w:szCs w:val="28"/>
        </w:rPr>
      </w:pPr>
      <w:r>
        <w:rPr>
          <w:sz w:val="28"/>
          <w:szCs w:val="28"/>
        </w:rPr>
        <w:t>PATT Pathways</w:t>
      </w:r>
    </w:p>
    <w:p w14:paraId="0C8287C5" w14:textId="77777777" w:rsidR="00943883" w:rsidRDefault="00EF1F3C" w:rsidP="00193D76">
      <w:pPr>
        <w:pStyle w:val="Heading1boardreport"/>
        <w:keepNext w:val="0"/>
        <w:numPr>
          <w:ilvl w:val="0"/>
          <w:numId w:val="26"/>
        </w:numPr>
        <w:rPr>
          <w:b w:val="0"/>
          <w:bCs w:val="0"/>
          <w:sz w:val="24"/>
          <w:szCs w:val="24"/>
        </w:rPr>
      </w:pPr>
      <w:r>
        <w:rPr>
          <w:b w:val="0"/>
          <w:bCs w:val="0"/>
          <w:sz w:val="24"/>
          <w:szCs w:val="24"/>
        </w:rPr>
        <w:t>One of the current PATT projects, PATT Pathways aims to develop and apply core economic models, spanning disease pathways</w:t>
      </w:r>
      <w:r w:rsidR="00943883">
        <w:rPr>
          <w:b w:val="0"/>
          <w:bCs w:val="0"/>
          <w:sz w:val="24"/>
          <w:szCs w:val="24"/>
        </w:rPr>
        <w:t>,</w:t>
      </w:r>
      <w:r>
        <w:rPr>
          <w:b w:val="0"/>
          <w:bCs w:val="0"/>
          <w:sz w:val="24"/>
          <w:szCs w:val="24"/>
        </w:rPr>
        <w:t xml:space="preserve"> to allow the evaluation of multiple technologies using each core model. This has the potential for improved efficiency as well as supporting more consistent guidance.</w:t>
      </w:r>
    </w:p>
    <w:p w14:paraId="5D1A9EEB" w14:textId="77777777" w:rsidR="00943883" w:rsidRDefault="00943883" w:rsidP="00193D76">
      <w:pPr>
        <w:pStyle w:val="Heading1boardreport"/>
        <w:keepNext w:val="0"/>
        <w:numPr>
          <w:ilvl w:val="0"/>
          <w:numId w:val="26"/>
        </w:numPr>
        <w:rPr>
          <w:b w:val="0"/>
          <w:bCs w:val="0"/>
          <w:sz w:val="24"/>
          <w:szCs w:val="24"/>
        </w:rPr>
      </w:pPr>
      <w:r>
        <w:rPr>
          <w:b w:val="0"/>
          <w:bCs w:val="0"/>
          <w:sz w:val="24"/>
          <w:szCs w:val="24"/>
        </w:rPr>
        <w:t>There are 2 on-going pilots to develop core economic models in renal cell carcinoma and non-small cell lung cancer.</w:t>
      </w:r>
    </w:p>
    <w:p w14:paraId="1E3CF66E" w14:textId="74B30F95" w:rsidR="008B035D" w:rsidRDefault="00943883" w:rsidP="00193D76">
      <w:pPr>
        <w:pStyle w:val="Heading1boardreport"/>
        <w:keepNext w:val="0"/>
        <w:numPr>
          <w:ilvl w:val="0"/>
          <w:numId w:val="26"/>
        </w:numPr>
        <w:rPr>
          <w:b w:val="0"/>
          <w:bCs w:val="0"/>
          <w:sz w:val="24"/>
          <w:szCs w:val="24"/>
        </w:rPr>
      </w:pPr>
      <w:r>
        <w:rPr>
          <w:b w:val="0"/>
          <w:bCs w:val="0"/>
          <w:sz w:val="24"/>
          <w:szCs w:val="24"/>
        </w:rPr>
        <w:t>Given the wide-reaching and transformational potential of this work, additional engagement is needed. An update will be provided for the Board meeting in March 2024.</w:t>
      </w:r>
      <w:r w:rsidR="00EF1F3C">
        <w:rPr>
          <w:b w:val="0"/>
          <w:bCs w:val="0"/>
          <w:sz w:val="24"/>
          <w:szCs w:val="24"/>
        </w:rPr>
        <w:t xml:space="preserve"> </w:t>
      </w:r>
      <w:r w:rsidR="009D434A">
        <w:rPr>
          <w:b w:val="0"/>
          <w:bCs w:val="0"/>
          <w:sz w:val="24"/>
          <w:szCs w:val="24"/>
        </w:rPr>
        <w:t xml:space="preserve"> </w:t>
      </w:r>
    </w:p>
    <w:p w14:paraId="75A39C54" w14:textId="711F9207" w:rsidR="008B035D" w:rsidRPr="008B035D" w:rsidRDefault="008B035D" w:rsidP="00193D76">
      <w:pPr>
        <w:pStyle w:val="Heading1boardreport"/>
        <w:keepNext w:val="0"/>
      </w:pPr>
      <w:r>
        <w:t>Improving Usability</w:t>
      </w:r>
    </w:p>
    <w:p w14:paraId="639F655A" w14:textId="75001A1D" w:rsidR="00C83190" w:rsidRDefault="00C83190" w:rsidP="00193D76">
      <w:pPr>
        <w:pStyle w:val="Heading1boardreport"/>
        <w:keepNext w:val="0"/>
        <w:numPr>
          <w:ilvl w:val="0"/>
          <w:numId w:val="26"/>
        </w:numPr>
        <w:rPr>
          <w:b w:val="0"/>
          <w:bCs w:val="0"/>
          <w:sz w:val="24"/>
          <w:szCs w:val="24"/>
        </w:rPr>
      </w:pPr>
      <w:r>
        <w:rPr>
          <w:b w:val="0"/>
          <w:bCs w:val="0"/>
          <w:sz w:val="24"/>
          <w:szCs w:val="24"/>
        </w:rPr>
        <w:t>Our major focus on improving the useability of NICE guidance has been preparing for incorporating and integrating technology appraisals in guideline topic areas.</w:t>
      </w:r>
    </w:p>
    <w:p w14:paraId="687215BC" w14:textId="7BB8C481" w:rsidR="00C62B38" w:rsidRDefault="00C62B38" w:rsidP="00193D76">
      <w:pPr>
        <w:pStyle w:val="Heading1boardreport"/>
        <w:keepNext w:val="0"/>
        <w:numPr>
          <w:ilvl w:val="0"/>
          <w:numId w:val="26"/>
        </w:numPr>
        <w:rPr>
          <w:b w:val="0"/>
          <w:bCs w:val="0"/>
          <w:sz w:val="24"/>
          <w:szCs w:val="24"/>
        </w:rPr>
      </w:pPr>
      <w:r>
        <w:rPr>
          <w:b w:val="0"/>
          <w:bCs w:val="0"/>
          <w:sz w:val="24"/>
          <w:szCs w:val="24"/>
        </w:rPr>
        <w:t>Currently, NICE’s guidance is published according to the programme that developed the guidance; this means that our users must search in multiple places to find all our guidance about a given condition.</w:t>
      </w:r>
    </w:p>
    <w:p w14:paraId="071F7086" w14:textId="77777777" w:rsidR="00C62B38" w:rsidRDefault="00C62B38" w:rsidP="00193D76">
      <w:pPr>
        <w:pStyle w:val="Heading1boardreport"/>
        <w:keepNext w:val="0"/>
        <w:numPr>
          <w:ilvl w:val="0"/>
          <w:numId w:val="26"/>
        </w:numPr>
        <w:rPr>
          <w:b w:val="0"/>
          <w:bCs w:val="0"/>
          <w:sz w:val="24"/>
          <w:szCs w:val="24"/>
        </w:rPr>
      </w:pPr>
      <w:r>
        <w:rPr>
          <w:b w:val="0"/>
          <w:bCs w:val="0"/>
          <w:sz w:val="24"/>
          <w:szCs w:val="24"/>
        </w:rPr>
        <w:lastRenderedPageBreak/>
        <w:t>To provide a better experience for our end users, help increase the adoption of NICE guidance, and provide better outcomes for patients and better use of NHS resources, we have developed approaches to the incorporation and integration of technology appraisals in guidelines such that all relevant information on a topic, can be conveniently accessed through the guideline. Although starting with technology appraisals, the intention is to extend the approach to the incorporation of medical technologies and diagnostic guidance.</w:t>
      </w:r>
    </w:p>
    <w:p w14:paraId="29931F3D" w14:textId="526ECCB3" w:rsidR="008B035D" w:rsidRDefault="00B977E0" w:rsidP="00193D76">
      <w:pPr>
        <w:pStyle w:val="Heading1boardreport"/>
        <w:keepNext w:val="0"/>
        <w:numPr>
          <w:ilvl w:val="0"/>
          <w:numId w:val="26"/>
        </w:numPr>
        <w:rPr>
          <w:b w:val="0"/>
          <w:bCs w:val="0"/>
          <w:sz w:val="24"/>
          <w:szCs w:val="24"/>
        </w:rPr>
      </w:pPr>
      <w:r>
        <w:rPr>
          <w:b w:val="0"/>
          <w:bCs w:val="0"/>
          <w:sz w:val="24"/>
          <w:szCs w:val="24"/>
        </w:rPr>
        <w:t xml:space="preserve">Further details on the approach and progress are available in Appendix C. An interim methods statement for Board approval prior to consultation is shown in Appendix D. </w:t>
      </w:r>
      <w:r w:rsidR="00C62B38">
        <w:rPr>
          <w:b w:val="0"/>
          <w:bCs w:val="0"/>
          <w:sz w:val="24"/>
          <w:szCs w:val="24"/>
        </w:rPr>
        <w:t xml:space="preserve">  </w:t>
      </w:r>
    </w:p>
    <w:p w14:paraId="5CD122AB" w14:textId="221CFD78" w:rsidR="00B9699B" w:rsidRDefault="00B9699B" w:rsidP="00193D76">
      <w:pPr>
        <w:pStyle w:val="Heading1boardreport"/>
        <w:keepNext w:val="0"/>
      </w:pPr>
      <w:r>
        <w:t xml:space="preserve">Board action </w:t>
      </w:r>
      <w:proofErr w:type="gramStart"/>
      <w:r>
        <w:t>required</w:t>
      </w:r>
      <w:proofErr w:type="gramEnd"/>
    </w:p>
    <w:p w14:paraId="4ACE948B" w14:textId="77B896C5" w:rsidR="00B9699B" w:rsidRDefault="00B9699B" w:rsidP="00193D76">
      <w:pPr>
        <w:pStyle w:val="NICEnormalnumbered"/>
        <w:numPr>
          <w:ilvl w:val="0"/>
          <w:numId w:val="26"/>
        </w:numPr>
      </w:pPr>
      <w:r>
        <w:t>T</w:t>
      </w:r>
      <w:r w:rsidRPr="007B5841">
        <w:t xml:space="preserve">he Board </w:t>
      </w:r>
      <w:r>
        <w:t xml:space="preserve">is </w:t>
      </w:r>
      <w:r w:rsidRPr="007B5841">
        <w:t>asked to</w:t>
      </w:r>
      <w:r w:rsidR="00B63F87">
        <w:t xml:space="preserve">: </w:t>
      </w:r>
    </w:p>
    <w:p w14:paraId="108F65A0" w14:textId="77777777" w:rsidR="00B63F87" w:rsidRDefault="00B63F87" w:rsidP="00193D76">
      <w:pPr>
        <w:pStyle w:val="NICEnormalnumbered"/>
        <w:numPr>
          <w:ilvl w:val="1"/>
          <w:numId w:val="26"/>
        </w:numPr>
      </w:pPr>
      <w:r>
        <w:t>Approve the I</w:t>
      </w:r>
      <w:r w:rsidRPr="0054732C">
        <w:t>nterim methods and process statement for incorporating and integrating NICE technology appraisals into guideline topic areas</w:t>
      </w:r>
      <w:r>
        <w:t xml:space="preserve"> (Appendix D) to proceed to public consultation and delegate authority to the NICE Guidance Executive to approve the final version following consultation. </w:t>
      </w:r>
      <w:r w:rsidRPr="0054732C">
        <w:t> </w:t>
      </w:r>
    </w:p>
    <w:p w14:paraId="683A662B" w14:textId="77777777" w:rsidR="00B63F87" w:rsidRDefault="00B63F87" w:rsidP="00193D76">
      <w:pPr>
        <w:pStyle w:val="NICEnormalnumbered"/>
        <w:numPr>
          <w:ilvl w:val="1"/>
          <w:numId w:val="26"/>
        </w:numPr>
      </w:pPr>
      <w:r>
        <w:t>Note the progress in other areas of the paper and provide a steer to inform further work.</w:t>
      </w:r>
    </w:p>
    <w:p w14:paraId="788184A3" w14:textId="77777777" w:rsidR="008522F1" w:rsidRDefault="008522F1" w:rsidP="00BF0EBC">
      <w:pPr>
        <w:pStyle w:val="Heading1boardreport"/>
      </w:pPr>
      <w:r>
        <w:t>Authors</w:t>
      </w:r>
    </w:p>
    <w:p w14:paraId="1138C421" w14:textId="1DF54A8C" w:rsidR="00367512" w:rsidRDefault="00367512" w:rsidP="00D32F2E">
      <w:pPr>
        <w:pStyle w:val="Paragraphnonumbersnarrow"/>
      </w:pPr>
      <w:r>
        <w:t xml:space="preserve">Elizabeth Bell, </w:t>
      </w:r>
      <w:r w:rsidR="00A26B1D">
        <w:t xml:space="preserve">Health Technology Assessment </w:t>
      </w:r>
      <w:r w:rsidR="00211BEE">
        <w:t>Adviser</w:t>
      </w:r>
      <w:r w:rsidR="00A26B1D">
        <w:t>, Centre for Health Technology Evaluation</w:t>
      </w:r>
    </w:p>
    <w:p w14:paraId="2898BB2D" w14:textId="149EF1D2" w:rsidR="006E75D7" w:rsidRDefault="006E75D7" w:rsidP="00D32F2E">
      <w:pPr>
        <w:pStyle w:val="Paragraphnonumbersnarrow"/>
      </w:pPr>
      <w:r>
        <w:t>Adam Brooke, Health Technology Assessment Adviser, Centre for Health Technology Evaluation</w:t>
      </w:r>
    </w:p>
    <w:p w14:paraId="2BB3586B" w14:textId="0F06C178" w:rsidR="00160F92" w:rsidRDefault="00160F92" w:rsidP="00D32F2E">
      <w:pPr>
        <w:pStyle w:val="Paragraphnonumbersnarrow"/>
      </w:pPr>
      <w:r w:rsidRPr="2C5141D6">
        <w:t>Jacoline Bouvy, Programme Director Medicines Evaluation, Centre for Health Technology Evaluation</w:t>
      </w:r>
    </w:p>
    <w:p w14:paraId="1BCA53B5" w14:textId="77777777" w:rsidR="008522F1" w:rsidRDefault="008522F1" w:rsidP="00D32F2E">
      <w:pPr>
        <w:pStyle w:val="Paragraphnonumbersnarrow"/>
      </w:pPr>
      <w:r>
        <w:t>Sara Buckner, Technical Adviser, Centre for Guidelines</w:t>
      </w:r>
    </w:p>
    <w:p w14:paraId="7F26E686" w14:textId="77777777" w:rsidR="00160F92" w:rsidRDefault="00160F92" w:rsidP="00D32F2E">
      <w:pPr>
        <w:pStyle w:val="Paragraphnonumbersnarrow"/>
      </w:pPr>
      <w:r>
        <w:lastRenderedPageBreak/>
        <w:t>Lorna Dunning, Senior Technical Adviser, Centre for Health Technology Evaluation</w:t>
      </w:r>
    </w:p>
    <w:p w14:paraId="2D01764E" w14:textId="77777777" w:rsidR="00160F92" w:rsidRDefault="00160F92" w:rsidP="00D32F2E">
      <w:pPr>
        <w:pStyle w:val="Paragraphnonumbersnarrow"/>
      </w:pPr>
      <w:r>
        <w:t>Rupert Franklin, Senior Guideline Commissioning Manager, Centre for Guidelines</w:t>
      </w:r>
    </w:p>
    <w:p w14:paraId="6BD042BF" w14:textId="561A66BF" w:rsidR="002B4011" w:rsidRDefault="002B4011" w:rsidP="00D32F2E">
      <w:pPr>
        <w:pStyle w:val="Paragraphnonumbersnarrow"/>
      </w:pPr>
      <w:r>
        <w:t>Jasdeep Hayre, Associate Director, Centre for Health Technology Evaluation</w:t>
      </w:r>
    </w:p>
    <w:p w14:paraId="5C19A899" w14:textId="04746A81" w:rsidR="00D97E9A" w:rsidRDefault="00D97E9A" w:rsidP="00D32F2E">
      <w:pPr>
        <w:pStyle w:val="Paragraphnonumbersnarrow"/>
      </w:pPr>
      <w:r>
        <w:t xml:space="preserve">James Koh, Scientific Adviser, Science </w:t>
      </w:r>
      <w:proofErr w:type="gramStart"/>
      <w:r>
        <w:t>Policy</w:t>
      </w:r>
      <w:proofErr w:type="gramEnd"/>
      <w:r>
        <w:t xml:space="preserve"> and Research</w:t>
      </w:r>
    </w:p>
    <w:p w14:paraId="3BFA0F36" w14:textId="38BD9569" w:rsidR="008522F1" w:rsidRDefault="008522F1" w:rsidP="00D32F2E">
      <w:pPr>
        <w:pStyle w:val="Paragraphnonumbersnarrow"/>
      </w:pPr>
      <w:r>
        <w:t>Carl Prescott, Senior Technical Adviser, Centre for Health Technology Evaluation</w:t>
      </w:r>
    </w:p>
    <w:p w14:paraId="7676A633" w14:textId="46C96F3F" w:rsidR="00D97E9A" w:rsidRDefault="00D97E9A" w:rsidP="00D32F2E">
      <w:pPr>
        <w:pStyle w:val="Paragraphnonumbersnarrow"/>
      </w:pPr>
      <w:r>
        <w:t xml:space="preserve">Koonal Shah, Associate Director, Science </w:t>
      </w:r>
      <w:proofErr w:type="gramStart"/>
      <w:r>
        <w:t>Policy</w:t>
      </w:r>
      <w:proofErr w:type="gramEnd"/>
      <w:r>
        <w:t xml:space="preserve"> and Research</w:t>
      </w:r>
    </w:p>
    <w:p w14:paraId="7CC37399" w14:textId="2CD4B027" w:rsidR="00F97792" w:rsidRDefault="00F97792" w:rsidP="00D32F2E">
      <w:pPr>
        <w:pStyle w:val="Paragraphnonumbersnarrow"/>
      </w:pPr>
      <w:r>
        <w:t>Owen Swales, Technical Analyst, Centre for Health Technology Evaluation</w:t>
      </w:r>
    </w:p>
    <w:p w14:paraId="70E06595" w14:textId="77777777" w:rsidR="008522F1" w:rsidRDefault="008522F1" w:rsidP="00D32F2E">
      <w:pPr>
        <w:pStyle w:val="Paragraphnonumbersnarrow"/>
      </w:pPr>
      <w:r>
        <w:t>Nichole Taske, Associate Director, Centre for Guidelines</w:t>
      </w:r>
    </w:p>
    <w:p w14:paraId="2BF7805E" w14:textId="77777777" w:rsidR="00160F92" w:rsidRDefault="00160F92" w:rsidP="00D32F2E">
      <w:pPr>
        <w:pStyle w:val="Paragraphnonumbersnarrow"/>
      </w:pPr>
      <w:r>
        <w:t>David Thomson, Associate Director, Patient Access Scheme Liaison Unit</w:t>
      </w:r>
    </w:p>
    <w:p w14:paraId="3C322B43" w14:textId="77777777" w:rsidR="00160F92" w:rsidRDefault="00160F92" w:rsidP="00D32F2E">
      <w:pPr>
        <w:pStyle w:val="Paragraphnonumbersnarrow"/>
      </w:pPr>
      <w:r>
        <w:t>Lizzie Walker, Technical Adviser, Centre for Health Technology Evaluation</w:t>
      </w:r>
    </w:p>
    <w:p w14:paraId="4C63110E" w14:textId="77777777" w:rsidR="009972AD" w:rsidRDefault="009972AD" w:rsidP="00D32F2E">
      <w:pPr>
        <w:pStyle w:val="Paragraphnonumbersnarrow"/>
      </w:pPr>
    </w:p>
    <w:p w14:paraId="17E3AD41" w14:textId="629A16A1" w:rsidR="009972AD" w:rsidRDefault="009972AD" w:rsidP="009972AD">
      <w:pPr>
        <w:pStyle w:val="Heading1boardreport"/>
      </w:pPr>
      <w:r>
        <w:t>Appendices</w:t>
      </w:r>
    </w:p>
    <w:p w14:paraId="33967F58" w14:textId="0D929B94" w:rsidR="009972AD" w:rsidRDefault="009972AD" w:rsidP="009972AD">
      <w:pPr>
        <w:pStyle w:val="NICEnormal"/>
      </w:pPr>
      <w:r>
        <w:t>Appendix A: First year of implementation of the updated CHTE manual</w:t>
      </w:r>
    </w:p>
    <w:p w14:paraId="2FCEF3E2" w14:textId="60DFD9A4" w:rsidR="009972AD" w:rsidRDefault="009972AD" w:rsidP="009972AD">
      <w:pPr>
        <w:pStyle w:val="NICEnormal"/>
      </w:pPr>
      <w:r>
        <w:t>Appendix B: Modular Updates</w:t>
      </w:r>
    </w:p>
    <w:p w14:paraId="43F02578" w14:textId="61E97E3C" w:rsidR="009972AD" w:rsidRDefault="009972AD" w:rsidP="009972AD">
      <w:pPr>
        <w:pStyle w:val="NICEnormal"/>
      </w:pPr>
      <w:r>
        <w:t xml:space="preserve">Appendix C: </w:t>
      </w:r>
      <w:r w:rsidRPr="0054732C">
        <w:t xml:space="preserve">Incorporating and integrating technology appraisals in guideline topic areas: Interim methods and </w:t>
      </w:r>
      <w:proofErr w:type="gramStart"/>
      <w:r w:rsidRPr="0054732C">
        <w:t>processes</w:t>
      </w:r>
      <w:proofErr w:type="gramEnd"/>
      <w:r w:rsidRPr="0054732C">
        <w:t>  </w:t>
      </w:r>
    </w:p>
    <w:p w14:paraId="76D0AB6F" w14:textId="52FA00D5" w:rsidR="009972AD" w:rsidRPr="009972AD" w:rsidRDefault="009972AD" w:rsidP="009972AD">
      <w:pPr>
        <w:pStyle w:val="NICEnormal"/>
      </w:pPr>
      <w:r>
        <w:t xml:space="preserve">Appendix D: </w:t>
      </w:r>
      <w:bookmarkStart w:id="4" w:name="_Hlk152773133"/>
      <w:r w:rsidRPr="0054732C">
        <w:t xml:space="preserve">Interim methods and process statement for incorporating and integrating NICE technology appraisals into guideline topic </w:t>
      </w:r>
      <w:proofErr w:type="gramStart"/>
      <w:r w:rsidRPr="0054732C">
        <w:t>areas</w:t>
      </w:r>
      <w:proofErr w:type="gramEnd"/>
      <w:r w:rsidRPr="0054732C">
        <w:t> </w:t>
      </w:r>
      <w:bookmarkEnd w:id="4"/>
    </w:p>
    <w:p w14:paraId="7F58DC98" w14:textId="77777777" w:rsidR="009972AD" w:rsidRDefault="009972AD">
      <w:pPr>
        <w:rPr>
          <w:rFonts w:ascii="Arial" w:hAnsi="Arial" w:cs="Arial"/>
          <w:b/>
          <w:bCs/>
          <w:kern w:val="32"/>
          <w:sz w:val="32"/>
          <w:szCs w:val="32"/>
        </w:rPr>
      </w:pPr>
      <w:r>
        <w:br w:type="page"/>
      </w:r>
    </w:p>
    <w:p w14:paraId="6A60B8E3" w14:textId="513F2AC6" w:rsidR="00B9699B" w:rsidRDefault="00D124F6" w:rsidP="00613B9C">
      <w:pPr>
        <w:pStyle w:val="Heading1boardreport"/>
      </w:pPr>
      <w:r>
        <w:lastRenderedPageBreak/>
        <w:t>Appendi</w:t>
      </w:r>
      <w:r w:rsidR="00B9699B">
        <w:t>ces</w:t>
      </w:r>
    </w:p>
    <w:p w14:paraId="15D5D73E" w14:textId="1B17292C" w:rsidR="00B9699B" w:rsidRDefault="0034642F" w:rsidP="00801AC9">
      <w:pPr>
        <w:pStyle w:val="Heading2boardreport"/>
      </w:pPr>
      <w:r>
        <w:t xml:space="preserve">Appendix </w:t>
      </w:r>
      <w:r w:rsidR="00B9699B" w:rsidRPr="00B9699B">
        <w:t>A: First year of implementation of the updated CHTE manual</w:t>
      </w:r>
    </w:p>
    <w:p w14:paraId="58686380" w14:textId="77D8DD71" w:rsidR="009A7D1F" w:rsidRPr="009A7D1F" w:rsidRDefault="009A7D1F" w:rsidP="00FD028C">
      <w:pPr>
        <w:pStyle w:val="NICEnormal"/>
        <w:numPr>
          <w:ilvl w:val="0"/>
          <w:numId w:val="30"/>
        </w:numPr>
      </w:pPr>
      <w:r w:rsidRPr="009A7D1F">
        <w:t xml:space="preserve">This appendix summarises methods implementation for medicines appraisal topics using the </w:t>
      </w:r>
      <w:hyperlink r:id="rId7" w:tgtFrame="_blank" w:history="1">
        <w:r w:rsidRPr="009A7D1F">
          <w:rPr>
            <w:rStyle w:val="Hyperlink"/>
          </w:rPr>
          <w:t>new manual for technology evaluation</w:t>
        </w:r>
      </w:hyperlink>
      <w:r w:rsidRPr="009A7D1F">
        <w:t xml:space="preserve">. It covers topics that have been to committee meetings between October 2022 and September 2023, thereby covering the first full year of committee meetings when the new manual has been implemented. Please note that some of these topics are ongoing; </w:t>
      </w:r>
      <w:r w:rsidR="00786B43">
        <w:t xml:space="preserve">outcomes on topics where final guidance </w:t>
      </w:r>
      <w:r w:rsidR="005E71DC">
        <w:t>have</w:t>
      </w:r>
      <w:r w:rsidR="00786B43">
        <w:t xml:space="preserve"> not been published at the time of writing are</w:t>
      </w:r>
      <w:r w:rsidRPr="009A7D1F">
        <w:t xml:space="preserve"> still subject to change.  </w:t>
      </w:r>
    </w:p>
    <w:p w14:paraId="37BDFCB8" w14:textId="77777777" w:rsidR="009A7D1F" w:rsidRPr="009A7D1F" w:rsidRDefault="009A7D1F" w:rsidP="00801AC9">
      <w:pPr>
        <w:pStyle w:val="Heading2boardreport"/>
      </w:pPr>
      <w:r w:rsidRPr="009A7D1F">
        <w:t xml:space="preserve">Summary statistics for topics using new </w:t>
      </w:r>
      <w:proofErr w:type="gramStart"/>
      <w:r w:rsidRPr="009A7D1F">
        <w:t>methods</w:t>
      </w:r>
      <w:proofErr w:type="gramEnd"/>
      <w:r w:rsidRPr="009A7D1F">
        <w:t> </w:t>
      </w:r>
    </w:p>
    <w:p w14:paraId="0E94E2CF" w14:textId="77777777" w:rsidR="009A7D1F" w:rsidRPr="009A7D1F" w:rsidRDefault="009A7D1F" w:rsidP="00FD028C">
      <w:pPr>
        <w:pStyle w:val="NICEnormal"/>
        <w:numPr>
          <w:ilvl w:val="0"/>
          <w:numId w:val="31"/>
        </w:numPr>
      </w:pPr>
      <w:r w:rsidRPr="009A7D1F">
        <w:t>Of all topics that have been to at least 1 committee meeting by the end of September 2023, 57 topics used the new manual for technology evaluation. Of these, 31 have published final guidance, 21 are at draft guidance stage (4 of which are under appeal), and 5 are waiting for guidance to be confirmed.  </w:t>
      </w:r>
    </w:p>
    <w:p w14:paraId="00CDC903" w14:textId="77777777" w:rsidR="009A7D1F" w:rsidRPr="009A7D1F" w:rsidRDefault="009A7D1F" w:rsidP="00FD028C">
      <w:pPr>
        <w:pStyle w:val="NICEnormal"/>
        <w:numPr>
          <w:ilvl w:val="0"/>
          <w:numId w:val="32"/>
        </w:numPr>
      </w:pPr>
      <w:r w:rsidRPr="009A7D1F">
        <w:t>Of all 52 topics at either published or draft guidance stage, there have been more positive recommendations (28) than negative recommendations (23), and 1 appraisal that included both positive and negative recommendations. </w:t>
      </w:r>
    </w:p>
    <w:p w14:paraId="71A53933" w14:textId="77777777" w:rsidR="009A7D1F" w:rsidRPr="009A7D1F" w:rsidRDefault="009A7D1F" w:rsidP="00FD028C">
      <w:pPr>
        <w:pStyle w:val="NICEnormal"/>
        <w:numPr>
          <w:ilvl w:val="0"/>
          <w:numId w:val="33"/>
        </w:numPr>
      </w:pPr>
      <w:r w:rsidRPr="009A7D1F">
        <w:t>The company applied for a severity modifier in 13 of the topics. In 11 cases (including 3 non-cancer appraisals), the application for a severity modifier was accepted by the committee. In 2 topics where an application for a 1.7 QALY weighting for severity was not accepted, the committee accepted a 1.2 weighting instead. </w:t>
      </w:r>
    </w:p>
    <w:p w14:paraId="6A9053CF" w14:textId="77777777" w:rsidR="009A7D1F" w:rsidRPr="009A7D1F" w:rsidRDefault="009A7D1F" w:rsidP="00FD028C">
      <w:pPr>
        <w:pStyle w:val="NICEnormal"/>
        <w:numPr>
          <w:ilvl w:val="0"/>
          <w:numId w:val="34"/>
        </w:numPr>
      </w:pPr>
      <w:r w:rsidRPr="009A7D1F">
        <w:t>Real-world evidence was accepted by committee as primary or supportive evidence in 18 topics.  </w:t>
      </w:r>
    </w:p>
    <w:p w14:paraId="3DEC225D" w14:textId="77777777" w:rsidR="009A7D1F" w:rsidRPr="009A7D1F" w:rsidRDefault="009A7D1F" w:rsidP="00FD028C">
      <w:pPr>
        <w:pStyle w:val="NICEnormal"/>
        <w:numPr>
          <w:ilvl w:val="0"/>
          <w:numId w:val="35"/>
        </w:numPr>
      </w:pPr>
      <w:r w:rsidRPr="009A7D1F">
        <w:t xml:space="preserve">Additional flexibilities were granted in 16 topics: 7 due to difficulties with evidence generation; 2 to acknowledge impacts on health inequalities; 5 due to uncaptured benefits; and 2 due to unmet need. </w:t>
      </w:r>
      <w:proofErr w:type="gramStart"/>
      <w:r w:rsidRPr="009A7D1F">
        <w:t>All of</w:t>
      </w:r>
      <w:proofErr w:type="gramEnd"/>
      <w:r w:rsidRPr="009A7D1F">
        <w:t xml:space="preserve"> the additional flexibilities granted led to increased acceptable ICER thresholds in principle.  </w:t>
      </w:r>
    </w:p>
    <w:p w14:paraId="26EF0E6C" w14:textId="77777777" w:rsidR="009A7D1F" w:rsidRPr="009A7D1F" w:rsidRDefault="009A7D1F" w:rsidP="00FD028C">
      <w:pPr>
        <w:pStyle w:val="NICEnormal"/>
        <w:numPr>
          <w:ilvl w:val="0"/>
          <w:numId w:val="36"/>
        </w:numPr>
      </w:pPr>
      <w:r w:rsidRPr="009A7D1F">
        <w:lastRenderedPageBreak/>
        <w:t>Please note that the additional flexibilities described here differ from the wider effects mentioned in relation to adopting a broader perspective. The former refer to health benefits not captured using the reference case methods whereas the latter refers to effects beyond direct health benefits. </w:t>
      </w:r>
    </w:p>
    <w:p w14:paraId="3C090766" w14:textId="77777777" w:rsidR="009A7D1F" w:rsidRPr="009A7D1F" w:rsidRDefault="009A7D1F" w:rsidP="00801AC9">
      <w:pPr>
        <w:pStyle w:val="Heading2boardreport"/>
      </w:pPr>
      <w:r w:rsidRPr="009A7D1F">
        <w:t>Reflections on the implementations of new methods </w:t>
      </w:r>
    </w:p>
    <w:p w14:paraId="416D9671" w14:textId="77777777" w:rsidR="009A7D1F" w:rsidRPr="009A7D1F" w:rsidRDefault="009A7D1F" w:rsidP="00FD028C">
      <w:pPr>
        <w:pStyle w:val="NICEnormal"/>
        <w:numPr>
          <w:ilvl w:val="0"/>
          <w:numId w:val="37"/>
        </w:numPr>
      </w:pPr>
      <w:r w:rsidRPr="009A7D1F">
        <w:t xml:space="preserve">The implementation of the manual is going well. Applications for a severity weighting have been accepted in </w:t>
      </w:r>
      <w:proofErr w:type="gramStart"/>
      <w:r w:rsidRPr="009A7D1F">
        <w:t>a number of</w:t>
      </w:r>
      <w:proofErr w:type="gramEnd"/>
      <w:r w:rsidRPr="009A7D1F">
        <w:t xml:space="preserve"> topics, including 3 for non-cancer appraisals. Committees are comfortable discussing other flexibilities available in the manual such as where evidence generation may be more </w:t>
      </w:r>
      <w:proofErr w:type="gramStart"/>
      <w:r w:rsidRPr="009A7D1F">
        <w:t>difficult, and</w:t>
      </w:r>
      <w:proofErr w:type="gramEnd"/>
      <w:r w:rsidRPr="009A7D1F">
        <w:t xml:space="preserve"> are comfortable taking into account real-world evidence.   </w:t>
      </w:r>
    </w:p>
    <w:p w14:paraId="24314458" w14:textId="0FE8F01B" w:rsidR="009A7D1F" w:rsidRDefault="009A7D1F" w:rsidP="00FD028C">
      <w:pPr>
        <w:pStyle w:val="NICEnormal"/>
        <w:numPr>
          <w:ilvl w:val="0"/>
          <w:numId w:val="38"/>
        </w:numPr>
      </w:pPr>
      <w:r w:rsidRPr="009A7D1F">
        <w:t xml:space="preserve">We have collected and responded to feedback from patient groups and industry on the new manual (Table </w:t>
      </w:r>
      <w:r w:rsidR="0009246B">
        <w:t>1</w:t>
      </w:r>
      <w:r w:rsidRPr="009A7D1F">
        <w:t>).  </w:t>
      </w:r>
    </w:p>
    <w:p w14:paraId="56254F97" w14:textId="4CB9750B" w:rsidR="0009246B" w:rsidRPr="009A7D1F" w:rsidRDefault="0009246B" w:rsidP="0009246B">
      <w:pPr>
        <w:pStyle w:val="Caption"/>
      </w:pPr>
      <w:r>
        <w:rPr>
          <w:rStyle w:val="ui-provider"/>
        </w:rPr>
        <w:t>Table 1: Summary of feedback on the new CHTE manual</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9"/>
        <w:gridCol w:w="4421"/>
      </w:tblGrid>
      <w:tr w:rsidR="009A7D1F" w:rsidRPr="009A7D1F" w14:paraId="384F1729" w14:textId="77777777" w:rsidTr="009A7D1F">
        <w:trPr>
          <w:trHeight w:val="300"/>
        </w:trPr>
        <w:tc>
          <w:tcPr>
            <w:tcW w:w="4320" w:type="dxa"/>
            <w:tcBorders>
              <w:top w:val="single" w:sz="6" w:space="0" w:color="BFBFBF"/>
              <w:left w:val="single" w:sz="6" w:space="0" w:color="BFBFBF"/>
              <w:bottom w:val="single" w:sz="6" w:space="0" w:color="BFBFBF"/>
              <w:right w:val="single" w:sz="6" w:space="0" w:color="BFBFBF"/>
            </w:tcBorders>
            <w:shd w:val="clear" w:color="auto" w:fill="auto"/>
            <w:hideMark/>
          </w:tcPr>
          <w:p w14:paraId="1117AEE6" w14:textId="77777777" w:rsidR="009A7D1F" w:rsidRPr="009A7D1F" w:rsidRDefault="009A7D1F" w:rsidP="009A7D1F">
            <w:pPr>
              <w:pStyle w:val="NICEnormal"/>
              <w:rPr>
                <w:b/>
                <w:bCs/>
              </w:rPr>
            </w:pPr>
            <w:r w:rsidRPr="009A7D1F">
              <w:rPr>
                <w:b/>
                <w:bCs/>
              </w:rPr>
              <w:t>Feedback </w:t>
            </w:r>
          </w:p>
        </w:tc>
        <w:tc>
          <w:tcPr>
            <w:tcW w:w="4500" w:type="dxa"/>
            <w:tcBorders>
              <w:top w:val="single" w:sz="6" w:space="0" w:color="BFBFBF"/>
              <w:left w:val="single" w:sz="6" w:space="0" w:color="BFBFBF"/>
              <w:bottom w:val="single" w:sz="6" w:space="0" w:color="BFBFBF"/>
              <w:right w:val="single" w:sz="6" w:space="0" w:color="BFBFBF"/>
            </w:tcBorders>
            <w:shd w:val="clear" w:color="auto" w:fill="auto"/>
            <w:hideMark/>
          </w:tcPr>
          <w:p w14:paraId="549D799B" w14:textId="77777777" w:rsidR="009A7D1F" w:rsidRPr="009A7D1F" w:rsidRDefault="009A7D1F" w:rsidP="009A7D1F">
            <w:pPr>
              <w:pStyle w:val="NICEnormal"/>
              <w:rPr>
                <w:b/>
                <w:bCs/>
              </w:rPr>
            </w:pPr>
            <w:r w:rsidRPr="009A7D1F">
              <w:rPr>
                <w:b/>
                <w:bCs/>
              </w:rPr>
              <w:t>NICE response </w:t>
            </w:r>
          </w:p>
        </w:tc>
      </w:tr>
      <w:tr w:rsidR="009A7D1F" w:rsidRPr="009A7D1F" w14:paraId="046D2345" w14:textId="77777777" w:rsidTr="009A7D1F">
        <w:trPr>
          <w:trHeight w:val="300"/>
        </w:trPr>
        <w:tc>
          <w:tcPr>
            <w:tcW w:w="883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D38504B" w14:textId="77777777" w:rsidR="009A7D1F" w:rsidRPr="009A7D1F" w:rsidRDefault="009A7D1F" w:rsidP="009A7D1F">
            <w:pPr>
              <w:pStyle w:val="NICEnormal"/>
              <w:rPr>
                <w:b/>
                <w:bCs/>
              </w:rPr>
            </w:pPr>
            <w:r w:rsidRPr="009A7D1F">
              <w:rPr>
                <w:b/>
                <w:bCs/>
              </w:rPr>
              <w:t>Patients </w:t>
            </w:r>
          </w:p>
        </w:tc>
      </w:tr>
      <w:tr w:rsidR="009A7D1F" w:rsidRPr="009A7D1F" w14:paraId="49C634B0" w14:textId="77777777" w:rsidTr="009A7D1F">
        <w:trPr>
          <w:trHeight w:val="300"/>
        </w:trPr>
        <w:tc>
          <w:tcPr>
            <w:tcW w:w="4320" w:type="dxa"/>
            <w:tcBorders>
              <w:top w:val="single" w:sz="6" w:space="0" w:color="BFBFBF"/>
              <w:left w:val="single" w:sz="6" w:space="0" w:color="BFBFBF"/>
              <w:bottom w:val="single" w:sz="6" w:space="0" w:color="BFBFBF"/>
              <w:right w:val="single" w:sz="6" w:space="0" w:color="BFBFBF"/>
            </w:tcBorders>
            <w:shd w:val="clear" w:color="auto" w:fill="auto"/>
            <w:hideMark/>
          </w:tcPr>
          <w:p w14:paraId="69EEAF42" w14:textId="77777777" w:rsidR="009A7D1F" w:rsidRPr="009A7D1F" w:rsidRDefault="009A7D1F" w:rsidP="009A7D1F">
            <w:pPr>
              <w:pStyle w:val="NICEnormal"/>
            </w:pPr>
            <w:r w:rsidRPr="009A7D1F">
              <w:t>Patients requested additional clarity on how exactly severity was calculated and applied, and how they can add value to discussions. </w:t>
            </w:r>
          </w:p>
        </w:tc>
        <w:tc>
          <w:tcPr>
            <w:tcW w:w="4500" w:type="dxa"/>
            <w:tcBorders>
              <w:top w:val="single" w:sz="6" w:space="0" w:color="BFBFBF"/>
              <w:left w:val="single" w:sz="6" w:space="0" w:color="BFBFBF"/>
              <w:bottom w:val="single" w:sz="6" w:space="0" w:color="BFBFBF"/>
              <w:right w:val="single" w:sz="6" w:space="0" w:color="BFBFBF"/>
            </w:tcBorders>
            <w:shd w:val="clear" w:color="auto" w:fill="auto"/>
            <w:hideMark/>
          </w:tcPr>
          <w:p w14:paraId="04C662BA" w14:textId="77777777" w:rsidR="009A7D1F" w:rsidRPr="009A7D1F" w:rsidRDefault="009A7D1F" w:rsidP="009A7D1F">
            <w:pPr>
              <w:pStyle w:val="NICEnormal"/>
            </w:pPr>
            <w:r w:rsidRPr="009A7D1F">
              <w:t xml:space="preserve">NICE ran a patient-focused webinar in October 2023, explaining the severity modifier and how/when patients can best get involved. Included an opportunity to send questions in </w:t>
            </w:r>
            <w:proofErr w:type="gramStart"/>
            <w:r w:rsidRPr="009A7D1F">
              <w:t>advance, and</w:t>
            </w:r>
            <w:proofErr w:type="gramEnd"/>
            <w:r w:rsidRPr="009A7D1F">
              <w:t xml:space="preserve"> ask questions during the meeting. </w:t>
            </w:r>
          </w:p>
        </w:tc>
      </w:tr>
      <w:tr w:rsidR="009A7D1F" w:rsidRPr="009A7D1F" w14:paraId="1B897185" w14:textId="77777777" w:rsidTr="009A7D1F">
        <w:trPr>
          <w:trHeight w:val="300"/>
        </w:trPr>
        <w:tc>
          <w:tcPr>
            <w:tcW w:w="4320" w:type="dxa"/>
            <w:tcBorders>
              <w:top w:val="single" w:sz="6" w:space="0" w:color="BFBFBF"/>
              <w:left w:val="single" w:sz="6" w:space="0" w:color="BFBFBF"/>
              <w:bottom w:val="single" w:sz="6" w:space="0" w:color="BFBFBF"/>
              <w:right w:val="single" w:sz="6" w:space="0" w:color="BFBFBF"/>
            </w:tcBorders>
            <w:shd w:val="clear" w:color="auto" w:fill="auto"/>
            <w:hideMark/>
          </w:tcPr>
          <w:p w14:paraId="53E029D7" w14:textId="77777777" w:rsidR="009A7D1F" w:rsidRPr="009A7D1F" w:rsidRDefault="009A7D1F" w:rsidP="009A7D1F">
            <w:pPr>
              <w:pStyle w:val="NICEnormal"/>
            </w:pPr>
            <w:r w:rsidRPr="009A7D1F">
              <w:t xml:space="preserve">Patients flagged that one of the benefits originally posited of the severity modifier was that it was designed to capture a broader range of conditions than end-of-life, which was typically focussed primarily on cancers. </w:t>
            </w:r>
            <w:r w:rsidRPr="009A7D1F">
              <w:lastRenderedPageBreak/>
              <w:t>However, cancers still appear most commonly with severity.  </w:t>
            </w:r>
          </w:p>
        </w:tc>
        <w:tc>
          <w:tcPr>
            <w:tcW w:w="4500" w:type="dxa"/>
            <w:tcBorders>
              <w:top w:val="single" w:sz="6" w:space="0" w:color="BFBFBF"/>
              <w:left w:val="single" w:sz="6" w:space="0" w:color="BFBFBF"/>
              <w:bottom w:val="single" w:sz="6" w:space="0" w:color="BFBFBF"/>
              <w:right w:val="single" w:sz="6" w:space="0" w:color="BFBFBF"/>
            </w:tcBorders>
            <w:shd w:val="clear" w:color="auto" w:fill="auto"/>
            <w:hideMark/>
          </w:tcPr>
          <w:p w14:paraId="59B1F824" w14:textId="77777777" w:rsidR="009A7D1F" w:rsidRPr="009A7D1F" w:rsidRDefault="009A7D1F" w:rsidP="009A7D1F">
            <w:pPr>
              <w:pStyle w:val="NICEnormal"/>
            </w:pPr>
            <w:r w:rsidRPr="009A7D1F">
              <w:lastRenderedPageBreak/>
              <w:t xml:space="preserve">Cancers are one of the most common topics that NICE reviews, which may account for their high representation in severity. </w:t>
            </w:r>
            <w:proofErr w:type="gramStart"/>
            <w:r w:rsidRPr="009A7D1F">
              <w:t>However</w:t>
            </w:r>
            <w:proofErr w:type="gramEnd"/>
            <w:r w:rsidRPr="009A7D1F">
              <w:t xml:space="preserve"> we are seeing a number of non-cancer topics apply for the severity modifier, and have seen committee accept severity for 3 non-</w:t>
            </w:r>
            <w:r w:rsidRPr="009A7D1F">
              <w:lastRenderedPageBreak/>
              <w:t>cancer topics. We will continue to monitor for trends over time.  </w:t>
            </w:r>
          </w:p>
        </w:tc>
      </w:tr>
      <w:tr w:rsidR="009A7D1F" w:rsidRPr="009A7D1F" w14:paraId="6647BE2C" w14:textId="77777777" w:rsidTr="009A7D1F">
        <w:trPr>
          <w:trHeight w:val="300"/>
        </w:trPr>
        <w:tc>
          <w:tcPr>
            <w:tcW w:w="4320" w:type="dxa"/>
            <w:tcBorders>
              <w:top w:val="single" w:sz="6" w:space="0" w:color="BFBFBF"/>
              <w:left w:val="single" w:sz="6" w:space="0" w:color="BFBFBF"/>
              <w:bottom w:val="single" w:sz="6" w:space="0" w:color="BFBFBF"/>
              <w:right w:val="single" w:sz="6" w:space="0" w:color="BFBFBF"/>
            </w:tcBorders>
            <w:shd w:val="clear" w:color="auto" w:fill="auto"/>
            <w:hideMark/>
          </w:tcPr>
          <w:p w14:paraId="02D4B923" w14:textId="77777777" w:rsidR="009A7D1F" w:rsidRPr="009A7D1F" w:rsidRDefault="009A7D1F" w:rsidP="009A7D1F">
            <w:pPr>
              <w:pStyle w:val="NICEnormal"/>
            </w:pPr>
            <w:r w:rsidRPr="009A7D1F">
              <w:lastRenderedPageBreak/>
              <w:t>Patients stated that moving away from end-of-life to severity is unfair for those medicines who would have qualified for the former but will not qualify for the latter.  </w:t>
            </w:r>
          </w:p>
        </w:tc>
        <w:tc>
          <w:tcPr>
            <w:tcW w:w="4500" w:type="dxa"/>
            <w:tcBorders>
              <w:top w:val="single" w:sz="6" w:space="0" w:color="BFBFBF"/>
              <w:left w:val="single" w:sz="6" w:space="0" w:color="BFBFBF"/>
              <w:bottom w:val="single" w:sz="6" w:space="0" w:color="BFBFBF"/>
              <w:right w:val="single" w:sz="6" w:space="0" w:color="BFBFBF"/>
            </w:tcBorders>
            <w:shd w:val="clear" w:color="auto" w:fill="auto"/>
            <w:hideMark/>
          </w:tcPr>
          <w:p w14:paraId="35CF2192" w14:textId="77777777" w:rsidR="009A7D1F" w:rsidRPr="009A7D1F" w:rsidRDefault="009A7D1F" w:rsidP="009A7D1F">
            <w:pPr>
              <w:pStyle w:val="NICEnormal"/>
            </w:pPr>
            <w:r w:rsidRPr="009A7D1F">
              <w:t xml:space="preserve">The CHTE 2020 Methods Review found that there was no evidence that society values treatments at the end of life over other treatments. The severity modifier is therefore a fairer and broader modifier </w:t>
            </w:r>
            <w:proofErr w:type="gramStart"/>
            <w:r w:rsidRPr="009A7D1F">
              <w:t>taking into account</w:t>
            </w:r>
            <w:proofErr w:type="gramEnd"/>
            <w:r w:rsidRPr="009A7D1F">
              <w:t xml:space="preserve"> quality of life and length of life, which better reflects societal preferences. We are actively monitoring all topics that go to committee, recording and analysing information such as the number of topics where the severity modifier was applied. </w:t>
            </w:r>
          </w:p>
        </w:tc>
      </w:tr>
      <w:tr w:rsidR="009A7D1F" w:rsidRPr="009A7D1F" w14:paraId="4B29E876" w14:textId="77777777" w:rsidTr="009A7D1F">
        <w:trPr>
          <w:trHeight w:val="300"/>
        </w:trPr>
        <w:tc>
          <w:tcPr>
            <w:tcW w:w="4320" w:type="dxa"/>
            <w:tcBorders>
              <w:top w:val="single" w:sz="6" w:space="0" w:color="BFBFBF"/>
              <w:left w:val="single" w:sz="6" w:space="0" w:color="BFBFBF"/>
              <w:bottom w:val="single" w:sz="6" w:space="0" w:color="BFBFBF"/>
              <w:right w:val="single" w:sz="6" w:space="0" w:color="BFBFBF"/>
            </w:tcBorders>
            <w:shd w:val="clear" w:color="auto" w:fill="auto"/>
            <w:hideMark/>
          </w:tcPr>
          <w:p w14:paraId="6957908C" w14:textId="77777777" w:rsidR="009A7D1F" w:rsidRPr="009A7D1F" w:rsidRDefault="009A7D1F" w:rsidP="009A7D1F">
            <w:pPr>
              <w:pStyle w:val="NICEnormal"/>
            </w:pPr>
            <w:r w:rsidRPr="009A7D1F">
              <w:t>Patients stated that although NICE regularly acknowledges the patient impact in guidance documents, the documents do not tend to explicitly link the patient input to committee decision making.  </w:t>
            </w:r>
          </w:p>
        </w:tc>
        <w:tc>
          <w:tcPr>
            <w:tcW w:w="4500" w:type="dxa"/>
            <w:tcBorders>
              <w:top w:val="single" w:sz="6" w:space="0" w:color="BFBFBF"/>
              <w:left w:val="single" w:sz="6" w:space="0" w:color="BFBFBF"/>
              <w:bottom w:val="single" w:sz="6" w:space="0" w:color="BFBFBF"/>
              <w:right w:val="single" w:sz="6" w:space="0" w:color="BFBFBF"/>
            </w:tcBorders>
            <w:shd w:val="clear" w:color="auto" w:fill="auto"/>
            <w:hideMark/>
          </w:tcPr>
          <w:p w14:paraId="5F5140A5" w14:textId="77777777" w:rsidR="009A7D1F" w:rsidRPr="009A7D1F" w:rsidRDefault="009A7D1F" w:rsidP="009A7D1F">
            <w:pPr>
              <w:pStyle w:val="NICEnormal"/>
            </w:pPr>
            <w:r w:rsidRPr="009A7D1F">
              <w:t>Committee’s final decision making is complex and based on multiple criteria, and so decisions depend on a range of factors, rather than ‘x input directly led to y decision’. However, we will reflect on whether more can be done to demonstrate patient impact. </w:t>
            </w:r>
          </w:p>
        </w:tc>
      </w:tr>
      <w:tr w:rsidR="009A7D1F" w:rsidRPr="009A7D1F" w14:paraId="0928A6BB" w14:textId="77777777" w:rsidTr="009A7D1F">
        <w:trPr>
          <w:trHeight w:val="300"/>
        </w:trPr>
        <w:tc>
          <w:tcPr>
            <w:tcW w:w="883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21C7CDA3" w14:textId="77777777" w:rsidR="009A7D1F" w:rsidRPr="009A7D1F" w:rsidRDefault="009A7D1F" w:rsidP="009A7D1F">
            <w:pPr>
              <w:pStyle w:val="NICEnormal"/>
              <w:rPr>
                <w:b/>
                <w:bCs/>
              </w:rPr>
            </w:pPr>
            <w:r w:rsidRPr="009A7D1F">
              <w:rPr>
                <w:b/>
                <w:bCs/>
              </w:rPr>
              <w:t>Industry </w:t>
            </w:r>
          </w:p>
        </w:tc>
      </w:tr>
      <w:tr w:rsidR="009A7D1F" w:rsidRPr="009A7D1F" w14:paraId="72CC0769" w14:textId="77777777" w:rsidTr="009A7D1F">
        <w:trPr>
          <w:trHeight w:val="300"/>
        </w:trPr>
        <w:tc>
          <w:tcPr>
            <w:tcW w:w="4320" w:type="dxa"/>
            <w:tcBorders>
              <w:top w:val="single" w:sz="6" w:space="0" w:color="BFBFBF"/>
              <w:left w:val="single" w:sz="6" w:space="0" w:color="BFBFBF"/>
              <w:bottom w:val="single" w:sz="6" w:space="0" w:color="BFBFBF"/>
              <w:right w:val="single" w:sz="6" w:space="0" w:color="BFBFBF"/>
            </w:tcBorders>
            <w:shd w:val="clear" w:color="auto" w:fill="auto"/>
            <w:hideMark/>
          </w:tcPr>
          <w:p w14:paraId="77911678" w14:textId="77777777" w:rsidR="009A7D1F" w:rsidRPr="009A7D1F" w:rsidRDefault="009A7D1F" w:rsidP="009A7D1F">
            <w:pPr>
              <w:pStyle w:val="NICEnormal"/>
            </w:pPr>
            <w:r w:rsidRPr="009A7D1F">
              <w:t>Industry gave reports of some delays in process steps, and variabilities in information sharing across different teams within NICE. </w:t>
            </w:r>
          </w:p>
        </w:tc>
        <w:tc>
          <w:tcPr>
            <w:tcW w:w="4500" w:type="dxa"/>
            <w:tcBorders>
              <w:top w:val="single" w:sz="6" w:space="0" w:color="BFBFBF"/>
              <w:left w:val="single" w:sz="6" w:space="0" w:color="BFBFBF"/>
              <w:bottom w:val="single" w:sz="6" w:space="0" w:color="BFBFBF"/>
              <w:right w:val="single" w:sz="6" w:space="0" w:color="BFBFBF"/>
            </w:tcBorders>
            <w:shd w:val="clear" w:color="auto" w:fill="auto"/>
            <w:hideMark/>
          </w:tcPr>
          <w:p w14:paraId="1417DED3" w14:textId="77777777" w:rsidR="009A7D1F" w:rsidRPr="009A7D1F" w:rsidRDefault="009A7D1F" w:rsidP="009A7D1F">
            <w:pPr>
              <w:pStyle w:val="NICEnormal"/>
            </w:pPr>
            <w:r w:rsidRPr="009A7D1F">
              <w:t xml:space="preserve">NICE agrees that there have been some instances of delays and inconsistencies in information </w:t>
            </w:r>
            <w:proofErr w:type="gramStart"/>
            <w:r w:rsidRPr="009A7D1F">
              <w:t>sharing, and</w:t>
            </w:r>
            <w:proofErr w:type="gramEnd"/>
            <w:r w:rsidRPr="009A7D1F">
              <w:t xml:space="preserve"> recognises that improvements need to be made. NICE considers this to be primarily related to recruitment issues, which have now been addressed. However, feedback has been passed along internally, and will be actively monitored </w:t>
            </w:r>
            <w:r w:rsidRPr="009A7D1F">
              <w:lastRenderedPageBreak/>
              <w:t>to ensure this does not continue to happen.   </w:t>
            </w:r>
          </w:p>
        </w:tc>
      </w:tr>
      <w:tr w:rsidR="009A7D1F" w:rsidRPr="009A7D1F" w14:paraId="1E0B855A" w14:textId="77777777" w:rsidTr="009A7D1F">
        <w:trPr>
          <w:trHeight w:val="300"/>
        </w:trPr>
        <w:tc>
          <w:tcPr>
            <w:tcW w:w="4320" w:type="dxa"/>
            <w:tcBorders>
              <w:top w:val="single" w:sz="6" w:space="0" w:color="BFBFBF"/>
              <w:left w:val="single" w:sz="6" w:space="0" w:color="BFBFBF"/>
              <w:bottom w:val="single" w:sz="6" w:space="0" w:color="BFBFBF"/>
              <w:right w:val="single" w:sz="6" w:space="0" w:color="BFBFBF"/>
            </w:tcBorders>
            <w:shd w:val="clear" w:color="auto" w:fill="auto"/>
            <w:hideMark/>
          </w:tcPr>
          <w:p w14:paraId="18454148" w14:textId="77777777" w:rsidR="009A7D1F" w:rsidRPr="009A7D1F" w:rsidRDefault="009A7D1F" w:rsidP="009A7D1F">
            <w:pPr>
              <w:pStyle w:val="NICEnormal"/>
            </w:pPr>
            <w:r w:rsidRPr="009A7D1F">
              <w:lastRenderedPageBreak/>
              <w:t>Industry raised concerns around the levels of transparency during committee meetings, with some pivotal discussions seeming to occur in the private rather than public sessions of the meetings.    </w:t>
            </w:r>
          </w:p>
        </w:tc>
        <w:tc>
          <w:tcPr>
            <w:tcW w:w="4500" w:type="dxa"/>
            <w:tcBorders>
              <w:top w:val="single" w:sz="6" w:space="0" w:color="BFBFBF"/>
              <w:left w:val="single" w:sz="6" w:space="0" w:color="BFBFBF"/>
              <w:bottom w:val="single" w:sz="6" w:space="0" w:color="BFBFBF"/>
              <w:right w:val="single" w:sz="6" w:space="0" w:color="BFBFBF"/>
            </w:tcBorders>
            <w:shd w:val="clear" w:color="auto" w:fill="auto"/>
            <w:hideMark/>
          </w:tcPr>
          <w:p w14:paraId="33E61DA1" w14:textId="77777777" w:rsidR="009A7D1F" w:rsidRPr="009A7D1F" w:rsidRDefault="009A7D1F" w:rsidP="009A7D1F">
            <w:pPr>
              <w:pStyle w:val="NICEnormal"/>
            </w:pPr>
            <w:r w:rsidRPr="009A7D1F">
              <w:t>NICE have been monitoring all committee meetings to observe the implementation of the new manual. As part of our reflections on these observations, we will be reminding committee that key discussions must happen in the public part of the meeting.  </w:t>
            </w:r>
          </w:p>
        </w:tc>
      </w:tr>
      <w:tr w:rsidR="009A7D1F" w:rsidRPr="009A7D1F" w14:paraId="7248E1B6" w14:textId="77777777" w:rsidTr="009A7D1F">
        <w:trPr>
          <w:trHeight w:val="300"/>
        </w:trPr>
        <w:tc>
          <w:tcPr>
            <w:tcW w:w="4320" w:type="dxa"/>
            <w:tcBorders>
              <w:top w:val="single" w:sz="6" w:space="0" w:color="BFBFBF"/>
              <w:left w:val="single" w:sz="6" w:space="0" w:color="BFBFBF"/>
              <w:bottom w:val="single" w:sz="6" w:space="0" w:color="BFBFBF"/>
              <w:right w:val="single" w:sz="6" w:space="0" w:color="BFBFBF"/>
            </w:tcBorders>
            <w:shd w:val="clear" w:color="auto" w:fill="auto"/>
            <w:hideMark/>
          </w:tcPr>
          <w:p w14:paraId="3B079BB2" w14:textId="77777777" w:rsidR="009A7D1F" w:rsidRPr="009A7D1F" w:rsidRDefault="009A7D1F" w:rsidP="009A7D1F">
            <w:pPr>
              <w:pStyle w:val="NICEnormal"/>
            </w:pPr>
            <w:r w:rsidRPr="009A7D1F">
              <w:t>Industry noted some variability in how committee meetings are run, including different styles of committee chairs, and differing levels of company participation  </w:t>
            </w:r>
          </w:p>
        </w:tc>
        <w:tc>
          <w:tcPr>
            <w:tcW w:w="4500" w:type="dxa"/>
            <w:tcBorders>
              <w:top w:val="single" w:sz="6" w:space="0" w:color="BFBFBF"/>
              <w:left w:val="single" w:sz="6" w:space="0" w:color="BFBFBF"/>
              <w:bottom w:val="single" w:sz="6" w:space="0" w:color="BFBFBF"/>
              <w:right w:val="single" w:sz="6" w:space="0" w:color="BFBFBF"/>
            </w:tcBorders>
            <w:shd w:val="clear" w:color="auto" w:fill="auto"/>
            <w:hideMark/>
          </w:tcPr>
          <w:p w14:paraId="2DECD8E0" w14:textId="77777777" w:rsidR="009A7D1F" w:rsidRPr="009A7D1F" w:rsidRDefault="009A7D1F" w:rsidP="009A7D1F">
            <w:pPr>
              <w:pStyle w:val="NICEnormal"/>
            </w:pPr>
            <w:r w:rsidRPr="009A7D1F">
              <w:t>NICE will reflect on whether more can be done to ensure external stakeholders are given the right levels of participation in committee meetings. But committee chairs have the freedom to reflect on the specific circumstances for each topic, such as the amount of time left for discussion, and whether more discussion on a particular issue is warranted.  </w:t>
            </w:r>
          </w:p>
        </w:tc>
      </w:tr>
      <w:tr w:rsidR="009A7D1F" w:rsidRPr="009A7D1F" w14:paraId="5C574865" w14:textId="77777777" w:rsidTr="009A7D1F">
        <w:trPr>
          <w:trHeight w:val="300"/>
        </w:trPr>
        <w:tc>
          <w:tcPr>
            <w:tcW w:w="883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108093C" w14:textId="77777777" w:rsidR="009A7D1F" w:rsidRPr="009A7D1F" w:rsidRDefault="009A7D1F" w:rsidP="009A7D1F">
            <w:pPr>
              <w:pStyle w:val="NICEnormal"/>
              <w:rPr>
                <w:b/>
                <w:bCs/>
              </w:rPr>
            </w:pPr>
            <w:r w:rsidRPr="009A7D1F">
              <w:rPr>
                <w:b/>
                <w:bCs/>
              </w:rPr>
              <w:t>NICE findings from observing committee </w:t>
            </w:r>
          </w:p>
        </w:tc>
      </w:tr>
      <w:tr w:rsidR="009A7D1F" w:rsidRPr="009A7D1F" w14:paraId="64F68317" w14:textId="77777777" w:rsidTr="009A7D1F">
        <w:trPr>
          <w:trHeight w:val="300"/>
        </w:trPr>
        <w:tc>
          <w:tcPr>
            <w:tcW w:w="4320" w:type="dxa"/>
            <w:tcBorders>
              <w:top w:val="single" w:sz="6" w:space="0" w:color="BFBFBF"/>
              <w:left w:val="single" w:sz="6" w:space="0" w:color="BFBFBF"/>
              <w:bottom w:val="single" w:sz="6" w:space="0" w:color="BFBFBF"/>
              <w:right w:val="single" w:sz="6" w:space="0" w:color="BFBFBF"/>
            </w:tcBorders>
            <w:shd w:val="clear" w:color="auto" w:fill="auto"/>
            <w:hideMark/>
          </w:tcPr>
          <w:p w14:paraId="1B811F70" w14:textId="77777777" w:rsidR="009A7D1F" w:rsidRPr="009A7D1F" w:rsidRDefault="009A7D1F" w:rsidP="009A7D1F">
            <w:pPr>
              <w:pStyle w:val="NICEnormal"/>
            </w:pPr>
            <w:r w:rsidRPr="009A7D1F">
              <w:t>NICE considers that in general, committees exhibit a high degree of consistency in how they make decisions.  </w:t>
            </w:r>
          </w:p>
        </w:tc>
        <w:tc>
          <w:tcPr>
            <w:tcW w:w="4500" w:type="dxa"/>
            <w:tcBorders>
              <w:top w:val="single" w:sz="6" w:space="0" w:color="BFBFBF"/>
              <w:left w:val="single" w:sz="6" w:space="0" w:color="BFBFBF"/>
              <w:bottom w:val="single" w:sz="6" w:space="0" w:color="BFBFBF"/>
              <w:right w:val="single" w:sz="6" w:space="0" w:color="BFBFBF"/>
            </w:tcBorders>
            <w:shd w:val="clear" w:color="auto" w:fill="auto"/>
            <w:hideMark/>
          </w:tcPr>
          <w:p w14:paraId="439FCFDF" w14:textId="77777777" w:rsidR="009A7D1F" w:rsidRPr="009A7D1F" w:rsidRDefault="009A7D1F" w:rsidP="009A7D1F">
            <w:pPr>
              <w:pStyle w:val="NICEnormal"/>
            </w:pPr>
            <w:r w:rsidRPr="009A7D1F">
              <w:t>NICE recognises that as the decision making happens in the closed part 2 of the meeting, committees can improve the transparency of their decision making by minimising the amount of discussion that happens in part 2 of the meeting. </w:t>
            </w:r>
          </w:p>
        </w:tc>
      </w:tr>
      <w:tr w:rsidR="009A7D1F" w:rsidRPr="009A7D1F" w14:paraId="4C04E146" w14:textId="77777777" w:rsidTr="009A7D1F">
        <w:trPr>
          <w:trHeight w:val="300"/>
        </w:trPr>
        <w:tc>
          <w:tcPr>
            <w:tcW w:w="4320" w:type="dxa"/>
            <w:tcBorders>
              <w:top w:val="single" w:sz="6" w:space="0" w:color="BFBFBF"/>
              <w:left w:val="single" w:sz="6" w:space="0" w:color="BFBFBF"/>
              <w:bottom w:val="single" w:sz="6" w:space="0" w:color="BFBFBF"/>
              <w:right w:val="single" w:sz="6" w:space="0" w:color="BFBFBF"/>
            </w:tcBorders>
            <w:shd w:val="clear" w:color="auto" w:fill="auto"/>
            <w:hideMark/>
          </w:tcPr>
          <w:p w14:paraId="600FE477" w14:textId="77777777" w:rsidR="009A7D1F" w:rsidRPr="009A7D1F" w:rsidRDefault="009A7D1F" w:rsidP="009A7D1F">
            <w:pPr>
              <w:pStyle w:val="NICEnormal"/>
            </w:pPr>
            <w:proofErr w:type="gramStart"/>
            <w:r w:rsidRPr="009A7D1F">
              <w:t>NICE noted</w:t>
            </w:r>
            <w:proofErr w:type="gramEnd"/>
            <w:r w:rsidRPr="009A7D1F">
              <w:t xml:space="preserve"> occasions where companies did not implement committee requests. For example, committee members requesting </w:t>
            </w:r>
            <w:r w:rsidRPr="009A7D1F">
              <w:lastRenderedPageBreak/>
              <w:t>analyses for the next meeting, but the company declining to explore these requests.  </w:t>
            </w:r>
          </w:p>
        </w:tc>
        <w:tc>
          <w:tcPr>
            <w:tcW w:w="4500" w:type="dxa"/>
            <w:tcBorders>
              <w:top w:val="single" w:sz="6" w:space="0" w:color="BFBFBF"/>
              <w:left w:val="single" w:sz="6" w:space="0" w:color="BFBFBF"/>
              <w:bottom w:val="single" w:sz="6" w:space="0" w:color="BFBFBF"/>
              <w:right w:val="single" w:sz="6" w:space="0" w:color="BFBFBF"/>
            </w:tcBorders>
            <w:shd w:val="clear" w:color="auto" w:fill="auto"/>
            <w:hideMark/>
          </w:tcPr>
          <w:p w14:paraId="5CBCA4A3" w14:textId="77777777" w:rsidR="009A7D1F" w:rsidRPr="009A7D1F" w:rsidRDefault="009A7D1F" w:rsidP="009A7D1F">
            <w:pPr>
              <w:pStyle w:val="NICEnormal"/>
            </w:pPr>
            <w:r w:rsidRPr="009A7D1F">
              <w:lastRenderedPageBreak/>
              <w:t xml:space="preserve">Companies should note that disagreeing with committee requests is always acceptable, but companies should still implement the requested analyses </w:t>
            </w:r>
            <w:r w:rsidRPr="009A7D1F">
              <w:lastRenderedPageBreak/>
              <w:t>alongside any points of disagreement they have. Committees identify what analyses they would like to see to aid their decision making. When such analyses are not provided by the company this can hinder decision making.   </w:t>
            </w:r>
          </w:p>
        </w:tc>
      </w:tr>
    </w:tbl>
    <w:p w14:paraId="72430F05" w14:textId="77777777" w:rsidR="009A7D1F" w:rsidRPr="009A7D1F" w:rsidRDefault="009A7D1F" w:rsidP="009A7D1F">
      <w:pPr>
        <w:pStyle w:val="NICEnormal"/>
      </w:pPr>
      <w:r w:rsidRPr="009A7D1F">
        <w:lastRenderedPageBreak/>
        <w:t> </w:t>
      </w:r>
    </w:p>
    <w:p w14:paraId="11A435CB" w14:textId="77777777" w:rsidR="009A7D1F" w:rsidRPr="009A7D1F" w:rsidRDefault="009A7D1F" w:rsidP="00801AC9">
      <w:pPr>
        <w:pStyle w:val="Heading2boardreport"/>
      </w:pPr>
      <w:r w:rsidRPr="009A7D1F">
        <w:t xml:space="preserve">Actions taken in response to </w:t>
      </w:r>
      <w:proofErr w:type="gramStart"/>
      <w:r w:rsidRPr="009A7D1F">
        <w:t>feedback</w:t>
      </w:r>
      <w:proofErr w:type="gramEnd"/>
      <w:r w:rsidRPr="009A7D1F">
        <w:t>  </w:t>
      </w:r>
    </w:p>
    <w:p w14:paraId="63B073B4" w14:textId="77777777" w:rsidR="009A7D1F" w:rsidRPr="009A7D1F" w:rsidRDefault="009A7D1F" w:rsidP="00FD028C">
      <w:pPr>
        <w:pStyle w:val="NICEnormal"/>
        <w:numPr>
          <w:ilvl w:val="0"/>
          <w:numId w:val="39"/>
        </w:numPr>
      </w:pPr>
      <w:r w:rsidRPr="009A7D1F">
        <w:t>We have taken the following actions in response to feedback on the implementation of the manual:  </w:t>
      </w:r>
    </w:p>
    <w:p w14:paraId="03539AC2" w14:textId="77777777" w:rsidR="009A7D1F" w:rsidRPr="007E7E07" w:rsidRDefault="009A7D1F" w:rsidP="00C3420F">
      <w:pPr>
        <w:pStyle w:val="Bulletindent1"/>
        <w:numPr>
          <w:ilvl w:val="1"/>
          <w:numId w:val="17"/>
        </w:numPr>
      </w:pPr>
      <w:r w:rsidRPr="007E7E07">
        <w:t xml:space="preserve">Created and implemented a structured decision support guide, to ensure continued consistency in committee decision </w:t>
      </w:r>
      <w:proofErr w:type="gramStart"/>
      <w:r w:rsidRPr="007E7E07">
        <w:t>making</w:t>
      </w:r>
      <w:proofErr w:type="gramEnd"/>
      <w:r w:rsidRPr="007E7E07">
        <w:t>  </w:t>
      </w:r>
    </w:p>
    <w:p w14:paraId="3964BA33" w14:textId="77777777" w:rsidR="009A7D1F" w:rsidRPr="007E7E07" w:rsidRDefault="009A7D1F" w:rsidP="00C3420F">
      <w:pPr>
        <w:pStyle w:val="Bulletindent1"/>
        <w:numPr>
          <w:ilvl w:val="1"/>
          <w:numId w:val="17"/>
        </w:numPr>
      </w:pPr>
      <w:r w:rsidRPr="007E7E07">
        <w:t xml:space="preserve">Conducted a webinar for patients, to outline the methodology for calculating and applying the severity weight and explain how best patients can add value to committee severity </w:t>
      </w:r>
      <w:proofErr w:type="gramStart"/>
      <w:r w:rsidRPr="007E7E07">
        <w:t>discussions</w:t>
      </w:r>
      <w:proofErr w:type="gramEnd"/>
      <w:r w:rsidRPr="007E7E07">
        <w:t>   </w:t>
      </w:r>
    </w:p>
    <w:p w14:paraId="6848196F" w14:textId="77777777" w:rsidR="009A7D1F" w:rsidRPr="007E7E07" w:rsidRDefault="009A7D1F" w:rsidP="00C3420F">
      <w:pPr>
        <w:pStyle w:val="Bulletindent1"/>
        <w:numPr>
          <w:ilvl w:val="1"/>
          <w:numId w:val="17"/>
        </w:numPr>
      </w:pPr>
      <w:r w:rsidRPr="007E7E07">
        <w:t xml:space="preserve">Outlined additional guidance on how severity should be implemented when carer quality of life is included in the </w:t>
      </w:r>
      <w:proofErr w:type="gramStart"/>
      <w:r w:rsidRPr="007E7E07">
        <w:t>model</w:t>
      </w:r>
      <w:proofErr w:type="gramEnd"/>
      <w:r w:rsidRPr="007E7E07">
        <w:t>  </w:t>
      </w:r>
    </w:p>
    <w:p w14:paraId="31049F2D" w14:textId="77777777" w:rsidR="009A7D1F" w:rsidRPr="007E7E07" w:rsidRDefault="009A7D1F" w:rsidP="00C3420F">
      <w:pPr>
        <w:pStyle w:val="Bulletindent1"/>
        <w:numPr>
          <w:ilvl w:val="1"/>
          <w:numId w:val="17"/>
        </w:numPr>
      </w:pPr>
      <w:r w:rsidRPr="007E7E07">
        <w:t xml:space="preserve">Regularly observed committees to ensure the new manual is being implemented fairly and </w:t>
      </w:r>
      <w:proofErr w:type="gramStart"/>
      <w:r w:rsidRPr="007E7E07">
        <w:t>consistently</w:t>
      </w:r>
      <w:proofErr w:type="gramEnd"/>
      <w:r w:rsidRPr="007E7E07">
        <w:t> </w:t>
      </w:r>
    </w:p>
    <w:p w14:paraId="195B51C0" w14:textId="77777777" w:rsidR="009A7D1F" w:rsidRPr="00FD1396" w:rsidRDefault="009A7D1F" w:rsidP="00FD1396">
      <w:pPr>
        <w:pStyle w:val="Bulletindent1"/>
        <w:numPr>
          <w:ilvl w:val="1"/>
          <w:numId w:val="17"/>
        </w:numPr>
      </w:pPr>
      <w:r w:rsidRPr="00FD1396">
        <w:t>Set up working groups to assist with the operationalisation of the manual. </w:t>
      </w:r>
    </w:p>
    <w:p w14:paraId="7FE85C40" w14:textId="77777777" w:rsidR="005801A0" w:rsidRDefault="005801A0">
      <w:pPr>
        <w:rPr>
          <w:rFonts w:ascii="Arial" w:hAnsi="Arial" w:cs="Arial"/>
          <w:b/>
          <w:bCs/>
          <w:sz w:val="28"/>
          <w:szCs w:val="28"/>
        </w:rPr>
      </w:pPr>
      <w:r>
        <w:br w:type="page"/>
      </w:r>
    </w:p>
    <w:p w14:paraId="6650E837" w14:textId="48E12229" w:rsidR="00B9699B" w:rsidRPr="0034642F" w:rsidRDefault="0034642F" w:rsidP="0034642F">
      <w:pPr>
        <w:pStyle w:val="Heading2boardreport"/>
      </w:pPr>
      <w:r w:rsidRPr="0034642F">
        <w:lastRenderedPageBreak/>
        <w:t xml:space="preserve">Appendix </w:t>
      </w:r>
      <w:r w:rsidR="00B9699B" w:rsidRPr="0034642F">
        <w:t>B: Modular Updates</w:t>
      </w:r>
    </w:p>
    <w:p w14:paraId="0770A1C5" w14:textId="77777777" w:rsidR="009A7D1F" w:rsidRPr="009A7D1F" w:rsidRDefault="009A7D1F" w:rsidP="00801AC9">
      <w:pPr>
        <w:pStyle w:val="Heading2boardreport"/>
      </w:pPr>
      <w:r w:rsidRPr="009A7D1F">
        <w:t>What is a modular update?  </w:t>
      </w:r>
    </w:p>
    <w:p w14:paraId="06FAC149" w14:textId="77777777" w:rsidR="009A7D1F" w:rsidRPr="009A7D1F" w:rsidRDefault="009A7D1F" w:rsidP="00FD028C">
      <w:pPr>
        <w:pStyle w:val="NICEnormal"/>
        <w:numPr>
          <w:ilvl w:val="0"/>
          <w:numId w:val="40"/>
        </w:numPr>
      </w:pPr>
      <w:r w:rsidRPr="009A7D1F">
        <w:t>A modular update is a review of the processes and/or methods informing NICE’s guidance, limited to specific subject areas (</w:t>
      </w:r>
      <w:proofErr w:type="gramStart"/>
      <w:r w:rsidRPr="009A7D1F">
        <w:t>e.g.</w:t>
      </w:r>
      <w:proofErr w:type="gramEnd"/>
      <w:r w:rsidRPr="009A7D1F">
        <w:t xml:space="preserve"> children’s quality of life). These specific areas can be reviewed and updated as required, without needing full reviews of entire manuals.  </w:t>
      </w:r>
    </w:p>
    <w:p w14:paraId="5CD5CDC5" w14:textId="77777777" w:rsidR="009A7D1F" w:rsidRPr="009A7D1F" w:rsidRDefault="009A7D1F" w:rsidP="00801AC9">
      <w:pPr>
        <w:pStyle w:val="Heading2boardreport"/>
      </w:pPr>
      <w:r w:rsidRPr="009A7D1F">
        <w:t>What progress has been made on modular updates so far?  </w:t>
      </w:r>
    </w:p>
    <w:p w14:paraId="1143E243" w14:textId="3D94612F" w:rsidR="009A7D1F" w:rsidRPr="009A7D1F" w:rsidRDefault="009A7D1F" w:rsidP="00FD028C">
      <w:pPr>
        <w:pStyle w:val="NICEnormal"/>
        <w:numPr>
          <w:ilvl w:val="0"/>
          <w:numId w:val="41"/>
        </w:numPr>
      </w:pPr>
      <w:r w:rsidRPr="009A7D1F">
        <w:t xml:space="preserve">A draft framework for modular updates was outlined at the March Board meeting in </w:t>
      </w:r>
      <w:hyperlink r:id="rId8" w:tgtFrame="_blank" w:history="1">
        <w:r w:rsidRPr="009A7D1F">
          <w:rPr>
            <w:rStyle w:val="Hyperlink"/>
          </w:rPr>
          <w:t>this paper</w:t>
        </w:r>
      </w:hyperlink>
      <w:r w:rsidRPr="009A7D1F">
        <w:t>. Since then</w:t>
      </w:r>
      <w:r w:rsidR="008730BF">
        <w:t>,</w:t>
      </w:r>
      <w:r w:rsidRPr="009A7D1F">
        <w:t xml:space="preserve"> NICE has: </w:t>
      </w:r>
    </w:p>
    <w:p w14:paraId="744BDE7B" w14:textId="77777777" w:rsidR="009A7D1F" w:rsidRPr="007E7E07" w:rsidRDefault="009A7D1F" w:rsidP="00C3420F">
      <w:pPr>
        <w:pStyle w:val="Bulletindent1"/>
        <w:numPr>
          <w:ilvl w:val="1"/>
          <w:numId w:val="17"/>
        </w:numPr>
      </w:pPr>
      <w:r w:rsidRPr="007E7E07">
        <w:t>Agreed that modular updates will cover both technology evaluations and guideline development. This is to build on and further support ongoing alignment work between the Centre for Health Technology Evaluation (CHTE) and the Centre for Guidelines (CfG).  </w:t>
      </w:r>
    </w:p>
    <w:p w14:paraId="1DA31317" w14:textId="05992D95" w:rsidR="009A7D1F" w:rsidRPr="007E7E07" w:rsidRDefault="009A7D1F" w:rsidP="00C3420F">
      <w:pPr>
        <w:pStyle w:val="Bulletindent1"/>
        <w:numPr>
          <w:ilvl w:val="1"/>
          <w:numId w:val="17"/>
        </w:numPr>
      </w:pPr>
      <w:r w:rsidRPr="007E7E07">
        <w:t xml:space="preserve">Incorporated the first round of the PATT (proportionate approach to technology appraisals) updates into the CHTE manual as the first modular update. This update was published following a </w:t>
      </w:r>
      <w:r w:rsidR="008730BF" w:rsidRPr="007E7E07">
        <w:t>4-week</w:t>
      </w:r>
      <w:r w:rsidRPr="007E7E07">
        <w:t xml:space="preserve"> public consultation and included changes to the handling of confidential information, the cost comparison process, and streamlined decision making. A report was published summarising the consultation comments received and the NICE responses.  </w:t>
      </w:r>
    </w:p>
    <w:p w14:paraId="14201D52" w14:textId="006114A8" w:rsidR="009A7D1F" w:rsidRPr="007E7E07" w:rsidRDefault="009A7D1F" w:rsidP="00C3420F">
      <w:pPr>
        <w:pStyle w:val="Bulletindent1"/>
        <w:numPr>
          <w:ilvl w:val="1"/>
          <w:numId w:val="17"/>
        </w:numPr>
      </w:pPr>
      <w:r w:rsidRPr="007E7E07">
        <w:t xml:space="preserve">Set up a cross-NICE working group to update and operationalise the modular updates framework. </w:t>
      </w:r>
    </w:p>
    <w:p w14:paraId="29F7D05F" w14:textId="77777777" w:rsidR="009A7D1F" w:rsidRPr="00C3420F" w:rsidRDefault="009A7D1F" w:rsidP="005D4733">
      <w:pPr>
        <w:pStyle w:val="Bulletindent1"/>
        <w:numPr>
          <w:ilvl w:val="1"/>
          <w:numId w:val="17"/>
        </w:numPr>
        <w:spacing w:after="240"/>
        <w:ind w:left="924" w:hanging="357"/>
      </w:pPr>
      <w:r w:rsidRPr="00C3420F">
        <w:t>Considered the important balance between ensuring our processes and methods remain agile and responsive to the needs of the health and care system, while providing stability and reliability for our stakeholders. The frequency and timing of engagement and consultation activities will be coordinated to reflect this need for balance.  </w:t>
      </w:r>
    </w:p>
    <w:p w14:paraId="0E1BC19E" w14:textId="77777777" w:rsidR="009A7D1F" w:rsidRPr="009A7D1F" w:rsidRDefault="009A7D1F" w:rsidP="005D4733">
      <w:pPr>
        <w:pStyle w:val="NICEnormal"/>
        <w:numPr>
          <w:ilvl w:val="0"/>
          <w:numId w:val="42"/>
        </w:numPr>
        <w:spacing w:before="120"/>
        <w:ind w:left="714" w:hanging="357"/>
      </w:pPr>
      <w:r w:rsidRPr="009A7D1F">
        <w:t>NICE aims to have the framework up and running by spring 2024.  </w:t>
      </w:r>
    </w:p>
    <w:p w14:paraId="5787DD2C" w14:textId="3454B307" w:rsidR="009A7D1F" w:rsidRPr="009A7D1F" w:rsidRDefault="009A7D1F" w:rsidP="009A7D1F">
      <w:pPr>
        <w:pStyle w:val="NICEnormal"/>
      </w:pPr>
      <w:r w:rsidRPr="009A7D1F">
        <w:t> </w:t>
      </w:r>
    </w:p>
    <w:p w14:paraId="2983D937" w14:textId="6427DF84" w:rsidR="00BE079E" w:rsidRPr="0054732C" w:rsidRDefault="0054732C" w:rsidP="0054732C">
      <w:pPr>
        <w:pStyle w:val="Heading2boardreport"/>
      </w:pPr>
      <w:r w:rsidRPr="0054732C">
        <w:lastRenderedPageBreak/>
        <w:t xml:space="preserve">Appendix </w:t>
      </w:r>
      <w:r w:rsidR="00801AC9" w:rsidRPr="0054732C">
        <w:t>C</w:t>
      </w:r>
      <w:r w:rsidR="00B9699B" w:rsidRPr="0054732C">
        <w:t>:</w:t>
      </w:r>
      <w:r w:rsidR="00D61DBD" w:rsidRPr="0054732C">
        <w:t xml:space="preserve"> </w:t>
      </w:r>
      <w:r w:rsidR="00BE079E" w:rsidRPr="0054732C">
        <w:t xml:space="preserve">Incorporating and integrating technology appraisals in guideline topic areas: Interim methods and </w:t>
      </w:r>
      <w:proofErr w:type="gramStart"/>
      <w:r w:rsidR="00BE079E" w:rsidRPr="0054732C">
        <w:t>processes</w:t>
      </w:r>
      <w:proofErr w:type="gramEnd"/>
      <w:r w:rsidR="00BE079E" w:rsidRPr="0054732C">
        <w:t>  </w:t>
      </w:r>
    </w:p>
    <w:p w14:paraId="4230D957" w14:textId="78CBC6CE" w:rsidR="00BE079E" w:rsidRPr="00BE079E" w:rsidRDefault="00BE079E" w:rsidP="00BE079E">
      <w:pPr>
        <w:pStyle w:val="Heading2boardreport"/>
      </w:pPr>
      <w:r w:rsidRPr="00BE079E">
        <w:t>Aim  </w:t>
      </w:r>
    </w:p>
    <w:p w14:paraId="670EA795" w14:textId="3172CF4A" w:rsidR="00BE079E" w:rsidRPr="00BE079E" w:rsidRDefault="00BE079E" w:rsidP="004E3EAE">
      <w:pPr>
        <w:pStyle w:val="Heading1boardreport"/>
        <w:numPr>
          <w:ilvl w:val="0"/>
          <w:numId w:val="27"/>
        </w:numPr>
        <w:rPr>
          <w:b w:val="0"/>
          <w:bCs w:val="0"/>
          <w:sz w:val="24"/>
          <w:szCs w:val="24"/>
        </w:rPr>
      </w:pPr>
      <w:r w:rsidRPr="00BE079E">
        <w:rPr>
          <w:b w:val="0"/>
          <w:bCs w:val="0"/>
          <w:sz w:val="24"/>
          <w:szCs w:val="24"/>
        </w:rPr>
        <w:t>To outline the interim methods and processes for incorporating and integrating NICE technology appraisals into guideline topic areas; enabling NICE to meet its objective of delivering useful and useable advice. </w:t>
      </w:r>
    </w:p>
    <w:p w14:paraId="383FFC2F" w14:textId="77777777" w:rsidR="00BE079E" w:rsidRPr="00BE079E" w:rsidRDefault="00BE079E" w:rsidP="00BE079E">
      <w:pPr>
        <w:pStyle w:val="Heading2boardreport"/>
      </w:pPr>
      <w:r w:rsidRPr="00BE079E">
        <w:t xml:space="preserve">Why we are incorporating and integrating technology appraisals into guideline topic </w:t>
      </w:r>
      <w:proofErr w:type="gramStart"/>
      <w:r w:rsidRPr="00BE079E">
        <w:t>areas</w:t>
      </w:r>
      <w:proofErr w:type="gramEnd"/>
      <w:r w:rsidRPr="00BE079E">
        <w:t>  </w:t>
      </w:r>
    </w:p>
    <w:p w14:paraId="51736834" w14:textId="19141E4E" w:rsidR="00BE079E" w:rsidRPr="00BE079E" w:rsidRDefault="00BE079E" w:rsidP="004E3EAE">
      <w:pPr>
        <w:pStyle w:val="Heading1boardreport"/>
        <w:numPr>
          <w:ilvl w:val="0"/>
          <w:numId w:val="27"/>
        </w:numPr>
        <w:rPr>
          <w:b w:val="0"/>
          <w:bCs w:val="0"/>
          <w:sz w:val="24"/>
          <w:szCs w:val="24"/>
        </w:rPr>
      </w:pPr>
      <w:r w:rsidRPr="00BE079E">
        <w:rPr>
          <w:b w:val="0"/>
          <w:bCs w:val="0"/>
          <w:sz w:val="24"/>
          <w:szCs w:val="24"/>
        </w:rPr>
        <w:t>Currently, NICE’s guidance is published according to the programme that developed the guidance; this means that our users must search in multiple places to find all our guidance about a given condition. </w:t>
      </w:r>
    </w:p>
    <w:p w14:paraId="12B3EEC4" w14:textId="77777777" w:rsidR="004D0214" w:rsidRDefault="00BE079E" w:rsidP="004E3EAE">
      <w:pPr>
        <w:pStyle w:val="NICEnormalnumbered"/>
        <w:numPr>
          <w:ilvl w:val="0"/>
          <w:numId w:val="27"/>
        </w:numPr>
      </w:pPr>
      <w:r w:rsidRPr="004D0214">
        <w:t>To provide a better experience for our end users, help to increase the adoption of NICE guidance, and provide better outcomes for patients and better use of NHS resources, we have developed two approaches that will facilitate bringing together NICE guidance on a topic, including newly recommended technologies.  </w:t>
      </w:r>
    </w:p>
    <w:p w14:paraId="430BA098" w14:textId="7D1466AD" w:rsidR="00BE079E" w:rsidRPr="004D0214" w:rsidRDefault="00BE079E" w:rsidP="004D0214">
      <w:pPr>
        <w:pStyle w:val="Heading2boardreport"/>
        <w:rPr>
          <w:rFonts w:cs="Times New Roman"/>
        </w:rPr>
      </w:pPr>
      <w:r w:rsidRPr="004D0214">
        <w:t>What is being proposed? </w:t>
      </w:r>
    </w:p>
    <w:p w14:paraId="301CC8A0" w14:textId="77777777" w:rsidR="00BE079E" w:rsidRPr="00BE079E" w:rsidRDefault="00BE079E" w:rsidP="004E3EAE">
      <w:pPr>
        <w:pStyle w:val="Heading1boardreport"/>
        <w:numPr>
          <w:ilvl w:val="0"/>
          <w:numId w:val="27"/>
        </w:numPr>
        <w:rPr>
          <w:b w:val="0"/>
          <w:bCs w:val="0"/>
          <w:sz w:val="24"/>
          <w:szCs w:val="24"/>
        </w:rPr>
      </w:pPr>
      <w:r w:rsidRPr="00BE079E">
        <w:rPr>
          <w:b w:val="0"/>
          <w:bCs w:val="0"/>
          <w:sz w:val="24"/>
          <w:szCs w:val="24"/>
        </w:rPr>
        <w:t>We have proposed initial aligned methods and processes across CHTE and CfG that will support the incorporation and integration of technology appraisals. </w:t>
      </w:r>
    </w:p>
    <w:p w14:paraId="5B49810F" w14:textId="77777777" w:rsidR="00BE079E" w:rsidRPr="00BE079E" w:rsidRDefault="00BE079E" w:rsidP="004D0214">
      <w:pPr>
        <w:pStyle w:val="Heading2boardreport"/>
      </w:pPr>
      <w:r w:rsidRPr="00BE079E">
        <w:t>Incorporation of technology appraisals </w:t>
      </w:r>
    </w:p>
    <w:p w14:paraId="2DE8FB9C" w14:textId="77777777" w:rsidR="00BE079E" w:rsidRPr="00BE079E" w:rsidRDefault="00BE079E" w:rsidP="004E3EAE">
      <w:pPr>
        <w:pStyle w:val="Heading1boardreport"/>
        <w:numPr>
          <w:ilvl w:val="0"/>
          <w:numId w:val="27"/>
        </w:numPr>
        <w:rPr>
          <w:b w:val="0"/>
          <w:bCs w:val="0"/>
          <w:sz w:val="24"/>
          <w:szCs w:val="24"/>
        </w:rPr>
      </w:pPr>
      <w:r w:rsidRPr="00BE079E">
        <w:rPr>
          <w:b w:val="0"/>
          <w:bCs w:val="0"/>
          <w:sz w:val="24"/>
          <w:szCs w:val="24"/>
        </w:rPr>
        <w:t xml:space="preserve">Where there is newly published technology appraisal guidance within the scope of a NICE guideline topic area, the technology appraisal recommendation will be incorporated into the guideline topic area with no change to the meaning, </w:t>
      </w:r>
      <w:proofErr w:type="gramStart"/>
      <w:r w:rsidRPr="00BE079E">
        <w:rPr>
          <w:b w:val="0"/>
          <w:bCs w:val="0"/>
          <w:sz w:val="24"/>
          <w:szCs w:val="24"/>
        </w:rPr>
        <w:t>intent</w:t>
      </w:r>
      <w:proofErr w:type="gramEnd"/>
      <w:r w:rsidRPr="00BE079E">
        <w:rPr>
          <w:b w:val="0"/>
          <w:bCs w:val="0"/>
          <w:sz w:val="24"/>
          <w:szCs w:val="24"/>
        </w:rPr>
        <w:t xml:space="preserve"> or funding requirement. Where there are </w:t>
      </w:r>
      <w:r w:rsidRPr="00BE079E">
        <w:rPr>
          <w:b w:val="0"/>
          <w:bCs w:val="0"/>
          <w:sz w:val="24"/>
          <w:szCs w:val="24"/>
        </w:rPr>
        <w:lastRenderedPageBreak/>
        <w:t>existing technology appraisal recommendations in a guideline topic area that is being updated, these will also be incorporated. </w:t>
      </w:r>
    </w:p>
    <w:p w14:paraId="5E095D5F" w14:textId="77777777" w:rsidR="00BE079E" w:rsidRPr="00BE079E" w:rsidRDefault="00BE079E" w:rsidP="004D0214">
      <w:pPr>
        <w:pStyle w:val="Heading2boardreport"/>
      </w:pPr>
      <w:r w:rsidRPr="00BE079E">
        <w:t>Integration of technology appraisals </w:t>
      </w:r>
    </w:p>
    <w:p w14:paraId="1D4C1972" w14:textId="496149C3" w:rsidR="00BE079E" w:rsidRPr="004D0214" w:rsidRDefault="00BE079E" w:rsidP="004E3EAE">
      <w:pPr>
        <w:pStyle w:val="Heading1boardreport"/>
        <w:numPr>
          <w:ilvl w:val="0"/>
          <w:numId w:val="27"/>
        </w:numPr>
        <w:rPr>
          <w:b w:val="0"/>
          <w:bCs w:val="0"/>
          <w:sz w:val="24"/>
          <w:szCs w:val="24"/>
        </w:rPr>
      </w:pPr>
      <w:r w:rsidRPr="00BE079E">
        <w:rPr>
          <w:b w:val="0"/>
          <w:bCs w:val="0"/>
          <w:sz w:val="24"/>
          <w:szCs w:val="24"/>
        </w:rPr>
        <w:t>Technology appraisals will be integrated by undertaking comparative analysis of all appropriate treatment options in that decision space. Integration will only be used in selected decision spaces and if the criteria set out in paragraph 10 of Appendix D are met. </w:t>
      </w:r>
    </w:p>
    <w:p w14:paraId="0B78E250" w14:textId="77777777" w:rsidR="00BE079E" w:rsidRPr="00BE079E" w:rsidRDefault="00BE079E" w:rsidP="004D0214">
      <w:pPr>
        <w:pStyle w:val="Heading2boardreport"/>
      </w:pPr>
      <w:r w:rsidRPr="00BE079E">
        <w:t xml:space="preserve">Key differences in methods and processes and how they have been </w:t>
      </w:r>
      <w:proofErr w:type="gramStart"/>
      <w:r w:rsidRPr="00BE079E">
        <w:t>aligned</w:t>
      </w:r>
      <w:proofErr w:type="gramEnd"/>
      <w:r w:rsidRPr="00BE079E">
        <w:t> </w:t>
      </w:r>
    </w:p>
    <w:p w14:paraId="7EE2806F" w14:textId="080314E6" w:rsidR="00BE079E" w:rsidRPr="004D0214" w:rsidRDefault="00BE079E" w:rsidP="004E3EAE">
      <w:pPr>
        <w:pStyle w:val="Heading1boardreport"/>
        <w:numPr>
          <w:ilvl w:val="0"/>
          <w:numId w:val="27"/>
        </w:numPr>
        <w:rPr>
          <w:b w:val="0"/>
          <w:bCs w:val="0"/>
          <w:sz w:val="24"/>
          <w:szCs w:val="24"/>
        </w:rPr>
      </w:pPr>
      <w:r w:rsidRPr="00BE079E">
        <w:rPr>
          <w:b w:val="0"/>
          <w:bCs w:val="0"/>
          <w:sz w:val="24"/>
          <w:szCs w:val="24"/>
        </w:rPr>
        <w:t>Technology appraisals and guidelines programmes have different remits and underpinning legislation, and as such their methods and processes have evolved to reflect this.  </w:t>
      </w:r>
    </w:p>
    <w:p w14:paraId="34D9D4AF" w14:textId="4BDD7D09" w:rsidR="00BE079E" w:rsidRPr="004D0214" w:rsidRDefault="00BE079E" w:rsidP="004E3EAE">
      <w:pPr>
        <w:pStyle w:val="Heading1boardreport"/>
        <w:numPr>
          <w:ilvl w:val="0"/>
          <w:numId w:val="27"/>
        </w:numPr>
        <w:rPr>
          <w:b w:val="0"/>
          <w:bCs w:val="0"/>
          <w:sz w:val="24"/>
          <w:szCs w:val="24"/>
        </w:rPr>
      </w:pPr>
      <w:r w:rsidRPr="00BE079E">
        <w:rPr>
          <w:b w:val="0"/>
          <w:bCs w:val="0"/>
          <w:sz w:val="24"/>
          <w:szCs w:val="24"/>
        </w:rPr>
        <w:t xml:space="preserve">To facilitate incorporation and integration of technology appraisals into guideline topic areas, we have sought to align differences in methods and processes where appropriate, </w:t>
      </w:r>
      <w:proofErr w:type="gramStart"/>
      <w:r w:rsidRPr="00BE079E">
        <w:rPr>
          <w:b w:val="0"/>
          <w:bCs w:val="0"/>
          <w:sz w:val="24"/>
          <w:szCs w:val="24"/>
        </w:rPr>
        <w:t>taking into account</w:t>
      </w:r>
      <w:proofErr w:type="gramEnd"/>
      <w:r w:rsidRPr="00BE079E">
        <w:rPr>
          <w:b w:val="0"/>
          <w:bCs w:val="0"/>
          <w:sz w:val="24"/>
          <w:szCs w:val="24"/>
        </w:rPr>
        <w:t xml:space="preserve"> the principles set out in paragraph 7 of Appendix D </w:t>
      </w:r>
    </w:p>
    <w:p w14:paraId="23C11C6F" w14:textId="77777777" w:rsidR="00BE079E" w:rsidRPr="00BE079E" w:rsidRDefault="00BE079E" w:rsidP="004E3EAE">
      <w:pPr>
        <w:pStyle w:val="Heading1boardreport"/>
        <w:numPr>
          <w:ilvl w:val="0"/>
          <w:numId w:val="27"/>
        </w:numPr>
        <w:rPr>
          <w:b w:val="0"/>
          <w:bCs w:val="0"/>
          <w:sz w:val="24"/>
          <w:szCs w:val="24"/>
        </w:rPr>
      </w:pPr>
      <w:r w:rsidRPr="00BE079E">
        <w:rPr>
          <w:b w:val="0"/>
          <w:bCs w:val="0"/>
          <w:sz w:val="24"/>
          <w:szCs w:val="24"/>
        </w:rPr>
        <w:t>The proposed changes to the methods set out in the guidelines manual to allow technology appraisal integration are outlined in paragraphs 17 to 36 of Appendix D, and include methods for assessing VAT, quantitative decision modifiers, cost-effectiveness, appeals and others. </w:t>
      </w:r>
    </w:p>
    <w:p w14:paraId="426CA684" w14:textId="77777777" w:rsidR="00BE079E" w:rsidRPr="00BE079E" w:rsidRDefault="00BE079E" w:rsidP="004D0214">
      <w:pPr>
        <w:pStyle w:val="Heading2boardreport"/>
      </w:pPr>
      <w:r w:rsidRPr="00BE079E">
        <w:t>What are the risks and benefits of these changes? </w:t>
      </w:r>
    </w:p>
    <w:p w14:paraId="5D3CE7C6" w14:textId="779420B2" w:rsidR="00BE079E" w:rsidRPr="00BE079E" w:rsidRDefault="00BE079E" w:rsidP="004E3EAE">
      <w:pPr>
        <w:pStyle w:val="Heading1boardreport"/>
        <w:numPr>
          <w:ilvl w:val="0"/>
          <w:numId w:val="27"/>
        </w:numPr>
        <w:rPr>
          <w:b w:val="0"/>
          <w:bCs w:val="0"/>
          <w:sz w:val="24"/>
          <w:szCs w:val="24"/>
        </w:rPr>
      </w:pPr>
      <w:r w:rsidRPr="00BE079E">
        <w:rPr>
          <w:b w:val="0"/>
          <w:bCs w:val="0"/>
          <w:sz w:val="24"/>
          <w:szCs w:val="24"/>
        </w:rPr>
        <w:t xml:space="preserve">The benefits </w:t>
      </w:r>
      <w:r w:rsidR="00AA1574">
        <w:rPr>
          <w:b w:val="0"/>
          <w:bCs w:val="0"/>
          <w:sz w:val="24"/>
          <w:szCs w:val="24"/>
        </w:rPr>
        <w:t xml:space="preserve">and risks </w:t>
      </w:r>
      <w:r w:rsidRPr="00BE079E">
        <w:rPr>
          <w:b w:val="0"/>
          <w:bCs w:val="0"/>
          <w:sz w:val="24"/>
          <w:szCs w:val="24"/>
        </w:rPr>
        <w:t xml:space="preserve">of these changes </w:t>
      </w:r>
      <w:r w:rsidR="00AA1574">
        <w:rPr>
          <w:b w:val="0"/>
          <w:bCs w:val="0"/>
          <w:sz w:val="24"/>
          <w:szCs w:val="24"/>
        </w:rPr>
        <w:t>include</w:t>
      </w:r>
      <w:r w:rsidRPr="00BE079E">
        <w:rPr>
          <w:b w:val="0"/>
          <w:bCs w:val="0"/>
          <w:sz w:val="24"/>
          <w:szCs w:val="24"/>
        </w:rPr>
        <w:t>: </w:t>
      </w:r>
    </w:p>
    <w:p w14:paraId="01470DA9" w14:textId="784B5946" w:rsidR="004D0214" w:rsidRPr="000B45F0" w:rsidRDefault="0089455B" w:rsidP="00EF4105">
      <w:pPr>
        <w:pStyle w:val="Bulletindent1"/>
        <w:numPr>
          <w:ilvl w:val="1"/>
          <w:numId w:val="17"/>
        </w:numPr>
      </w:pPr>
      <w:r>
        <w:t>P</w:t>
      </w:r>
      <w:r w:rsidR="00BE079E" w:rsidRPr="000B45F0">
        <w:t>resent all NICE guidance in one clear, cohesive care pathway, reflecting evidence of effectiveness and cost-effectiveness.  </w:t>
      </w:r>
    </w:p>
    <w:p w14:paraId="1951118A" w14:textId="77777777" w:rsidR="004D0214" w:rsidRPr="000B45F0" w:rsidRDefault="00BE079E" w:rsidP="00EF4105">
      <w:pPr>
        <w:pStyle w:val="Bulletindent1"/>
        <w:numPr>
          <w:ilvl w:val="1"/>
          <w:numId w:val="17"/>
        </w:numPr>
      </w:pPr>
      <w:r w:rsidRPr="000B45F0">
        <w:t>More effective presentation of guidance to enable better implementation, improved uptake of guidance and better outcomes for people using health and care services. </w:t>
      </w:r>
    </w:p>
    <w:p w14:paraId="6534BBF2" w14:textId="57B36C5D" w:rsidR="00BE079E" w:rsidRDefault="00BE079E" w:rsidP="00FD1396">
      <w:pPr>
        <w:pStyle w:val="Bulletindent1"/>
        <w:numPr>
          <w:ilvl w:val="1"/>
          <w:numId w:val="17"/>
        </w:numPr>
      </w:pPr>
      <w:r w:rsidRPr="000B45F0">
        <w:lastRenderedPageBreak/>
        <w:t>Aligning and innovating methods and processes across centres, where appropriate. </w:t>
      </w:r>
    </w:p>
    <w:p w14:paraId="7BBC0A6E" w14:textId="12558F4C" w:rsidR="00AA1574" w:rsidRPr="000B45F0" w:rsidRDefault="00AA1574" w:rsidP="00FD1396">
      <w:pPr>
        <w:pStyle w:val="Bulletindent1"/>
        <w:numPr>
          <w:ilvl w:val="1"/>
          <w:numId w:val="17"/>
        </w:numPr>
      </w:pPr>
      <w:r>
        <w:t xml:space="preserve">Potential risk of legal challenge on the proposed approach to integration. </w:t>
      </w:r>
    </w:p>
    <w:p w14:paraId="3F6FCEBA" w14:textId="77777777" w:rsidR="00BE079E" w:rsidRPr="004D0214" w:rsidRDefault="00BE079E" w:rsidP="004D0214">
      <w:pPr>
        <w:pStyle w:val="Heading1boardreport"/>
      </w:pPr>
      <w:r w:rsidRPr="004D0214">
        <w:t>Next steps </w:t>
      </w:r>
    </w:p>
    <w:p w14:paraId="3F5A7BEE" w14:textId="77777777" w:rsidR="00BE079E" w:rsidRPr="00BE079E" w:rsidRDefault="00BE079E" w:rsidP="004D0214">
      <w:pPr>
        <w:pStyle w:val="Heading2boardreport"/>
      </w:pPr>
      <w:r w:rsidRPr="00BE079E">
        <w:t>Consultation and publication of the interim statement </w:t>
      </w:r>
    </w:p>
    <w:p w14:paraId="7CA31FBD" w14:textId="592C85C4" w:rsidR="00BE079E" w:rsidRPr="004D0214" w:rsidRDefault="00BE079E" w:rsidP="004E3EAE">
      <w:pPr>
        <w:pStyle w:val="Heading1boardreport"/>
        <w:numPr>
          <w:ilvl w:val="0"/>
          <w:numId w:val="27"/>
        </w:numPr>
        <w:rPr>
          <w:b w:val="0"/>
          <w:bCs w:val="0"/>
          <w:sz w:val="24"/>
          <w:szCs w:val="24"/>
        </w:rPr>
      </w:pPr>
      <w:r w:rsidRPr="00BE079E">
        <w:rPr>
          <w:b w:val="0"/>
          <w:bCs w:val="0"/>
          <w:sz w:val="24"/>
          <w:szCs w:val="24"/>
        </w:rPr>
        <w:t>The methods set out here for public consultation outline the general principles guiding our approach to incorporation and integration of technology appraisals into guideline topic areas.   </w:t>
      </w:r>
    </w:p>
    <w:p w14:paraId="19059BEF" w14:textId="77777777" w:rsidR="00BE079E" w:rsidRPr="00BE079E" w:rsidRDefault="00BE079E" w:rsidP="004E3EAE">
      <w:pPr>
        <w:pStyle w:val="Heading1boardreport"/>
        <w:numPr>
          <w:ilvl w:val="0"/>
          <w:numId w:val="27"/>
        </w:numPr>
        <w:rPr>
          <w:b w:val="0"/>
          <w:bCs w:val="0"/>
          <w:sz w:val="24"/>
          <w:szCs w:val="24"/>
        </w:rPr>
      </w:pPr>
      <w:r w:rsidRPr="00BE079E">
        <w:rPr>
          <w:b w:val="0"/>
          <w:bCs w:val="0"/>
          <w:sz w:val="24"/>
          <w:szCs w:val="24"/>
        </w:rPr>
        <w:t> We will consider all responses from stakeholders to the consultation on the interim methods and process statement, amend if necessary and then the final interim statement will be published. </w:t>
      </w:r>
    </w:p>
    <w:p w14:paraId="073BE67C" w14:textId="77777777" w:rsidR="00BE079E" w:rsidRPr="00BE079E" w:rsidRDefault="00BE079E" w:rsidP="004D0214">
      <w:pPr>
        <w:pStyle w:val="Heading2boardreport"/>
      </w:pPr>
      <w:r w:rsidRPr="00BE079E">
        <w:t xml:space="preserve">Implementation and roll out of methods and </w:t>
      </w:r>
      <w:proofErr w:type="gramStart"/>
      <w:r w:rsidRPr="00BE079E">
        <w:t>processes</w:t>
      </w:r>
      <w:proofErr w:type="gramEnd"/>
      <w:r w:rsidRPr="00BE079E">
        <w:t> </w:t>
      </w:r>
    </w:p>
    <w:p w14:paraId="1CAA3158" w14:textId="5CEFEE5B" w:rsidR="00BE079E" w:rsidRPr="004D0214" w:rsidRDefault="00BE079E" w:rsidP="004E3EAE">
      <w:pPr>
        <w:pStyle w:val="Heading1boardreport"/>
        <w:numPr>
          <w:ilvl w:val="0"/>
          <w:numId w:val="27"/>
        </w:numPr>
        <w:rPr>
          <w:b w:val="0"/>
          <w:bCs w:val="0"/>
          <w:sz w:val="24"/>
          <w:szCs w:val="24"/>
        </w:rPr>
      </w:pPr>
      <w:r w:rsidRPr="00BE079E">
        <w:rPr>
          <w:b w:val="0"/>
          <w:bCs w:val="0"/>
          <w:sz w:val="24"/>
          <w:szCs w:val="24"/>
        </w:rPr>
        <w:t>Incorporation of technology appraisal guidance into guideline topic areas is already in progress. </w:t>
      </w:r>
    </w:p>
    <w:p w14:paraId="4833B803" w14:textId="77777777" w:rsidR="00BE079E" w:rsidRPr="00BE079E" w:rsidRDefault="00BE079E" w:rsidP="004E3EAE">
      <w:pPr>
        <w:pStyle w:val="Heading1boardreport"/>
        <w:numPr>
          <w:ilvl w:val="0"/>
          <w:numId w:val="27"/>
        </w:numPr>
        <w:rPr>
          <w:b w:val="0"/>
          <w:bCs w:val="0"/>
          <w:sz w:val="24"/>
          <w:szCs w:val="24"/>
        </w:rPr>
      </w:pPr>
      <w:r w:rsidRPr="00BE079E">
        <w:rPr>
          <w:b w:val="0"/>
          <w:bCs w:val="0"/>
          <w:sz w:val="24"/>
          <w:szCs w:val="24"/>
        </w:rPr>
        <w:t>Integration of technology appraisal guidance will be piloted in at least 2 guideline topic area updates during 2024/25 with a view to progressing to implementation across the wider programme on publication of the final methods statement.  </w:t>
      </w:r>
    </w:p>
    <w:p w14:paraId="03272A07" w14:textId="77777777" w:rsidR="00BE079E" w:rsidRPr="00BE079E" w:rsidRDefault="00BE079E" w:rsidP="004D0214">
      <w:pPr>
        <w:pStyle w:val="Heading2boardreport"/>
      </w:pPr>
      <w:r w:rsidRPr="00BE079E">
        <w:t>Equalities  </w:t>
      </w:r>
    </w:p>
    <w:p w14:paraId="10840758" w14:textId="6D694F40" w:rsidR="00BE079E" w:rsidRPr="00BE079E" w:rsidRDefault="00BE079E" w:rsidP="004E3EAE">
      <w:pPr>
        <w:pStyle w:val="Heading1boardreport"/>
        <w:numPr>
          <w:ilvl w:val="0"/>
          <w:numId w:val="27"/>
        </w:numPr>
        <w:rPr>
          <w:b w:val="0"/>
          <w:bCs w:val="0"/>
          <w:sz w:val="24"/>
          <w:szCs w:val="24"/>
        </w:rPr>
      </w:pPr>
      <w:r w:rsidRPr="00BE079E">
        <w:rPr>
          <w:b w:val="0"/>
          <w:bCs w:val="0"/>
          <w:sz w:val="24"/>
          <w:szCs w:val="24"/>
        </w:rPr>
        <w:t xml:space="preserve">A cross-organisation group considered the potential equalities impact of implementing these methods and processes and is satisfied that the guidance complies with NICE's obligations under the </w:t>
      </w:r>
      <w:proofErr w:type="gramStart"/>
      <w:r w:rsidRPr="00BE079E">
        <w:rPr>
          <w:b w:val="0"/>
          <w:bCs w:val="0"/>
          <w:sz w:val="24"/>
          <w:szCs w:val="24"/>
        </w:rPr>
        <w:t>equalities</w:t>
      </w:r>
      <w:proofErr w:type="gramEnd"/>
      <w:r w:rsidRPr="00BE079E">
        <w:rPr>
          <w:b w:val="0"/>
          <w:bCs w:val="0"/>
          <w:sz w:val="24"/>
          <w:szCs w:val="24"/>
        </w:rPr>
        <w:t xml:space="preserve"> legislation. Issues that were considered during the development of these methods and processes are </w:t>
      </w:r>
      <w:r w:rsidR="00D71CCD">
        <w:rPr>
          <w:b w:val="0"/>
          <w:bCs w:val="0"/>
          <w:sz w:val="24"/>
          <w:szCs w:val="24"/>
        </w:rPr>
        <w:lastRenderedPageBreak/>
        <w:t>r</w:t>
      </w:r>
      <w:r w:rsidRPr="00BE079E">
        <w:rPr>
          <w:b w:val="0"/>
          <w:bCs w:val="0"/>
          <w:sz w:val="24"/>
          <w:szCs w:val="24"/>
        </w:rPr>
        <w:t>eported in the ‘Equality and Health inequality assessment’, which will be consulted on alongside the interim methods and process statement. </w:t>
      </w:r>
    </w:p>
    <w:p w14:paraId="691129C9" w14:textId="341A624F" w:rsidR="00B9699B" w:rsidRPr="00B9699B" w:rsidRDefault="00B9699B" w:rsidP="00B9699B">
      <w:pPr>
        <w:pStyle w:val="Heading1boardreport"/>
        <w:rPr>
          <w:b w:val="0"/>
          <w:bCs w:val="0"/>
          <w:sz w:val="24"/>
          <w:szCs w:val="24"/>
        </w:rPr>
      </w:pPr>
    </w:p>
    <w:p w14:paraId="5B2AE2ED" w14:textId="77777777" w:rsidR="002E78F3" w:rsidRDefault="002E78F3">
      <w:pPr>
        <w:rPr>
          <w:rFonts w:ascii="Arial" w:hAnsi="Arial" w:cs="Arial"/>
          <w:b/>
          <w:bCs/>
          <w:sz w:val="28"/>
          <w:szCs w:val="28"/>
        </w:rPr>
      </w:pPr>
      <w:r>
        <w:br w:type="page"/>
      </w:r>
    </w:p>
    <w:p w14:paraId="1B97693F" w14:textId="5AA3DB8F" w:rsidR="00D61DBD" w:rsidRPr="0054732C" w:rsidRDefault="0054732C" w:rsidP="0054732C">
      <w:pPr>
        <w:pStyle w:val="Heading2boardreport"/>
      </w:pPr>
      <w:r w:rsidRPr="0054732C">
        <w:lastRenderedPageBreak/>
        <w:t xml:space="preserve">Appendix </w:t>
      </w:r>
      <w:r w:rsidR="00B9699B" w:rsidRPr="0054732C">
        <w:t xml:space="preserve">D: </w:t>
      </w:r>
      <w:r w:rsidR="00D61DBD" w:rsidRPr="0054732C">
        <w:t xml:space="preserve">Interim methods and process statement for incorporating and integrating NICE technology appraisals into guideline topic </w:t>
      </w:r>
      <w:proofErr w:type="gramStart"/>
      <w:r w:rsidR="00D61DBD" w:rsidRPr="0054732C">
        <w:t>areas</w:t>
      </w:r>
      <w:proofErr w:type="gramEnd"/>
      <w:r w:rsidR="00D61DBD" w:rsidRPr="0054732C">
        <w:t> </w:t>
      </w:r>
    </w:p>
    <w:p w14:paraId="1AAD6816" w14:textId="77777777" w:rsidR="00D61DBD" w:rsidRPr="00D61DBD" w:rsidRDefault="00D61DBD" w:rsidP="00801AC9">
      <w:pPr>
        <w:pStyle w:val="Heading2boardreport"/>
        <w:rPr>
          <w:rFonts w:ascii="Segoe UI" w:hAnsi="Segoe UI" w:cs="Segoe UI"/>
          <w:sz w:val="18"/>
          <w:szCs w:val="18"/>
          <w:lang w:eastAsia="en-GB"/>
        </w:rPr>
      </w:pPr>
      <w:r w:rsidRPr="00D61DBD">
        <w:rPr>
          <w:lang w:eastAsia="en-GB"/>
        </w:rPr>
        <w:t>Introduction </w:t>
      </w:r>
    </w:p>
    <w:p w14:paraId="097ED170" w14:textId="6E56E1BB" w:rsidR="00D61DBD" w:rsidRPr="00D61DBD" w:rsidRDefault="00D61DBD" w:rsidP="001D4B79">
      <w:pPr>
        <w:pStyle w:val="Heading1boardreport"/>
        <w:numPr>
          <w:ilvl w:val="0"/>
          <w:numId w:val="28"/>
        </w:numPr>
        <w:rPr>
          <w:b w:val="0"/>
          <w:bCs w:val="0"/>
          <w:sz w:val="24"/>
          <w:szCs w:val="24"/>
        </w:rPr>
      </w:pPr>
      <w:r w:rsidRPr="00D61DBD">
        <w:rPr>
          <w:b w:val="0"/>
          <w:bCs w:val="0"/>
          <w:sz w:val="24"/>
          <w:szCs w:val="24"/>
        </w:rPr>
        <w:t xml:space="preserve">NICE’s core purpose is to help practitioners and commissioners get the best care to patients, fast, while ensuring value for the taxpayer.  For more than 20 years, NICE, guided by the </w:t>
      </w:r>
      <w:hyperlink r:id="rId9" w:tgtFrame="_blank" w:history="1">
        <w:r w:rsidRPr="00D61DBD">
          <w:rPr>
            <w:b w:val="0"/>
            <w:bCs w:val="0"/>
            <w:sz w:val="24"/>
            <w:szCs w:val="24"/>
          </w:rPr>
          <w:t>NICE charter</w:t>
        </w:r>
      </w:hyperlink>
      <w:r w:rsidRPr="00D61DBD">
        <w:rPr>
          <w:b w:val="0"/>
          <w:bCs w:val="0"/>
          <w:sz w:val="24"/>
          <w:szCs w:val="24"/>
        </w:rPr>
        <w:t xml:space="preserve"> and </w:t>
      </w:r>
      <w:hyperlink r:id="rId10" w:tgtFrame="_blank" w:history="1">
        <w:r w:rsidRPr="00D61DBD">
          <w:rPr>
            <w:b w:val="0"/>
            <w:bCs w:val="0"/>
            <w:sz w:val="24"/>
            <w:szCs w:val="24"/>
          </w:rPr>
          <w:t>NICE principles</w:t>
        </w:r>
      </w:hyperlink>
      <w:r w:rsidRPr="00D61DBD">
        <w:rPr>
          <w:b w:val="0"/>
          <w:bCs w:val="0"/>
          <w:sz w:val="24"/>
          <w:szCs w:val="24"/>
        </w:rPr>
        <w:t>, has played a key role in using the best available evidence to develop recommendations that guide decisions in health, public health and social care. </w:t>
      </w:r>
    </w:p>
    <w:p w14:paraId="61356710" w14:textId="1C14C111" w:rsidR="00D61DBD" w:rsidRPr="00D61DBD" w:rsidRDefault="00D61DBD" w:rsidP="001D4B79">
      <w:pPr>
        <w:pStyle w:val="Heading1boardreport"/>
        <w:numPr>
          <w:ilvl w:val="0"/>
          <w:numId w:val="28"/>
        </w:numPr>
        <w:rPr>
          <w:b w:val="0"/>
          <w:bCs w:val="0"/>
          <w:sz w:val="24"/>
          <w:szCs w:val="24"/>
        </w:rPr>
      </w:pPr>
      <w:r w:rsidRPr="00D61DBD">
        <w:rPr>
          <w:b w:val="0"/>
          <w:bCs w:val="0"/>
          <w:sz w:val="24"/>
          <w:szCs w:val="24"/>
        </w:rPr>
        <w:t xml:space="preserve">To support the changing needs and objectives of all parts of the health and care system, </w:t>
      </w:r>
      <w:hyperlink r:id="rId11" w:tgtFrame="_blank" w:history="1">
        <w:r w:rsidRPr="00D61DBD">
          <w:rPr>
            <w:b w:val="0"/>
            <w:bCs w:val="0"/>
            <w:sz w:val="24"/>
            <w:szCs w:val="24"/>
          </w:rPr>
          <w:t>NICE is transforming</w:t>
        </w:r>
      </w:hyperlink>
      <w:r w:rsidRPr="00D61DBD">
        <w:rPr>
          <w:b w:val="0"/>
          <w:bCs w:val="0"/>
          <w:sz w:val="24"/>
          <w:szCs w:val="24"/>
        </w:rPr>
        <w:t xml:space="preserve"> to ensure our guidance remains</w:t>
      </w:r>
      <w:r w:rsidR="0054732C">
        <w:rPr>
          <w:b w:val="0"/>
          <w:bCs w:val="0"/>
          <w:sz w:val="24"/>
          <w:szCs w:val="24"/>
        </w:rPr>
        <w:t xml:space="preserve"> </w:t>
      </w:r>
      <w:r w:rsidRPr="00D61DBD">
        <w:rPr>
          <w:b w:val="0"/>
          <w:bCs w:val="0"/>
          <w:sz w:val="24"/>
          <w:szCs w:val="24"/>
        </w:rPr>
        <w:t>relevant, timely, useable and impactful. To achieve these aims, the methods and processes that underpin our guidance need to evolve.  </w:t>
      </w:r>
    </w:p>
    <w:p w14:paraId="58BFC58D" w14:textId="77777777" w:rsidR="00D61DBD" w:rsidRPr="00D61DBD" w:rsidRDefault="00D61DBD" w:rsidP="00801AC9">
      <w:pPr>
        <w:pStyle w:val="Heading2boardreport"/>
        <w:rPr>
          <w:rFonts w:ascii="Segoe UI" w:hAnsi="Segoe UI" w:cs="Segoe UI"/>
          <w:sz w:val="18"/>
          <w:szCs w:val="18"/>
          <w:lang w:eastAsia="en-GB"/>
        </w:rPr>
      </w:pPr>
      <w:r w:rsidRPr="00D61DBD">
        <w:rPr>
          <w:lang w:eastAsia="en-GB"/>
        </w:rPr>
        <w:t xml:space="preserve">Why we are incorporating and integrating technology appraisals into guideline topic </w:t>
      </w:r>
      <w:proofErr w:type="gramStart"/>
      <w:r w:rsidRPr="00D61DBD">
        <w:rPr>
          <w:lang w:eastAsia="en-GB"/>
        </w:rPr>
        <w:t>areas</w:t>
      </w:r>
      <w:proofErr w:type="gramEnd"/>
      <w:r w:rsidRPr="00D61DBD">
        <w:rPr>
          <w:lang w:eastAsia="en-GB"/>
        </w:rPr>
        <w:t> </w:t>
      </w:r>
    </w:p>
    <w:p w14:paraId="500A8BE9" w14:textId="77777777"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Currently, NICE’s guidance is published according to the programme which developed the guidance. This means that our end users must search in multiple places to find all our recommendations about a given condition and cannot easily access and understand the totality of NICE’s guidance about each topic.  </w:t>
      </w:r>
    </w:p>
    <w:p w14:paraId="3FA653BE" w14:textId="77777777"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To provide a better experience for our end users, help to increase the adoption of NICE guidance and provide better outcomes for patients and better use of NHS resources, we are proposing to develop two approaches that will facilitate bringing together NICE guidance on a topic: </w:t>
      </w:r>
    </w:p>
    <w:p w14:paraId="6AE781A7" w14:textId="77777777" w:rsidR="00D61DBD" w:rsidRPr="00D61DBD" w:rsidRDefault="00D61DBD" w:rsidP="00D61DBD">
      <w:pPr>
        <w:textAlignment w:val="baseline"/>
        <w:rPr>
          <w:rFonts w:ascii="Segoe UI" w:hAnsi="Segoe UI" w:cs="Segoe UI"/>
          <w:sz w:val="18"/>
          <w:szCs w:val="18"/>
          <w:lang w:eastAsia="en-GB"/>
        </w:rPr>
      </w:pPr>
      <w:r w:rsidRPr="00D61DBD">
        <w:rPr>
          <w:rFonts w:ascii="Arial" w:hAnsi="Arial" w:cs="Arial"/>
          <w:lang w:eastAsia="en-GB"/>
        </w:rPr>
        <w:t> </w:t>
      </w:r>
    </w:p>
    <w:p w14:paraId="4E65D782" w14:textId="2C22A7ED" w:rsidR="00D61DBD" w:rsidRPr="00D61DBD" w:rsidRDefault="00D61DBD" w:rsidP="00193D76">
      <w:pPr>
        <w:pStyle w:val="Heading1boardreport"/>
        <w:keepNext w:val="0"/>
        <w:numPr>
          <w:ilvl w:val="0"/>
          <w:numId w:val="29"/>
        </w:numPr>
        <w:ind w:left="1797"/>
        <w:rPr>
          <w:b w:val="0"/>
          <w:bCs w:val="0"/>
          <w:sz w:val="24"/>
          <w:szCs w:val="24"/>
        </w:rPr>
      </w:pPr>
      <w:r w:rsidRPr="00D61DBD">
        <w:rPr>
          <w:b w:val="0"/>
          <w:bCs w:val="0"/>
          <w:sz w:val="24"/>
          <w:szCs w:val="24"/>
        </w:rPr>
        <w:t xml:space="preserve">Rapid </w:t>
      </w:r>
      <w:r w:rsidRPr="00CC0F6E">
        <w:rPr>
          <w:b w:val="0"/>
          <w:bCs w:val="0"/>
          <w:sz w:val="24"/>
          <w:szCs w:val="24"/>
        </w:rPr>
        <w:t>incorporation</w:t>
      </w:r>
      <w:r w:rsidRPr="00D61DBD">
        <w:rPr>
          <w:b w:val="0"/>
          <w:bCs w:val="0"/>
          <w:sz w:val="24"/>
          <w:szCs w:val="24"/>
        </w:rPr>
        <w:t xml:space="preserve"> of all newly published technology appraisal guidance into NICE guideline topic areas. Technology appraisal recommendations that are in the scope of a guideline will be incorporated within the guideline by presenting the technology </w:t>
      </w:r>
      <w:r w:rsidRPr="00D61DBD">
        <w:rPr>
          <w:b w:val="0"/>
          <w:bCs w:val="0"/>
          <w:sz w:val="24"/>
          <w:szCs w:val="24"/>
        </w:rPr>
        <w:lastRenderedPageBreak/>
        <w:t>appraisal recommendations unchanged in the guideline. No comparative assessment is undertaken for the intervention against other treatment options. The technology appraisal recommendation and its funding requirement (when applied for positive recommendations) remain in place. Incorporation will enable NICE to provide useful and useable guidance in a timely way. We will also explore incorporation of existing technology appraisal guidance as an option. </w:t>
      </w:r>
    </w:p>
    <w:p w14:paraId="3409692C" w14:textId="2EA63C33" w:rsidR="00D61DBD" w:rsidRPr="00D61DBD" w:rsidRDefault="00D61DBD" w:rsidP="00193D76">
      <w:pPr>
        <w:pStyle w:val="Heading1boardreport"/>
        <w:keepNext w:val="0"/>
        <w:numPr>
          <w:ilvl w:val="0"/>
          <w:numId w:val="29"/>
        </w:numPr>
        <w:ind w:left="1797"/>
        <w:rPr>
          <w:b w:val="0"/>
          <w:bCs w:val="0"/>
          <w:sz w:val="24"/>
          <w:szCs w:val="24"/>
        </w:rPr>
      </w:pPr>
      <w:r w:rsidRPr="00CC0F6E">
        <w:rPr>
          <w:b w:val="0"/>
          <w:bCs w:val="0"/>
          <w:sz w:val="24"/>
          <w:szCs w:val="24"/>
        </w:rPr>
        <w:t xml:space="preserve">Integration </w:t>
      </w:r>
      <w:r w:rsidRPr="00D61DBD">
        <w:rPr>
          <w:b w:val="0"/>
          <w:bCs w:val="0"/>
          <w:sz w:val="24"/>
          <w:szCs w:val="24"/>
        </w:rPr>
        <w:t xml:space="preserve">of existing technology appraisal guidance into NICE guideline topic areas. Where there are multiple treatment options in a decision space and no clear rationale for guiding treatment decisions, technology appraisal recommendations that are within the scope of a guideline topic area will be considered for integration into guideline topic areas (see the section on </w:t>
      </w:r>
      <w:hyperlink r:id="rId12" w:tgtFrame="_blank" w:history="1">
        <w:r w:rsidRPr="00D61DBD">
          <w:rPr>
            <w:b w:val="0"/>
            <w:bCs w:val="0"/>
            <w:sz w:val="24"/>
            <w:szCs w:val="24"/>
          </w:rPr>
          <w:t>the</w:t>
        </w:r>
      </w:hyperlink>
      <w:r w:rsidRPr="00D61DBD">
        <w:rPr>
          <w:b w:val="0"/>
          <w:bCs w:val="0"/>
          <w:sz w:val="24"/>
          <w:szCs w:val="24"/>
        </w:rPr>
        <w:t xml:space="preserve"> </w:t>
      </w:r>
      <w:hyperlink r:id="rId13" w:tgtFrame="_blank" w:history="1">
        <w:r w:rsidRPr="00D61DBD">
          <w:rPr>
            <w:b w:val="0"/>
            <w:bCs w:val="0"/>
            <w:sz w:val="24"/>
            <w:szCs w:val="24"/>
          </w:rPr>
          <w:t>methods and processes for integrating technology appraisal recommendations into guideline topic areas)</w:t>
        </w:r>
      </w:hyperlink>
      <w:r w:rsidRPr="00D61DBD">
        <w:rPr>
          <w:b w:val="0"/>
          <w:bCs w:val="0"/>
          <w:sz w:val="24"/>
          <w:szCs w:val="24"/>
        </w:rPr>
        <w:t xml:space="preserve">.  Technology appraisals will be integrated by undertaking comparative analysis of all appropriate treatment options in that decision space. Integration will only be used in selected decision spaces and if the criteria set out in the section on </w:t>
      </w:r>
      <w:hyperlink r:id="rId14" w:tgtFrame="_blank" w:history="1">
        <w:r w:rsidRPr="00D61DBD">
          <w:rPr>
            <w:b w:val="0"/>
            <w:bCs w:val="0"/>
            <w:sz w:val="24"/>
            <w:szCs w:val="24"/>
          </w:rPr>
          <w:t>criteria and triggers for integration of technology appraisal recommendations into guideline topic areas</w:t>
        </w:r>
      </w:hyperlink>
      <w:r w:rsidRPr="00D61DBD">
        <w:rPr>
          <w:b w:val="0"/>
          <w:bCs w:val="0"/>
          <w:sz w:val="24"/>
          <w:szCs w:val="24"/>
        </w:rPr>
        <w:t xml:space="preserve"> are met</w:t>
      </w:r>
      <w:r w:rsidRPr="00D61DBD">
        <w:rPr>
          <w:rFonts w:hint="eastAsia"/>
          <w:b w:val="0"/>
          <w:bCs w:val="0"/>
          <w:sz w:val="24"/>
          <w:szCs w:val="24"/>
        </w:rPr>
        <w:t xml:space="preserve">. </w:t>
      </w:r>
      <w:r w:rsidRPr="00D61DBD">
        <w:rPr>
          <w:b w:val="0"/>
          <w:bCs w:val="0"/>
          <w:sz w:val="24"/>
          <w:szCs w:val="24"/>
        </w:rPr>
        <w:t xml:space="preserve">Integration will enable NICE to publish robust, </w:t>
      </w:r>
      <w:proofErr w:type="gramStart"/>
      <w:r w:rsidRPr="00D61DBD">
        <w:rPr>
          <w:b w:val="0"/>
          <w:bCs w:val="0"/>
          <w:sz w:val="24"/>
          <w:szCs w:val="24"/>
        </w:rPr>
        <w:t>comprehensive</w:t>
      </w:r>
      <w:proofErr w:type="gramEnd"/>
      <w:r w:rsidRPr="00D61DBD">
        <w:rPr>
          <w:b w:val="0"/>
          <w:bCs w:val="0"/>
          <w:sz w:val="24"/>
          <w:szCs w:val="24"/>
        </w:rPr>
        <w:t xml:space="preserve"> and up-to-date guideline recommendations that provide clarity for end users in areas with multiple treatment options, and reflect a clinical pathway based on assessment of clinical and cost effectiveness of all options.   </w:t>
      </w:r>
    </w:p>
    <w:p w14:paraId="681499BE" w14:textId="77777777" w:rsidR="00D61DBD" w:rsidRPr="00FB6196" w:rsidRDefault="00D61DBD" w:rsidP="00801AC9">
      <w:pPr>
        <w:pStyle w:val="Heading2boardreport"/>
        <w:rPr>
          <w:lang w:eastAsia="en-GB"/>
        </w:rPr>
      </w:pPr>
      <w:r w:rsidRPr="00FB6196">
        <w:rPr>
          <w:lang w:eastAsia="en-GB"/>
        </w:rPr>
        <w:lastRenderedPageBreak/>
        <w:t xml:space="preserve">Approach taken to developing methods and processes to incorporate and integrate technology appraisals into guideline topic </w:t>
      </w:r>
      <w:proofErr w:type="gramStart"/>
      <w:r w:rsidRPr="00FB6196">
        <w:rPr>
          <w:lang w:eastAsia="en-GB"/>
        </w:rPr>
        <w:t>areas</w:t>
      </w:r>
      <w:proofErr w:type="gramEnd"/>
      <w:r w:rsidRPr="00FB6196">
        <w:rPr>
          <w:lang w:eastAsia="en-GB"/>
        </w:rPr>
        <w:t> </w:t>
      </w:r>
    </w:p>
    <w:p w14:paraId="795B0947" w14:textId="77777777"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Development of methods and processes to support the incorporation and integration of technology appraisals into guideline topic areas has several stages: </w:t>
      </w:r>
    </w:p>
    <w:p w14:paraId="347FE147" w14:textId="0B661B1D" w:rsidR="00D61DBD" w:rsidRPr="00FD028C" w:rsidRDefault="00D61DBD" w:rsidP="00FD028C">
      <w:pPr>
        <w:pStyle w:val="Bulletindent1"/>
        <w:numPr>
          <w:ilvl w:val="0"/>
          <w:numId w:val="43"/>
        </w:numPr>
      </w:pPr>
      <w:r w:rsidRPr="00FD028C">
        <w:t>In the first stage, the general principles guiding our approach to incorporation and integration of technology appraisals into guideline topic areas will be set out alongside the key changes to existing methods and processes.  This is the basis of this consultation document: the interim method and process statement.  </w:t>
      </w:r>
    </w:p>
    <w:p w14:paraId="28F23DA1" w14:textId="2944F244" w:rsidR="00D61DBD" w:rsidRPr="00FD028C" w:rsidRDefault="00D61DBD" w:rsidP="00FD028C">
      <w:pPr>
        <w:pStyle w:val="Bulletindent1"/>
        <w:numPr>
          <w:ilvl w:val="0"/>
          <w:numId w:val="43"/>
        </w:numPr>
      </w:pPr>
      <w:r w:rsidRPr="00FD028C">
        <w:t>We will consult on this interim methods and process statement. NICE will consider responses from stakeholders to the consultation on the interim methods and process statement, amend the interim statement where necessary, and publish a final version.  </w:t>
      </w:r>
    </w:p>
    <w:p w14:paraId="70332559" w14:textId="2B94E6F8" w:rsidR="00D61DBD" w:rsidRPr="00FD028C" w:rsidRDefault="00D61DBD" w:rsidP="00FD028C">
      <w:pPr>
        <w:pStyle w:val="Bulletindent1"/>
        <w:numPr>
          <w:ilvl w:val="0"/>
          <w:numId w:val="43"/>
        </w:numPr>
      </w:pPr>
      <w:r w:rsidRPr="00FD028C">
        <w:t xml:space="preserve">We will pilot these interim methods and processes in </w:t>
      </w:r>
      <w:proofErr w:type="gramStart"/>
      <w:r w:rsidRPr="00FD028C">
        <w:t>a number of</w:t>
      </w:r>
      <w:proofErr w:type="gramEnd"/>
      <w:r w:rsidRPr="00FD028C">
        <w:t xml:space="preserve"> updates of guideline topics. This stage will inform the development of more detailed methods and processes to support implementation of the approach to incorporate and integrate technical appraisals into guideline topic areas.  </w:t>
      </w:r>
    </w:p>
    <w:p w14:paraId="752CBBB1" w14:textId="116EBDCF" w:rsidR="00D61DBD" w:rsidRPr="00FD028C" w:rsidRDefault="00D61DBD" w:rsidP="00FD028C">
      <w:pPr>
        <w:pStyle w:val="Bulletindent1"/>
        <w:numPr>
          <w:ilvl w:val="0"/>
          <w:numId w:val="43"/>
        </w:numPr>
      </w:pPr>
      <w:r w:rsidRPr="00FD028C">
        <w:t>After piloting these interim methods and processes, final methods and processes for integration and incorporation of technology appraisal recommendations into guideline topic areas will be consulted on and published in NICE’s methods manuals.    </w:t>
      </w:r>
    </w:p>
    <w:p w14:paraId="502978F3" w14:textId="77777777"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 xml:space="preserve">The methods and processes for incorporation of technology appraisals and integration of technologies will broadly be in line with those set out in the </w:t>
      </w:r>
      <w:hyperlink r:id="rId15" w:tgtFrame="_blank" w:history="1">
        <w:r w:rsidRPr="00D61DBD">
          <w:rPr>
            <w:b w:val="0"/>
            <w:bCs w:val="0"/>
            <w:sz w:val="24"/>
            <w:szCs w:val="24"/>
          </w:rPr>
          <w:t>NICE guideline manual</w:t>
        </w:r>
      </w:hyperlink>
      <w:r w:rsidRPr="00D61DBD">
        <w:rPr>
          <w:b w:val="0"/>
          <w:bCs w:val="0"/>
          <w:sz w:val="24"/>
          <w:szCs w:val="24"/>
        </w:rPr>
        <w:t xml:space="preserve"> which builds on the </w:t>
      </w:r>
      <w:hyperlink r:id="rId16" w:tgtFrame="_blank" w:history="1">
        <w:r w:rsidRPr="00D61DBD">
          <w:rPr>
            <w:b w:val="0"/>
            <w:bCs w:val="0"/>
            <w:sz w:val="24"/>
            <w:szCs w:val="24"/>
          </w:rPr>
          <w:t>NICE principles</w:t>
        </w:r>
      </w:hyperlink>
      <w:r w:rsidRPr="00D61DBD">
        <w:rPr>
          <w:b w:val="0"/>
          <w:bCs w:val="0"/>
          <w:sz w:val="24"/>
          <w:szCs w:val="24"/>
        </w:rPr>
        <w:t>.  Where stated, we will also apply the relevant section of the NICE health technology evaluations manual.  </w:t>
      </w:r>
    </w:p>
    <w:p w14:paraId="6211E1A9" w14:textId="77777777"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 xml:space="preserve">NICE’s technology appraisals and guidelines programmes have different remits and as such their methods and processes have evolved to reflect this. </w:t>
      </w:r>
      <w:r w:rsidRPr="00D61DBD">
        <w:rPr>
          <w:b w:val="0"/>
          <w:bCs w:val="0"/>
          <w:sz w:val="24"/>
          <w:szCs w:val="24"/>
        </w:rPr>
        <w:lastRenderedPageBreak/>
        <w:t xml:space="preserve">To facilitate incorporation and integration of technology appraisals into guideline topic areas, NICE recognises the need for closer alignment of the methods and processes underpinning the development of guidance across the different guidance-producing centres. Where differences in approach exist (for example, use of decision-modifiers in the NICE health technology evaluations manual) we have sought to align where appropriate, </w:t>
      </w:r>
      <w:proofErr w:type="gramStart"/>
      <w:r w:rsidRPr="00D61DBD">
        <w:rPr>
          <w:b w:val="0"/>
          <w:bCs w:val="0"/>
          <w:sz w:val="24"/>
          <w:szCs w:val="24"/>
        </w:rPr>
        <w:t>taking into account</w:t>
      </w:r>
      <w:proofErr w:type="gramEnd"/>
      <w:r w:rsidRPr="00D61DBD">
        <w:rPr>
          <w:b w:val="0"/>
          <w:bCs w:val="0"/>
          <w:sz w:val="24"/>
          <w:szCs w:val="24"/>
        </w:rPr>
        <w:t xml:space="preserve"> the following: </w:t>
      </w:r>
    </w:p>
    <w:p w14:paraId="630AF300" w14:textId="13650DB8" w:rsidR="00D61DBD" w:rsidRPr="00FD028C" w:rsidRDefault="00D61DBD" w:rsidP="00FD028C">
      <w:pPr>
        <w:pStyle w:val="ListParagraph"/>
        <w:numPr>
          <w:ilvl w:val="0"/>
          <w:numId w:val="44"/>
        </w:numPr>
        <w:spacing w:line="360" w:lineRule="auto"/>
        <w:rPr>
          <w:rFonts w:ascii="Arial" w:hAnsi="Arial" w:cs="Arial"/>
        </w:rPr>
      </w:pPr>
      <w:r w:rsidRPr="00FD028C">
        <w:rPr>
          <w:rFonts w:ascii="Arial" w:hAnsi="Arial" w:cs="Arial"/>
        </w:rPr>
        <w:t xml:space="preserve">Maintaining access to the right treatments for patients and </w:t>
      </w:r>
      <w:proofErr w:type="gramStart"/>
      <w:r w:rsidRPr="00FD028C">
        <w:rPr>
          <w:rFonts w:ascii="Arial" w:hAnsi="Arial" w:cs="Arial"/>
        </w:rPr>
        <w:t>clinicians;</w:t>
      </w:r>
      <w:proofErr w:type="gramEnd"/>
      <w:r w:rsidRPr="00FD028C">
        <w:rPr>
          <w:rFonts w:ascii="Arial" w:hAnsi="Arial" w:cs="Arial"/>
        </w:rPr>
        <w:t> </w:t>
      </w:r>
    </w:p>
    <w:p w14:paraId="36192257" w14:textId="7E4B7DF5" w:rsidR="00D61DBD" w:rsidRPr="00FD028C" w:rsidRDefault="00D61DBD" w:rsidP="00FD028C">
      <w:pPr>
        <w:pStyle w:val="ListParagraph"/>
        <w:numPr>
          <w:ilvl w:val="0"/>
          <w:numId w:val="44"/>
        </w:numPr>
        <w:spacing w:line="360" w:lineRule="auto"/>
        <w:rPr>
          <w:rFonts w:ascii="Arial" w:hAnsi="Arial" w:cs="Arial"/>
        </w:rPr>
      </w:pPr>
      <w:r w:rsidRPr="00FD028C">
        <w:rPr>
          <w:rFonts w:ascii="Arial" w:hAnsi="Arial" w:cs="Arial"/>
        </w:rPr>
        <w:t xml:space="preserve">Protecting the NHS </w:t>
      </w:r>
      <w:proofErr w:type="gramStart"/>
      <w:r w:rsidRPr="00FD028C">
        <w:rPr>
          <w:rFonts w:ascii="Arial" w:hAnsi="Arial" w:cs="Arial"/>
        </w:rPr>
        <w:t>budget;</w:t>
      </w:r>
      <w:proofErr w:type="gramEnd"/>
      <w:r w:rsidRPr="00FD028C">
        <w:rPr>
          <w:rFonts w:ascii="Arial" w:hAnsi="Arial" w:cs="Arial"/>
        </w:rPr>
        <w:t> </w:t>
      </w:r>
    </w:p>
    <w:p w14:paraId="7D472730" w14:textId="00988640" w:rsidR="00D61DBD" w:rsidRPr="00FD028C" w:rsidRDefault="00D61DBD" w:rsidP="00FD028C">
      <w:pPr>
        <w:pStyle w:val="ListParagraph"/>
        <w:numPr>
          <w:ilvl w:val="0"/>
          <w:numId w:val="44"/>
        </w:numPr>
        <w:spacing w:line="360" w:lineRule="auto"/>
        <w:rPr>
          <w:rFonts w:ascii="Arial" w:hAnsi="Arial" w:cs="Arial"/>
        </w:rPr>
      </w:pPr>
      <w:r w:rsidRPr="00FD028C">
        <w:rPr>
          <w:rFonts w:ascii="Arial" w:hAnsi="Arial" w:cs="Arial"/>
        </w:rPr>
        <w:t xml:space="preserve">Operational feasibility for NICE and our system </w:t>
      </w:r>
      <w:proofErr w:type="gramStart"/>
      <w:r w:rsidRPr="00FD028C">
        <w:rPr>
          <w:rFonts w:ascii="Arial" w:hAnsi="Arial" w:cs="Arial"/>
        </w:rPr>
        <w:t>partners;</w:t>
      </w:r>
      <w:proofErr w:type="gramEnd"/>
      <w:r w:rsidRPr="00FD028C">
        <w:rPr>
          <w:rFonts w:ascii="Arial" w:hAnsi="Arial" w:cs="Arial"/>
        </w:rPr>
        <w:t> </w:t>
      </w:r>
    </w:p>
    <w:p w14:paraId="2DB7567F" w14:textId="3287DB6E" w:rsidR="00D61DBD" w:rsidRPr="00FD028C" w:rsidRDefault="00D61DBD" w:rsidP="00FD028C">
      <w:pPr>
        <w:pStyle w:val="ListParagraph"/>
        <w:numPr>
          <w:ilvl w:val="0"/>
          <w:numId w:val="44"/>
        </w:numPr>
        <w:spacing w:line="360" w:lineRule="auto"/>
        <w:rPr>
          <w:rFonts w:ascii="Arial" w:hAnsi="Arial" w:cs="Arial"/>
        </w:rPr>
      </w:pPr>
      <w:r w:rsidRPr="00FD028C">
        <w:rPr>
          <w:rFonts w:ascii="Arial" w:hAnsi="Arial" w:cs="Arial"/>
        </w:rPr>
        <w:t xml:space="preserve">Ensuring the approach is methodologically robust and </w:t>
      </w:r>
      <w:proofErr w:type="gramStart"/>
      <w:r w:rsidRPr="00FD028C">
        <w:rPr>
          <w:rFonts w:ascii="Arial" w:hAnsi="Arial" w:cs="Arial"/>
        </w:rPr>
        <w:t>appropriate</w:t>
      </w:r>
      <w:proofErr w:type="gramEnd"/>
      <w:r w:rsidRPr="00FD028C">
        <w:rPr>
          <w:rFonts w:ascii="Arial" w:hAnsi="Arial" w:cs="Arial"/>
        </w:rPr>
        <w:t> </w:t>
      </w:r>
    </w:p>
    <w:p w14:paraId="6D7E1BED" w14:textId="77777777" w:rsidR="00D61DBD" w:rsidRPr="00D61DBD" w:rsidRDefault="00D61DBD" w:rsidP="00801AC9">
      <w:pPr>
        <w:pStyle w:val="Heading2boardreport"/>
        <w:rPr>
          <w:rFonts w:ascii="Segoe UI" w:hAnsi="Segoe UI" w:cs="Segoe UI"/>
          <w:sz w:val="18"/>
          <w:szCs w:val="18"/>
          <w:lang w:eastAsia="en-GB"/>
        </w:rPr>
      </w:pPr>
      <w:r w:rsidRPr="00D61DBD">
        <w:rPr>
          <w:lang w:eastAsia="en-GB"/>
        </w:rPr>
        <w:t>Incorporation process for positive and negative technology appraisals  </w:t>
      </w:r>
    </w:p>
    <w:p w14:paraId="1A02527A" w14:textId="77777777"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 xml:space="preserve">Where there is newly published technology appraisal guidance within the scope of a NICE guideline topic area, the technology appraisal recommendation will be incorporated into the guideline topic area with no change to the meaning, </w:t>
      </w:r>
      <w:proofErr w:type="gramStart"/>
      <w:r w:rsidRPr="00D61DBD">
        <w:rPr>
          <w:b w:val="0"/>
          <w:bCs w:val="0"/>
          <w:sz w:val="24"/>
          <w:szCs w:val="24"/>
        </w:rPr>
        <w:t>intent</w:t>
      </w:r>
      <w:proofErr w:type="gramEnd"/>
      <w:r w:rsidRPr="00D61DBD">
        <w:rPr>
          <w:b w:val="0"/>
          <w:bCs w:val="0"/>
          <w:sz w:val="24"/>
          <w:szCs w:val="24"/>
        </w:rPr>
        <w:t xml:space="preserve"> or funding requirement (where applied). The incorporation process will be carried out within NICE and will consider any existing treatment options in the decision space, whether topic expert input is needed, and whether additional guideline recommendations are needed to ensure that the care pathway is clear in presenting all the appropriate treatment options.  </w:t>
      </w:r>
    </w:p>
    <w:p w14:paraId="6622E411" w14:textId="77777777"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Where existing technology appraisal recommendations are identified in the same decision-space, all relevant technology appraisal recommendations (existing and newly published) will be incorporated. The timelines for this process will be tested on the pilot topics and detail will be added when the finalised methods and processes are consulted on. </w:t>
      </w:r>
    </w:p>
    <w:p w14:paraId="63944088" w14:textId="77777777" w:rsidR="00D61DBD" w:rsidRPr="00D61DBD" w:rsidRDefault="00D61DBD" w:rsidP="00D61DBD">
      <w:pPr>
        <w:ind w:left="720"/>
        <w:textAlignment w:val="baseline"/>
        <w:rPr>
          <w:rFonts w:ascii="Segoe UI" w:hAnsi="Segoe UI" w:cs="Segoe UI"/>
          <w:sz w:val="18"/>
          <w:szCs w:val="18"/>
          <w:lang w:eastAsia="en-GB"/>
        </w:rPr>
      </w:pPr>
      <w:r w:rsidRPr="00D61DBD">
        <w:rPr>
          <w:rFonts w:ascii="Arial" w:hAnsi="Arial" w:cs="Arial"/>
          <w:lang w:eastAsia="en-GB"/>
        </w:rPr>
        <w:t> </w:t>
      </w:r>
    </w:p>
    <w:p w14:paraId="497C91E0" w14:textId="77777777" w:rsidR="00D61DBD" w:rsidRPr="00D61DBD" w:rsidRDefault="00D61DBD" w:rsidP="00801AC9">
      <w:pPr>
        <w:pStyle w:val="Heading1boardreport"/>
        <w:rPr>
          <w:rFonts w:ascii="Segoe UI" w:hAnsi="Segoe UI" w:cs="Segoe UI"/>
          <w:sz w:val="20"/>
          <w:szCs w:val="20"/>
          <w:lang w:eastAsia="en-GB"/>
        </w:rPr>
      </w:pPr>
      <w:r w:rsidRPr="00D61DBD">
        <w:rPr>
          <w:lang w:eastAsia="en-GB"/>
        </w:rPr>
        <w:lastRenderedPageBreak/>
        <w:t>Integration of technology appraisals  </w:t>
      </w:r>
    </w:p>
    <w:p w14:paraId="4AF50A80" w14:textId="5A9E2334" w:rsidR="00D61DBD" w:rsidRPr="00D61DBD" w:rsidRDefault="00D61DBD" w:rsidP="005D167D">
      <w:pPr>
        <w:pStyle w:val="Heading2boardreport"/>
        <w:rPr>
          <w:rFonts w:ascii="Segoe UI" w:hAnsi="Segoe UI" w:cs="Segoe UI"/>
          <w:sz w:val="18"/>
          <w:szCs w:val="18"/>
          <w:lang w:eastAsia="en-GB"/>
        </w:rPr>
      </w:pPr>
      <w:r w:rsidRPr="00D61DBD">
        <w:rPr>
          <w:lang w:eastAsia="en-GB"/>
        </w:rPr>
        <w:t>Criteria and triggers for integration of technology appraisal recommendations into guideline topic areas </w:t>
      </w:r>
    </w:p>
    <w:p w14:paraId="35A0BF52" w14:textId="77777777"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Technology appraisal recommendations will be considered eligible for integration into a guideline topic area if they fulfil the following criteria:  </w:t>
      </w:r>
    </w:p>
    <w:p w14:paraId="72D87910" w14:textId="2B08353A" w:rsidR="00D61DBD" w:rsidRPr="00F71600" w:rsidRDefault="00D61DBD" w:rsidP="00F71600">
      <w:pPr>
        <w:pStyle w:val="ListParagraph"/>
        <w:numPr>
          <w:ilvl w:val="0"/>
          <w:numId w:val="45"/>
        </w:numPr>
        <w:spacing w:line="360" w:lineRule="auto"/>
        <w:rPr>
          <w:rFonts w:ascii="Arial" w:hAnsi="Arial" w:cs="Arial"/>
        </w:rPr>
      </w:pPr>
      <w:r w:rsidRPr="00F71600">
        <w:rPr>
          <w:rFonts w:ascii="Arial" w:hAnsi="Arial" w:cs="Arial"/>
        </w:rPr>
        <w:t>There are multiple treatment options, including at least one technology appraisal within a decision space, and, </w:t>
      </w:r>
    </w:p>
    <w:p w14:paraId="75A95791" w14:textId="68D01F2B" w:rsidR="00D61DBD" w:rsidRPr="00F71600" w:rsidRDefault="00D61DBD" w:rsidP="00F71600">
      <w:pPr>
        <w:pStyle w:val="ListParagraph"/>
        <w:numPr>
          <w:ilvl w:val="0"/>
          <w:numId w:val="45"/>
        </w:numPr>
        <w:spacing w:line="360" w:lineRule="auto"/>
        <w:rPr>
          <w:rFonts w:ascii="Arial" w:hAnsi="Arial" w:cs="Arial"/>
        </w:rPr>
      </w:pPr>
      <w:r w:rsidRPr="00F71600">
        <w:rPr>
          <w:rFonts w:ascii="Arial" w:hAnsi="Arial" w:cs="Arial"/>
        </w:rPr>
        <w:t>There is no clear or pre-specified rationale for choosing one treatment option over another within that decision space, and </w:t>
      </w:r>
    </w:p>
    <w:p w14:paraId="7C914025" w14:textId="77777777" w:rsidR="00D61DBD" w:rsidRPr="00F71600" w:rsidRDefault="00D61DBD" w:rsidP="00F71600">
      <w:pPr>
        <w:pStyle w:val="ListParagraph"/>
        <w:numPr>
          <w:ilvl w:val="0"/>
          <w:numId w:val="45"/>
        </w:numPr>
        <w:spacing w:line="360" w:lineRule="auto"/>
        <w:rPr>
          <w:rFonts w:ascii="Arial" w:hAnsi="Arial" w:cs="Arial"/>
        </w:rPr>
      </w:pPr>
      <w:r w:rsidRPr="00F71600">
        <w:rPr>
          <w:rFonts w:ascii="Arial" w:hAnsi="Arial" w:cs="Arial"/>
        </w:rPr>
        <w:t>Integration would not normally happen sooner than 3 years from the publication of the technology appraisal to publication of the guideline recommendations into which it would be integrated. </w:t>
      </w:r>
    </w:p>
    <w:p w14:paraId="6B56CFFD" w14:textId="77777777" w:rsidR="00D61DBD" w:rsidRPr="00D61DBD" w:rsidRDefault="00D61DBD" w:rsidP="005D167D">
      <w:pPr>
        <w:pStyle w:val="Heading2boardreport"/>
        <w:rPr>
          <w:lang w:eastAsia="en-GB"/>
        </w:rPr>
      </w:pPr>
      <w:r w:rsidRPr="00D61DBD">
        <w:rPr>
          <w:lang w:eastAsia="en-GB"/>
        </w:rPr>
        <w:t>Methods and processes for integrating technology appraisal recommendations into guideline topic areas.  </w:t>
      </w:r>
    </w:p>
    <w:p w14:paraId="7C76032F" w14:textId="77777777"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 xml:space="preserve">Guideline topic areas in which technology appraisal recommendations will be integrated will broadly follow the methods and processes set out in the </w:t>
      </w:r>
      <w:hyperlink r:id="rId17" w:tgtFrame="_blank" w:history="1">
        <w:r w:rsidRPr="00D61DBD">
          <w:rPr>
            <w:b w:val="0"/>
            <w:bCs w:val="0"/>
            <w:sz w:val="24"/>
            <w:szCs w:val="24"/>
          </w:rPr>
          <w:t>developing NICE guidelines: the manual</w:t>
        </w:r>
      </w:hyperlink>
      <w:r w:rsidRPr="00D61DBD">
        <w:rPr>
          <w:b w:val="0"/>
          <w:bCs w:val="0"/>
          <w:sz w:val="24"/>
          <w:szCs w:val="24"/>
        </w:rPr>
        <w:t>. Where differences in approach between NICE centres exist (for example, use of decision-modifiers in the NICE health technology evaluations manual) we have sought to align where appropriate; these include: </w:t>
      </w:r>
    </w:p>
    <w:p w14:paraId="56652007" w14:textId="77777777" w:rsidR="00D61DBD" w:rsidRPr="00D61DBD" w:rsidRDefault="00D61DBD" w:rsidP="00801AC9">
      <w:pPr>
        <w:pStyle w:val="Heading2boardreport"/>
        <w:rPr>
          <w:rFonts w:ascii="Segoe UI" w:hAnsi="Segoe UI" w:cs="Segoe UI"/>
          <w:sz w:val="20"/>
          <w:szCs w:val="20"/>
          <w:lang w:eastAsia="en-GB"/>
        </w:rPr>
      </w:pPr>
      <w:r w:rsidRPr="00D61DBD">
        <w:rPr>
          <w:lang w:eastAsia="en-GB"/>
        </w:rPr>
        <w:t>Surveillance </w:t>
      </w:r>
    </w:p>
    <w:p w14:paraId="008A936C" w14:textId="1763663E"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 xml:space="preserve">NICE guideline recommendations are subject to surveillance processes set out in </w:t>
      </w:r>
      <w:hyperlink r:id="rId18" w:history="1">
        <w:r w:rsidRPr="00D61DBD">
          <w:rPr>
            <w:rStyle w:val="Hyperlink"/>
            <w:b w:val="0"/>
            <w:bCs w:val="0"/>
            <w:sz w:val="24"/>
            <w:szCs w:val="24"/>
          </w:rPr>
          <w:t>developing NICE guidelines: the manual</w:t>
        </w:r>
      </w:hyperlink>
      <w:r w:rsidRPr="00D61DBD">
        <w:rPr>
          <w:b w:val="0"/>
          <w:bCs w:val="0"/>
          <w:sz w:val="24"/>
          <w:szCs w:val="24"/>
        </w:rPr>
        <w:t xml:space="preserve">. NICE technology appraisal guidance that has been incorporated or integrated into a guideline topic area </w:t>
      </w:r>
      <w:r w:rsidRPr="00D61DBD">
        <w:rPr>
          <w:b w:val="0"/>
          <w:bCs w:val="0"/>
          <w:sz w:val="24"/>
          <w:szCs w:val="24"/>
        </w:rPr>
        <w:lastRenderedPageBreak/>
        <w:t xml:space="preserve">will be subject to surveillance processes as set out in Appendix O of </w:t>
      </w:r>
      <w:hyperlink r:id="rId19" w:tgtFrame="_blank" w:history="1">
        <w:r w:rsidRPr="00D61DBD">
          <w:rPr>
            <w:rStyle w:val="Hyperlink"/>
            <w:b w:val="0"/>
            <w:bCs w:val="0"/>
            <w:sz w:val="24"/>
            <w:szCs w:val="24"/>
          </w:rPr>
          <w:t>developing NICE guidelines: the manual.  </w:t>
        </w:r>
      </w:hyperlink>
    </w:p>
    <w:p w14:paraId="5F4658C5" w14:textId="77777777" w:rsidR="00D61DBD" w:rsidRPr="00D61DBD" w:rsidRDefault="00D61DBD" w:rsidP="00801AC9">
      <w:pPr>
        <w:pStyle w:val="Heading2boardreport"/>
        <w:rPr>
          <w:rFonts w:ascii="Segoe UI" w:hAnsi="Segoe UI" w:cs="Segoe UI"/>
          <w:sz w:val="18"/>
          <w:szCs w:val="18"/>
          <w:lang w:eastAsia="en-GB"/>
        </w:rPr>
      </w:pPr>
      <w:r w:rsidRPr="00D61DBD">
        <w:rPr>
          <w:lang w:eastAsia="en-GB"/>
        </w:rPr>
        <w:t>Scoping </w:t>
      </w:r>
    </w:p>
    <w:p w14:paraId="28C862CC" w14:textId="72F1CA04"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 xml:space="preserve"> Scoping is carried out in line with the methods and processes outlined in </w:t>
      </w:r>
      <w:hyperlink r:id="rId20" w:tgtFrame="_blank" w:history="1">
        <w:r w:rsidRPr="00D61DBD">
          <w:rPr>
            <w:b w:val="0"/>
            <w:bCs w:val="0"/>
            <w:sz w:val="24"/>
            <w:szCs w:val="24"/>
          </w:rPr>
          <w:t>developing NICE guidelines: the manual</w:t>
        </w:r>
      </w:hyperlink>
      <w:r w:rsidRPr="00D61DBD">
        <w:rPr>
          <w:b w:val="0"/>
          <w:bCs w:val="0"/>
          <w:sz w:val="24"/>
          <w:szCs w:val="24"/>
        </w:rPr>
        <w:t>. The scope, or hub page will set out where integration of technology appraisal recommendations will be undertaken. </w:t>
      </w:r>
    </w:p>
    <w:p w14:paraId="2A82FA43" w14:textId="77777777" w:rsidR="00D61DBD" w:rsidRPr="00D61DBD" w:rsidRDefault="00D61DBD" w:rsidP="00FD028C">
      <w:pPr>
        <w:pStyle w:val="Heading1boardreport"/>
        <w:numPr>
          <w:ilvl w:val="0"/>
          <w:numId w:val="28"/>
        </w:numPr>
        <w:rPr>
          <w:b w:val="0"/>
          <w:bCs w:val="0"/>
          <w:sz w:val="24"/>
          <w:szCs w:val="24"/>
        </w:rPr>
      </w:pPr>
      <w:r w:rsidRPr="00D61DBD">
        <w:rPr>
          <w:b w:val="0"/>
          <w:bCs w:val="0"/>
          <w:sz w:val="24"/>
          <w:szCs w:val="24"/>
        </w:rPr>
        <w:t>We will ensure that all the stakeholder organisations that participated in the technology appraisal will be registered as stakeholders for the guideline. Consultees on the original technology appraisal will retain that status. </w:t>
      </w:r>
    </w:p>
    <w:p w14:paraId="7DC7A11F" w14:textId="77777777" w:rsidR="00D61DBD" w:rsidRPr="00D61DBD" w:rsidRDefault="00D61DBD" w:rsidP="00801AC9">
      <w:pPr>
        <w:pStyle w:val="Heading2boardreport"/>
        <w:rPr>
          <w:rFonts w:ascii="Segoe UI" w:hAnsi="Segoe UI" w:cs="Segoe UI"/>
          <w:sz w:val="20"/>
          <w:szCs w:val="20"/>
          <w:lang w:eastAsia="en-GB"/>
        </w:rPr>
      </w:pPr>
      <w:r w:rsidRPr="00D61DBD">
        <w:rPr>
          <w:lang w:eastAsia="en-GB"/>
        </w:rPr>
        <w:t>Identifying the evidence </w:t>
      </w:r>
    </w:p>
    <w:p w14:paraId="6E7D18B9" w14:textId="61DD1D06" w:rsidR="00D61DBD" w:rsidRPr="00D61DBD" w:rsidRDefault="00D61DBD" w:rsidP="00FD028C">
      <w:pPr>
        <w:pStyle w:val="Heading1boardreport"/>
        <w:numPr>
          <w:ilvl w:val="0"/>
          <w:numId w:val="28"/>
        </w:numPr>
        <w:rPr>
          <w:rStyle w:val="Hyperlink"/>
          <w:b w:val="0"/>
          <w:bCs w:val="0"/>
          <w:sz w:val="24"/>
          <w:szCs w:val="24"/>
        </w:rPr>
      </w:pPr>
      <w:r w:rsidRPr="00D61DBD">
        <w:rPr>
          <w:b w:val="0"/>
          <w:bCs w:val="0"/>
          <w:sz w:val="24"/>
          <w:szCs w:val="24"/>
        </w:rPr>
        <w:t xml:space="preserve">In line with the </w:t>
      </w:r>
      <w:hyperlink r:id="rId21" w:tgtFrame="_blank" w:history="1">
        <w:r w:rsidRPr="00D61DBD">
          <w:rPr>
            <w:b w:val="0"/>
            <w:bCs w:val="0"/>
            <w:sz w:val="24"/>
            <w:szCs w:val="24"/>
          </w:rPr>
          <w:t>developing NICE guidelines: the manual</w:t>
        </w:r>
      </w:hyperlink>
      <w:r w:rsidRPr="00D61DBD">
        <w:rPr>
          <w:b w:val="0"/>
          <w:bCs w:val="0"/>
          <w:sz w:val="24"/>
          <w:szCs w:val="24"/>
        </w:rPr>
        <w:t xml:space="preserve">, the best available evidence will be used to inform technology appraisal integration decisions, which may include specific calls for evidence and the use of real-world data, as outlined in </w:t>
      </w:r>
      <w:hyperlink r:id="rId22" w:tgtFrame="_blank" w:history="1">
        <w:r w:rsidRPr="00D61DBD">
          <w:rPr>
            <w:rStyle w:val="Hyperlink"/>
            <w:b w:val="0"/>
            <w:bCs w:val="0"/>
            <w:sz w:val="24"/>
            <w:szCs w:val="24"/>
          </w:rPr>
          <w:t>developing NICE guidelines: the manual</w:t>
        </w:r>
      </w:hyperlink>
      <w:r w:rsidRPr="00D61DBD">
        <w:rPr>
          <w:b w:val="0"/>
          <w:bCs w:val="0"/>
          <w:sz w:val="24"/>
          <w:szCs w:val="24"/>
        </w:rPr>
        <w:t xml:space="preserve"> and the </w:t>
      </w:r>
      <w:r w:rsidR="005D167D">
        <w:rPr>
          <w:b w:val="0"/>
          <w:bCs w:val="0"/>
          <w:sz w:val="24"/>
          <w:szCs w:val="24"/>
        </w:rPr>
        <w:fldChar w:fldCharType="begin"/>
      </w:r>
      <w:r w:rsidR="005D167D">
        <w:rPr>
          <w:b w:val="0"/>
          <w:bCs w:val="0"/>
          <w:sz w:val="24"/>
          <w:szCs w:val="24"/>
        </w:rPr>
        <w:instrText>HYPERLINK "https://www.nice.org.uk/corporate/ecd9/chapter/overview" \t "_blank"</w:instrText>
      </w:r>
      <w:r w:rsidR="005D167D">
        <w:rPr>
          <w:b w:val="0"/>
          <w:bCs w:val="0"/>
          <w:sz w:val="24"/>
          <w:szCs w:val="24"/>
        </w:rPr>
      </w:r>
      <w:r w:rsidR="005D167D">
        <w:rPr>
          <w:b w:val="0"/>
          <w:bCs w:val="0"/>
          <w:sz w:val="24"/>
          <w:szCs w:val="24"/>
        </w:rPr>
        <w:fldChar w:fldCharType="separate"/>
      </w:r>
      <w:r w:rsidRPr="00D61DBD">
        <w:rPr>
          <w:rStyle w:val="Hyperlink"/>
          <w:b w:val="0"/>
          <w:bCs w:val="0"/>
          <w:sz w:val="24"/>
          <w:szCs w:val="24"/>
        </w:rPr>
        <w:t>NICE real-world evidence framework.</w:t>
      </w:r>
    </w:p>
    <w:p w14:paraId="1514D804" w14:textId="57ED0D17" w:rsidR="00801AC9" w:rsidRPr="00801AC9" w:rsidRDefault="005D167D" w:rsidP="005B4163">
      <w:pPr>
        <w:pStyle w:val="Heading1boardreport"/>
        <w:keepNext w:val="0"/>
        <w:widowControl w:val="0"/>
        <w:numPr>
          <w:ilvl w:val="0"/>
          <w:numId w:val="28"/>
        </w:numPr>
        <w:ind w:left="714" w:hanging="357"/>
        <w:rPr>
          <w:b w:val="0"/>
          <w:bCs w:val="0"/>
          <w:sz w:val="24"/>
          <w:szCs w:val="24"/>
        </w:rPr>
      </w:pPr>
      <w:r>
        <w:rPr>
          <w:b w:val="0"/>
          <w:bCs w:val="0"/>
          <w:sz w:val="24"/>
          <w:szCs w:val="24"/>
        </w:rPr>
        <w:fldChar w:fldCharType="end"/>
      </w:r>
      <w:r w:rsidR="00D61DBD" w:rsidRPr="00D61DBD">
        <w:rPr>
          <w:b w:val="0"/>
          <w:bCs w:val="0"/>
          <w:sz w:val="24"/>
          <w:szCs w:val="24"/>
        </w:rPr>
        <w:t>As part of the technology appraisal integration process, NICE will request consent from relevant parties to share the confidential data (including the economic model) that was previously submitted as part of the technology appraisal evaluation with development teams in Centre for Guidelines.  </w:t>
      </w:r>
    </w:p>
    <w:p w14:paraId="02909179" w14:textId="37A0EC9D" w:rsidR="00D61DBD" w:rsidRPr="00D61DBD" w:rsidRDefault="00D61DBD" w:rsidP="005B4163">
      <w:pPr>
        <w:pStyle w:val="Heading2boardreport"/>
        <w:keepNext w:val="0"/>
        <w:widowControl w:val="0"/>
        <w:rPr>
          <w:rFonts w:ascii="Segoe UI" w:hAnsi="Segoe UI" w:cs="Segoe UI"/>
          <w:lang w:eastAsia="en-GB"/>
        </w:rPr>
      </w:pPr>
      <w:r w:rsidRPr="00D61DBD">
        <w:rPr>
          <w:lang w:eastAsia="en-GB"/>
        </w:rPr>
        <w:t>VAT </w:t>
      </w:r>
    </w:p>
    <w:p w14:paraId="7F296F53"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VAT will be excluded from the integration decision space, for technology appraisal and non-technology appraisal guidance, as described in the NICE health technology evaluations manual. </w:t>
      </w:r>
    </w:p>
    <w:p w14:paraId="73A0AEF9" w14:textId="38F4C983" w:rsidR="005B4163"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Users will have the ability to include and exclude VAT in the resource impact assessment tools that publish alongside the guidance. </w:t>
      </w:r>
    </w:p>
    <w:p w14:paraId="21E382D4" w14:textId="77777777" w:rsidR="005B4163" w:rsidRDefault="005B4163">
      <w:pPr>
        <w:rPr>
          <w:rFonts w:ascii="Arial" w:hAnsi="Arial" w:cs="Arial"/>
          <w:kern w:val="32"/>
        </w:rPr>
      </w:pPr>
      <w:r>
        <w:rPr>
          <w:b/>
          <w:bCs/>
        </w:rPr>
        <w:br w:type="page"/>
      </w:r>
    </w:p>
    <w:p w14:paraId="766585E8" w14:textId="77777777" w:rsidR="00D61DBD" w:rsidRPr="00D61DBD" w:rsidRDefault="00D61DBD" w:rsidP="005B4163">
      <w:pPr>
        <w:pStyle w:val="Heading2boardreport"/>
        <w:keepNext w:val="0"/>
        <w:widowControl w:val="0"/>
        <w:rPr>
          <w:rFonts w:ascii="Segoe UI" w:hAnsi="Segoe UI" w:cs="Segoe UI"/>
          <w:sz w:val="20"/>
          <w:szCs w:val="20"/>
          <w:lang w:eastAsia="en-GB"/>
        </w:rPr>
      </w:pPr>
      <w:r w:rsidRPr="00D61DBD">
        <w:rPr>
          <w:lang w:eastAsia="en-GB"/>
        </w:rPr>
        <w:lastRenderedPageBreak/>
        <w:t>Quantitative decision modifiers </w:t>
      </w:r>
    </w:p>
    <w:p w14:paraId="2FCF1470"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To enable consistent decision making across NICE guidelines and technology appraisals the quantitative modifiers introduced by the Centre for Health Technology Evaluation (CHTE) for technology appraisal guidance will be considered within the guideline where there is a technology appraisal that will be integrated.  </w:t>
      </w:r>
    </w:p>
    <w:p w14:paraId="364FC99B"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Where a technology has previously received guidance from the Technology Appraisal Programme, the guideline committee will consider the application of relevant quantitative modifiers. Where severity considerations apply, this is defined as in NICE health technology evaluations manual.  </w:t>
      </w:r>
    </w:p>
    <w:p w14:paraId="2DF60CA3"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If quantitative decision modifiers were used in the technology appraisal guidance, the guideline committee will be mindful of the continued acceptability of a technology as an effective use of NHS resources, should the relevant quantitative modifiers no longer be applicable, and will specifically consider if health outcomes would be significantly reduced if a technology was removed as an option. In these circumstances, the committee may be able to make recommendations applying greater flexibility around the range of acceptable cost effectiveness estimates. </w:t>
      </w:r>
    </w:p>
    <w:p w14:paraId="2E0A45F8" w14:textId="03ADF277" w:rsidR="00D61DBD" w:rsidRPr="00D61DBD" w:rsidRDefault="00D61DBD" w:rsidP="005B4163">
      <w:pPr>
        <w:pStyle w:val="Heading2boardreport"/>
        <w:rPr>
          <w:rFonts w:ascii="Segoe UI" w:hAnsi="Segoe UI" w:cs="Segoe UI"/>
          <w:sz w:val="20"/>
          <w:szCs w:val="20"/>
          <w:lang w:eastAsia="en-GB"/>
        </w:rPr>
      </w:pPr>
      <w:r w:rsidRPr="00D61DBD">
        <w:rPr>
          <w:lang w:eastAsia="en-GB"/>
        </w:rPr>
        <w:t> Cost effectiveness </w:t>
      </w:r>
    </w:p>
    <w:p w14:paraId="5B2B177B" w14:textId="01F3A125"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 xml:space="preserve">As outlined within the </w:t>
      </w:r>
      <w:hyperlink r:id="rId23" w:history="1">
        <w:r w:rsidRPr="00D61DBD">
          <w:rPr>
            <w:rStyle w:val="Hyperlink"/>
            <w:b w:val="0"/>
            <w:bCs w:val="0"/>
            <w:sz w:val="24"/>
            <w:szCs w:val="24"/>
          </w:rPr>
          <w:t>NICE principles</w:t>
        </w:r>
      </w:hyperlink>
      <w:r w:rsidRPr="00D61DBD">
        <w:rPr>
          <w:b w:val="0"/>
          <w:bCs w:val="0"/>
          <w:sz w:val="24"/>
          <w:szCs w:val="24"/>
        </w:rPr>
        <w:t xml:space="preserve">, NICE considers value for money of interventions by assessing the incremental cost-effectiveness ratio (ICER). Interventions with an ICER of less than £20,000 per QALY gained are generally considered to be cost-effective. Decisions must consider the evidence underpinning an evaluation, population need and the 'opportunity cost' of recommending one intervention instead of another. NICE recommendations also </w:t>
      </w:r>
      <w:proofErr w:type="gramStart"/>
      <w:r w:rsidRPr="00D61DBD">
        <w:rPr>
          <w:b w:val="0"/>
          <w:bCs w:val="0"/>
          <w:sz w:val="24"/>
          <w:szCs w:val="24"/>
        </w:rPr>
        <w:t>take into account</w:t>
      </w:r>
      <w:proofErr w:type="gramEnd"/>
      <w:r w:rsidRPr="00D61DBD">
        <w:rPr>
          <w:b w:val="0"/>
          <w:bCs w:val="0"/>
          <w:sz w:val="24"/>
          <w:szCs w:val="24"/>
        </w:rPr>
        <w:t xml:space="preserve"> other factors beyond the evidence of costs and benefit alone, and NICE’s methods manuals explain when it is acceptable to recommend an intervention with a higher cost effectiveness estimate than £20,000 per QALY gained. </w:t>
      </w:r>
    </w:p>
    <w:p w14:paraId="1F30A21A"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 xml:space="preserve">The NICE health technology evaluations manual gives specific reference to </w:t>
      </w:r>
      <w:r w:rsidRPr="00D61DBD">
        <w:rPr>
          <w:b w:val="0"/>
          <w:bCs w:val="0"/>
          <w:sz w:val="24"/>
          <w:szCs w:val="24"/>
        </w:rPr>
        <w:lastRenderedPageBreak/>
        <w:t>decisions made for technologies when the most plausible ICER is between £20,000 to £30,000 per QALY gained or over £30,000 per QALY gained.  </w:t>
      </w:r>
    </w:p>
    <w:p w14:paraId="27C77FCF" w14:textId="607B1E34"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 xml:space="preserve">Where a technology has previously received guidance from the Technology Appraisal Programme and is integrated into a guideline, decisions on continued adoption of these technologies in NHS clinical practice will specifically consider the acceptability of the technology as an effective use of NHS resources </w:t>
      </w:r>
      <w:r w:rsidR="00066E26" w:rsidRPr="00066E26">
        <w:rPr>
          <w:b w:val="0"/>
          <w:bCs w:val="0"/>
          <w:sz w:val="24"/>
          <w:szCs w:val="24"/>
        </w:rPr>
        <w:t>aligned with this range of maximum acceptable ICERs. As cost effectiveness is not the only basis for decisions, the Committee will consider technologies in relation to the range of maximum acceptable ICERs, and the influence of other factors on the decision to recommend a technology.</w:t>
      </w:r>
      <w:r w:rsidRPr="00D61DBD">
        <w:rPr>
          <w:b w:val="0"/>
          <w:bCs w:val="0"/>
          <w:sz w:val="24"/>
          <w:szCs w:val="24"/>
        </w:rPr>
        <w:t>  </w:t>
      </w:r>
    </w:p>
    <w:p w14:paraId="2B7F032A" w14:textId="77777777" w:rsidR="00D61DBD" w:rsidRPr="00D61DBD" w:rsidRDefault="00D61DBD" w:rsidP="005B4163">
      <w:pPr>
        <w:pStyle w:val="Heading2boardreport"/>
        <w:keepNext w:val="0"/>
        <w:widowControl w:val="0"/>
        <w:rPr>
          <w:rFonts w:ascii="Segoe UI" w:hAnsi="Segoe UI" w:cs="Segoe UI"/>
          <w:sz w:val="20"/>
          <w:szCs w:val="20"/>
          <w:lang w:eastAsia="en-GB"/>
        </w:rPr>
      </w:pPr>
      <w:r w:rsidRPr="00D61DBD">
        <w:rPr>
          <w:lang w:eastAsia="en-GB"/>
        </w:rPr>
        <w:t>Guideline Recommendations </w:t>
      </w:r>
    </w:p>
    <w:p w14:paraId="42A9295D"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When a guideline committee considers one or more technology appraisals for integration in a guideline topic area, it may choose to make recommendations about preferred sequences or hierarchies based on an assessment of clinical effectiveness and cost-effectiveness. Whether options are presented as sequences or hierarchies will depend on how options are used to treat the condition in clinical practice and the marketing authorisation for the technologies. </w:t>
      </w:r>
    </w:p>
    <w:p w14:paraId="6EA4BD15"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Where there is evidence that the technology provides appropriate benefits and value for money, the guideline committee may make recommendations that expand use from the population covered by the technology appraisal. The committee may also make recommendations for narrower use of the technology. For example, use only for patients with a particular condition who meet specific clinical eligibility criteria, only for a specific subgroup of people, or that the treatment must be given by staff with certain training or in a particular care setting. </w:t>
      </w:r>
    </w:p>
    <w:p w14:paraId="40F6C8D6"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 xml:space="preserve"> If the committee agree that for the population outlined in the original technology appraisal guidance, the technology is unlikely to be cost effective or (given full consideration of evidence) a good use of NHS resources, a </w:t>
      </w:r>
      <w:r w:rsidRPr="00D61DBD">
        <w:rPr>
          <w:b w:val="0"/>
          <w:bCs w:val="0"/>
          <w:sz w:val="24"/>
          <w:szCs w:val="24"/>
        </w:rPr>
        <w:lastRenderedPageBreak/>
        <w:t>recommendation against a product will be made and the technology appraisal guidance will be withdrawn. </w:t>
      </w:r>
    </w:p>
    <w:p w14:paraId="56839D78" w14:textId="77777777" w:rsidR="00D61DBD" w:rsidRPr="00D61DBD" w:rsidRDefault="00D61DBD" w:rsidP="005B4163">
      <w:pPr>
        <w:pStyle w:val="Heading2boardreport"/>
        <w:keepNext w:val="0"/>
        <w:widowControl w:val="0"/>
        <w:rPr>
          <w:rFonts w:ascii="Segoe UI" w:hAnsi="Segoe UI" w:cs="Segoe UI"/>
          <w:sz w:val="20"/>
          <w:szCs w:val="20"/>
          <w:lang w:eastAsia="en-GB"/>
        </w:rPr>
      </w:pPr>
      <w:r w:rsidRPr="00D61DBD">
        <w:rPr>
          <w:lang w:eastAsia="en-GB"/>
        </w:rPr>
        <w:t>Funding requirements </w:t>
      </w:r>
    </w:p>
    <w:p w14:paraId="123CFBBC"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The funding requirement associated with a positive technology appraisal recommendation will remain unchanged whenever the technology is included in a guideline as a recommended option, even if that recommended use is narrower than the original technology appraisal guidance.   </w:t>
      </w:r>
    </w:p>
    <w:p w14:paraId="4892076E"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The funding requirement will no longer apply if the technology appraisal guidance is withdrawn. </w:t>
      </w:r>
    </w:p>
    <w:p w14:paraId="2533E047" w14:textId="77777777" w:rsidR="00D61DBD" w:rsidRPr="00D61DBD" w:rsidRDefault="00D61DBD" w:rsidP="005B4163">
      <w:pPr>
        <w:pStyle w:val="Heading2boardreport"/>
        <w:keepNext w:val="0"/>
        <w:widowControl w:val="0"/>
        <w:rPr>
          <w:rFonts w:ascii="Segoe UI" w:hAnsi="Segoe UI" w:cs="Segoe UI"/>
          <w:sz w:val="20"/>
          <w:szCs w:val="20"/>
          <w:lang w:eastAsia="en-GB"/>
        </w:rPr>
      </w:pPr>
      <w:r w:rsidRPr="00D61DBD">
        <w:rPr>
          <w:lang w:eastAsia="en-GB"/>
        </w:rPr>
        <w:t>Commercial engagement </w:t>
      </w:r>
    </w:p>
    <w:p w14:paraId="522FCB0D"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 xml:space="preserve">There will be a single opportunity to review existing simple discount patient access </w:t>
      </w:r>
      <w:proofErr w:type="gramStart"/>
      <w:r w:rsidRPr="00D61DBD">
        <w:rPr>
          <w:b w:val="0"/>
          <w:bCs w:val="0"/>
          <w:sz w:val="24"/>
          <w:szCs w:val="24"/>
        </w:rPr>
        <w:t>schemes;</w:t>
      </w:r>
      <w:proofErr w:type="gramEnd"/>
      <w:r w:rsidRPr="00D61DBD">
        <w:rPr>
          <w:b w:val="0"/>
          <w:bCs w:val="0"/>
          <w:sz w:val="24"/>
          <w:szCs w:val="24"/>
        </w:rPr>
        <w:t> </w:t>
      </w:r>
    </w:p>
    <w:p w14:paraId="0E8D8199" w14:textId="548555A4" w:rsidR="00D61DBD" w:rsidRPr="00D61DBD" w:rsidRDefault="00D61DBD" w:rsidP="005B4163">
      <w:pPr>
        <w:pStyle w:val="Heading1boardreport"/>
        <w:keepNext w:val="0"/>
        <w:widowControl w:val="0"/>
        <w:numPr>
          <w:ilvl w:val="1"/>
          <w:numId w:val="29"/>
        </w:numPr>
        <w:rPr>
          <w:b w:val="0"/>
          <w:bCs w:val="0"/>
          <w:sz w:val="24"/>
          <w:szCs w:val="24"/>
        </w:rPr>
      </w:pPr>
      <w:r w:rsidRPr="00D61DBD">
        <w:rPr>
          <w:b w:val="0"/>
          <w:bCs w:val="0"/>
          <w:sz w:val="24"/>
          <w:szCs w:val="24"/>
        </w:rPr>
        <w:t>In response during or after stakeholder consultation, and </w:t>
      </w:r>
    </w:p>
    <w:p w14:paraId="65B1962F" w14:textId="5DDDCE14" w:rsidR="00D61DBD" w:rsidRPr="00D61DBD" w:rsidRDefault="00D61DBD" w:rsidP="005B4163">
      <w:pPr>
        <w:pStyle w:val="Heading1boardreport"/>
        <w:keepNext w:val="0"/>
        <w:widowControl w:val="0"/>
        <w:numPr>
          <w:ilvl w:val="1"/>
          <w:numId w:val="29"/>
        </w:numPr>
        <w:rPr>
          <w:b w:val="0"/>
          <w:bCs w:val="0"/>
          <w:sz w:val="24"/>
          <w:szCs w:val="24"/>
        </w:rPr>
      </w:pPr>
      <w:r w:rsidRPr="00D61DBD">
        <w:rPr>
          <w:b w:val="0"/>
          <w:bCs w:val="0"/>
          <w:sz w:val="24"/>
          <w:szCs w:val="24"/>
        </w:rPr>
        <w:t>In response to the final draft recommendations post- stakeholder consultation </w:t>
      </w:r>
    </w:p>
    <w:p w14:paraId="68DB6D7A" w14:textId="1006ED7A"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There will be an opportunity to review and potentially revise an existing, or engage in discussion about a new, Commercial Access Agreement in response to the final draft recommendations post stakeholder consultation where NHS England confirms that they are willing to engage in such discussions. </w:t>
      </w:r>
    </w:p>
    <w:p w14:paraId="4503CA72"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All commercial activities will be in line with the NHS Commercial Framework for New Medicines. </w:t>
      </w:r>
    </w:p>
    <w:p w14:paraId="3D7A4B2F" w14:textId="77777777" w:rsidR="00D61DBD" w:rsidRPr="00D61DBD" w:rsidRDefault="00D61DBD" w:rsidP="005B4163">
      <w:pPr>
        <w:pStyle w:val="Heading2boardreport"/>
        <w:keepNext w:val="0"/>
        <w:widowControl w:val="0"/>
        <w:rPr>
          <w:rFonts w:ascii="Segoe UI" w:hAnsi="Segoe UI" w:cs="Segoe UI"/>
          <w:sz w:val="20"/>
          <w:szCs w:val="20"/>
          <w:lang w:eastAsia="en-GB"/>
        </w:rPr>
      </w:pPr>
      <w:r w:rsidRPr="00D61DBD">
        <w:rPr>
          <w:lang w:eastAsia="en-GB"/>
        </w:rPr>
        <w:t>The validation process for draft guidelines </w:t>
      </w:r>
    </w:p>
    <w:p w14:paraId="17A326C3" w14:textId="7A1BADF5"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 xml:space="preserve">The validation process and finalising and publishing the guideline recommendations will follow the methods and processes set out in </w:t>
      </w:r>
      <w:hyperlink r:id="rId24" w:history="1">
        <w:r w:rsidRPr="00D61DBD">
          <w:rPr>
            <w:rStyle w:val="Hyperlink"/>
            <w:b w:val="0"/>
            <w:bCs w:val="0"/>
            <w:sz w:val="24"/>
            <w:szCs w:val="24"/>
          </w:rPr>
          <w:t>developing NICE guidelines: the manual. </w:t>
        </w:r>
      </w:hyperlink>
    </w:p>
    <w:p w14:paraId="6912D4C3" w14:textId="77777777" w:rsidR="00D61DBD" w:rsidRPr="00D61DBD" w:rsidRDefault="00D61DBD" w:rsidP="005B4163">
      <w:pPr>
        <w:pStyle w:val="Heading2boardreport"/>
        <w:keepNext w:val="0"/>
        <w:widowControl w:val="0"/>
        <w:rPr>
          <w:rFonts w:ascii="Segoe UI" w:hAnsi="Segoe UI" w:cs="Segoe UI"/>
          <w:sz w:val="20"/>
          <w:szCs w:val="20"/>
          <w:lang w:eastAsia="en-GB"/>
        </w:rPr>
      </w:pPr>
      <w:r w:rsidRPr="00D61DBD">
        <w:rPr>
          <w:lang w:eastAsia="en-GB"/>
        </w:rPr>
        <w:lastRenderedPageBreak/>
        <w:t xml:space="preserve">Appeals </w:t>
      </w:r>
      <w:proofErr w:type="gramStart"/>
      <w:r w:rsidRPr="00D61DBD">
        <w:rPr>
          <w:lang w:eastAsia="en-GB"/>
        </w:rPr>
        <w:t>process</w:t>
      </w:r>
      <w:proofErr w:type="gramEnd"/>
      <w:r w:rsidRPr="00D61DBD">
        <w:rPr>
          <w:lang w:eastAsia="en-GB"/>
        </w:rPr>
        <w:t> </w:t>
      </w:r>
    </w:p>
    <w:p w14:paraId="12793973" w14:textId="661E65E9"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Where technology appraisal guidance is withdrawn following integration into a guideline</w:t>
      </w:r>
      <w:r w:rsidR="000E48B1">
        <w:rPr>
          <w:b w:val="0"/>
          <w:bCs w:val="0"/>
          <w:sz w:val="24"/>
          <w:szCs w:val="24"/>
        </w:rPr>
        <w:t xml:space="preserve">, </w:t>
      </w:r>
      <w:hyperlink r:id="rId25" w:history="1">
        <w:r w:rsidR="000E48B1" w:rsidRPr="000E48B1">
          <w:rPr>
            <w:rStyle w:val="Hyperlink"/>
            <w:b w:val="0"/>
            <w:bCs w:val="0"/>
            <w:sz w:val="24"/>
            <w:szCs w:val="24"/>
          </w:rPr>
          <w:t>consultees</w:t>
        </w:r>
      </w:hyperlink>
      <w:r w:rsidR="000E48B1">
        <w:rPr>
          <w:b w:val="0"/>
          <w:bCs w:val="0"/>
          <w:sz w:val="24"/>
          <w:szCs w:val="24"/>
        </w:rPr>
        <w:t xml:space="preserve"> </w:t>
      </w:r>
      <w:r w:rsidRPr="00D61DBD">
        <w:rPr>
          <w:b w:val="0"/>
          <w:bCs w:val="0"/>
          <w:sz w:val="24"/>
          <w:szCs w:val="24"/>
        </w:rPr>
        <w:t>outlined in the stakeholder list can appeal the guidance withdrawal and accompanying guideline recommendation, or the process followed using an amended technology appraisal appeal process (see paragraph 3</w:t>
      </w:r>
      <w:r w:rsidR="00066E26">
        <w:rPr>
          <w:b w:val="0"/>
          <w:bCs w:val="0"/>
          <w:sz w:val="24"/>
          <w:szCs w:val="24"/>
        </w:rPr>
        <w:t>5</w:t>
      </w:r>
      <w:r w:rsidRPr="00D61DBD">
        <w:rPr>
          <w:b w:val="0"/>
          <w:bCs w:val="0"/>
          <w:sz w:val="24"/>
          <w:szCs w:val="24"/>
        </w:rPr>
        <w:t>). </w:t>
      </w:r>
    </w:p>
    <w:p w14:paraId="4F9DA6E0"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The technology appraisal appeals process will only be amended to reflect the methods and processes used for integrating technology appraisals into a NICE guideline, and that the recommendations are made by a NICE guideline committee instead of a NICE appraisals committee. </w:t>
      </w:r>
    </w:p>
    <w:p w14:paraId="6E17BEC2" w14:textId="5F4ECBFA" w:rsid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 xml:space="preserve">Only </w:t>
      </w:r>
      <w:hyperlink r:id="rId26" w:history="1">
        <w:r w:rsidRPr="00D61DBD">
          <w:rPr>
            <w:rStyle w:val="Hyperlink"/>
            <w:b w:val="0"/>
            <w:bCs w:val="0"/>
            <w:sz w:val="24"/>
            <w:szCs w:val="24"/>
          </w:rPr>
          <w:t>consultees</w:t>
        </w:r>
      </w:hyperlink>
      <w:r w:rsidRPr="00D61DBD">
        <w:rPr>
          <w:b w:val="0"/>
          <w:bCs w:val="0"/>
          <w:sz w:val="24"/>
          <w:szCs w:val="24"/>
        </w:rPr>
        <w:t xml:space="preserve"> can lodge an appeal. Consultees will not be able to re-appeal any points from the original technology appraisal development process. Consultees will be outlined using the stakeholder list (or matrix) published as part of the original technology appraisal guidance development. During guideline development stakeholders will be able to request updates to the stakeholder list. NICE will approve updates where they reflect changes over time and are aligned with the current definitions of consultees outlined in </w:t>
      </w:r>
      <w:hyperlink r:id="rId27" w:anchor="participants-in-the-evaluation-process" w:history="1">
        <w:r w:rsidRPr="00D61DBD">
          <w:rPr>
            <w:rStyle w:val="Hyperlink"/>
            <w:b w:val="0"/>
            <w:bCs w:val="0"/>
            <w:sz w:val="24"/>
            <w:szCs w:val="24"/>
          </w:rPr>
          <w:t>section 1.2.18 of the NICE health technology evaluations manual.  </w:t>
        </w:r>
      </w:hyperlink>
    </w:p>
    <w:p w14:paraId="1FFDFB16" w14:textId="77777777" w:rsidR="00D61DBD" w:rsidRPr="00D61DBD" w:rsidRDefault="00D61DBD" w:rsidP="005B4163">
      <w:pPr>
        <w:pStyle w:val="Heading2boardreport"/>
        <w:keepNext w:val="0"/>
        <w:widowControl w:val="0"/>
        <w:rPr>
          <w:rFonts w:ascii="Segoe UI" w:hAnsi="Segoe UI" w:cs="Segoe UI"/>
          <w:sz w:val="20"/>
          <w:szCs w:val="20"/>
          <w:lang w:eastAsia="en-GB"/>
        </w:rPr>
      </w:pPr>
      <w:r w:rsidRPr="00D61DBD">
        <w:rPr>
          <w:lang w:eastAsia="en-GB"/>
        </w:rPr>
        <w:t>Updates to this interim methods and process statement </w:t>
      </w:r>
    </w:p>
    <w:p w14:paraId="6D962FF7" w14:textId="77777777" w:rsidR="00D61DBD" w:rsidRPr="00D61DBD" w:rsidRDefault="00D61DBD" w:rsidP="005B4163">
      <w:pPr>
        <w:pStyle w:val="Heading1boardreport"/>
        <w:keepNext w:val="0"/>
        <w:widowControl w:val="0"/>
        <w:numPr>
          <w:ilvl w:val="0"/>
          <w:numId w:val="28"/>
        </w:numPr>
        <w:rPr>
          <w:b w:val="0"/>
          <w:bCs w:val="0"/>
          <w:sz w:val="24"/>
          <w:szCs w:val="24"/>
        </w:rPr>
      </w:pPr>
      <w:r w:rsidRPr="00D61DBD">
        <w:rPr>
          <w:b w:val="0"/>
          <w:bCs w:val="0"/>
          <w:sz w:val="24"/>
          <w:szCs w:val="24"/>
        </w:rPr>
        <w:t>Following consultation on the interim method and process statement and pilot topics, the statement will be reviewed and published. After completion of the pilot topics the final methods and processes will be included in NICE methods and process manuals.   </w:t>
      </w:r>
    </w:p>
    <w:p w14:paraId="35BB00AE" w14:textId="0DB6C811" w:rsidR="00D61DBD" w:rsidRPr="00D61DBD" w:rsidRDefault="00D61DBD" w:rsidP="005B4163">
      <w:pPr>
        <w:pStyle w:val="Heading1boardreport"/>
        <w:keepNext w:val="0"/>
        <w:widowControl w:val="0"/>
        <w:ind w:left="720"/>
        <w:rPr>
          <w:b w:val="0"/>
          <w:bCs w:val="0"/>
          <w:sz w:val="24"/>
          <w:szCs w:val="24"/>
        </w:rPr>
      </w:pPr>
    </w:p>
    <w:p w14:paraId="1294267C" w14:textId="77777777" w:rsidR="00D61DBD" w:rsidRPr="00D61DBD" w:rsidRDefault="00D61DBD" w:rsidP="005B4163">
      <w:pPr>
        <w:pStyle w:val="NICEnormal"/>
        <w:widowControl w:val="0"/>
      </w:pPr>
    </w:p>
    <w:bookmarkEnd w:id="0"/>
    <w:p w14:paraId="1904FCA8" w14:textId="77777777" w:rsidR="00B9699B" w:rsidRPr="00B9699B" w:rsidRDefault="00B9699B" w:rsidP="005B4163">
      <w:pPr>
        <w:pStyle w:val="NICEnormal"/>
        <w:widowControl w:val="0"/>
      </w:pPr>
    </w:p>
    <w:sectPr w:rsidR="00B9699B" w:rsidRPr="00B9699B" w:rsidSect="00B0463B">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9AB83" w14:textId="77777777" w:rsidR="00463551" w:rsidRDefault="00463551">
      <w:r>
        <w:separator/>
      </w:r>
    </w:p>
  </w:endnote>
  <w:endnote w:type="continuationSeparator" w:id="0">
    <w:p w14:paraId="271AB5EF" w14:textId="77777777" w:rsidR="00463551" w:rsidRDefault="00463551">
      <w:r>
        <w:continuationSeparator/>
      </w:r>
    </w:p>
  </w:endnote>
  <w:endnote w:type="continuationNotice" w:id="1">
    <w:p w14:paraId="2A393AFC" w14:textId="77777777" w:rsidR="00463551" w:rsidRDefault="00463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0275" w14:textId="20ABE944" w:rsidR="004B4705" w:rsidRPr="00AF3000" w:rsidRDefault="007356BA" w:rsidP="004B4705">
    <w:pPr>
      <w:pStyle w:val="Footer"/>
      <w:tabs>
        <w:tab w:val="right" w:pos="8931"/>
        <w:tab w:val="right" w:pos="13892"/>
      </w:tabs>
      <w:rPr>
        <w:color w:val="000000" w:themeColor="text1"/>
        <w:szCs w:val="16"/>
      </w:rPr>
    </w:pPr>
    <w:r>
      <w:rPr>
        <w:szCs w:val="16"/>
      </w:rPr>
      <w:t>Update on NICE methods and processes</w:t>
    </w:r>
    <w:r w:rsidR="006C0D5D">
      <w:rPr>
        <w:szCs w:val="16"/>
      </w:rPr>
      <w:tab/>
    </w:r>
    <w:r w:rsidR="006C0D5D">
      <w:rPr>
        <w:szCs w:val="16"/>
      </w:rPr>
      <w:tab/>
    </w:r>
    <w:r w:rsidR="004B4705" w:rsidRPr="00AF3000">
      <w:rPr>
        <w:color w:val="000000" w:themeColor="text1"/>
        <w:szCs w:val="16"/>
      </w:rPr>
      <w:t xml:space="preserve">Page </w:t>
    </w:r>
    <w:r w:rsidR="004B4705" w:rsidRPr="00AF3000">
      <w:rPr>
        <w:color w:val="000000" w:themeColor="text1"/>
        <w:szCs w:val="16"/>
        <w:shd w:val="clear" w:color="auto" w:fill="E6E6E6"/>
      </w:rPr>
      <w:fldChar w:fldCharType="begin"/>
    </w:r>
    <w:r w:rsidR="004B4705" w:rsidRPr="00AF3000">
      <w:rPr>
        <w:color w:val="000000" w:themeColor="text1"/>
        <w:szCs w:val="16"/>
      </w:rPr>
      <w:instrText xml:space="preserve"> PAGE  \* Arabic  \* MERGEFORMAT </w:instrText>
    </w:r>
    <w:r w:rsidR="004B4705" w:rsidRPr="00AF3000">
      <w:rPr>
        <w:color w:val="000000" w:themeColor="text1"/>
        <w:szCs w:val="16"/>
        <w:shd w:val="clear" w:color="auto" w:fill="E6E6E6"/>
      </w:rPr>
      <w:fldChar w:fldCharType="separate"/>
    </w:r>
    <w:r w:rsidR="004B4705" w:rsidRPr="00AF3000">
      <w:rPr>
        <w:noProof/>
        <w:color w:val="000000" w:themeColor="text1"/>
        <w:szCs w:val="16"/>
      </w:rPr>
      <w:t>7</w:t>
    </w:r>
    <w:r w:rsidR="004B4705" w:rsidRPr="00AF3000">
      <w:rPr>
        <w:color w:val="000000" w:themeColor="text1"/>
        <w:szCs w:val="16"/>
        <w:shd w:val="clear" w:color="auto" w:fill="E6E6E6"/>
      </w:rPr>
      <w:fldChar w:fldCharType="end"/>
    </w:r>
    <w:r w:rsidR="004B4705" w:rsidRPr="00AF3000">
      <w:rPr>
        <w:color w:val="000000" w:themeColor="text1"/>
        <w:szCs w:val="16"/>
      </w:rPr>
      <w:t xml:space="preserve"> of </w:t>
    </w:r>
    <w:r w:rsidR="004B4705" w:rsidRPr="00AF3000">
      <w:rPr>
        <w:color w:val="000000" w:themeColor="text1"/>
        <w:szCs w:val="16"/>
        <w:shd w:val="clear" w:color="auto" w:fill="E6E6E6"/>
      </w:rPr>
      <w:fldChar w:fldCharType="begin"/>
    </w:r>
    <w:r w:rsidR="004B4705" w:rsidRPr="00AF3000">
      <w:rPr>
        <w:color w:val="000000" w:themeColor="text1"/>
        <w:szCs w:val="16"/>
      </w:rPr>
      <w:instrText xml:space="preserve"> NUMPAGES  \* Arabic  \* MERGEFORMAT </w:instrText>
    </w:r>
    <w:r w:rsidR="004B4705" w:rsidRPr="00AF3000">
      <w:rPr>
        <w:color w:val="000000" w:themeColor="text1"/>
        <w:szCs w:val="16"/>
        <w:shd w:val="clear" w:color="auto" w:fill="E6E6E6"/>
      </w:rPr>
      <w:fldChar w:fldCharType="separate"/>
    </w:r>
    <w:r w:rsidR="004B4705" w:rsidRPr="00AF3000">
      <w:rPr>
        <w:noProof/>
        <w:color w:val="000000" w:themeColor="text1"/>
        <w:szCs w:val="16"/>
      </w:rPr>
      <w:t>8</w:t>
    </w:r>
    <w:r w:rsidR="004B4705" w:rsidRPr="00AF3000">
      <w:rPr>
        <w:color w:val="000000" w:themeColor="text1"/>
        <w:szCs w:val="16"/>
        <w:shd w:val="clear" w:color="auto" w:fill="E6E6E6"/>
      </w:rPr>
      <w:fldChar w:fldCharType="end"/>
    </w:r>
  </w:p>
  <w:p w14:paraId="17621757" w14:textId="12B3850E" w:rsidR="00652F14" w:rsidRDefault="00652F14" w:rsidP="004B4705">
    <w:pPr>
      <w:pStyle w:val="Footer"/>
      <w:rPr>
        <w:color w:val="000000" w:themeColor="text1"/>
      </w:rPr>
    </w:pPr>
    <w:r>
      <w:rPr>
        <w:color w:val="000000" w:themeColor="text1"/>
      </w:rPr>
      <w:t>Public Board meeting</w:t>
    </w:r>
  </w:p>
  <w:p w14:paraId="426A9E78" w14:textId="0C042E93" w:rsidR="004B4705" w:rsidRPr="00AF3000" w:rsidRDefault="007356BA" w:rsidP="004B4705">
    <w:pPr>
      <w:pStyle w:val="Footer"/>
      <w:rPr>
        <w:color w:val="000000" w:themeColor="text1"/>
        <w:szCs w:val="16"/>
      </w:rPr>
    </w:pPr>
    <w:r>
      <w:rPr>
        <w:color w:val="000000" w:themeColor="text1"/>
      </w:rPr>
      <w:t>13</w:t>
    </w:r>
    <w:r w:rsidR="006C0D5D" w:rsidRPr="00AF3000">
      <w:rPr>
        <w:color w:val="000000" w:themeColor="text1"/>
      </w:rPr>
      <w:t xml:space="preserve"> </w:t>
    </w:r>
    <w:r w:rsidR="009F595A">
      <w:rPr>
        <w:color w:val="000000" w:themeColor="text1"/>
      </w:rPr>
      <w:t xml:space="preserve">December </w:t>
    </w:r>
    <w:r w:rsidR="005D569B" w:rsidRPr="00AF3000">
      <w:rPr>
        <w:color w:val="000000" w:themeColor="text1"/>
      </w:rPr>
      <w:t>2023</w:t>
    </w:r>
    <w:r w:rsidR="004B4705" w:rsidRPr="00AF3000">
      <w:rPr>
        <w:color w:val="000000" w:themeColor="text1"/>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D4115" w14:textId="77777777" w:rsidR="00463551" w:rsidRDefault="00463551">
      <w:r>
        <w:separator/>
      </w:r>
    </w:p>
  </w:footnote>
  <w:footnote w:type="continuationSeparator" w:id="0">
    <w:p w14:paraId="1C37B546" w14:textId="77777777" w:rsidR="00463551" w:rsidRDefault="00463551">
      <w:r>
        <w:continuationSeparator/>
      </w:r>
    </w:p>
  </w:footnote>
  <w:footnote w:type="continuationNotice" w:id="1">
    <w:p w14:paraId="3BE2ABDC" w14:textId="77777777" w:rsidR="00463551" w:rsidRDefault="00463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0385A" w14:textId="764CD579" w:rsidR="004B4705" w:rsidRPr="006E0F0C" w:rsidRDefault="006E0F0C" w:rsidP="006E0F0C">
    <w:pPr>
      <w:pStyle w:val="Header"/>
      <w:ind w:left="0"/>
    </w:pPr>
    <w:r w:rsidRPr="00AF3000">
      <w:rPr>
        <w:noProof/>
        <w:color w:val="2B579A"/>
      </w:rPr>
      <w:drawing>
        <wp:inline distT="0" distB="0" distL="0" distR="0" wp14:anchorId="1ED40CEC" wp14:editId="480079F3">
          <wp:extent cx="2352675" cy="257175"/>
          <wp:effectExtent l="0" t="0" r="9525"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257175"/>
                  </a:xfrm>
                  <a:prstGeom prst="rect">
                    <a:avLst/>
                  </a:prstGeom>
                  <a:noFill/>
                </pic:spPr>
              </pic:pic>
            </a:graphicData>
          </a:graphic>
        </wp:inline>
      </w:drawing>
    </w:r>
    <w:r>
      <w:tab/>
    </w:r>
    <w:r>
      <w:tab/>
    </w:r>
    <w:r w:rsidR="00652F14">
      <w:t>Item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D0FAC"/>
    <w:multiLevelType w:val="multilevel"/>
    <w:tmpl w:val="8B3CEACC"/>
    <w:lvl w:ilvl="0">
      <w:start w:val="1"/>
      <w:numFmt w:val="bullet"/>
      <w:pStyle w:val="Bulletindent1"/>
      <w:lvlText w:val=""/>
      <w:lvlJc w:val="left"/>
      <w:pPr>
        <w:tabs>
          <w:tab w:val="num" w:pos="568"/>
        </w:tabs>
        <w:ind w:left="568" w:hanging="284"/>
      </w:pPr>
      <w:rPr>
        <w:rFonts w:ascii="Symbol" w:hAnsi="Symbol" w:hint="default"/>
        <w:color w:val="auto"/>
      </w:rPr>
    </w:lvl>
    <w:lvl w:ilvl="1">
      <w:start w:val="1"/>
      <w:numFmt w:val="bullet"/>
      <w:lvlText w:val=""/>
      <w:lvlJc w:val="left"/>
      <w:pPr>
        <w:ind w:left="928"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decimal"/>
      <w:lvlText w:val="%1.%2.%3.%4"/>
      <w:lvlJc w:val="left"/>
      <w:pPr>
        <w:tabs>
          <w:tab w:val="num" w:pos="1118"/>
        </w:tabs>
        <w:ind w:left="1118" w:hanging="964"/>
      </w:pPr>
      <w:rPr>
        <w:rFonts w:hint="default"/>
      </w:rPr>
    </w:lvl>
    <w:lvl w:ilvl="4">
      <w:start w:val="1"/>
      <w:numFmt w:val="decimal"/>
      <w:lvlText w:val="%1.%2.%3.%4.%5."/>
      <w:lvlJc w:val="left"/>
      <w:pPr>
        <w:tabs>
          <w:tab w:val="num" w:pos="4474"/>
        </w:tabs>
        <w:ind w:left="2386" w:hanging="792"/>
      </w:pPr>
      <w:rPr>
        <w:rFonts w:hint="default"/>
      </w:rPr>
    </w:lvl>
    <w:lvl w:ilvl="5">
      <w:start w:val="1"/>
      <w:numFmt w:val="decimal"/>
      <w:lvlText w:val="%1.%2.%3.%4.%5.%6."/>
      <w:lvlJc w:val="left"/>
      <w:pPr>
        <w:tabs>
          <w:tab w:val="num" w:pos="5554"/>
        </w:tabs>
        <w:ind w:left="2890" w:hanging="936"/>
      </w:pPr>
      <w:rPr>
        <w:rFonts w:hint="default"/>
      </w:rPr>
    </w:lvl>
    <w:lvl w:ilvl="6">
      <w:start w:val="1"/>
      <w:numFmt w:val="decimal"/>
      <w:lvlText w:val="%1.%2.%3.%4.%5.%6.%7."/>
      <w:lvlJc w:val="left"/>
      <w:pPr>
        <w:tabs>
          <w:tab w:val="num" w:pos="6634"/>
        </w:tabs>
        <w:ind w:left="3394" w:hanging="1080"/>
      </w:pPr>
      <w:rPr>
        <w:rFonts w:hint="default"/>
      </w:rPr>
    </w:lvl>
    <w:lvl w:ilvl="7">
      <w:start w:val="1"/>
      <w:numFmt w:val="decimal"/>
      <w:lvlText w:val="%1.%2.%3.%4.%5.%6.%7.%8."/>
      <w:lvlJc w:val="left"/>
      <w:pPr>
        <w:tabs>
          <w:tab w:val="num" w:pos="7354"/>
        </w:tabs>
        <w:ind w:left="3898" w:hanging="1224"/>
      </w:pPr>
      <w:rPr>
        <w:rFonts w:hint="default"/>
      </w:rPr>
    </w:lvl>
    <w:lvl w:ilvl="8">
      <w:start w:val="1"/>
      <w:numFmt w:val="decimal"/>
      <w:lvlText w:val="%1.%2.%3.%4.%5.%6.%7.%8.%9."/>
      <w:lvlJc w:val="left"/>
      <w:pPr>
        <w:tabs>
          <w:tab w:val="num" w:pos="8434"/>
        </w:tabs>
        <w:ind w:left="447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D825878"/>
    <w:multiLevelType w:val="hybridMultilevel"/>
    <w:tmpl w:val="808ACCCE"/>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2407A"/>
    <w:multiLevelType w:val="multilevel"/>
    <w:tmpl w:val="B0FC2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283F41"/>
    <w:multiLevelType w:val="multilevel"/>
    <w:tmpl w:val="3DC65DA4"/>
    <w:lvl w:ilvl="0">
      <w:start w:val="1"/>
      <w:numFmt w:val="lowerLetter"/>
      <w:lvlText w:val="%1."/>
      <w:lvlJc w:val="left"/>
      <w:pPr>
        <w:tabs>
          <w:tab w:val="num" w:pos="1724"/>
        </w:tabs>
        <w:ind w:left="1724" w:hanging="284"/>
      </w:pPr>
      <w:rPr>
        <w:rFonts w:hint="default"/>
        <w:color w:val="auto"/>
      </w:rPr>
    </w:lvl>
    <w:lvl w:ilvl="1">
      <w:start w:val="1"/>
      <w:numFmt w:val="bullet"/>
      <w:lvlText w:val=""/>
      <w:lvlJc w:val="left"/>
      <w:pPr>
        <w:ind w:left="2084" w:hanging="360"/>
      </w:pPr>
      <w:rPr>
        <w:rFonts w:ascii="Symbol" w:hAnsi="Symbol" w:hint="default"/>
      </w:rPr>
    </w:lvl>
    <w:lvl w:ilvl="2">
      <w:start w:val="1"/>
      <w:numFmt w:val="bullet"/>
      <w:lvlText w:val=""/>
      <w:lvlJc w:val="left"/>
      <w:pPr>
        <w:ind w:left="2367" w:hanging="360"/>
      </w:pPr>
      <w:rPr>
        <w:rFonts w:ascii="Symbol" w:hAnsi="Symbol" w:hint="default"/>
      </w:rPr>
    </w:lvl>
    <w:lvl w:ilvl="3">
      <w:start w:val="1"/>
      <w:numFmt w:val="decimal"/>
      <w:lvlText w:val="%1.%2.%3.%4"/>
      <w:lvlJc w:val="left"/>
      <w:pPr>
        <w:tabs>
          <w:tab w:val="num" w:pos="2274"/>
        </w:tabs>
        <w:ind w:left="2274" w:hanging="964"/>
      </w:pPr>
      <w:rPr>
        <w:rFonts w:hint="default"/>
      </w:rPr>
    </w:lvl>
    <w:lvl w:ilvl="4">
      <w:start w:val="1"/>
      <w:numFmt w:val="decimal"/>
      <w:lvlText w:val="%1.%2.%3.%4.%5."/>
      <w:lvlJc w:val="left"/>
      <w:pPr>
        <w:tabs>
          <w:tab w:val="num" w:pos="5630"/>
        </w:tabs>
        <w:ind w:left="3542" w:hanging="792"/>
      </w:pPr>
      <w:rPr>
        <w:rFonts w:hint="default"/>
      </w:rPr>
    </w:lvl>
    <w:lvl w:ilvl="5">
      <w:start w:val="1"/>
      <w:numFmt w:val="decimal"/>
      <w:lvlText w:val="%1.%2.%3.%4.%5.%6."/>
      <w:lvlJc w:val="left"/>
      <w:pPr>
        <w:tabs>
          <w:tab w:val="num" w:pos="6710"/>
        </w:tabs>
        <w:ind w:left="4046" w:hanging="936"/>
      </w:pPr>
      <w:rPr>
        <w:rFonts w:hint="default"/>
      </w:rPr>
    </w:lvl>
    <w:lvl w:ilvl="6">
      <w:start w:val="1"/>
      <w:numFmt w:val="decimal"/>
      <w:lvlText w:val="%1.%2.%3.%4.%5.%6.%7."/>
      <w:lvlJc w:val="left"/>
      <w:pPr>
        <w:tabs>
          <w:tab w:val="num" w:pos="7790"/>
        </w:tabs>
        <w:ind w:left="4550" w:hanging="1080"/>
      </w:pPr>
      <w:rPr>
        <w:rFonts w:hint="default"/>
      </w:rPr>
    </w:lvl>
    <w:lvl w:ilvl="7">
      <w:start w:val="1"/>
      <w:numFmt w:val="decimal"/>
      <w:lvlText w:val="%1.%2.%3.%4.%5.%6.%7.%8."/>
      <w:lvlJc w:val="left"/>
      <w:pPr>
        <w:tabs>
          <w:tab w:val="num" w:pos="8510"/>
        </w:tabs>
        <w:ind w:left="5054" w:hanging="1224"/>
      </w:pPr>
      <w:rPr>
        <w:rFonts w:hint="default"/>
      </w:rPr>
    </w:lvl>
    <w:lvl w:ilvl="8">
      <w:start w:val="1"/>
      <w:numFmt w:val="decimal"/>
      <w:lvlText w:val="%1.%2.%3.%4.%5.%6.%7.%8.%9."/>
      <w:lvlJc w:val="left"/>
      <w:pPr>
        <w:tabs>
          <w:tab w:val="num" w:pos="9590"/>
        </w:tabs>
        <w:ind w:left="5630" w:hanging="1440"/>
      </w:pPr>
      <w:rPr>
        <w:rFonts w:hint="default"/>
      </w:rPr>
    </w:lvl>
  </w:abstractNum>
  <w:abstractNum w:abstractNumId="10" w15:restartNumberingAfterBreak="0">
    <w:nsid w:val="229B3D30"/>
    <w:multiLevelType w:val="multilevel"/>
    <w:tmpl w:val="2EB66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724"/>
        </w:tabs>
        <w:ind w:left="1724" w:hanging="284"/>
      </w:pPr>
      <w:rPr>
        <w:rFonts w:ascii="Symbol" w:hAnsi="Symbol" w:hint="default"/>
        <w:color w:val="auto"/>
        <w:sz w:val="24"/>
        <w:szCs w:val="24"/>
      </w:rPr>
    </w:lvl>
    <w:lvl w:ilvl="1" w:tplc="08090003">
      <w:start w:val="1"/>
      <w:numFmt w:val="bullet"/>
      <w:lvlText w:val="o"/>
      <w:lvlJc w:val="left"/>
      <w:pPr>
        <w:tabs>
          <w:tab w:val="num" w:pos="1746"/>
        </w:tabs>
        <w:ind w:left="1746" w:hanging="360"/>
      </w:pPr>
      <w:rPr>
        <w:rFonts w:ascii="Courier New" w:hAnsi="Courier New" w:cs="Courier New" w:hint="default"/>
      </w:rPr>
    </w:lvl>
    <w:lvl w:ilvl="2" w:tplc="08090005" w:tentative="1">
      <w:start w:val="1"/>
      <w:numFmt w:val="bullet"/>
      <w:lvlText w:val=""/>
      <w:lvlJc w:val="left"/>
      <w:pPr>
        <w:tabs>
          <w:tab w:val="num" w:pos="2466"/>
        </w:tabs>
        <w:ind w:left="2466" w:hanging="360"/>
      </w:pPr>
      <w:rPr>
        <w:rFonts w:ascii="Wingdings" w:hAnsi="Wingdings" w:hint="default"/>
      </w:rPr>
    </w:lvl>
    <w:lvl w:ilvl="3" w:tplc="08090001" w:tentative="1">
      <w:start w:val="1"/>
      <w:numFmt w:val="bullet"/>
      <w:lvlText w:val=""/>
      <w:lvlJc w:val="left"/>
      <w:pPr>
        <w:tabs>
          <w:tab w:val="num" w:pos="3186"/>
        </w:tabs>
        <w:ind w:left="3186" w:hanging="360"/>
      </w:pPr>
      <w:rPr>
        <w:rFonts w:ascii="Symbol" w:hAnsi="Symbol" w:hint="default"/>
      </w:rPr>
    </w:lvl>
    <w:lvl w:ilvl="4" w:tplc="08090003" w:tentative="1">
      <w:start w:val="1"/>
      <w:numFmt w:val="bullet"/>
      <w:lvlText w:val="o"/>
      <w:lvlJc w:val="left"/>
      <w:pPr>
        <w:tabs>
          <w:tab w:val="num" w:pos="3906"/>
        </w:tabs>
        <w:ind w:left="3906" w:hanging="360"/>
      </w:pPr>
      <w:rPr>
        <w:rFonts w:ascii="Courier New" w:hAnsi="Courier New" w:cs="Courier New" w:hint="default"/>
      </w:rPr>
    </w:lvl>
    <w:lvl w:ilvl="5" w:tplc="08090005" w:tentative="1">
      <w:start w:val="1"/>
      <w:numFmt w:val="bullet"/>
      <w:lvlText w:val=""/>
      <w:lvlJc w:val="left"/>
      <w:pPr>
        <w:tabs>
          <w:tab w:val="num" w:pos="4626"/>
        </w:tabs>
        <w:ind w:left="4626" w:hanging="360"/>
      </w:pPr>
      <w:rPr>
        <w:rFonts w:ascii="Wingdings" w:hAnsi="Wingdings" w:hint="default"/>
      </w:rPr>
    </w:lvl>
    <w:lvl w:ilvl="6" w:tplc="08090001" w:tentative="1">
      <w:start w:val="1"/>
      <w:numFmt w:val="bullet"/>
      <w:lvlText w:val=""/>
      <w:lvlJc w:val="left"/>
      <w:pPr>
        <w:tabs>
          <w:tab w:val="num" w:pos="5346"/>
        </w:tabs>
        <w:ind w:left="5346" w:hanging="360"/>
      </w:pPr>
      <w:rPr>
        <w:rFonts w:ascii="Symbol" w:hAnsi="Symbol" w:hint="default"/>
      </w:rPr>
    </w:lvl>
    <w:lvl w:ilvl="7" w:tplc="08090003" w:tentative="1">
      <w:start w:val="1"/>
      <w:numFmt w:val="bullet"/>
      <w:lvlText w:val="o"/>
      <w:lvlJc w:val="left"/>
      <w:pPr>
        <w:tabs>
          <w:tab w:val="num" w:pos="6066"/>
        </w:tabs>
        <w:ind w:left="6066" w:hanging="360"/>
      </w:pPr>
      <w:rPr>
        <w:rFonts w:ascii="Courier New" w:hAnsi="Courier New" w:cs="Courier New" w:hint="default"/>
      </w:rPr>
    </w:lvl>
    <w:lvl w:ilvl="8" w:tplc="08090005" w:tentative="1">
      <w:start w:val="1"/>
      <w:numFmt w:val="bullet"/>
      <w:lvlText w:val=""/>
      <w:lvlJc w:val="left"/>
      <w:pPr>
        <w:tabs>
          <w:tab w:val="num" w:pos="6786"/>
        </w:tabs>
        <w:ind w:left="6786" w:hanging="360"/>
      </w:pPr>
      <w:rPr>
        <w:rFonts w:ascii="Wingdings" w:hAnsi="Wingdings" w:hint="default"/>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3004853"/>
    <w:multiLevelType w:val="multilevel"/>
    <w:tmpl w:val="C17E95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50369FB"/>
    <w:multiLevelType w:val="multilevel"/>
    <w:tmpl w:val="3B2EB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F011E9"/>
    <w:multiLevelType w:val="multilevel"/>
    <w:tmpl w:val="84AE73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9D6091"/>
    <w:multiLevelType w:val="multilevel"/>
    <w:tmpl w:val="ADB22B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3" w15:restartNumberingAfterBreak="0">
    <w:nsid w:val="454F3389"/>
    <w:multiLevelType w:val="hybridMultilevel"/>
    <w:tmpl w:val="88C8F794"/>
    <w:lvl w:ilvl="0" w:tplc="77F685FC">
      <w:start w:val="1"/>
      <w:numFmt w:val="lowerLetter"/>
      <w:lvlText w:val="%1."/>
      <w:lvlJc w:val="left"/>
      <w:pPr>
        <w:ind w:left="1800" w:hanging="720"/>
      </w:pPr>
      <w:rPr>
        <w:rFonts w:ascii="Arial" w:eastAsia="Times New Roman" w:hAnsi="Arial" w:cs="Arial"/>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0B03B89"/>
    <w:multiLevelType w:val="hybridMultilevel"/>
    <w:tmpl w:val="5BAE797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93D14"/>
    <w:multiLevelType w:val="hybridMultilevel"/>
    <w:tmpl w:val="722ECE4C"/>
    <w:lvl w:ilvl="0" w:tplc="FFFFFFFF">
      <w:start w:val="1"/>
      <w:numFmt w:val="decimal"/>
      <w:pStyle w:val="ParagraphNumbered"/>
      <w:lvlText w:val="%1."/>
      <w:lvlJc w:val="left"/>
      <w:pPr>
        <w:ind w:left="851" w:hanging="851"/>
      </w:pPr>
    </w:lvl>
    <w:lvl w:ilvl="1" w:tplc="08090019">
      <w:start w:val="1"/>
      <w:numFmt w:val="lowerLetter"/>
      <w:lvlText w:val="%2."/>
      <w:lvlJc w:val="left"/>
      <w:pPr>
        <w:ind w:left="1440" w:hanging="360"/>
      </w:pPr>
    </w:lvl>
    <w:lvl w:ilvl="2" w:tplc="204AFC2C">
      <w:start w:val="15"/>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536972"/>
    <w:multiLevelType w:val="multilevel"/>
    <w:tmpl w:val="EBAA84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5"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6" w15:restartNumberingAfterBreak="0">
    <w:nsid w:val="66F22892"/>
    <w:multiLevelType w:val="multilevel"/>
    <w:tmpl w:val="5BD428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6F2189"/>
    <w:multiLevelType w:val="hybridMultilevel"/>
    <w:tmpl w:val="848A34BC"/>
    <w:lvl w:ilvl="0" w:tplc="7F94D6CC">
      <w:start w:val="1"/>
      <w:numFmt w:val="bullet"/>
      <w:pStyle w:val="Bullets"/>
      <w:lvlText w:val=""/>
      <w:lvlJc w:val="left"/>
      <w:pPr>
        <w:ind w:left="1665" w:hanging="454"/>
      </w:pPr>
      <w:rPr>
        <w:rFonts w:ascii="Symbol" w:hAnsi="Symbol" w:hint="default"/>
      </w:rPr>
    </w:lvl>
    <w:lvl w:ilvl="1" w:tplc="08090003" w:tentative="1">
      <w:start w:val="1"/>
      <w:numFmt w:val="bullet"/>
      <w:lvlText w:val="o"/>
      <w:lvlJc w:val="left"/>
      <w:pPr>
        <w:ind w:left="1971" w:hanging="360"/>
      </w:pPr>
      <w:rPr>
        <w:rFonts w:ascii="Courier New" w:hAnsi="Courier New" w:cs="Courier New" w:hint="default"/>
      </w:rPr>
    </w:lvl>
    <w:lvl w:ilvl="2" w:tplc="08090005" w:tentative="1">
      <w:start w:val="1"/>
      <w:numFmt w:val="bullet"/>
      <w:lvlText w:val=""/>
      <w:lvlJc w:val="left"/>
      <w:pPr>
        <w:ind w:left="2691" w:hanging="360"/>
      </w:pPr>
      <w:rPr>
        <w:rFonts w:ascii="Wingdings" w:hAnsi="Wingdings" w:hint="default"/>
      </w:rPr>
    </w:lvl>
    <w:lvl w:ilvl="3" w:tplc="08090001" w:tentative="1">
      <w:start w:val="1"/>
      <w:numFmt w:val="bullet"/>
      <w:lvlText w:val=""/>
      <w:lvlJc w:val="left"/>
      <w:pPr>
        <w:ind w:left="3411" w:hanging="360"/>
      </w:pPr>
      <w:rPr>
        <w:rFonts w:ascii="Symbol" w:hAnsi="Symbol" w:hint="default"/>
      </w:rPr>
    </w:lvl>
    <w:lvl w:ilvl="4" w:tplc="08090003" w:tentative="1">
      <w:start w:val="1"/>
      <w:numFmt w:val="bullet"/>
      <w:lvlText w:val="o"/>
      <w:lvlJc w:val="left"/>
      <w:pPr>
        <w:ind w:left="4131" w:hanging="360"/>
      </w:pPr>
      <w:rPr>
        <w:rFonts w:ascii="Courier New" w:hAnsi="Courier New" w:cs="Courier New" w:hint="default"/>
      </w:rPr>
    </w:lvl>
    <w:lvl w:ilvl="5" w:tplc="08090005" w:tentative="1">
      <w:start w:val="1"/>
      <w:numFmt w:val="bullet"/>
      <w:lvlText w:val=""/>
      <w:lvlJc w:val="left"/>
      <w:pPr>
        <w:ind w:left="4851" w:hanging="360"/>
      </w:pPr>
      <w:rPr>
        <w:rFonts w:ascii="Wingdings" w:hAnsi="Wingdings" w:hint="default"/>
      </w:rPr>
    </w:lvl>
    <w:lvl w:ilvl="6" w:tplc="08090001" w:tentative="1">
      <w:start w:val="1"/>
      <w:numFmt w:val="bullet"/>
      <w:lvlText w:val=""/>
      <w:lvlJc w:val="left"/>
      <w:pPr>
        <w:ind w:left="5571" w:hanging="360"/>
      </w:pPr>
      <w:rPr>
        <w:rFonts w:ascii="Symbol" w:hAnsi="Symbol" w:hint="default"/>
      </w:rPr>
    </w:lvl>
    <w:lvl w:ilvl="7" w:tplc="08090003" w:tentative="1">
      <w:start w:val="1"/>
      <w:numFmt w:val="bullet"/>
      <w:lvlText w:val="o"/>
      <w:lvlJc w:val="left"/>
      <w:pPr>
        <w:ind w:left="6291" w:hanging="360"/>
      </w:pPr>
      <w:rPr>
        <w:rFonts w:ascii="Courier New" w:hAnsi="Courier New" w:cs="Courier New" w:hint="default"/>
      </w:rPr>
    </w:lvl>
    <w:lvl w:ilvl="8" w:tplc="08090005" w:tentative="1">
      <w:start w:val="1"/>
      <w:numFmt w:val="bullet"/>
      <w:lvlText w:val=""/>
      <w:lvlJc w:val="left"/>
      <w:pPr>
        <w:ind w:left="7011" w:hanging="360"/>
      </w:pPr>
      <w:rPr>
        <w:rFonts w:ascii="Wingdings" w:hAnsi="Wingdings" w:hint="default"/>
      </w:rPr>
    </w:lvl>
  </w:abstractNum>
  <w:abstractNum w:abstractNumId="38" w15:restartNumberingAfterBreak="0">
    <w:nsid w:val="6BA15AF3"/>
    <w:multiLevelType w:val="multilevel"/>
    <w:tmpl w:val="E0B8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BE2BD1"/>
    <w:multiLevelType w:val="hybridMultilevel"/>
    <w:tmpl w:val="5D3881E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782A6CFE">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6D4E75"/>
    <w:multiLevelType w:val="hybridMultilevel"/>
    <w:tmpl w:val="A0DCA26A"/>
    <w:lvl w:ilvl="0" w:tplc="414A0EEA">
      <w:start w:val="1"/>
      <w:numFmt w:val="decimal"/>
      <w:lvlText w:val="%1."/>
      <w:lvlJc w:val="left"/>
      <w:pPr>
        <w:ind w:left="720" w:hanging="360"/>
      </w:pPr>
      <w:rPr>
        <w:rFonts w:ascii="Arial" w:eastAsia="Times New Roman" w:hAnsi="Arial" w:cs="Arial"/>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3F4899"/>
    <w:multiLevelType w:val="hybridMultilevel"/>
    <w:tmpl w:val="BB041926"/>
    <w:lvl w:ilvl="0" w:tplc="08090019">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152B36"/>
    <w:multiLevelType w:val="multilevel"/>
    <w:tmpl w:val="E990FC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3B1849"/>
    <w:multiLevelType w:val="multilevel"/>
    <w:tmpl w:val="F2FE9988"/>
    <w:lvl w:ilvl="0">
      <w:start w:val="2"/>
      <w:numFmt w:val="decimal"/>
      <w:lvlText w:val="%1."/>
      <w:lvlJc w:val="left"/>
      <w:pPr>
        <w:tabs>
          <w:tab w:val="num" w:pos="720"/>
        </w:tabs>
        <w:ind w:left="720" w:hanging="360"/>
      </w:pPr>
    </w:lvl>
    <w:lvl w:ilvl="1">
      <w:start w:val="4"/>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75686A"/>
    <w:multiLevelType w:val="hybridMultilevel"/>
    <w:tmpl w:val="ACF6F8F8"/>
    <w:lvl w:ilvl="0" w:tplc="F50EDD34">
      <w:start w:val="1"/>
      <w:numFmt w:val="decimal"/>
      <w:lvlText w:val="%1."/>
      <w:lvlJc w:val="left"/>
      <w:pPr>
        <w:ind w:left="720" w:hanging="360"/>
      </w:pPr>
      <w:rPr>
        <w:rFonts w:ascii="Arial" w:eastAsia="Times New Roman" w:hAnsi="Arial" w:cs="Arial"/>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C261B9"/>
    <w:multiLevelType w:val="multilevel"/>
    <w:tmpl w:val="95009B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4C0D42"/>
    <w:multiLevelType w:val="multilevel"/>
    <w:tmpl w:val="AE20A9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6532623">
    <w:abstractNumId w:val="2"/>
  </w:num>
  <w:num w:numId="2" w16cid:durableId="2039620118">
    <w:abstractNumId w:val="35"/>
  </w:num>
  <w:num w:numId="3" w16cid:durableId="2116749296">
    <w:abstractNumId w:val="22"/>
  </w:num>
  <w:num w:numId="4" w16cid:durableId="611715962">
    <w:abstractNumId w:val="24"/>
  </w:num>
  <w:num w:numId="5" w16cid:durableId="377554922">
    <w:abstractNumId w:val="4"/>
  </w:num>
  <w:num w:numId="6" w16cid:durableId="1967815002">
    <w:abstractNumId w:val="7"/>
  </w:num>
  <w:num w:numId="7" w16cid:durableId="1478373446">
    <w:abstractNumId w:val="15"/>
  </w:num>
  <w:num w:numId="8" w16cid:durableId="1216622483">
    <w:abstractNumId w:val="19"/>
  </w:num>
  <w:num w:numId="9" w16cid:durableId="1028289363">
    <w:abstractNumId w:val="27"/>
  </w:num>
  <w:num w:numId="10" w16cid:durableId="1748379919">
    <w:abstractNumId w:val="6"/>
  </w:num>
  <w:num w:numId="11" w16cid:durableId="1008825018">
    <w:abstractNumId w:val="33"/>
  </w:num>
  <w:num w:numId="12" w16cid:durableId="128134450">
    <w:abstractNumId w:val="13"/>
  </w:num>
  <w:num w:numId="13" w16cid:durableId="503516617">
    <w:abstractNumId w:val="25"/>
  </w:num>
  <w:num w:numId="14" w16cid:durableId="1971012577">
    <w:abstractNumId w:val="29"/>
  </w:num>
  <w:num w:numId="15" w16cid:durableId="1256014139">
    <w:abstractNumId w:val="14"/>
  </w:num>
  <w:num w:numId="16" w16cid:durableId="230039927">
    <w:abstractNumId w:val="0"/>
  </w:num>
  <w:num w:numId="17" w16cid:durableId="882135492">
    <w:abstractNumId w:val="1"/>
  </w:num>
  <w:num w:numId="18" w16cid:durableId="194315641">
    <w:abstractNumId w:val="11"/>
  </w:num>
  <w:num w:numId="19" w16cid:durableId="1279488302">
    <w:abstractNumId w:val="17"/>
  </w:num>
  <w:num w:numId="20" w16cid:durableId="102305755">
    <w:abstractNumId w:val="5"/>
  </w:num>
  <w:num w:numId="21" w16cid:durableId="1863712968">
    <w:abstractNumId w:val="34"/>
  </w:num>
  <w:num w:numId="22" w16cid:durableId="426196748">
    <w:abstractNumId w:val="32"/>
  </w:num>
  <w:num w:numId="23" w16cid:durableId="1440686053">
    <w:abstractNumId w:val="37"/>
  </w:num>
  <w:num w:numId="24" w16cid:durableId="87122838">
    <w:abstractNumId w:val="12"/>
  </w:num>
  <w:num w:numId="25" w16cid:durableId="399716702">
    <w:abstractNumId w:val="30"/>
  </w:num>
  <w:num w:numId="26" w16cid:durableId="54940523">
    <w:abstractNumId w:val="39"/>
  </w:num>
  <w:num w:numId="27" w16cid:durableId="1359741242">
    <w:abstractNumId w:val="40"/>
  </w:num>
  <w:num w:numId="28" w16cid:durableId="987170788">
    <w:abstractNumId w:val="44"/>
  </w:num>
  <w:num w:numId="29" w16cid:durableId="437800746">
    <w:abstractNumId w:val="23"/>
  </w:num>
  <w:num w:numId="30" w16cid:durableId="539704785">
    <w:abstractNumId w:val="8"/>
  </w:num>
  <w:num w:numId="31" w16cid:durableId="1902324373">
    <w:abstractNumId w:val="18"/>
  </w:num>
  <w:num w:numId="32" w16cid:durableId="1415275894">
    <w:abstractNumId w:val="10"/>
  </w:num>
  <w:num w:numId="33" w16cid:durableId="1860699331">
    <w:abstractNumId w:val="36"/>
  </w:num>
  <w:num w:numId="34" w16cid:durableId="1585145812">
    <w:abstractNumId w:val="42"/>
  </w:num>
  <w:num w:numId="35" w16cid:durableId="42876039">
    <w:abstractNumId w:val="16"/>
  </w:num>
  <w:num w:numId="36" w16cid:durableId="1862356697">
    <w:abstractNumId w:val="21"/>
  </w:num>
  <w:num w:numId="37" w16cid:durableId="782923621">
    <w:abstractNumId w:val="46"/>
  </w:num>
  <w:num w:numId="38" w16cid:durableId="454907531">
    <w:abstractNumId w:val="20"/>
  </w:num>
  <w:num w:numId="39" w16cid:durableId="2090080172">
    <w:abstractNumId w:val="45"/>
  </w:num>
  <w:num w:numId="40" w16cid:durableId="599483635">
    <w:abstractNumId w:val="38"/>
  </w:num>
  <w:num w:numId="41" w16cid:durableId="2142728407">
    <w:abstractNumId w:val="43"/>
  </w:num>
  <w:num w:numId="42" w16cid:durableId="2026520758">
    <w:abstractNumId w:val="31"/>
  </w:num>
  <w:num w:numId="43" w16cid:durableId="1425498752">
    <w:abstractNumId w:val="9"/>
  </w:num>
  <w:num w:numId="44" w16cid:durableId="1735008394">
    <w:abstractNumId w:val="3"/>
  </w:num>
  <w:num w:numId="45" w16cid:durableId="1336807189">
    <w:abstractNumId w:val="41"/>
  </w:num>
  <w:num w:numId="46" w16cid:durableId="844976348">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23"/>
    <w:rsid w:val="00002BFB"/>
    <w:rsid w:val="00003E75"/>
    <w:rsid w:val="000119FB"/>
    <w:rsid w:val="000123E6"/>
    <w:rsid w:val="00016936"/>
    <w:rsid w:val="000178CF"/>
    <w:rsid w:val="0002219E"/>
    <w:rsid w:val="000226D5"/>
    <w:rsid w:val="000242AA"/>
    <w:rsid w:val="00024E6A"/>
    <w:rsid w:val="00026294"/>
    <w:rsid w:val="00026AB4"/>
    <w:rsid w:val="00026E8D"/>
    <w:rsid w:val="00031D91"/>
    <w:rsid w:val="00036918"/>
    <w:rsid w:val="000375E2"/>
    <w:rsid w:val="00040844"/>
    <w:rsid w:val="0004123E"/>
    <w:rsid w:val="00043CD0"/>
    <w:rsid w:val="00043DAB"/>
    <w:rsid w:val="00046D3A"/>
    <w:rsid w:val="00053120"/>
    <w:rsid w:val="000539B6"/>
    <w:rsid w:val="00054EFA"/>
    <w:rsid w:val="00057044"/>
    <w:rsid w:val="00057F44"/>
    <w:rsid w:val="000613FA"/>
    <w:rsid w:val="00063DA1"/>
    <w:rsid w:val="00066E26"/>
    <w:rsid w:val="0006787F"/>
    <w:rsid w:val="00070D72"/>
    <w:rsid w:val="000723E9"/>
    <w:rsid w:val="00077204"/>
    <w:rsid w:val="00082176"/>
    <w:rsid w:val="0008648F"/>
    <w:rsid w:val="0009246B"/>
    <w:rsid w:val="00094B5D"/>
    <w:rsid w:val="00094E5F"/>
    <w:rsid w:val="00095B1B"/>
    <w:rsid w:val="000964AD"/>
    <w:rsid w:val="000A103F"/>
    <w:rsid w:val="000A1EC0"/>
    <w:rsid w:val="000A2CD9"/>
    <w:rsid w:val="000A2DEB"/>
    <w:rsid w:val="000A388C"/>
    <w:rsid w:val="000B1E72"/>
    <w:rsid w:val="000B2561"/>
    <w:rsid w:val="000B45F0"/>
    <w:rsid w:val="000B54B6"/>
    <w:rsid w:val="000B5591"/>
    <w:rsid w:val="000B60B4"/>
    <w:rsid w:val="000C3F75"/>
    <w:rsid w:val="000C4168"/>
    <w:rsid w:val="000C4583"/>
    <w:rsid w:val="000C48BC"/>
    <w:rsid w:val="000C67BC"/>
    <w:rsid w:val="000C706D"/>
    <w:rsid w:val="000D02F4"/>
    <w:rsid w:val="000D03CA"/>
    <w:rsid w:val="000D1377"/>
    <w:rsid w:val="000E084C"/>
    <w:rsid w:val="000E24CF"/>
    <w:rsid w:val="000E48B1"/>
    <w:rsid w:val="000E5802"/>
    <w:rsid w:val="000E6C5F"/>
    <w:rsid w:val="000F0BEE"/>
    <w:rsid w:val="000F0F5F"/>
    <w:rsid w:val="000F2294"/>
    <w:rsid w:val="000F2FA2"/>
    <w:rsid w:val="000F5877"/>
    <w:rsid w:val="000F6EEE"/>
    <w:rsid w:val="00101F34"/>
    <w:rsid w:val="001031ED"/>
    <w:rsid w:val="00103807"/>
    <w:rsid w:val="00105E74"/>
    <w:rsid w:val="001100C3"/>
    <w:rsid w:val="0011178E"/>
    <w:rsid w:val="001125E3"/>
    <w:rsid w:val="00112E59"/>
    <w:rsid w:val="00114B04"/>
    <w:rsid w:val="001172E1"/>
    <w:rsid w:val="00120EBD"/>
    <w:rsid w:val="001219F1"/>
    <w:rsid w:val="00123D3F"/>
    <w:rsid w:val="00126EB9"/>
    <w:rsid w:val="001275CB"/>
    <w:rsid w:val="00131EB8"/>
    <w:rsid w:val="00132084"/>
    <w:rsid w:val="00133C85"/>
    <w:rsid w:val="001349C8"/>
    <w:rsid w:val="001377DA"/>
    <w:rsid w:val="0014110A"/>
    <w:rsid w:val="001411AF"/>
    <w:rsid w:val="00141628"/>
    <w:rsid w:val="00142D3F"/>
    <w:rsid w:val="00144F4D"/>
    <w:rsid w:val="00145132"/>
    <w:rsid w:val="00145188"/>
    <w:rsid w:val="00146284"/>
    <w:rsid w:val="001467F1"/>
    <w:rsid w:val="001530C7"/>
    <w:rsid w:val="00153656"/>
    <w:rsid w:val="00154D23"/>
    <w:rsid w:val="00155294"/>
    <w:rsid w:val="00157E38"/>
    <w:rsid w:val="0016058D"/>
    <w:rsid w:val="00160F92"/>
    <w:rsid w:val="00161AA0"/>
    <w:rsid w:val="00162581"/>
    <w:rsid w:val="00162E14"/>
    <w:rsid w:val="0017277D"/>
    <w:rsid w:val="00172CCC"/>
    <w:rsid w:val="001736DF"/>
    <w:rsid w:val="00174357"/>
    <w:rsid w:val="00175101"/>
    <w:rsid w:val="0017533F"/>
    <w:rsid w:val="001761FC"/>
    <w:rsid w:val="00176559"/>
    <w:rsid w:val="001779D1"/>
    <w:rsid w:val="0018077F"/>
    <w:rsid w:val="00184444"/>
    <w:rsid w:val="00184BDE"/>
    <w:rsid w:val="00185225"/>
    <w:rsid w:val="00190417"/>
    <w:rsid w:val="00193D76"/>
    <w:rsid w:val="00194AFC"/>
    <w:rsid w:val="001951B9"/>
    <w:rsid w:val="001959E0"/>
    <w:rsid w:val="001959E7"/>
    <w:rsid w:val="00196227"/>
    <w:rsid w:val="00197CC1"/>
    <w:rsid w:val="001A03F3"/>
    <w:rsid w:val="001A1E27"/>
    <w:rsid w:val="001B0506"/>
    <w:rsid w:val="001B5D29"/>
    <w:rsid w:val="001B724B"/>
    <w:rsid w:val="001C02A0"/>
    <w:rsid w:val="001C032E"/>
    <w:rsid w:val="001C2D52"/>
    <w:rsid w:val="001C403D"/>
    <w:rsid w:val="001C5240"/>
    <w:rsid w:val="001C5954"/>
    <w:rsid w:val="001C7673"/>
    <w:rsid w:val="001D0067"/>
    <w:rsid w:val="001D1B8E"/>
    <w:rsid w:val="001D20ED"/>
    <w:rsid w:val="001D2AB9"/>
    <w:rsid w:val="001D4B79"/>
    <w:rsid w:val="001E041E"/>
    <w:rsid w:val="001E1BE3"/>
    <w:rsid w:val="001E38F3"/>
    <w:rsid w:val="001F0695"/>
    <w:rsid w:val="001F3333"/>
    <w:rsid w:val="001F516A"/>
    <w:rsid w:val="001F5AD3"/>
    <w:rsid w:val="001F79C4"/>
    <w:rsid w:val="00200E49"/>
    <w:rsid w:val="002025B9"/>
    <w:rsid w:val="002042DD"/>
    <w:rsid w:val="002047E6"/>
    <w:rsid w:val="0021029D"/>
    <w:rsid w:val="00211BEE"/>
    <w:rsid w:val="002153B2"/>
    <w:rsid w:val="002169E7"/>
    <w:rsid w:val="00220164"/>
    <w:rsid w:val="00234777"/>
    <w:rsid w:val="00235CAB"/>
    <w:rsid w:val="00240C75"/>
    <w:rsid w:val="00243414"/>
    <w:rsid w:val="00243516"/>
    <w:rsid w:val="0024722D"/>
    <w:rsid w:val="002473A2"/>
    <w:rsid w:val="00251D56"/>
    <w:rsid w:val="002526E6"/>
    <w:rsid w:val="002535B1"/>
    <w:rsid w:val="00267772"/>
    <w:rsid w:val="00267D3F"/>
    <w:rsid w:val="00272B4F"/>
    <w:rsid w:val="00273B39"/>
    <w:rsid w:val="00275500"/>
    <w:rsid w:val="00275788"/>
    <w:rsid w:val="00275EBE"/>
    <w:rsid w:val="00280919"/>
    <w:rsid w:val="002837FB"/>
    <w:rsid w:val="0028459E"/>
    <w:rsid w:val="00284FA5"/>
    <w:rsid w:val="002875AC"/>
    <w:rsid w:val="0028780C"/>
    <w:rsid w:val="0029270D"/>
    <w:rsid w:val="00293EAA"/>
    <w:rsid w:val="00295514"/>
    <w:rsid w:val="002A024B"/>
    <w:rsid w:val="002A3712"/>
    <w:rsid w:val="002A5C22"/>
    <w:rsid w:val="002A6DF6"/>
    <w:rsid w:val="002A6F6B"/>
    <w:rsid w:val="002B4011"/>
    <w:rsid w:val="002B447A"/>
    <w:rsid w:val="002B4C7B"/>
    <w:rsid w:val="002B539A"/>
    <w:rsid w:val="002B6106"/>
    <w:rsid w:val="002C3FAA"/>
    <w:rsid w:val="002C4030"/>
    <w:rsid w:val="002C6CA3"/>
    <w:rsid w:val="002C7139"/>
    <w:rsid w:val="002D2B4C"/>
    <w:rsid w:val="002D547C"/>
    <w:rsid w:val="002D58B5"/>
    <w:rsid w:val="002D7C2D"/>
    <w:rsid w:val="002E0442"/>
    <w:rsid w:val="002E0C35"/>
    <w:rsid w:val="002E0E36"/>
    <w:rsid w:val="002E13BD"/>
    <w:rsid w:val="002E16A2"/>
    <w:rsid w:val="002E2A61"/>
    <w:rsid w:val="002E46EE"/>
    <w:rsid w:val="002E5CD0"/>
    <w:rsid w:val="002E6C53"/>
    <w:rsid w:val="002E78F3"/>
    <w:rsid w:val="002F15CF"/>
    <w:rsid w:val="002F2A09"/>
    <w:rsid w:val="002F3632"/>
    <w:rsid w:val="002F3E0F"/>
    <w:rsid w:val="00300C9D"/>
    <w:rsid w:val="00301A8D"/>
    <w:rsid w:val="00303563"/>
    <w:rsid w:val="00303959"/>
    <w:rsid w:val="00310E4B"/>
    <w:rsid w:val="00312183"/>
    <w:rsid w:val="0031664C"/>
    <w:rsid w:val="00317833"/>
    <w:rsid w:val="00317888"/>
    <w:rsid w:val="003208DD"/>
    <w:rsid w:val="00320CC2"/>
    <w:rsid w:val="0032169F"/>
    <w:rsid w:val="00323984"/>
    <w:rsid w:val="00323ADA"/>
    <w:rsid w:val="00324094"/>
    <w:rsid w:val="00324A15"/>
    <w:rsid w:val="00326465"/>
    <w:rsid w:val="003319F6"/>
    <w:rsid w:val="0033286B"/>
    <w:rsid w:val="003330E6"/>
    <w:rsid w:val="00333141"/>
    <w:rsid w:val="0033417F"/>
    <w:rsid w:val="003342E3"/>
    <w:rsid w:val="00334EFD"/>
    <w:rsid w:val="00335267"/>
    <w:rsid w:val="003376C2"/>
    <w:rsid w:val="0034073E"/>
    <w:rsid w:val="00340DCC"/>
    <w:rsid w:val="00340FEB"/>
    <w:rsid w:val="003428DF"/>
    <w:rsid w:val="00342A5A"/>
    <w:rsid w:val="00343C5F"/>
    <w:rsid w:val="0034642F"/>
    <w:rsid w:val="00353CF9"/>
    <w:rsid w:val="00353D3E"/>
    <w:rsid w:val="0035409F"/>
    <w:rsid w:val="0035777D"/>
    <w:rsid w:val="00360FDD"/>
    <w:rsid w:val="00361086"/>
    <w:rsid w:val="00361870"/>
    <w:rsid w:val="00362226"/>
    <w:rsid w:val="0036620D"/>
    <w:rsid w:val="003674C4"/>
    <w:rsid w:val="00367512"/>
    <w:rsid w:val="003717C2"/>
    <w:rsid w:val="00375807"/>
    <w:rsid w:val="00375CA3"/>
    <w:rsid w:val="00376029"/>
    <w:rsid w:val="00377E36"/>
    <w:rsid w:val="00382BC9"/>
    <w:rsid w:val="00382C4E"/>
    <w:rsid w:val="00382E09"/>
    <w:rsid w:val="003830CE"/>
    <w:rsid w:val="00383117"/>
    <w:rsid w:val="00384937"/>
    <w:rsid w:val="00384CA1"/>
    <w:rsid w:val="00391738"/>
    <w:rsid w:val="00394707"/>
    <w:rsid w:val="0039634D"/>
    <w:rsid w:val="00396C22"/>
    <w:rsid w:val="003A4333"/>
    <w:rsid w:val="003A4461"/>
    <w:rsid w:val="003A5FBD"/>
    <w:rsid w:val="003A7733"/>
    <w:rsid w:val="003B1379"/>
    <w:rsid w:val="003B1953"/>
    <w:rsid w:val="003B1E1B"/>
    <w:rsid w:val="003B2A99"/>
    <w:rsid w:val="003B5CA0"/>
    <w:rsid w:val="003B77E6"/>
    <w:rsid w:val="003B7BCF"/>
    <w:rsid w:val="003C0A98"/>
    <w:rsid w:val="003C36AC"/>
    <w:rsid w:val="003C7233"/>
    <w:rsid w:val="003C7E35"/>
    <w:rsid w:val="003D0359"/>
    <w:rsid w:val="003D3B28"/>
    <w:rsid w:val="003D49AD"/>
    <w:rsid w:val="003D5763"/>
    <w:rsid w:val="003E4A63"/>
    <w:rsid w:val="003E5999"/>
    <w:rsid w:val="003E7DE4"/>
    <w:rsid w:val="003F1A29"/>
    <w:rsid w:val="003F5689"/>
    <w:rsid w:val="003F635C"/>
    <w:rsid w:val="004058CE"/>
    <w:rsid w:val="004063EF"/>
    <w:rsid w:val="00406505"/>
    <w:rsid w:val="0041192E"/>
    <w:rsid w:val="00414D78"/>
    <w:rsid w:val="0041652C"/>
    <w:rsid w:val="00417911"/>
    <w:rsid w:val="004240D2"/>
    <w:rsid w:val="00425375"/>
    <w:rsid w:val="00433647"/>
    <w:rsid w:val="00434CEF"/>
    <w:rsid w:val="0044241D"/>
    <w:rsid w:val="004430BB"/>
    <w:rsid w:val="00445B35"/>
    <w:rsid w:val="00447753"/>
    <w:rsid w:val="004511A7"/>
    <w:rsid w:val="004519B2"/>
    <w:rsid w:val="00455068"/>
    <w:rsid w:val="004571FA"/>
    <w:rsid w:val="00461997"/>
    <w:rsid w:val="00462549"/>
    <w:rsid w:val="0046287E"/>
    <w:rsid w:val="00463551"/>
    <w:rsid w:val="00464288"/>
    <w:rsid w:val="00470811"/>
    <w:rsid w:val="00470E94"/>
    <w:rsid w:val="0047111F"/>
    <w:rsid w:val="00475EEC"/>
    <w:rsid w:val="004768A7"/>
    <w:rsid w:val="00476A16"/>
    <w:rsid w:val="004820E9"/>
    <w:rsid w:val="0048361F"/>
    <w:rsid w:val="00483B65"/>
    <w:rsid w:val="004847E0"/>
    <w:rsid w:val="00484FE9"/>
    <w:rsid w:val="00485B88"/>
    <w:rsid w:val="00490AAB"/>
    <w:rsid w:val="004914C0"/>
    <w:rsid w:val="004934A4"/>
    <w:rsid w:val="0049566F"/>
    <w:rsid w:val="004A4FEE"/>
    <w:rsid w:val="004B299C"/>
    <w:rsid w:val="004B4705"/>
    <w:rsid w:val="004B514C"/>
    <w:rsid w:val="004C3A65"/>
    <w:rsid w:val="004C7294"/>
    <w:rsid w:val="004C791C"/>
    <w:rsid w:val="004D0214"/>
    <w:rsid w:val="004D2CD4"/>
    <w:rsid w:val="004D4C97"/>
    <w:rsid w:val="004E1CC5"/>
    <w:rsid w:val="004E3EAE"/>
    <w:rsid w:val="004E495E"/>
    <w:rsid w:val="004E67C5"/>
    <w:rsid w:val="004F3F94"/>
    <w:rsid w:val="004F7A89"/>
    <w:rsid w:val="005010A8"/>
    <w:rsid w:val="00503454"/>
    <w:rsid w:val="00503E32"/>
    <w:rsid w:val="005048BF"/>
    <w:rsid w:val="0050534C"/>
    <w:rsid w:val="00506C67"/>
    <w:rsid w:val="00507210"/>
    <w:rsid w:val="00511DC0"/>
    <w:rsid w:val="005140C3"/>
    <w:rsid w:val="005164AD"/>
    <w:rsid w:val="00520739"/>
    <w:rsid w:val="00521E3A"/>
    <w:rsid w:val="00524EF3"/>
    <w:rsid w:val="00524F25"/>
    <w:rsid w:val="00525319"/>
    <w:rsid w:val="00526C07"/>
    <w:rsid w:val="00526CD6"/>
    <w:rsid w:val="005313C3"/>
    <w:rsid w:val="0053387C"/>
    <w:rsid w:val="00535164"/>
    <w:rsid w:val="00536049"/>
    <w:rsid w:val="00536EBD"/>
    <w:rsid w:val="005411C4"/>
    <w:rsid w:val="00543838"/>
    <w:rsid w:val="00543C48"/>
    <w:rsid w:val="00545EE0"/>
    <w:rsid w:val="005466BE"/>
    <w:rsid w:val="0054732C"/>
    <w:rsid w:val="00550A91"/>
    <w:rsid w:val="00552E1C"/>
    <w:rsid w:val="005548B4"/>
    <w:rsid w:val="00555F5E"/>
    <w:rsid w:val="00556A19"/>
    <w:rsid w:val="005614AA"/>
    <w:rsid w:val="00562674"/>
    <w:rsid w:val="00563886"/>
    <w:rsid w:val="00567688"/>
    <w:rsid w:val="0056B3AF"/>
    <w:rsid w:val="00571155"/>
    <w:rsid w:val="005751C4"/>
    <w:rsid w:val="00575627"/>
    <w:rsid w:val="00575D7F"/>
    <w:rsid w:val="005801A0"/>
    <w:rsid w:val="005838D1"/>
    <w:rsid w:val="005859DD"/>
    <w:rsid w:val="00585C71"/>
    <w:rsid w:val="005860F4"/>
    <w:rsid w:val="005866B1"/>
    <w:rsid w:val="0059163B"/>
    <w:rsid w:val="00592720"/>
    <w:rsid w:val="005945BC"/>
    <w:rsid w:val="00594F3A"/>
    <w:rsid w:val="0059788F"/>
    <w:rsid w:val="005A0620"/>
    <w:rsid w:val="005A4F41"/>
    <w:rsid w:val="005A5147"/>
    <w:rsid w:val="005A54A6"/>
    <w:rsid w:val="005A5E10"/>
    <w:rsid w:val="005A6C11"/>
    <w:rsid w:val="005B4163"/>
    <w:rsid w:val="005B60C1"/>
    <w:rsid w:val="005C051F"/>
    <w:rsid w:val="005C2095"/>
    <w:rsid w:val="005C4285"/>
    <w:rsid w:val="005C6116"/>
    <w:rsid w:val="005C762E"/>
    <w:rsid w:val="005D040A"/>
    <w:rsid w:val="005D0575"/>
    <w:rsid w:val="005D0772"/>
    <w:rsid w:val="005D098C"/>
    <w:rsid w:val="005D167D"/>
    <w:rsid w:val="005D1859"/>
    <w:rsid w:val="005D2870"/>
    <w:rsid w:val="005D3702"/>
    <w:rsid w:val="005D4733"/>
    <w:rsid w:val="005D51EA"/>
    <w:rsid w:val="005D569B"/>
    <w:rsid w:val="005E0067"/>
    <w:rsid w:val="005E15BB"/>
    <w:rsid w:val="005E1C9C"/>
    <w:rsid w:val="005E4053"/>
    <w:rsid w:val="005E5F4C"/>
    <w:rsid w:val="005E71DC"/>
    <w:rsid w:val="005E7B14"/>
    <w:rsid w:val="005F106E"/>
    <w:rsid w:val="005F3D63"/>
    <w:rsid w:val="005F43B2"/>
    <w:rsid w:val="005F6C3E"/>
    <w:rsid w:val="005F7809"/>
    <w:rsid w:val="005F7A4B"/>
    <w:rsid w:val="006002CE"/>
    <w:rsid w:val="00603E56"/>
    <w:rsid w:val="0060498D"/>
    <w:rsid w:val="0060523F"/>
    <w:rsid w:val="006062C0"/>
    <w:rsid w:val="0060662A"/>
    <w:rsid w:val="00607F86"/>
    <w:rsid w:val="00610E2F"/>
    <w:rsid w:val="006116CB"/>
    <w:rsid w:val="00613B9C"/>
    <w:rsid w:val="00613E0B"/>
    <w:rsid w:val="0061422E"/>
    <w:rsid w:val="00614BDA"/>
    <w:rsid w:val="00614FA5"/>
    <w:rsid w:val="00617519"/>
    <w:rsid w:val="006312D5"/>
    <w:rsid w:val="00632CCD"/>
    <w:rsid w:val="006331B4"/>
    <w:rsid w:val="006333B9"/>
    <w:rsid w:val="00633BD7"/>
    <w:rsid w:val="006343F3"/>
    <w:rsid w:val="006349DB"/>
    <w:rsid w:val="00635474"/>
    <w:rsid w:val="00642906"/>
    <w:rsid w:val="00645BB2"/>
    <w:rsid w:val="00646BFC"/>
    <w:rsid w:val="00647D4A"/>
    <w:rsid w:val="00652F14"/>
    <w:rsid w:val="00654A90"/>
    <w:rsid w:val="006571D4"/>
    <w:rsid w:val="00657D17"/>
    <w:rsid w:val="006602BB"/>
    <w:rsid w:val="00661337"/>
    <w:rsid w:val="006626EE"/>
    <w:rsid w:val="0066347D"/>
    <w:rsid w:val="0066388C"/>
    <w:rsid w:val="00663E57"/>
    <w:rsid w:val="00673ABF"/>
    <w:rsid w:val="00675B28"/>
    <w:rsid w:val="00676FC8"/>
    <w:rsid w:val="00677C6E"/>
    <w:rsid w:val="00680786"/>
    <w:rsid w:val="0068081F"/>
    <w:rsid w:val="00680B94"/>
    <w:rsid w:val="006815D2"/>
    <w:rsid w:val="006826EB"/>
    <w:rsid w:val="00683C09"/>
    <w:rsid w:val="00683EB6"/>
    <w:rsid w:val="006857E5"/>
    <w:rsid w:val="00694BD1"/>
    <w:rsid w:val="00694BDB"/>
    <w:rsid w:val="00694F58"/>
    <w:rsid w:val="00695B56"/>
    <w:rsid w:val="006966DF"/>
    <w:rsid w:val="006A1800"/>
    <w:rsid w:val="006A38E3"/>
    <w:rsid w:val="006A4737"/>
    <w:rsid w:val="006A721F"/>
    <w:rsid w:val="006A7E66"/>
    <w:rsid w:val="006B0B61"/>
    <w:rsid w:val="006B0E5F"/>
    <w:rsid w:val="006B2A3E"/>
    <w:rsid w:val="006B3C90"/>
    <w:rsid w:val="006C0D5D"/>
    <w:rsid w:val="006C5029"/>
    <w:rsid w:val="006C65EE"/>
    <w:rsid w:val="006C705B"/>
    <w:rsid w:val="006D00EF"/>
    <w:rsid w:val="006D712F"/>
    <w:rsid w:val="006D73F1"/>
    <w:rsid w:val="006E0E52"/>
    <w:rsid w:val="006E0F0C"/>
    <w:rsid w:val="006E18B2"/>
    <w:rsid w:val="006E3BE9"/>
    <w:rsid w:val="006E5618"/>
    <w:rsid w:val="006E59BC"/>
    <w:rsid w:val="006E662A"/>
    <w:rsid w:val="006E73AA"/>
    <w:rsid w:val="006E75D7"/>
    <w:rsid w:val="006E76B7"/>
    <w:rsid w:val="006F127F"/>
    <w:rsid w:val="006F3797"/>
    <w:rsid w:val="00700082"/>
    <w:rsid w:val="00700287"/>
    <w:rsid w:val="00700B9B"/>
    <w:rsid w:val="00700CA9"/>
    <w:rsid w:val="00701F3C"/>
    <w:rsid w:val="007020EA"/>
    <w:rsid w:val="007048A0"/>
    <w:rsid w:val="00705330"/>
    <w:rsid w:val="00706480"/>
    <w:rsid w:val="0071412B"/>
    <w:rsid w:val="0071537D"/>
    <w:rsid w:val="00715D7B"/>
    <w:rsid w:val="00717E78"/>
    <w:rsid w:val="00720CC5"/>
    <w:rsid w:val="007277C3"/>
    <w:rsid w:val="007317B7"/>
    <w:rsid w:val="00732519"/>
    <w:rsid w:val="00734E02"/>
    <w:rsid w:val="00735440"/>
    <w:rsid w:val="007356BA"/>
    <w:rsid w:val="00735D47"/>
    <w:rsid w:val="0073600D"/>
    <w:rsid w:val="00736AD0"/>
    <w:rsid w:val="00736D63"/>
    <w:rsid w:val="00737C97"/>
    <w:rsid w:val="00737F9C"/>
    <w:rsid w:val="007403AA"/>
    <w:rsid w:val="00741C4C"/>
    <w:rsid w:val="0074502E"/>
    <w:rsid w:val="00747490"/>
    <w:rsid w:val="00753819"/>
    <w:rsid w:val="00755321"/>
    <w:rsid w:val="00755E17"/>
    <w:rsid w:val="0076425D"/>
    <w:rsid w:val="00765449"/>
    <w:rsid w:val="00766436"/>
    <w:rsid w:val="00771351"/>
    <w:rsid w:val="00772CCA"/>
    <w:rsid w:val="007734A5"/>
    <w:rsid w:val="00774651"/>
    <w:rsid w:val="00774689"/>
    <w:rsid w:val="00780097"/>
    <w:rsid w:val="00781521"/>
    <w:rsid w:val="00782B43"/>
    <w:rsid w:val="0078430E"/>
    <w:rsid w:val="0078443A"/>
    <w:rsid w:val="0078445A"/>
    <w:rsid w:val="00786B43"/>
    <w:rsid w:val="00796246"/>
    <w:rsid w:val="007A08D9"/>
    <w:rsid w:val="007A174B"/>
    <w:rsid w:val="007A23E4"/>
    <w:rsid w:val="007A29A4"/>
    <w:rsid w:val="007A3BD9"/>
    <w:rsid w:val="007A4EEE"/>
    <w:rsid w:val="007A5D19"/>
    <w:rsid w:val="007B3744"/>
    <w:rsid w:val="007B3E9E"/>
    <w:rsid w:val="007B5841"/>
    <w:rsid w:val="007B5BCA"/>
    <w:rsid w:val="007C24B5"/>
    <w:rsid w:val="007C5092"/>
    <w:rsid w:val="007C6154"/>
    <w:rsid w:val="007D17DF"/>
    <w:rsid w:val="007D36CC"/>
    <w:rsid w:val="007D459A"/>
    <w:rsid w:val="007E0229"/>
    <w:rsid w:val="007E1FAE"/>
    <w:rsid w:val="007E4CF5"/>
    <w:rsid w:val="007E7E07"/>
    <w:rsid w:val="007F0BD1"/>
    <w:rsid w:val="007F27BF"/>
    <w:rsid w:val="007F3B92"/>
    <w:rsid w:val="007F5779"/>
    <w:rsid w:val="007F77A4"/>
    <w:rsid w:val="00801AC9"/>
    <w:rsid w:val="008033CF"/>
    <w:rsid w:val="008036B7"/>
    <w:rsid w:val="008043CA"/>
    <w:rsid w:val="00804BC4"/>
    <w:rsid w:val="00805A7F"/>
    <w:rsid w:val="00806A36"/>
    <w:rsid w:val="00806A75"/>
    <w:rsid w:val="00806C22"/>
    <w:rsid w:val="0080735A"/>
    <w:rsid w:val="008078D4"/>
    <w:rsid w:val="0081404B"/>
    <w:rsid w:val="008150F6"/>
    <w:rsid w:val="0082132F"/>
    <w:rsid w:val="00821F8E"/>
    <w:rsid w:val="00822578"/>
    <w:rsid w:val="00823BD1"/>
    <w:rsid w:val="00826382"/>
    <w:rsid w:val="008310FF"/>
    <w:rsid w:val="00832F1E"/>
    <w:rsid w:val="00835C93"/>
    <w:rsid w:val="00836972"/>
    <w:rsid w:val="00844CFD"/>
    <w:rsid w:val="0084607C"/>
    <w:rsid w:val="008505C3"/>
    <w:rsid w:val="0085060B"/>
    <w:rsid w:val="008522F1"/>
    <w:rsid w:val="00860ABA"/>
    <w:rsid w:val="00861B08"/>
    <w:rsid w:val="008627F8"/>
    <w:rsid w:val="00862C0C"/>
    <w:rsid w:val="0086540A"/>
    <w:rsid w:val="008730BF"/>
    <w:rsid w:val="00874589"/>
    <w:rsid w:val="00875449"/>
    <w:rsid w:val="008853CB"/>
    <w:rsid w:val="00885F9C"/>
    <w:rsid w:val="0088665B"/>
    <w:rsid w:val="00887563"/>
    <w:rsid w:val="00887DCA"/>
    <w:rsid w:val="00891768"/>
    <w:rsid w:val="00894200"/>
    <w:rsid w:val="0089455B"/>
    <w:rsid w:val="00895245"/>
    <w:rsid w:val="008972FC"/>
    <w:rsid w:val="008A1F75"/>
    <w:rsid w:val="008A3419"/>
    <w:rsid w:val="008A3CB5"/>
    <w:rsid w:val="008A4382"/>
    <w:rsid w:val="008A6557"/>
    <w:rsid w:val="008B035D"/>
    <w:rsid w:val="008B24C4"/>
    <w:rsid w:val="008B4221"/>
    <w:rsid w:val="008B6289"/>
    <w:rsid w:val="008C07DC"/>
    <w:rsid w:val="008C1857"/>
    <w:rsid w:val="008C3C1D"/>
    <w:rsid w:val="008C4DB8"/>
    <w:rsid w:val="008C4F41"/>
    <w:rsid w:val="008C5C7A"/>
    <w:rsid w:val="008C5CE9"/>
    <w:rsid w:val="008C782E"/>
    <w:rsid w:val="008D1692"/>
    <w:rsid w:val="008D4672"/>
    <w:rsid w:val="008D51F6"/>
    <w:rsid w:val="008D5501"/>
    <w:rsid w:val="008D6069"/>
    <w:rsid w:val="008E0C79"/>
    <w:rsid w:val="008E293B"/>
    <w:rsid w:val="008E30A6"/>
    <w:rsid w:val="008E441E"/>
    <w:rsid w:val="008E53C1"/>
    <w:rsid w:val="008E68CB"/>
    <w:rsid w:val="008E6C39"/>
    <w:rsid w:val="008E7585"/>
    <w:rsid w:val="008F0129"/>
    <w:rsid w:val="008F11ED"/>
    <w:rsid w:val="008F334F"/>
    <w:rsid w:val="008F77B2"/>
    <w:rsid w:val="008F7C2D"/>
    <w:rsid w:val="00900976"/>
    <w:rsid w:val="00903FF7"/>
    <w:rsid w:val="00904A87"/>
    <w:rsid w:val="00910ECC"/>
    <w:rsid w:val="009119D0"/>
    <w:rsid w:val="00913117"/>
    <w:rsid w:val="00913798"/>
    <w:rsid w:val="00913D40"/>
    <w:rsid w:val="009157D5"/>
    <w:rsid w:val="00915E14"/>
    <w:rsid w:val="00921354"/>
    <w:rsid w:val="00922695"/>
    <w:rsid w:val="009229CE"/>
    <w:rsid w:val="00924D5E"/>
    <w:rsid w:val="00926A24"/>
    <w:rsid w:val="00926DBA"/>
    <w:rsid w:val="009305E7"/>
    <w:rsid w:val="00931AA6"/>
    <w:rsid w:val="00935F4D"/>
    <w:rsid w:val="0094021D"/>
    <w:rsid w:val="00940743"/>
    <w:rsid w:val="00942747"/>
    <w:rsid w:val="0094366C"/>
    <w:rsid w:val="00943883"/>
    <w:rsid w:val="009438EC"/>
    <w:rsid w:val="00945410"/>
    <w:rsid w:val="00952E21"/>
    <w:rsid w:val="00953ADF"/>
    <w:rsid w:val="009555A7"/>
    <w:rsid w:val="00955AA6"/>
    <w:rsid w:val="00955D6A"/>
    <w:rsid w:val="009574E5"/>
    <w:rsid w:val="009577B5"/>
    <w:rsid w:val="009643C0"/>
    <w:rsid w:val="00966702"/>
    <w:rsid w:val="00970729"/>
    <w:rsid w:val="00971131"/>
    <w:rsid w:val="00972105"/>
    <w:rsid w:val="0097496B"/>
    <w:rsid w:val="009815BD"/>
    <w:rsid w:val="00981724"/>
    <w:rsid w:val="00982EBC"/>
    <w:rsid w:val="0098532D"/>
    <w:rsid w:val="00985F10"/>
    <w:rsid w:val="0098636D"/>
    <w:rsid w:val="00986EEA"/>
    <w:rsid w:val="009871F3"/>
    <w:rsid w:val="009872EB"/>
    <w:rsid w:val="00993D7F"/>
    <w:rsid w:val="00996E68"/>
    <w:rsid w:val="009972AD"/>
    <w:rsid w:val="009A0289"/>
    <w:rsid w:val="009A093F"/>
    <w:rsid w:val="009A2FAE"/>
    <w:rsid w:val="009A46E0"/>
    <w:rsid w:val="009A5DE4"/>
    <w:rsid w:val="009A7D1F"/>
    <w:rsid w:val="009B060F"/>
    <w:rsid w:val="009B1A87"/>
    <w:rsid w:val="009B1D56"/>
    <w:rsid w:val="009B1F20"/>
    <w:rsid w:val="009B34B0"/>
    <w:rsid w:val="009B5205"/>
    <w:rsid w:val="009B5CB8"/>
    <w:rsid w:val="009B621A"/>
    <w:rsid w:val="009C2E12"/>
    <w:rsid w:val="009C3CF4"/>
    <w:rsid w:val="009C45D9"/>
    <w:rsid w:val="009C6440"/>
    <w:rsid w:val="009C6E2D"/>
    <w:rsid w:val="009C7679"/>
    <w:rsid w:val="009D2784"/>
    <w:rsid w:val="009D3170"/>
    <w:rsid w:val="009D434A"/>
    <w:rsid w:val="009D4C34"/>
    <w:rsid w:val="009D54CF"/>
    <w:rsid w:val="009D583B"/>
    <w:rsid w:val="009D5F06"/>
    <w:rsid w:val="009D64B7"/>
    <w:rsid w:val="009D6557"/>
    <w:rsid w:val="009E2DDA"/>
    <w:rsid w:val="009E3942"/>
    <w:rsid w:val="009E6310"/>
    <w:rsid w:val="009E74FB"/>
    <w:rsid w:val="009F0C3C"/>
    <w:rsid w:val="009F163D"/>
    <w:rsid w:val="009F1707"/>
    <w:rsid w:val="009F56FB"/>
    <w:rsid w:val="009F595A"/>
    <w:rsid w:val="009F65D7"/>
    <w:rsid w:val="009F6748"/>
    <w:rsid w:val="009F71F1"/>
    <w:rsid w:val="009F7F65"/>
    <w:rsid w:val="00A02F9C"/>
    <w:rsid w:val="00A04288"/>
    <w:rsid w:val="00A04294"/>
    <w:rsid w:val="00A054B6"/>
    <w:rsid w:val="00A06657"/>
    <w:rsid w:val="00A10DC9"/>
    <w:rsid w:val="00A11A81"/>
    <w:rsid w:val="00A15FCA"/>
    <w:rsid w:val="00A160C2"/>
    <w:rsid w:val="00A2112E"/>
    <w:rsid w:val="00A22BE4"/>
    <w:rsid w:val="00A22E2D"/>
    <w:rsid w:val="00A237DB"/>
    <w:rsid w:val="00A24C1C"/>
    <w:rsid w:val="00A25144"/>
    <w:rsid w:val="00A26B1D"/>
    <w:rsid w:val="00A31070"/>
    <w:rsid w:val="00A32162"/>
    <w:rsid w:val="00A3398F"/>
    <w:rsid w:val="00A34683"/>
    <w:rsid w:val="00A36575"/>
    <w:rsid w:val="00A3714A"/>
    <w:rsid w:val="00A37CDA"/>
    <w:rsid w:val="00A40FB8"/>
    <w:rsid w:val="00A42268"/>
    <w:rsid w:val="00A42836"/>
    <w:rsid w:val="00A42B51"/>
    <w:rsid w:val="00A45AE9"/>
    <w:rsid w:val="00A4691D"/>
    <w:rsid w:val="00A46B1B"/>
    <w:rsid w:val="00A47870"/>
    <w:rsid w:val="00A54386"/>
    <w:rsid w:val="00A60C4C"/>
    <w:rsid w:val="00A63D06"/>
    <w:rsid w:val="00A721B4"/>
    <w:rsid w:val="00A72323"/>
    <w:rsid w:val="00A73141"/>
    <w:rsid w:val="00A743C4"/>
    <w:rsid w:val="00A74F11"/>
    <w:rsid w:val="00A819DF"/>
    <w:rsid w:val="00A820E1"/>
    <w:rsid w:val="00A86D3D"/>
    <w:rsid w:val="00A86F75"/>
    <w:rsid w:val="00A87377"/>
    <w:rsid w:val="00A924C1"/>
    <w:rsid w:val="00A935CF"/>
    <w:rsid w:val="00A956DE"/>
    <w:rsid w:val="00AA10E5"/>
    <w:rsid w:val="00AA1574"/>
    <w:rsid w:val="00AA68D5"/>
    <w:rsid w:val="00AA6FA2"/>
    <w:rsid w:val="00AA7D07"/>
    <w:rsid w:val="00AB2948"/>
    <w:rsid w:val="00AB31A5"/>
    <w:rsid w:val="00AB39FA"/>
    <w:rsid w:val="00AB4BEA"/>
    <w:rsid w:val="00AB7261"/>
    <w:rsid w:val="00AC3B68"/>
    <w:rsid w:val="00AC494C"/>
    <w:rsid w:val="00AC623D"/>
    <w:rsid w:val="00AC7C46"/>
    <w:rsid w:val="00AD34B3"/>
    <w:rsid w:val="00AD41BB"/>
    <w:rsid w:val="00AD5CB7"/>
    <w:rsid w:val="00AD5E0B"/>
    <w:rsid w:val="00AD6933"/>
    <w:rsid w:val="00AD6A0A"/>
    <w:rsid w:val="00AD6B7B"/>
    <w:rsid w:val="00AD7F9A"/>
    <w:rsid w:val="00AE1753"/>
    <w:rsid w:val="00AE2AF7"/>
    <w:rsid w:val="00AE4319"/>
    <w:rsid w:val="00AE4F05"/>
    <w:rsid w:val="00AE5DC7"/>
    <w:rsid w:val="00AE6DD6"/>
    <w:rsid w:val="00AE72B2"/>
    <w:rsid w:val="00AE7822"/>
    <w:rsid w:val="00AF1BF2"/>
    <w:rsid w:val="00AF3000"/>
    <w:rsid w:val="00AF4165"/>
    <w:rsid w:val="00AF4B44"/>
    <w:rsid w:val="00AF5777"/>
    <w:rsid w:val="00AF588F"/>
    <w:rsid w:val="00B0161C"/>
    <w:rsid w:val="00B0250E"/>
    <w:rsid w:val="00B02A07"/>
    <w:rsid w:val="00B0463B"/>
    <w:rsid w:val="00B12535"/>
    <w:rsid w:val="00B14AF1"/>
    <w:rsid w:val="00B15262"/>
    <w:rsid w:val="00B17207"/>
    <w:rsid w:val="00B1736E"/>
    <w:rsid w:val="00B21225"/>
    <w:rsid w:val="00B25C3C"/>
    <w:rsid w:val="00B26198"/>
    <w:rsid w:val="00B26500"/>
    <w:rsid w:val="00B27192"/>
    <w:rsid w:val="00B30D9C"/>
    <w:rsid w:val="00B33691"/>
    <w:rsid w:val="00B36CF5"/>
    <w:rsid w:val="00B37E97"/>
    <w:rsid w:val="00B41CB5"/>
    <w:rsid w:val="00B442A9"/>
    <w:rsid w:val="00B5180E"/>
    <w:rsid w:val="00B52142"/>
    <w:rsid w:val="00B55978"/>
    <w:rsid w:val="00B60D70"/>
    <w:rsid w:val="00B616FF"/>
    <w:rsid w:val="00B6182E"/>
    <w:rsid w:val="00B61CC1"/>
    <w:rsid w:val="00B63F87"/>
    <w:rsid w:val="00B66552"/>
    <w:rsid w:val="00B73B10"/>
    <w:rsid w:val="00B740DE"/>
    <w:rsid w:val="00B83C7C"/>
    <w:rsid w:val="00B84BC1"/>
    <w:rsid w:val="00B86A42"/>
    <w:rsid w:val="00B87EC4"/>
    <w:rsid w:val="00B92040"/>
    <w:rsid w:val="00B923AB"/>
    <w:rsid w:val="00B9565A"/>
    <w:rsid w:val="00B9699B"/>
    <w:rsid w:val="00B971FD"/>
    <w:rsid w:val="00B977E0"/>
    <w:rsid w:val="00B97813"/>
    <w:rsid w:val="00BA0179"/>
    <w:rsid w:val="00BA2A3E"/>
    <w:rsid w:val="00BA3A97"/>
    <w:rsid w:val="00BA51EA"/>
    <w:rsid w:val="00BA589F"/>
    <w:rsid w:val="00BA5FBA"/>
    <w:rsid w:val="00BB0430"/>
    <w:rsid w:val="00BB047B"/>
    <w:rsid w:val="00BB0CA6"/>
    <w:rsid w:val="00BB10A4"/>
    <w:rsid w:val="00BB1532"/>
    <w:rsid w:val="00BB2271"/>
    <w:rsid w:val="00BB6398"/>
    <w:rsid w:val="00BC04D6"/>
    <w:rsid w:val="00BC0E86"/>
    <w:rsid w:val="00BC1E75"/>
    <w:rsid w:val="00BC4562"/>
    <w:rsid w:val="00BC60F0"/>
    <w:rsid w:val="00BC691D"/>
    <w:rsid w:val="00BD0372"/>
    <w:rsid w:val="00BD246E"/>
    <w:rsid w:val="00BD7890"/>
    <w:rsid w:val="00BE077C"/>
    <w:rsid w:val="00BE079E"/>
    <w:rsid w:val="00BE1F6E"/>
    <w:rsid w:val="00BE2D82"/>
    <w:rsid w:val="00BE4307"/>
    <w:rsid w:val="00BE7CB8"/>
    <w:rsid w:val="00BF0EBC"/>
    <w:rsid w:val="00BF3BAB"/>
    <w:rsid w:val="00BF4768"/>
    <w:rsid w:val="00BF6573"/>
    <w:rsid w:val="00BF6BBD"/>
    <w:rsid w:val="00C0128A"/>
    <w:rsid w:val="00C03503"/>
    <w:rsid w:val="00C03D2A"/>
    <w:rsid w:val="00C060D9"/>
    <w:rsid w:val="00C066F9"/>
    <w:rsid w:val="00C06DCA"/>
    <w:rsid w:val="00C12839"/>
    <w:rsid w:val="00C13780"/>
    <w:rsid w:val="00C139CA"/>
    <w:rsid w:val="00C14DC1"/>
    <w:rsid w:val="00C15562"/>
    <w:rsid w:val="00C163C6"/>
    <w:rsid w:val="00C20A29"/>
    <w:rsid w:val="00C240A6"/>
    <w:rsid w:val="00C3209A"/>
    <w:rsid w:val="00C34189"/>
    <w:rsid w:val="00C3420F"/>
    <w:rsid w:val="00C344D3"/>
    <w:rsid w:val="00C363B1"/>
    <w:rsid w:val="00C3684B"/>
    <w:rsid w:val="00C3789E"/>
    <w:rsid w:val="00C40825"/>
    <w:rsid w:val="00C42679"/>
    <w:rsid w:val="00C433C5"/>
    <w:rsid w:val="00C434FE"/>
    <w:rsid w:val="00C51429"/>
    <w:rsid w:val="00C6102A"/>
    <w:rsid w:val="00C62B38"/>
    <w:rsid w:val="00C6376A"/>
    <w:rsid w:val="00C64874"/>
    <w:rsid w:val="00C65D04"/>
    <w:rsid w:val="00C6687B"/>
    <w:rsid w:val="00C67014"/>
    <w:rsid w:val="00C70DAD"/>
    <w:rsid w:val="00C72514"/>
    <w:rsid w:val="00C746A1"/>
    <w:rsid w:val="00C7709F"/>
    <w:rsid w:val="00C80229"/>
    <w:rsid w:val="00C82054"/>
    <w:rsid w:val="00C8236A"/>
    <w:rsid w:val="00C83190"/>
    <w:rsid w:val="00C83DDE"/>
    <w:rsid w:val="00C862C4"/>
    <w:rsid w:val="00C87391"/>
    <w:rsid w:val="00C90883"/>
    <w:rsid w:val="00C9238F"/>
    <w:rsid w:val="00C94338"/>
    <w:rsid w:val="00CA3397"/>
    <w:rsid w:val="00CA33E1"/>
    <w:rsid w:val="00CB19AE"/>
    <w:rsid w:val="00CB1F80"/>
    <w:rsid w:val="00CB4577"/>
    <w:rsid w:val="00CB4C7D"/>
    <w:rsid w:val="00CB5189"/>
    <w:rsid w:val="00CB6AD1"/>
    <w:rsid w:val="00CB6BEB"/>
    <w:rsid w:val="00CB6C57"/>
    <w:rsid w:val="00CB6F91"/>
    <w:rsid w:val="00CC0F6E"/>
    <w:rsid w:val="00CC1A2F"/>
    <w:rsid w:val="00CC2099"/>
    <w:rsid w:val="00CC2405"/>
    <w:rsid w:val="00CC2F4A"/>
    <w:rsid w:val="00CC3BC4"/>
    <w:rsid w:val="00CC57F4"/>
    <w:rsid w:val="00CD3D61"/>
    <w:rsid w:val="00CD7494"/>
    <w:rsid w:val="00CD7C4B"/>
    <w:rsid w:val="00CE0181"/>
    <w:rsid w:val="00CE4101"/>
    <w:rsid w:val="00CE4E16"/>
    <w:rsid w:val="00CE7855"/>
    <w:rsid w:val="00CE7FA7"/>
    <w:rsid w:val="00CF082D"/>
    <w:rsid w:val="00CF7B1C"/>
    <w:rsid w:val="00D009C5"/>
    <w:rsid w:val="00D01FFB"/>
    <w:rsid w:val="00D02098"/>
    <w:rsid w:val="00D04A67"/>
    <w:rsid w:val="00D066D5"/>
    <w:rsid w:val="00D06E9F"/>
    <w:rsid w:val="00D10621"/>
    <w:rsid w:val="00D11427"/>
    <w:rsid w:val="00D11C07"/>
    <w:rsid w:val="00D11E2F"/>
    <w:rsid w:val="00D124F6"/>
    <w:rsid w:val="00D13474"/>
    <w:rsid w:val="00D158DB"/>
    <w:rsid w:val="00D15CA4"/>
    <w:rsid w:val="00D1704C"/>
    <w:rsid w:val="00D233F4"/>
    <w:rsid w:val="00D23E9F"/>
    <w:rsid w:val="00D2563B"/>
    <w:rsid w:val="00D31782"/>
    <w:rsid w:val="00D32F2E"/>
    <w:rsid w:val="00D3418E"/>
    <w:rsid w:val="00D3612A"/>
    <w:rsid w:val="00D36D13"/>
    <w:rsid w:val="00D374BB"/>
    <w:rsid w:val="00D37703"/>
    <w:rsid w:val="00D37F25"/>
    <w:rsid w:val="00D400EF"/>
    <w:rsid w:val="00D4360D"/>
    <w:rsid w:val="00D453F6"/>
    <w:rsid w:val="00D47CA4"/>
    <w:rsid w:val="00D47E06"/>
    <w:rsid w:val="00D535C6"/>
    <w:rsid w:val="00D53B12"/>
    <w:rsid w:val="00D5410B"/>
    <w:rsid w:val="00D5517A"/>
    <w:rsid w:val="00D60396"/>
    <w:rsid w:val="00D60D8D"/>
    <w:rsid w:val="00D6170E"/>
    <w:rsid w:val="00D61DBD"/>
    <w:rsid w:val="00D66076"/>
    <w:rsid w:val="00D67D47"/>
    <w:rsid w:val="00D71C6D"/>
    <w:rsid w:val="00D71CCD"/>
    <w:rsid w:val="00D73C98"/>
    <w:rsid w:val="00D74662"/>
    <w:rsid w:val="00D77339"/>
    <w:rsid w:val="00D80B9A"/>
    <w:rsid w:val="00D80D84"/>
    <w:rsid w:val="00D8128C"/>
    <w:rsid w:val="00D8310C"/>
    <w:rsid w:val="00D910D5"/>
    <w:rsid w:val="00D92209"/>
    <w:rsid w:val="00D9441D"/>
    <w:rsid w:val="00D97E9A"/>
    <w:rsid w:val="00DA06E5"/>
    <w:rsid w:val="00DA0EC9"/>
    <w:rsid w:val="00DA11DD"/>
    <w:rsid w:val="00DA21C3"/>
    <w:rsid w:val="00DA52BB"/>
    <w:rsid w:val="00DB0308"/>
    <w:rsid w:val="00DB07D3"/>
    <w:rsid w:val="00DB49D9"/>
    <w:rsid w:val="00DC0120"/>
    <w:rsid w:val="00DC3C0B"/>
    <w:rsid w:val="00DD0109"/>
    <w:rsid w:val="00DD2827"/>
    <w:rsid w:val="00DD3653"/>
    <w:rsid w:val="00DD532E"/>
    <w:rsid w:val="00DD759C"/>
    <w:rsid w:val="00DD75CD"/>
    <w:rsid w:val="00DE374E"/>
    <w:rsid w:val="00DE56CA"/>
    <w:rsid w:val="00DE643F"/>
    <w:rsid w:val="00DE66DF"/>
    <w:rsid w:val="00DF330F"/>
    <w:rsid w:val="00DF71E7"/>
    <w:rsid w:val="00E055D0"/>
    <w:rsid w:val="00E06AF6"/>
    <w:rsid w:val="00E10F41"/>
    <w:rsid w:val="00E1199F"/>
    <w:rsid w:val="00E14B9E"/>
    <w:rsid w:val="00E14CC7"/>
    <w:rsid w:val="00E168D3"/>
    <w:rsid w:val="00E2509B"/>
    <w:rsid w:val="00E266F7"/>
    <w:rsid w:val="00E31A11"/>
    <w:rsid w:val="00E32D65"/>
    <w:rsid w:val="00E33803"/>
    <w:rsid w:val="00E355B6"/>
    <w:rsid w:val="00E35E54"/>
    <w:rsid w:val="00E35F6E"/>
    <w:rsid w:val="00E371BC"/>
    <w:rsid w:val="00E40EC9"/>
    <w:rsid w:val="00E41259"/>
    <w:rsid w:val="00E41262"/>
    <w:rsid w:val="00E41537"/>
    <w:rsid w:val="00E42C62"/>
    <w:rsid w:val="00E453F8"/>
    <w:rsid w:val="00E4622C"/>
    <w:rsid w:val="00E46571"/>
    <w:rsid w:val="00E5058F"/>
    <w:rsid w:val="00E514F4"/>
    <w:rsid w:val="00E51FFB"/>
    <w:rsid w:val="00E543F6"/>
    <w:rsid w:val="00E5593A"/>
    <w:rsid w:val="00E61D4E"/>
    <w:rsid w:val="00E63855"/>
    <w:rsid w:val="00E65E5D"/>
    <w:rsid w:val="00E67AF6"/>
    <w:rsid w:val="00E73B79"/>
    <w:rsid w:val="00E74DD7"/>
    <w:rsid w:val="00E75C5E"/>
    <w:rsid w:val="00E82CEB"/>
    <w:rsid w:val="00E863BE"/>
    <w:rsid w:val="00E904DD"/>
    <w:rsid w:val="00E917A5"/>
    <w:rsid w:val="00E930A5"/>
    <w:rsid w:val="00E935F2"/>
    <w:rsid w:val="00E939D7"/>
    <w:rsid w:val="00E95993"/>
    <w:rsid w:val="00E961A4"/>
    <w:rsid w:val="00E9683C"/>
    <w:rsid w:val="00EA3ECF"/>
    <w:rsid w:val="00EA558D"/>
    <w:rsid w:val="00EA5802"/>
    <w:rsid w:val="00EB03BB"/>
    <w:rsid w:val="00EB043F"/>
    <w:rsid w:val="00EB19BB"/>
    <w:rsid w:val="00EB1C36"/>
    <w:rsid w:val="00EB410E"/>
    <w:rsid w:val="00EB627B"/>
    <w:rsid w:val="00EB69FD"/>
    <w:rsid w:val="00EC0315"/>
    <w:rsid w:val="00EC0861"/>
    <w:rsid w:val="00EC6CFE"/>
    <w:rsid w:val="00ED02C6"/>
    <w:rsid w:val="00ED21AF"/>
    <w:rsid w:val="00EE0B69"/>
    <w:rsid w:val="00EE1FF8"/>
    <w:rsid w:val="00EE2EB2"/>
    <w:rsid w:val="00EE406C"/>
    <w:rsid w:val="00EF1E12"/>
    <w:rsid w:val="00EF1F3C"/>
    <w:rsid w:val="00EF2463"/>
    <w:rsid w:val="00EF4105"/>
    <w:rsid w:val="00EF4B1C"/>
    <w:rsid w:val="00EF6828"/>
    <w:rsid w:val="00EF6BB7"/>
    <w:rsid w:val="00EF7050"/>
    <w:rsid w:val="00F00AE1"/>
    <w:rsid w:val="00F07534"/>
    <w:rsid w:val="00F12030"/>
    <w:rsid w:val="00F14456"/>
    <w:rsid w:val="00F14C23"/>
    <w:rsid w:val="00F14F0A"/>
    <w:rsid w:val="00F154D3"/>
    <w:rsid w:val="00F203D4"/>
    <w:rsid w:val="00F20D7F"/>
    <w:rsid w:val="00F25E4D"/>
    <w:rsid w:val="00F26A9F"/>
    <w:rsid w:val="00F26E68"/>
    <w:rsid w:val="00F30286"/>
    <w:rsid w:val="00F318D9"/>
    <w:rsid w:val="00F3237B"/>
    <w:rsid w:val="00F33119"/>
    <w:rsid w:val="00F33C02"/>
    <w:rsid w:val="00F34103"/>
    <w:rsid w:val="00F352AE"/>
    <w:rsid w:val="00F40059"/>
    <w:rsid w:val="00F407D0"/>
    <w:rsid w:val="00F420F4"/>
    <w:rsid w:val="00F5129F"/>
    <w:rsid w:val="00F53C86"/>
    <w:rsid w:val="00F5460E"/>
    <w:rsid w:val="00F57501"/>
    <w:rsid w:val="00F64F49"/>
    <w:rsid w:val="00F65FD5"/>
    <w:rsid w:val="00F66CF5"/>
    <w:rsid w:val="00F70A7C"/>
    <w:rsid w:val="00F71600"/>
    <w:rsid w:val="00F739F4"/>
    <w:rsid w:val="00F73C47"/>
    <w:rsid w:val="00F758C4"/>
    <w:rsid w:val="00F76E32"/>
    <w:rsid w:val="00F7751D"/>
    <w:rsid w:val="00F8033A"/>
    <w:rsid w:val="00F81F2C"/>
    <w:rsid w:val="00F85D13"/>
    <w:rsid w:val="00F86FD5"/>
    <w:rsid w:val="00F90E63"/>
    <w:rsid w:val="00F9109E"/>
    <w:rsid w:val="00F94C89"/>
    <w:rsid w:val="00F9514F"/>
    <w:rsid w:val="00F95BAF"/>
    <w:rsid w:val="00F96B72"/>
    <w:rsid w:val="00F97792"/>
    <w:rsid w:val="00FA1B01"/>
    <w:rsid w:val="00FA3228"/>
    <w:rsid w:val="00FA66A6"/>
    <w:rsid w:val="00FA6A3F"/>
    <w:rsid w:val="00FA6EE7"/>
    <w:rsid w:val="00FB29D5"/>
    <w:rsid w:val="00FB47DD"/>
    <w:rsid w:val="00FB50D3"/>
    <w:rsid w:val="00FB6196"/>
    <w:rsid w:val="00FB73D3"/>
    <w:rsid w:val="00FC081E"/>
    <w:rsid w:val="00FC0AD6"/>
    <w:rsid w:val="00FC28B6"/>
    <w:rsid w:val="00FC3D72"/>
    <w:rsid w:val="00FC6A7B"/>
    <w:rsid w:val="00FC7F2E"/>
    <w:rsid w:val="00FD028C"/>
    <w:rsid w:val="00FD1396"/>
    <w:rsid w:val="00FD4756"/>
    <w:rsid w:val="00FD4B57"/>
    <w:rsid w:val="00FD56B5"/>
    <w:rsid w:val="00FE01F6"/>
    <w:rsid w:val="00FE2EBB"/>
    <w:rsid w:val="00FE2F77"/>
    <w:rsid w:val="00FE2FF9"/>
    <w:rsid w:val="00FE4982"/>
    <w:rsid w:val="00FE508C"/>
    <w:rsid w:val="00FE5E5A"/>
    <w:rsid w:val="00FE7C86"/>
    <w:rsid w:val="00FE7D94"/>
    <w:rsid w:val="00FF479D"/>
    <w:rsid w:val="00FF61F9"/>
    <w:rsid w:val="01175AED"/>
    <w:rsid w:val="016E1EBF"/>
    <w:rsid w:val="0181397A"/>
    <w:rsid w:val="028D3559"/>
    <w:rsid w:val="02AC1189"/>
    <w:rsid w:val="037A9947"/>
    <w:rsid w:val="06749B89"/>
    <w:rsid w:val="06B23A09"/>
    <w:rsid w:val="06BD64B9"/>
    <w:rsid w:val="07080DA6"/>
    <w:rsid w:val="07489D45"/>
    <w:rsid w:val="079F4477"/>
    <w:rsid w:val="07BB86F3"/>
    <w:rsid w:val="07F144A8"/>
    <w:rsid w:val="082B90A2"/>
    <w:rsid w:val="0871E857"/>
    <w:rsid w:val="091D53DE"/>
    <w:rsid w:val="09802110"/>
    <w:rsid w:val="09ADBD18"/>
    <w:rsid w:val="09B773BA"/>
    <w:rsid w:val="09FED2E2"/>
    <w:rsid w:val="0A9C37DD"/>
    <w:rsid w:val="0AA5006F"/>
    <w:rsid w:val="0B5E7537"/>
    <w:rsid w:val="0C682BEE"/>
    <w:rsid w:val="0CC92718"/>
    <w:rsid w:val="0E32AA31"/>
    <w:rsid w:val="0E469425"/>
    <w:rsid w:val="0EFA223B"/>
    <w:rsid w:val="0F24E8BE"/>
    <w:rsid w:val="0F93555E"/>
    <w:rsid w:val="1080A122"/>
    <w:rsid w:val="11831D1F"/>
    <w:rsid w:val="11A4BCAB"/>
    <w:rsid w:val="12861E91"/>
    <w:rsid w:val="12CBF03D"/>
    <w:rsid w:val="1336DA0A"/>
    <w:rsid w:val="13889F77"/>
    <w:rsid w:val="1390B37A"/>
    <w:rsid w:val="13B841E4"/>
    <w:rsid w:val="13F6437D"/>
    <w:rsid w:val="140F9093"/>
    <w:rsid w:val="146CAA3A"/>
    <w:rsid w:val="14D620A4"/>
    <w:rsid w:val="14F1B11D"/>
    <w:rsid w:val="154DA45F"/>
    <w:rsid w:val="1585BC2E"/>
    <w:rsid w:val="15A99532"/>
    <w:rsid w:val="15E09C06"/>
    <w:rsid w:val="167EE406"/>
    <w:rsid w:val="16C04039"/>
    <w:rsid w:val="16E974C0"/>
    <w:rsid w:val="16EAA829"/>
    <w:rsid w:val="1747A587"/>
    <w:rsid w:val="1791626E"/>
    <w:rsid w:val="185C109A"/>
    <w:rsid w:val="18B0DE1F"/>
    <w:rsid w:val="191E975C"/>
    <w:rsid w:val="1962AEB7"/>
    <w:rsid w:val="19F7E0FB"/>
    <w:rsid w:val="1A9BD5B9"/>
    <w:rsid w:val="1A9FE920"/>
    <w:rsid w:val="1AC500F9"/>
    <w:rsid w:val="1BBCE5E3"/>
    <w:rsid w:val="1C2DAC1C"/>
    <w:rsid w:val="1E88540C"/>
    <w:rsid w:val="1EDB5D3E"/>
    <w:rsid w:val="1EF659F6"/>
    <w:rsid w:val="1EFBBB68"/>
    <w:rsid w:val="1F17A712"/>
    <w:rsid w:val="1F6BA615"/>
    <w:rsid w:val="1F7D4A0C"/>
    <w:rsid w:val="1F860E2E"/>
    <w:rsid w:val="204C3C3D"/>
    <w:rsid w:val="2067EC6C"/>
    <w:rsid w:val="21842385"/>
    <w:rsid w:val="21B70BC8"/>
    <w:rsid w:val="21C3EA62"/>
    <w:rsid w:val="22BF6E29"/>
    <w:rsid w:val="22EEA1AE"/>
    <w:rsid w:val="22FE3B59"/>
    <w:rsid w:val="231E6478"/>
    <w:rsid w:val="234D4C83"/>
    <w:rsid w:val="23646892"/>
    <w:rsid w:val="23843E2A"/>
    <w:rsid w:val="2433F848"/>
    <w:rsid w:val="24DF6DFD"/>
    <w:rsid w:val="24EEAC8A"/>
    <w:rsid w:val="254DC92E"/>
    <w:rsid w:val="256CFA2B"/>
    <w:rsid w:val="26DE5189"/>
    <w:rsid w:val="27F62AAC"/>
    <w:rsid w:val="2868EA24"/>
    <w:rsid w:val="29D4B5A2"/>
    <w:rsid w:val="2A15F24B"/>
    <w:rsid w:val="2A380E20"/>
    <w:rsid w:val="2B1841C8"/>
    <w:rsid w:val="2C5141D6"/>
    <w:rsid w:val="2C90E421"/>
    <w:rsid w:val="2CA51861"/>
    <w:rsid w:val="2CC115BC"/>
    <w:rsid w:val="2DAE6BD8"/>
    <w:rsid w:val="2ED9BC71"/>
    <w:rsid w:val="2F6469BA"/>
    <w:rsid w:val="30138509"/>
    <w:rsid w:val="30196542"/>
    <w:rsid w:val="303AD650"/>
    <w:rsid w:val="31899A21"/>
    <w:rsid w:val="32432DAA"/>
    <w:rsid w:val="32555B35"/>
    <w:rsid w:val="3305B660"/>
    <w:rsid w:val="3310A72A"/>
    <w:rsid w:val="3370ED79"/>
    <w:rsid w:val="33AA1303"/>
    <w:rsid w:val="349AE6A9"/>
    <w:rsid w:val="3511E5D9"/>
    <w:rsid w:val="357C86F9"/>
    <w:rsid w:val="35F42709"/>
    <w:rsid w:val="363E7D51"/>
    <w:rsid w:val="364992C3"/>
    <w:rsid w:val="38398238"/>
    <w:rsid w:val="3851EEC4"/>
    <w:rsid w:val="3A054F81"/>
    <w:rsid w:val="3A85B6B6"/>
    <w:rsid w:val="3A973823"/>
    <w:rsid w:val="3AA434F8"/>
    <w:rsid w:val="3AB1DDE9"/>
    <w:rsid w:val="3AF52572"/>
    <w:rsid w:val="3C67285D"/>
    <w:rsid w:val="3CD22379"/>
    <w:rsid w:val="3CF03D0E"/>
    <w:rsid w:val="3CF954E2"/>
    <w:rsid w:val="3E18DC12"/>
    <w:rsid w:val="3EE728C8"/>
    <w:rsid w:val="3FC11A4F"/>
    <w:rsid w:val="40411571"/>
    <w:rsid w:val="4067694F"/>
    <w:rsid w:val="40933C21"/>
    <w:rsid w:val="4098607F"/>
    <w:rsid w:val="409F6A69"/>
    <w:rsid w:val="4124B0D4"/>
    <w:rsid w:val="412DAE64"/>
    <w:rsid w:val="424463DD"/>
    <w:rsid w:val="4261A0FD"/>
    <w:rsid w:val="42CD771F"/>
    <w:rsid w:val="42F1308F"/>
    <w:rsid w:val="434164FD"/>
    <w:rsid w:val="43BD15AA"/>
    <w:rsid w:val="44E2FEC0"/>
    <w:rsid w:val="4506F29A"/>
    <w:rsid w:val="450B8D58"/>
    <w:rsid w:val="4521FB9A"/>
    <w:rsid w:val="4648FAA2"/>
    <w:rsid w:val="467297D9"/>
    <w:rsid w:val="46953D47"/>
    <w:rsid w:val="46C28AAB"/>
    <w:rsid w:val="47802B85"/>
    <w:rsid w:val="47D3F8DC"/>
    <w:rsid w:val="47F68459"/>
    <w:rsid w:val="480E683A"/>
    <w:rsid w:val="480FACB6"/>
    <w:rsid w:val="48BC0FA3"/>
    <w:rsid w:val="49496F15"/>
    <w:rsid w:val="49E223B4"/>
    <w:rsid w:val="49FEA08F"/>
    <w:rsid w:val="4A2C9E52"/>
    <w:rsid w:val="4A6CB2E2"/>
    <w:rsid w:val="4AD6155C"/>
    <w:rsid w:val="4B03DF2C"/>
    <w:rsid w:val="4B3BBBF0"/>
    <w:rsid w:val="4B72A1D7"/>
    <w:rsid w:val="4B960DB1"/>
    <w:rsid w:val="4C088343"/>
    <w:rsid w:val="4C52A25D"/>
    <w:rsid w:val="4DA453A4"/>
    <w:rsid w:val="4EBCA03D"/>
    <w:rsid w:val="4EDF4198"/>
    <w:rsid w:val="50200F70"/>
    <w:rsid w:val="506FE94E"/>
    <w:rsid w:val="507B11F9"/>
    <w:rsid w:val="50C6D300"/>
    <w:rsid w:val="5216E25A"/>
    <w:rsid w:val="5277C4C7"/>
    <w:rsid w:val="52E0B1B7"/>
    <w:rsid w:val="54320032"/>
    <w:rsid w:val="544749CA"/>
    <w:rsid w:val="54D50761"/>
    <w:rsid w:val="54F8CECE"/>
    <w:rsid w:val="550BFEA1"/>
    <w:rsid w:val="5519D05A"/>
    <w:rsid w:val="554E831C"/>
    <w:rsid w:val="55C53B9E"/>
    <w:rsid w:val="55D94F24"/>
    <w:rsid w:val="56032BDA"/>
    <w:rsid w:val="5670D7C2"/>
    <w:rsid w:val="577EEA8C"/>
    <w:rsid w:val="58002614"/>
    <w:rsid w:val="5944CE51"/>
    <w:rsid w:val="5B2A9E1C"/>
    <w:rsid w:val="5B3A1B7C"/>
    <w:rsid w:val="5B59A482"/>
    <w:rsid w:val="5CA65EE8"/>
    <w:rsid w:val="5CF941A3"/>
    <w:rsid w:val="5D4BA98C"/>
    <w:rsid w:val="5DC448F3"/>
    <w:rsid w:val="5E58E876"/>
    <w:rsid w:val="5EEBFAE0"/>
    <w:rsid w:val="5F5313A0"/>
    <w:rsid w:val="5F5A6A3F"/>
    <w:rsid w:val="5FB55525"/>
    <w:rsid w:val="6003F1BC"/>
    <w:rsid w:val="605DA2DA"/>
    <w:rsid w:val="610D025E"/>
    <w:rsid w:val="61913200"/>
    <w:rsid w:val="61ACEBE5"/>
    <w:rsid w:val="61B71840"/>
    <w:rsid w:val="626AFC2E"/>
    <w:rsid w:val="628ED979"/>
    <w:rsid w:val="62B27835"/>
    <w:rsid w:val="634B21F1"/>
    <w:rsid w:val="63C337FB"/>
    <w:rsid w:val="64A4FE21"/>
    <w:rsid w:val="651EC83F"/>
    <w:rsid w:val="6520A274"/>
    <w:rsid w:val="65ADB666"/>
    <w:rsid w:val="65EE85C7"/>
    <w:rsid w:val="6613CDEF"/>
    <w:rsid w:val="67194D3F"/>
    <w:rsid w:val="675DD767"/>
    <w:rsid w:val="677B80A2"/>
    <w:rsid w:val="67FA347C"/>
    <w:rsid w:val="688CED02"/>
    <w:rsid w:val="68FF3196"/>
    <w:rsid w:val="694AD739"/>
    <w:rsid w:val="69BE9C4E"/>
    <w:rsid w:val="69EB635C"/>
    <w:rsid w:val="6A3BFF26"/>
    <w:rsid w:val="6A5032ED"/>
    <w:rsid w:val="6AD49C9E"/>
    <w:rsid w:val="6B26153E"/>
    <w:rsid w:val="6B2B9BDC"/>
    <w:rsid w:val="6C1A9962"/>
    <w:rsid w:val="6C1EBEB4"/>
    <w:rsid w:val="6C43388F"/>
    <w:rsid w:val="6D2D4CAC"/>
    <w:rsid w:val="6D394F08"/>
    <w:rsid w:val="6E094EEB"/>
    <w:rsid w:val="6E205A32"/>
    <w:rsid w:val="6E4D0B7D"/>
    <w:rsid w:val="6E81279A"/>
    <w:rsid w:val="6ED40820"/>
    <w:rsid w:val="6ED53A35"/>
    <w:rsid w:val="6F129C4D"/>
    <w:rsid w:val="6F1600E6"/>
    <w:rsid w:val="6F378C24"/>
    <w:rsid w:val="6F6B73D1"/>
    <w:rsid w:val="6F8C796E"/>
    <w:rsid w:val="6F9AB147"/>
    <w:rsid w:val="6F9EF8C1"/>
    <w:rsid w:val="6FDC29C4"/>
    <w:rsid w:val="6FE282FB"/>
    <w:rsid w:val="70C8660A"/>
    <w:rsid w:val="71174FC1"/>
    <w:rsid w:val="713E522F"/>
    <w:rsid w:val="71938A42"/>
    <w:rsid w:val="71C413F5"/>
    <w:rsid w:val="729A7CF9"/>
    <w:rsid w:val="72C483F3"/>
    <w:rsid w:val="7390174E"/>
    <w:rsid w:val="73B8A671"/>
    <w:rsid w:val="7400D66D"/>
    <w:rsid w:val="74CD5613"/>
    <w:rsid w:val="751A3D56"/>
    <w:rsid w:val="7525E1AE"/>
    <w:rsid w:val="752A8D67"/>
    <w:rsid w:val="754D1B1A"/>
    <w:rsid w:val="757BFCDE"/>
    <w:rsid w:val="75B4B780"/>
    <w:rsid w:val="773CE829"/>
    <w:rsid w:val="774F41D7"/>
    <w:rsid w:val="774F4E5C"/>
    <w:rsid w:val="7845AAF4"/>
    <w:rsid w:val="786E9927"/>
    <w:rsid w:val="78BE4015"/>
    <w:rsid w:val="79605E93"/>
    <w:rsid w:val="797EB940"/>
    <w:rsid w:val="79C30B4E"/>
    <w:rsid w:val="79CF25DA"/>
    <w:rsid w:val="7A0E8D7F"/>
    <w:rsid w:val="7A5F3875"/>
    <w:rsid w:val="7B00436C"/>
    <w:rsid w:val="7BA92F51"/>
    <w:rsid w:val="7BFCE6CF"/>
    <w:rsid w:val="7C2CCE72"/>
    <w:rsid w:val="7CAC64F7"/>
    <w:rsid w:val="7D7620BF"/>
    <w:rsid w:val="7DF41260"/>
    <w:rsid w:val="7E343DA4"/>
    <w:rsid w:val="7E3B6A7A"/>
    <w:rsid w:val="7EBEF17C"/>
    <w:rsid w:val="7FC45B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006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uiPriority="99"/>
    <w:lsdException w:name="FollowedHyperlink" w:locked="0" w:uiPriority="99"/>
    <w:lsdException w:name="Strong" w:qFormat="1"/>
    <w:lsdException w:name="Emphasis" w:locked="0" w:qFormat="1"/>
    <w:lsdException w:name="HTML Top of Form" w:locked="0"/>
    <w:lsdException w:name="HTML Bottom of Form" w:locked="0"/>
    <w:lsdException w:name="Normal (Web)" w:uiPriority="99"/>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F85D13"/>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3D3B28"/>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6E0F0C"/>
    <w:pPr>
      <w:spacing w:after="200"/>
    </w:pPr>
    <w:rPr>
      <w:bCs w:val="0"/>
      <w:iCs/>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6E0F0C"/>
    <w:rPr>
      <w:b/>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iPriority w:val="99"/>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2"/>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3D3B28"/>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3D3B28"/>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6E0F0C"/>
  </w:style>
  <w:style w:type="paragraph" w:customStyle="1" w:styleId="Heading3boardreport">
    <w:name w:val="Heading 3 board report"/>
    <w:basedOn w:val="Heading3"/>
    <w:next w:val="NICEnormal"/>
    <w:qFormat/>
    <w:rsid w:val="006E0F0C"/>
  </w:style>
  <w:style w:type="paragraph" w:customStyle="1" w:styleId="Paragraph">
    <w:name w:val="Paragraph"/>
    <w:basedOn w:val="Paragraphnonumbers"/>
    <w:uiPriority w:val="4"/>
    <w:qFormat/>
    <w:locked/>
    <w:rsid w:val="009B1D56"/>
    <w:pPr>
      <w:tabs>
        <w:tab w:val="left" w:pos="426"/>
      </w:tabs>
    </w:pPr>
    <w:rPr>
      <w:noProof/>
    </w:rPr>
  </w:style>
  <w:style w:type="paragraph" w:customStyle="1" w:styleId="Bullets">
    <w:name w:val="Bullets"/>
    <w:basedOn w:val="Normal"/>
    <w:uiPriority w:val="5"/>
    <w:qFormat/>
    <w:locked/>
    <w:rsid w:val="009C6E2D"/>
    <w:pPr>
      <w:numPr>
        <w:numId w:val="23"/>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24"/>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3D3B28"/>
    <w:rPr>
      <w:rFonts w:ascii="Arial" w:hAnsi="Arial" w:cs="Arial"/>
      <w:b/>
      <w:bCs/>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CommentSubject">
    <w:name w:val="annotation subject"/>
    <w:basedOn w:val="CommentText"/>
    <w:next w:val="CommentText"/>
    <w:link w:val="CommentSubjectChar"/>
    <w:rsid w:val="00483B65"/>
    <w:rPr>
      <w:b/>
      <w:bCs/>
      <w:lang w:eastAsia="en-US"/>
    </w:rPr>
  </w:style>
  <w:style w:type="character" w:customStyle="1" w:styleId="CommentSubjectChar">
    <w:name w:val="Comment Subject Char"/>
    <w:basedOn w:val="CommentTextChar"/>
    <w:link w:val="CommentSubject"/>
    <w:rsid w:val="00483B65"/>
    <w:rPr>
      <w:b/>
      <w:bCs/>
      <w:lang w:eastAsia="en-US"/>
    </w:rPr>
  </w:style>
  <w:style w:type="paragraph" w:styleId="Revision">
    <w:name w:val="Revision"/>
    <w:hidden/>
    <w:uiPriority w:val="99"/>
    <w:semiHidden/>
    <w:rsid w:val="00145132"/>
    <w:rPr>
      <w:sz w:val="24"/>
      <w:szCs w:val="24"/>
      <w:lang w:eastAsia="en-US"/>
    </w:rPr>
  </w:style>
  <w:style w:type="character" w:styleId="Mention">
    <w:name w:val="Mention"/>
    <w:basedOn w:val="DefaultParagraphFont"/>
    <w:uiPriority w:val="99"/>
    <w:unhideWhenUsed/>
    <w:rPr>
      <w:color w:val="2B579A"/>
      <w:shd w:val="clear" w:color="auto" w:fill="E6E6E6"/>
    </w:rPr>
  </w:style>
  <w:style w:type="table" w:styleId="TableGridLight">
    <w:name w:val="Grid Table Light"/>
    <w:basedOn w:val="TableNormal"/>
    <w:uiPriority w:val="40"/>
    <w:locked/>
    <w:rsid w:val="009F170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rsid w:val="006815D2"/>
    <w:rPr>
      <w:color w:val="954F72" w:themeColor="followedHyperlink"/>
      <w:u w:val="single"/>
    </w:rPr>
  </w:style>
  <w:style w:type="paragraph" w:customStyle="1" w:styleId="pf0">
    <w:name w:val="pf0"/>
    <w:basedOn w:val="Normal"/>
    <w:rsid w:val="0024722D"/>
    <w:pPr>
      <w:spacing w:before="100" w:beforeAutospacing="1" w:after="100" w:afterAutospacing="1"/>
    </w:pPr>
    <w:rPr>
      <w:lang w:eastAsia="en-GB"/>
    </w:rPr>
  </w:style>
  <w:style w:type="character" w:customStyle="1" w:styleId="cf01">
    <w:name w:val="cf01"/>
    <w:basedOn w:val="DefaultParagraphFont"/>
    <w:rsid w:val="0024722D"/>
    <w:rPr>
      <w:rFonts w:ascii="Segoe UI" w:hAnsi="Segoe UI" w:cs="Segoe UI" w:hint="default"/>
      <w:sz w:val="18"/>
      <w:szCs w:val="18"/>
    </w:rPr>
  </w:style>
  <w:style w:type="paragraph" w:customStyle="1" w:styleId="xmsolistparagraph">
    <w:name w:val="x_msolistparagraph"/>
    <w:basedOn w:val="Normal"/>
    <w:rsid w:val="0024722D"/>
    <w:pPr>
      <w:ind w:left="720"/>
    </w:pPr>
    <w:rPr>
      <w:rFonts w:ascii="Calibri" w:eastAsiaTheme="minorHAnsi" w:hAnsi="Calibri" w:cs="Calibri"/>
      <w:sz w:val="22"/>
      <w:szCs w:val="22"/>
      <w:lang w:eastAsia="en-GB"/>
    </w:rPr>
  </w:style>
  <w:style w:type="paragraph" w:customStyle="1" w:styleId="Tableheading">
    <w:name w:val="Table heading"/>
    <w:basedOn w:val="Tabletext"/>
    <w:qFormat/>
    <w:rsid w:val="00026AB4"/>
    <w:pPr>
      <w:keepNext w:val="0"/>
      <w:spacing w:before="60" w:after="80"/>
    </w:pPr>
    <w:rPr>
      <w:b/>
    </w:rPr>
  </w:style>
  <w:style w:type="paragraph" w:customStyle="1" w:styleId="Numberedlist">
    <w:name w:val="Numbered list"/>
    <w:basedOn w:val="Normal"/>
    <w:qFormat/>
    <w:rsid w:val="00874589"/>
    <w:pPr>
      <w:tabs>
        <w:tab w:val="left" w:pos="993"/>
      </w:tabs>
      <w:spacing w:line="360" w:lineRule="auto"/>
    </w:pPr>
    <w:rPr>
      <w:rFonts w:ascii="Arial" w:hAnsi="Arial"/>
    </w:rPr>
  </w:style>
  <w:style w:type="paragraph" w:customStyle="1" w:styleId="Paragraphnonumbersnarrow">
    <w:name w:val="Paragraph no numbers narrow"/>
    <w:basedOn w:val="Paragraphnonumbers"/>
    <w:link w:val="ParagraphnonumbersnarrowChar"/>
    <w:qFormat/>
    <w:rsid w:val="00874589"/>
    <w:pPr>
      <w:spacing w:before="120" w:after="120" w:line="360" w:lineRule="auto"/>
    </w:pPr>
    <w:rPr>
      <w:lang w:eastAsia="en-US"/>
    </w:rPr>
  </w:style>
  <w:style w:type="character" w:customStyle="1" w:styleId="ParagraphnonumbersnarrowChar">
    <w:name w:val="Paragraph no numbers narrow Char"/>
    <w:basedOn w:val="ParagraphnonumbersChar"/>
    <w:link w:val="Paragraphnonumbersnarrow"/>
    <w:rsid w:val="00874589"/>
    <w:rPr>
      <w:rFonts w:ascii="Arial" w:hAnsi="Arial"/>
      <w:sz w:val="24"/>
      <w:szCs w:val="24"/>
      <w:lang w:eastAsia="en-US"/>
    </w:rPr>
  </w:style>
  <w:style w:type="character" w:customStyle="1" w:styleId="normaltextrun">
    <w:name w:val="normaltextrun"/>
    <w:basedOn w:val="DefaultParagraphFont"/>
    <w:rsid w:val="00874589"/>
  </w:style>
  <w:style w:type="paragraph" w:customStyle="1" w:styleId="ParagraphNumbered">
    <w:name w:val="Paragraph Numbered"/>
    <w:basedOn w:val="Normal"/>
    <w:uiPriority w:val="4"/>
    <w:qFormat/>
    <w:rsid w:val="00AF5777"/>
    <w:pPr>
      <w:numPr>
        <w:numId w:val="25"/>
      </w:numPr>
      <w:tabs>
        <w:tab w:val="left" w:pos="426"/>
      </w:tabs>
      <w:spacing w:after="240" w:line="360" w:lineRule="auto"/>
    </w:pPr>
    <w:rPr>
      <w:rFonts w:ascii="Arial" w:hAnsi="Arial"/>
    </w:rPr>
  </w:style>
  <w:style w:type="paragraph" w:styleId="NormalWeb">
    <w:name w:val="Normal (Web)"/>
    <w:basedOn w:val="Normal"/>
    <w:uiPriority w:val="99"/>
    <w:locked/>
    <w:rsid w:val="00AF5777"/>
    <w:pPr>
      <w:spacing w:before="100" w:beforeAutospacing="1" w:after="100" w:afterAutospacing="1"/>
    </w:pPr>
    <w:rPr>
      <w:rFonts w:ascii="Arial Unicode MS" w:eastAsia="Arial Unicode MS" w:hAnsi="Arial Unicode MS" w:cs="Arial Unicode MS"/>
    </w:rPr>
  </w:style>
  <w:style w:type="paragraph" w:customStyle="1" w:styleId="xmsonormal">
    <w:name w:val="x_msonormal"/>
    <w:basedOn w:val="Normal"/>
    <w:rsid w:val="0028780C"/>
    <w:rPr>
      <w:rFonts w:ascii="Calibri" w:eastAsiaTheme="minorHAnsi" w:hAnsi="Calibri" w:cs="Calibri"/>
      <w:sz w:val="22"/>
      <w:szCs w:val="22"/>
      <w:lang w:eastAsia="en-GB"/>
    </w:rPr>
  </w:style>
  <w:style w:type="paragraph" w:customStyle="1" w:styleId="paragraph0">
    <w:name w:val="paragraph"/>
    <w:basedOn w:val="Normal"/>
    <w:rsid w:val="00BE079E"/>
    <w:pPr>
      <w:spacing w:before="100" w:beforeAutospacing="1" w:after="100" w:afterAutospacing="1"/>
    </w:pPr>
    <w:rPr>
      <w:lang w:eastAsia="en-GB"/>
    </w:rPr>
  </w:style>
  <w:style w:type="character" w:customStyle="1" w:styleId="eop">
    <w:name w:val="eop"/>
    <w:basedOn w:val="DefaultParagraphFont"/>
    <w:rsid w:val="00BE079E"/>
  </w:style>
  <w:style w:type="paragraph" w:customStyle="1" w:styleId="msonormal0">
    <w:name w:val="msonormal"/>
    <w:basedOn w:val="Normal"/>
    <w:rsid w:val="00D61DBD"/>
    <w:pPr>
      <w:spacing w:before="100" w:beforeAutospacing="1" w:after="100" w:afterAutospacing="1"/>
    </w:pPr>
    <w:rPr>
      <w:lang w:eastAsia="en-GB"/>
    </w:rPr>
  </w:style>
  <w:style w:type="character" w:customStyle="1" w:styleId="textrun">
    <w:name w:val="textrun"/>
    <w:basedOn w:val="DefaultParagraphFont"/>
    <w:rsid w:val="00D61DBD"/>
  </w:style>
  <w:style w:type="paragraph" w:customStyle="1" w:styleId="outlineelement">
    <w:name w:val="outlineelement"/>
    <w:basedOn w:val="Normal"/>
    <w:rsid w:val="00D61DBD"/>
    <w:pPr>
      <w:spacing w:before="100" w:beforeAutospacing="1" w:after="100" w:afterAutospacing="1"/>
    </w:pPr>
    <w:rPr>
      <w:lang w:eastAsia="en-GB"/>
    </w:rPr>
  </w:style>
  <w:style w:type="character" w:customStyle="1" w:styleId="ui-provider">
    <w:name w:val="ui-provider"/>
    <w:basedOn w:val="DefaultParagraphFont"/>
    <w:rsid w:val="0009246B"/>
  </w:style>
  <w:style w:type="paragraph" w:customStyle="1" w:styleId="a">
    <w:name w:val="#"/>
    <w:basedOn w:val="Bulletindent1"/>
    <w:qFormat/>
    <w:rsid w:val="00894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13425">
      <w:bodyDiv w:val="1"/>
      <w:marLeft w:val="0"/>
      <w:marRight w:val="0"/>
      <w:marTop w:val="0"/>
      <w:marBottom w:val="0"/>
      <w:divBdr>
        <w:top w:val="none" w:sz="0" w:space="0" w:color="auto"/>
        <w:left w:val="none" w:sz="0" w:space="0" w:color="auto"/>
        <w:bottom w:val="none" w:sz="0" w:space="0" w:color="auto"/>
        <w:right w:val="none" w:sz="0" w:space="0" w:color="auto"/>
      </w:divBdr>
      <w:divsChild>
        <w:div w:id="960914867">
          <w:marLeft w:val="0"/>
          <w:marRight w:val="0"/>
          <w:marTop w:val="0"/>
          <w:marBottom w:val="0"/>
          <w:divBdr>
            <w:top w:val="none" w:sz="0" w:space="0" w:color="auto"/>
            <w:left w:val="none" w:sz="0" w:space="0" w:color="auto"/>
            <w:bottom w:val="none" w:sz="0" w:space="0" w:color="auto"/>
            <w:right w:val="none" w:sz="0" w:space="0" w:color="auto"/>
          </w:divBdr>
        </w:div>
        <w:div w:id="556479433">
          <w:marLeft w:val="0"/>
          <w:marRight w:val="0"/>
          <w:marTop w:val="0"/>
          <w:marBottom w:val="0"/>
          <w:divBdr>
            <w:top w:val="none" w:sz="0" w:space="0" w:color="auto"/>
            <w:left w:val="none" w:sz="0" w:space="0" w:color="auto"/>
            <w:bottom w:val="none" w:sz="0" w:space="0" w:color="auto"/>
            <w:right w:val="none" w:sz="0" w:space="0" w:color="auto"/>
          </w:divBdr>
        </w:div>
        <w:div w:id="1208420196">
          <w:marLeft w:val="0"/>
          <w:marRight w:val="0"/>
          <w:marTop w:val="0"/>
          <w:marBottom w:val="0"/>
          <w:divBdr>
            <w:top w:val="none" w:sz="0" w:space="0" w:color="auto"/>
            <w:left w:val="none" w:sz="0" w:space="0" w:color="auto"/>
            <w:bottom w:val="none" w:sz="0" w:space="0" w:color="auto"/>
            <w:right w:val="none" w:sz="0" w:space="0" w:color="auto"/>
          </w:divBdr>
        </w:div>
        <w:div w:id="614095411">
          <w:marLeft w:val="0"/>
          <w:marRight w:val="0"/>
          <w:marTop w:val="0"/>
          <w:marBottom w:val="0"/>
          <w:divBdr>
            <w:top w:val="none" w:sz="0" w:space="0" w:color="auto"/>
            <w:left w:val="none" w:sz="0" w:space="0" w:color="auto"/>
            <w:bottom w:val="none" w:sz="0" w:space="0" w:color="auto"/>
            <w:right w:val="none" w:sz="0" w:space="0" w:color="auto"/>
          </w:divBdr>
        </w:div>
        <w:div w:id="1328172567">
          <w:marLeft w:val="0"/>
          <w:marRight w:val="0"/>
          <w:marTop w:val="0"/>
          <w:marBottom w:val="0"/>
          <w:divBdr>
            <w:top w:val="none" w:sz="0" w:space="0" w:color="auto"/>
            <w:left w:val="none" w:sz="0" w:space="0" w:color="auto"/>
            <w:bottom w:val="none" w:sz="0" w:space="0" w:color="auto"/>
            <w:right w:val="none" w:sz="0" w:space="0" w:color="auto"/>
          </w:divBdr>
        </w:div>
        <w:div w:id="1787117891">
          <w:marLeft w:val="0"/>
          <w:marRight w:val="0"/>
          <w:marTop w:val="0"/>
          <w:marBottom w:val="0"/>
          <w:divBdr>
            <w:top w:val="none" w:sz="0" w:space="0" w:color="auto"/>
            <w:left w:val="none" w:sz="0" w:space="0" w:color="auto"/>
            <w:bottom w:val="none" w:sz="0" w:space="0" w:color="auto"/>
            <w:right w:val="none" w:sz="0" w:space="0" w:color="auto"/>
          </w:divBdr>
        </w:div>
        <w:div w:id="1277522006">
          <w:marLeft w:val="0"/>
          <w:marRight w:val="0"/>
          <w:marTop w:val="0"/>
          <w:marBottom w:val="0"/>
          <w:divBdr>
            <w:top w:val="none" w:sz="0" w:space="0" w:color="auto"/>
            <w:left w:val="none" w:sz="0" w:space="0" w:color="auto"/>
            <w:bottom w:val="none" w:sz="0" w:space="0" w:color="auto"/>
            <w:right w:val="none" w:sz="0" w:space="0" w:color="auto"/>
          </w:divBdr>
        </w:div>
        <w:div w:id="697899185">
          <w:marLeft w:val="0"/>
          <w:marRight w:val="0"/>
          <w:marTop w:val="0"/>
          <w:marBottom w:val="0"/>
          <w:divBdr>
            <w:top w:val="none" w:sz="0" w:space="0" w:color="auto"/>
            <w:left w:val="none" w:sz="0" w:space="0" w:color="auto"/>
            <w:bottom w:val="none" w:sz="0" w:space="0" w:color="auto"/>
            <w:right w:val="none" w:sz="0" w:space="0" w:color="auto"/>
          </w:divBdr>
        </w:div>
        <w:div w:id="1321159835">
          <w:marLeft w:val="0"/>
          <w:marRight w:val="0"/>
          <w:marTop w:val="0"/>
          <w:marBottom w:val="0"/>
          <w:divBdr>
            <w:top w:val="none" w:sz="0" w:space="0" w:color="auto"/>
            <w:left w:val="none" w:sz="0" w:space="0" w:color="auto"/>
            <w:bottom w:val="none" w:sz="0" w:space="0" w:color="auto"/>
            <w:right w:val="none" w:sz="0" w:space="0" w:color="auto"/>
          </w:divBdr>
        </w:div>
        <w:div w:id="1092774921">
          <w:marLeft w:val="0"/>
          <w:marRight w:val="0"/>
          <w:marTop w:val="0"/>
          <w:marBottom w:val="0"/>
          <w:divBdr>
            <w:top w:val="none" w:sz="0" w:space="0" w:color="auto"/>
            <w:left w:val="none" w:sz="0" w:space="0" w:color="auto"/>
            <w:bottom w:val="none" w:sz="0" w:space="0" w:color="auto"/>
            <w:right w:val="none" w:sz="0" w:space="0" w:color="auto"/>
          </w:divBdr>
        </w:div>
        <w:div w:id="1268149638">
          <w:marLeft w:val="0"/>
          <w:marRight w:val="0"/>
          <w:marTop w:val="0"/>
          <w:marBottom w:val="0"/>
          <w:divBdr>
            <w:top w:val="none" w:sz="0" w:space="0" w:color="auto"/>
            <w:left w:val="none" w:sz="0" w:space="0" w:color="auto"/>
            <w:bottom w:val="none" w:sz="0" w:space="0" w:color="auto"/>
            <w:right w:val="none" w:sz="0" w:space="0" w:color="auto"/>
          </w:divBdr>
        </w:div>
        <w:div w:id="1603106115">
          <w:marLeft w:val="-75"/>
          <w:marRight w:val="0"/>
          <w:marTop w:val="30"/>
          <w:marBottom w:val="30"/>
          <w:divBdr>
            <w:top w:val="none" w:sz="0" w:space="0" w:color="auto"/>
            <w:left w:val="none" w:sz="0" w:space="0" w:color="auto"/>
            <w:bottom w:val="none" w:sz="0" w:space="0" w:color="auto"/>
            <w:right w:val="none" w:sz="0" w:space="0" w:color="auto"/>
          </w:divBdr>
          <w:divsChild>
            <w:div w:id="1949769816">
              <w:marLeft w:val="0"/>
              <w:marRight w:val="0"/>
              <w:marTop w:val="0"/>
              <w:marBottom w:val="0"/>
              <w:divBdr>
                <w:top w:val="none" w:sz="0" w:space="0" w:color="auto"/>
                <w:left w:val="none" w:sz="0" w:space="0" w:color="auto"/>
                <w:bottom w:val="none" w:sz="0" w:space="0" w:color="auto"/>
                <w:right w:val="none" w:sz="0" w:space="0" w:color="auto"/>
              </w:divBdr>
              <w:divsChild>
                <w:div w:id="1677070810">
                  <w:marLeft w:val="0"/>
                  <w:marRight w:val="0"/>
                  <w:marTop w:val="0"/>
                  <w:marBottom w:val="0"/>
                  <w:divBdr>
                    <w:top w:val="none" w:sz="0" w:space="0" w:color="auto"/>
                    <w:left w:val="none" w:sz="0" w:space="0" w:color="auto"/>
                    <w:bottom w:val="none" w:sz="0" w:space="0" w:color="auto"/>
                    <w:right w:val="none" w:sz="0" w:space="0" w:color="auto"/>
                  </w:divBdr>
                </w:div>
              </w:divsChild>
            </w:div>
            <w:div w:id="1549029498">
              <w:marLeft w:val="0"/>
              <w:marRight w:val="0"/>
              <w:marTop w:val="0"/>
              <w:marBottom w:val="0"/>
              <w:divBdr>
                <w:top w:val="none" w:sz="0" w:space="0" w:color="auto"/>
                <w:left w:val="none" w:sz="0" w:space="0" w:color="auto"/>
                <w:bottom w:val="none" w:sz="0" w:space="0" w:color="auto"/>
                <w:right w:val="none" w:sz="0" w:space="0" w:color="auto"/>
              </w:divBdr>
              <w:divsChild>
                <w:div w:id="1539509054">
                  <w:marLeft w:val="0"/>
                  <w:marRight w:val="0"/>
                  <w:marTop w:val="0"/>
                  <w:marBottom w:val="0"/>
                  <w:divBdr>
                    <w:top w:val="none" w:sz="0" w:space="0" w:color="auto"/>
                    <w:left w:val="none" w:sz="0" w:space="0" w:color="auto"/>
                    <w:bottom w:val="none" w:sz="0" w:space="0" w:color="auto"/>
                    <w:right w:val="none" w:sz="0" w:space="0" w:color="auto"/>
                  </w:divBdr>
                </w:div>
              </w:divsChild>
            </w:div>
            <w:div w:id="2043045854">
              <w:marLeft w:val="0"/>
              <w:marRight w:val="0"/>
              <w:marTop w:val="0"/>
              <w:marBottom w:val="0"/>
              <w:divBdr>
                <w:top w:val="none" w:sz="0" w:space="0" w:color="auto"/>
                <w:left w:val="none" w:sz="0" w:space="0" w:color="auto"/>
                <w:bottom w:val="none" w:sz="0" w:space="0" w:color="auto"/>
                <w:right w:val="none" w:sz="0" w:space="0" w:color="auto"/>
              </w:divBdr>
              <w:divsChild>
                <w:div w:id="1870219819">
                  <w:marLeft w:val="0"/>
                  <w:marRight w:val="0"/>
                  <w:marTop w:val="0"/>
                  <w:marBottom w:val="0"/>
                  <w:divBdr>
                    <w:top w:val="none" w:sz="0" w:space="0" w:color="auto"/>
                    <w:left w:val="none" w:sz="0" w:space="0" w:color="auto"/>
                    <w:bottom w:val="none" w:sz="0" w:space="0" w:color="auto"/>
                    <w:right w:val="none" w:sz="0" w:space="0" w:color="auto"/>
                  </w:divBdr>
                </w:div>
              </w:divsChild>
            </w:div>
            <w:div w:id="1876116826">
              <w:marLeft w:val="0"/>
              <w:marRight w:val="0"/>
              <w:marTop w:val="0"/>
              <w:marBottom w:val="0"/>
              <w:divBdr>
                <w:top w:val="none" w:sz="0" w:space="0" w:color="auto"/>
                <w:left w:val="none" w:sz="0" w:space="0" w:color="auto"/>
                <w:bottom w:val="none" w:sz="0" w:space="0" w:color="auto"/>
                <w:right w:val="none" w:sz="0" w:space="0" w:color="auto"/>
              </w:divBdr>
              <w:divsChild>
                <w:div w:id="1162895286">
                  <w:marLeft w:val="0"/>
                  <w:marRight w:val="0"/>
                  <w:marTop w:val="0"/>
                  <w:marBottom w:val="0"/>
                  <w:divBdr>
                    <w:top w:val="none" w:sz="0" w:space="0" w:color="auto"/>
                    <w:left w:val="none" w:sz="0" w:space="0" w:color="auto"/>
                    <w:bottom w:val="none" w:sz="0" w:space="0" w:color="auto"/>
                    <w:right w:val="none" w:sz="0" w:space="0" w:color="auto"/>
                  </w:divBdr>
                </w:div>
              </w:divsChild>
            </w:div>
            <w:div w:id="416171919">
              <w:marLeft w:val="0"/>
              <w:marRight w:val="0"/>
              <w:marTop w:val="0"/>
              <w:marBottom w:val="0"/>
              <w:divBdr>
                <w:top w:val="none" w:sz="0" w:space="0" w:color="auto"/>
                <w:left w:val="none" w:sz="0" w:space="0" w:color="auto"/>
                <w:bottom w:val="none" w:sz="0" w:space="0" w:color="auto"/>
                <w:right w:val="none" w:sz="0" w:space="0" w:color="auto"/>
              </w:divBdr>
              <w:divsChild>
                <w:div w:id="969435347">
                  <w:marLeft w:val="0"/>
                  <w:marRight w:val="0"/>
                  <w:marTop w:val="0"/>
                  <w:marBottom w:val="0"/>
                  <w:divBdr>
                    <w:top w:val="none" w:sz="0" w:space="0" w:color="auto"/>
                    <w:left w:val="none" w:sz="0" w:space="0" w:color="auto"/>
                    <w:bottom w:val="none" w:sz="0" w:space="0" w:color="auto"/>
                    <w:right w:val="none" w:sz="0" w:space="0" w:color="auto"/>
                  </w:divBdr>
                </w:div>
              </w:divsChild>
            </w:div>
            <w:div w:id="311718151">
              <w:marLeft w:val="0"/>
              <w:marRight w:val="0"/>
              <w:marTop w:val="0"/>
              <w:marBottom w:val="0"/>
              <w:divBdr>
                <w:top w:val="none" w:sz="0" w:space="0" w:color="auto"/>
                <w:left w:val="none" w:sz="0" w:space="0" w:color="auto"/>
                <w:bottom w:val="none" w:sz="0" w:space="0" w:color="auto"/>
                <w:right w:val="none" w:sz="0" w:space="0" w:color="auto"/>
              </w:divBdr>
              <w:divsChild>
                <w:div w:id="1635479390">
                  <w:marLeft w:val="0"/>
                  <w:marRight w:val="0"/>
                  <w:marTop w:val="0"/>
                  <w:marBottom w:val="0"/>
                  <w:divBdr>
                    <w:top w:val="none" w:sz="0" w:space="0" w:color="auto"/>
                    <w:left w:val="none" w:sz="0" w:space="0" w:color="auto"/>
                    <w:bottom w:val="none" w:sz="0" w:space="0" w:color="auto"/>
                    <w:right w:val="none" w:sz="0" w:space="0" w:color="auto"/>
                  </w:divBdr>
                </w:div>
              </w:divsChild>
            </w:div>
            <w:div w:id="1505248140">
              <w:marLeft w:val="0"/>
              <w:marRight w:val="0"/>
              <w:marTop w:val="0"/>
              <w:marBottom w:val="0"/>
              <w:divBdr>
                <w:top w:val="none" w:sz="0" w:space="0" w:color="auto"/>
                <w:left w:val="none" w:sz="0" w:space="0" w:color="auto"/>
                <w:bottom w:val="none" w:sz="0" w:space="0" w:color="auto"/>
                <w:right w:val="none" w:sz="0" w:space="0" w:color="auto"/>
              </w:divBdr>
              <w:divsChild>
                <w:div w:id="1278217489">
                  <w:marLeft w:val="0"/>
                  <w:marRight w:val="0"/>
                  <w:marTop w:val="0"/>
                  <w:marBottom w:val="0"/>
                  <w:divBdr>
                    <w:top w:val="none" w:sz="0" w:space="0" w:color="auto"/>
                    <w:left w:val="none" w:sz="0" w:space="0" w:color="auto"/>
                    <w:bottom w:val="none" w:sz="0" w:space="0" w:color="auto"/>
                    <w:right w:val="none" w:sz="0" w:space="0" w:color="auto"/>
                  </w:divBdr>
                </w:div>
              </w:divsChild>
            </w:div>
            <w:div w:id="1198156233">
              <w:marLeft w:val="0"/>
              <w:marRight w:val="0"/>
              <w:marTop w:val="0"/>
              <w:marBottom w:val="0"/>
              <w:divBdr>
                <w:top w:val="none" w:sz="0" w:space="0" w:color="auto"/>
                <w:left w:val="none" w:sz="0" w:space="0" w:color="auto"/>
                <w:bottom w:val="none" w:sz="0" w:space="0" w:color="auto"/>
                <w:right w:val="none" w:sz="0" w:space="0" w:color="auto"/>
              </w:divBdr>
              <w:divsChild>
                <w:div w:id="1722442711">
                  <w:marLeft w:val="0"/>
                  <w:marRight w:val="0"/>
                  <w:marTop w:val="0"/>
                  <w:marBottom w:val="0"/>
                  <w:divBdr>
                    <w:top w:val="none" w:sz="0" w:space="0" w:color="auto"/>
                    <w:left w:val="none" w:sz="0" w:space="0" w:color="auto"/>
                    <w:bottom w:val="none" w:sz="0" w:space="0" w:color="auto"/>
                    <w:right w:val="none" w:sz="0" w:space="0" w:color="auto"/>
                  </w:divBdr>
                </w:div>
              </w:divsChild>
            </w:div>
            <w:div w:id="733040245">
              <w:marLeft w:val="0"/>
              <w:marRight w:val="0"/>
              <w:marTop w:val="0"/>
              <w:marBottom w:val="0"/>
              <w:divBdr>
                <w:top w:val="none" w:sz="0" w:space="0" w:color="auto"/>
                <w:left w:val="none" w:sz="0" w:space="0" w:color="auto"/>
                <w:bottom w:val="none" w:sz="0" w:space="0" w:color="auto"/>
                <w:right w:val="none" w:sz="0" w:space="0" w:color="auto"/>
              </w:divBdr>
              <w:divsChild>
                <w:div w:id="1525316147">
                  <w:marLeft w:val="0"/>
                  <w:marRight w:val="0"/>
                  <w:marTop w:val="0"/>
                  <w:marBottom w:val="0"/>
                  <w:divBdr>
                    <w:top w:val="none" w:sz="0" w:space="0" w:color="auto"/>
                    <w:left w:val="none" w:sz="0" w:space="0" w:color="auto"/>
                    <w:bottom w:val="none" w:sz="0" w:space="0" w:color="auto"/>
                    <w:right w:val="none" w:sz="0" w:space="0" w:color="auto"/>
                  </w:divBdr>
                </w:div>
              </w:divsChild>
            </w:div>
            <w:div w:id="1017538655">
              <w:marLeft w:val="0"/>
              <w:marRight w:val="0"/>
              <w:marTop w:val="0"/>
              <w:marBottom w:val="0"/>
              <w:divBdr>
                <w:top w:val="none" w:sz="0" w:space="0" w:color="auto"/>
                <w:left w:val="none" w:sz="0" w:space="0" w:color="auto"/>
                <w:bottom w:val="none" w:sz="0" w:space="0" w:color="auto"/>
                <w:right w:val="none" w:sz="0" w:space="0" w:color="auto"/>
              </w:divBdr>
              <w:divsChild>
                <w:div w:id="101078254">
                  <w:marLeft w:val="0"/>
                  <w:marRight w:val="0"/>
                  <w:marTop w:val="0"/>
                  <w:marBottom w:val="0"/>
                  <w:divBdr>
                    <w:top w:val="none" w:sz="0" w:space="0" w:color="auto"/>
                    <w:left w:val="none" w:sz="0" w:space="0" w:color="auto"/>
                    <w:bottom w:val="none" w:sz="0" w:space="0" w:color="auto"/>
                    <w:right w:val="none" w:sz="0" w:space="0" w:color="auto"/>
                  </w:divBdr>
                </w:div>
              </w:divsChild>
            </w:div>
            <w:div w:id="1774282772">
              <w:marLeft w:val="0"/>
              <w:marRight w:val="0"/>
              <w:marTop w:val="0"/>
              <w:marBottom w:val="0"/>
              <w:divBdr>
                <w:top w:val="none" w:sz="0" w:space="0" w:color="auto"/>
                <w:left w:val="none" w:sz="0" w:space="0" w:color="auto"/>
                <w:bottom w:val="none" w:sz="0" w:space="0" w:color="auto"/>
                <w:right w:val="none" w:sz="0" w:space="0" w:color="auto"/>
              </w:divBdr>
              <w:divsChild>
                <w:div w:id="983200318">
                  <w:marLeft w:val="0"/>
                  <w:marRight w:val="0"/>
                  <w:marTop w:val="0"/>
                  <w:marBottom w:val="0"/>
                  <w:divBdr>
                    <w:top w:val="none" w:sz="0" w:space="0" w:color="auto"/>
                    <w:left w:val="none" w:sz="0" w:space="0" w:color="auto"/>
                    <w:bottom w:val="none" w:sz="0" w:space="0" w:color="auto"/>
                    <w:right w:val="none" w:sz="0" w:space="0" w:color="auto"/>
                  </w:divBdr>
                </w:div>
              </w:divsChild>
            </w:div>
            <w:div w:id="1740903254">
              <w:marLeft w:val="0"/>
              <w:marRight w:val="0"/>
              <w:marTop w:val="0"/>
              <w:marBottom w:val="0"/>
              <w:divBdr>
                <w:top w:val="none" w:sz="0" w:space="0" w:color="auto"/>
                <w:left w:val="none" w:sz="0" w:space="0" w:color="auto"/>
                <w:bottom w:val="none" w:sz="0" w:space="0" w:color="auto"/>
                <w:right w:val="none" w:sz="0" w:space="0" w:color="auto"/>
              </w:divBdr>
              <w:divsChild>
                <w:div w:id="2081636039">
                  <w:marLeft w:val="0"/>
                  <w:marRight w:val="0"/>
                  <w:marTop w:val="0"/>
                  <w:marBottom w:val="0"/>
                  <w:divBdr>
                    <w:top w:val="none" w:sz="0" w:space="0" w:color="auto"/>
                    <w:left w:val="none" w:sz="0" w:space="0" w:color="auto"/>
                    <w:bottom w:val="none" w:sz="0" w:space="0" w:color="auto"/>
                    <w:right w:val="none" w:sz="0" w:space="0" w:color="auto"/>
                  </w:divBdr>
                </w:div>
              </w:divsChild>
            </w:div>
            <w:div w:id="1293049565">
              <w:marLeft w:val="0"/>
              <w:marRight w:val="0"/>
              <w:marTop w:val="0"/>
              <w:marBottom w:val="0"/>
              <w:divBdr>
                <w:top w:val="none" w:sz="0" w:space="0" w:color="auto"/>
                <w:left w:val="none" w:sz="0" w:space="0" w:color="auto"/>
                <w:bottom w:val="none" w:sz="0" w:space="0" w:color="auto"/>
                <w:right w:val="none" w:sz="0" w:space="0" w:color="auto"/>
              </w:divBdr>
              <w:divsChild>
                <w:div w:id="1789274784">
                  <w:marLeft w:val="0"/>
                  <w:marRight w:val="0"/>
                  <w:marTop w:val="0"/>
                  <w:marBottom w:val="0"/>
                  <w:divBdr>
                    <w:top w:val="none" w:sz="0" w:space="0" w:color="auto"/>
                    <w:left w:val="none" w:sz="0" w:space="0" w:color="auto"/>
                    <w:bottom w:val="none" w:sz="0" w:space="0" w:color="auto"/>
                    <w:right w:val="none" w:sz="0" w:space="0" w:color="auto"/>
                  </w:divBdr>
                </w:div>
              </w:divsChild>
            </w:div>
            <w:div w:id="1241328873">
              <w:marLeft w:val="0"/>
              <w:marRight w:val="0"/>
              <w:marTop w:val="0"/>
              <w:marBottom w:val="0"/>
              <w:divBdr>
                <w:top w:val="none" w:sz="0" w:space="0" w:color="auto"/>
                <w:left w:val="none" w:sz="0" w:space="0" w:color="auto"/>
                <w:bottom w:val="none" w:sz="0" w:space="0" w:color="auto"/>
                <w:right w:val="none" w:sz="0" w:space="0" w:color="auto"/>
              </w:divBdr>
              <w:divsChild>
                <w:div w:id="1548373867">
                  <w:marLeft w:val="0"/>
                  <w:marRight w:val="0"/>
                  <w:marTop w:val="0"/>
                  <w:marBottom w:val="0"/>
                  <w:divBdr>
                    <w:top w:val="none" w:sz="0" w:space="0" w:color="auto"/>
                    <w:left w:val="none" w:sz="0" w:space="0" w:color="auto"/>
                    <w:bottom w:val="none" w:sz="0" w:space="0" w:color="auto"/>
                    <w:right w:val="none" w:sz="0" w:space="0" w:color="auto"/>
                  </w:divBdr>
                </w:div>
              </w:divsChild>
            </w:div>
            <w:div w:id="1049691322">
              <w:marLeft w:val="0"/>
              <w:marRight w:val="0"/>
              <w:marTop w:val="0"/>
              <w:marBottom w:val="0"/>
              <w:divBdr>
                <w:top w:val="none" w:sz="0" w:space="0" w:color="auto"/>
                <w:left w:val="none" w:sz="0" w:space="0" w:color="auto"/>
                <w:bottom w:val="none" w:sz="0" w:space="0" w:color="auto"/>
                <w:right w:val="none" w:sz="0" w:space="0" w:color="auto"/>
              </w:divBdr>
              <w:divsChild>
                <w:div w:id="1893344971">
                  <w:marLeft w:val="0"/>
                  <w:marRight w:val="0"/>
                  <w:marTop w:val="0"/>
                  <w:marBottom w:val="0"/>
                  <w:divBdr>
                    <w:top w:val="none" w:sz="0" w:space="0" w:color="auto"/>
                    <w:left w:val="none" w:sz="0" w:space="0" w:color="auto"/>
                    <w:bottom w:val="none" w:sz="0" w:space="0" w:color="auto"/>
                    <w:right w:val="none" w:sz="0" w:space="0" w:color="auto"/>
                  </w:divBdr>
                </w:div>
              </w:divsChild>
            </w:div>
            <w:div w:id="631327928">
              <w:marLeft w:val="0"/>
              <w:marRight w:val="0"/>
              <w:marTop w:val="0"/>
              <w:marBottom w:val="0"/>
              <w:divBdr>
                <w:top w:val="none" w:sz="0" w:space="0" w:color="auto"/>
                <w:left w:val="none" w:sz="0" w:space="0" w:color="auto"/>
                <w:bottom w:val="none" w:sz="0" w:space="0" w:color="auto"/>
                <w:right w:val="none" w:sz="0" w:space="0" w:color="auto"/>
              </w:divBdr>
              <w:divsChild>
                <w:div w:id="1474639306">
                  <w:marLeft w:val="0"/>
                  <w:marRight w:val="0"/>
                  <w:marTop w:val="0"/>
                  <w:marBottom w:val="0"/>
                  <w:divBdr>
                    <w:top w:val="none" w:sz="0" w:space="0" w:color="auto"/>
                    <w:left w:val="none" w:sz="0" w:space="0" w:color="auto"/>
                    <w:bottom w:val="none" w:sz="0" w:space="0" w:color="auto"/>
                    <w:right w:val="none" w:sz="0" w:space="0" w:color="auto"/>
                  </w:divBdr>
                </w:div>
              </w:divsChild>
            </w:div>
            <w:div w:id="539786378">
              <w:marLeft w:val="0"/>
              <w:marRight w:val="0"/>
              <w:marTop w:val="0"/>
              <w:marBottom w:val="0"/>
              <w:divBdr>
                <w:top w:val="none" w:sz="0" w:space="0" w:color="auto"/>
                <w:left w:val="none" w:sz="0" w:space="0" w:color="auto"/>
                <w:bottom w:val="none" w:sz="0" w:space="0" w:color="auto"/>
                <w:right w:val="none" w:sz="0" w:space="0" w:color="auto"/>
              </w:divBdr>
              <w:divsChild>
                <w:div w:id="1205022257">
                  <w:marLeft w:val="0"/>
                  <w:marRight w:val="0"/>
                  <w:marTop w:val="0"/>
                  <w:marBottom w:val="0"/>
                  <w:divBdr>
                    <w:top w:val="none" w:sz="0" w:space="0" w:color="auto"/>
                    <w:left w:val="none" w:sz="0" w:space="0" w:color="auto"/>
                    <w:bottom w:val="none" w:sz="0" w:space="0" w:color="auto"/>
                    <w:right w:val="none" w:sz="0" w:space="0" w:color="auto"/>
                  </w:divBdr>
                </w:div>
              </w:divsChild>
            </w:div>
            <w:div w:id="1504976315">
              <w:marLeft w:val="0"/>
              <w:marRight w:val="0"/>
              <w:marTop w:val="0"/>
              <w:marBottom w:val="0"/>
              <w:divBdr>
                <w:top w:val="none" w:sz="0" w:space="0" w:color="auto"/>
                <w:left w:val="none" w:sz="0" w:space="0" w:color="auto"/>
                <w:bottom w:val="none" w:sz="0" w:space="0" w:color="auto"/>
                <w:right w:val="none" w:sz="0" w:space="0" w:color="auto"/>
              </w:divBdr>
              <w:divsChild>
                <w:div w:id="2012901930">
                  <w:marLeft w:val="0"/>
                  <w:marRight w:val="0"/>
                  <w:marTop w:val="0"/>
                  <w:marBottom w:val="0"/>
                  <w:divBdr>
                    <w:top w:val="none" w:sz="0" w:space="0" w:color="auto"/>
                    <w:left w:val="none" w:sz="0" w:space="0" w:color="auto"/>
                    <w:bottom w:val="none" w:sz="0" w:space="0" w:color="auto"/>
                    <w:right w:val="none" w:sz="0" w:space="0" w:color="auto"/>
                  </w:divBdr>
                </w:div>
              </w:divsChild>
            </w:div>
            <w:div w:id="2051488539">
              <w:marLeft w:val="0"/>
              <w:marRight w:val="0"/>
              <w:marTop w:val="0"/>
              <w:marBottom w:val="0"/>
              <w:divBdr>
                <w:top w:val="none" w:sz="0" w:space="0" w:color="auto"/>
                <w:left w:val="none" w:sz="0" w:space="0" w:color="auto"/>
                <w:bottom w:val="none" w:sz="0" w:space="0" w:color="auto"/>
                <w:right w:val="none" w:sz="0" w:space="0" w:color="auto"/>
              </w:divBdr>
              <w:divsChild>
                <w:div w:id="699163014">
                  <w:marLeft w:val="0"/>
                  <w:marRight w:val="0"/>
                  <w:marTop w:val="0"/>
                  <w:marBottom w:val="0"/>
                  <w:divBdr>
                    <w:top w:val="none" w:sz="0" w:space="0" w:color="auto"/>
                    <w:left w:val="none" w:sz="0" w:space="0" w:color="auto"/>
                    <w:bottom w:val="none" w:sz="0" w:space="0" w:color="auto"/>
                    <w:right w:val="none" w:sz="0" w:space="0" w:color="auto"/>
                  </w:divBdr>
                </w:div>
              </w:divsChild>
            </w:div>
            <w:div w:id="1096289914">
              <w:marLeft w:val="0"/>
              <w:marRight w:val="0"/>
              <w:marTop w:val="0"/>
              <w:marBottom w:val="0"/>
              <w:divBdr>
                <w:top w:val="none" w:sz="0" w:space="0" w:color="auto"/>
                <w:left w:val="none" w:sz="0" w:space="0" w:color="auto"/>
                <w:bottom w:val="none" w:sz="0" w:space="0" w:color="auto"/>
                <w:right w:val="none" w:sz="0" w:space="0" w:color="auto"/>
              </w:divBdr>
              <w:divsChild>
                <w:div w:id="99494680">
                  <w:marLeft w:val="0"/>
                  <w:marRight w:val="0"/>
                  <w:marTop w:val="0"/>
                  <w:marBottom w:val="0"/>
                  <w:divBdr>
                    <w:top w:val="none" w:sz="0" w:space="0" w:color="auto"/>
                    <w:left w:val="none" w:sz="0" w:space="0" w:color="auto"/>
                    <w:bottom w:val="none" w:sz="0" w:space="0" w:color="auto"/>
                    <w:right w:val="none" w:sz="0" w:space="0" w:color="auto"/>
                  </w:divBdr>
                </w:div>
              </w:divsChild>
            </w:div>
            <w:div w:id="1081364781">
              <w:marLeft w:val="0"/>
              <w:marRight w:val="0"/>
              <w:marTop w:val="0"/>
              <w:marBottom w:val="0"/>
              <w:divBdr>
                <w:top w:val="none" w:sz="0" w:space="0" w:color="auto"/>
                <w:left w:val="none" w:sz="0" w:space="0" w:color="auto"/>
                <w:bottom w:val="none" w:sz="0" w:space="0" w:color="auto"/>
                <w:right w:val="none" w:sz="0" w:space="0" w:color="auto"/>
              </w:divBdr>
              <w:divsChild>
                <w:div w:id="1745182728">
                  <w:marLeft w:val="0"/>
                  <w:marRight w:val="0"/>
                  <w:marTop w:val="0"/>
                  <w:marBottom w:val="0"/>
                  <w:divBdr>
                    <w:top w:val="none" w:sz="0" w:space="0" w:color="auto"/>
                    <w:left w:val="none" w:sz="0" w:space="0" w:color="auto"/>
                    <w:bottom w:val="none" w:sz="0" w:space="0" w:color="auto"/>
                    <w:right w:val="none" w:sz="0" w:space="0" w:color="auto"/>
                  </w:divBdr>
                </w:div>
              </w:divsChild>
            </w:div>
            <w:div w:id="322853401">
              <w:marLeft w:val="0"/>
              <w:marRight w:val="0"/>
              <w:marTop w:val="0"/>
              <w:marBottom w:val="0"/>
              <w:divBdr>
                <w:top w:val="none" w:sz="0" w:space="0" w:color="auto"/>
                <w:left w:val="none" w:sz="0" w:space="0" w:color="auto"/>
                <w:bottom w:val="none" w:sz="0" w:space="0" w:color="auto"/>
                <w:right w:val="none" w:sz="0" w:space="0" w:color="auto"/>
              </w:divBdr>
              <w:divsChild>
                <w:div w:id="1583835314">
                  <w:marLeft w:val="0"/>
                  <w:marRight w:val="0"/>
                  <w:marTop w:val="0"/>
                  <w:marBottom w:val="0"/>
                  <w:divBdr>
                    <w:top w:val="none" w:sz="0" w:space="0" w:color="auto"/>
                    <w:left w:val="none" w:sz="0" w:space="0" w:color="auto"/>
                    <w:bottom w:val="none" w:sz="0" w:space="0" w:color="auto"/>
                    <w:right w:val="none" w:sz="0" w:space="0" w:color="auto"/>
                  </w:divBdr>
                </w:div>
              </w:divsChild>
            </w:div>
            <w:div w:id="671570564">
              <w:marLeft w:val="0"/>
              <w:marRight w:val="0"/>
              <w:marTop w:val="0"/>
              <w:marBottom w:val="0"/>
              <w:divBdr>
                <w:top w:val="none" w:sz="0" w:space="0" w:color="auto"/>
                <w:left w:val="none" w:sz="0" w:space="0" w:color="auto"/>
                <w:bottom w:val="none" w:sz="0" w:space="0" w:color="auto"/>
                <w:right w:val="none" w:sz="0" w:space="0" w:color="auto"/>
              </w:divBdr>
              <w:divsChild>
                <w:div w:id="48066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0398">
          <w:marLeft w:val="0"/>
          <w:marRight w:val="0"/>
          <w:marTop w:val="0"/>
          <w:marBottom w:val="0"/>
          <w:divBdr>
            <w:top w:val="none" w:sz="0" w:space="0" w:color="auto"/>
            <w:left w:val="none" w:sz="0" w:space="0" w:color="auto"/>
            <w:bottom w:val="none" w:sz="0" w:space="0" w:color="auto"/>
            <w:right w:val="none" w:sz="0" w:space="0" w:color="auto"/>
          </w:divBdr>
        </w:div>
        <w:div w:id="830873085">
          <w:marLeft w:val="0"/>
          <w:marRight w:val="0"/>
          <w:marTop w:val="0"/>
          <w:marBottom w:val="0"/>
          <w:divBdr>
            <w:top w:val="none" w:sz="0" w:space="0" w:color="auto"/>
            <w:left w:val="none" w:sz="0" w:space="0" w:color="auto"/>
            <w:bottom w:val="none" w:sz="0" w:space="0" w:color="auto"/>
            <w:right w:val="none" w:sz="0" w:space="0" w:color="auto"/>
          </w:divBdr>
        </w:div>
        <w:div w:id="1517570885">
          <w:marLeft w:val="0"/>
          <w:marRight w:val="0"/>
          <w:marTop w:val="0"/>
          <w:marBottom w:val="0"/>
          <w:divBdr>
            <w:top w:val="none" w:sz="0" w:space="0" w:color="auto"/>
            <w:left w:val="none" w:sz="0" w:space="0" w:color="auto"/>
            <w:bottom w:val="none" w:sz="0" w:space="0" w:color="auto"/>
            <w:right w:val="none" w:sz="0" w:space="0" w:color="auto"/>
          </w:divBdr>
        </w:div>
        <w:div w:id="1824465799">
          <w:marLeft w:val="0"/>
          <w:marRight w:val="0"/>
          <w:marTop w:val="0"/>
          <w:marBottom w:val="0"/>
          <w:divBdr>
            <w:top w:val="none" w:sz="0" w:space="0" w:color="auto"/>
            <w:left w:val="none" w:sz="0" w:space="0" w:color="auto"/>
            <w:bottom w:val="none" w:sz="0" w:space="0" w:color="auto"/>
            <w:right w:val="none" w:sz="0" w:space="0" w:color="auto"/>
          </w:divBdr>
        </w:div>
      </w:divsChild>
    </w:div>
    <w:div w:id="443890425">
      <w:bodyDiv w:val="1"/>
      <w:marLeft w:val="0"/>
      <w:marRight w:val="0"/>
      <w:marTop w:val="0"/>
      <w:marBottom w:val="0"/>
      <w:divBdr>
        <w:top w:val="none" w:sz="0" w:space="0" w:color="auto"/>
        <w:left w:val="none" w:sz="0" w:space="0" w:color="auto"/>
        <w:bottom w:val="none" w:sz="0" w:space="0" w:color="auto"/>
        <w:right w:val="none" w:sz="0" w:space="0" w:color="auto"/>
      </w:divBdr>
      <w:divsChild>
        <w:div w:id="197201223">
          <w:marLeft w:val="0"/>
          <w:marRight w:val="0"/>
          <w:marTop w:val="0"/>
          <w:marBottom w:val="0"/>
          <w:divBdr>
            <w:top w:val="none" w:sz="0" w:space="0" w:color="auto"/>
            <w:left w:val="none" w:sz="0" w:space="0" w:color="auto"/>
            <w:bottom w:val="none" w:sz="0" w:space="0" w:color="auto"/>
            <w:right w:val="none" w:sz="0" w:space="0" w:color="auto"/>
          </w:divBdr>
          <w:divsChild>
            <w:div w:id="656886465">
              <w:marLeft w:val="0"/>
              <w:marRight w:val="0"/>
              <w:marTop w:val="0"/>
              <w:marBottom w:val="0"/>
              <w:divBdr>
                <w:top w:val="none" w:sz="0" w:space="0" w:color="auto"/>
                <w:left w:val="none" w:sz="0" w:space="0" w:color="auto"/>
                <w:bottom w:val="none" w:sz="0" w:space="0" w:color="auto"/>
                <w:right w:val="none" w:sz="0" w:space="0" w:color="auto"/>
              </w:divBdr>
            </w:div>
            <w:div w:id="2146048214">
              <w:marLeft w:val="0"/>
              <w:marRight w:val="0"/>
              <w:marTop w:val="0"/>
              <w:marBottom w:val="0"/>
              <w:divBdr>
                <w:top w:val="none" w:sz="0" w:space="0" w:color="auto"/>
                <w:left w:val="none" w:sz="0" w:space="0" w:color="auto"/>
                <w:bottom w:val="none" w:sz="0" w:space="0" w:color="auto"/>
                <w:right w:val="none" w:sz="0" w:space="0" w:color="auto"/>
              </w:divBdr>
            </w:div>
            <w:div w:id="1473399069">
              <w:marLeft w:val="0"/>
              <w:marRight w:val="0"/>
              <w:marTop w:val="0"/>
              <w:marBottom w:val="0"/>
              <w:divBdr>
                <w:top w:val="none" w:sz="0" w:space="0" w:color="auto"/>
                <w:left w:val="none" w:sz="0" w:space="0" w:color="auto"/>
                <w:bottom w:val="none" w:sz="0" w:space="0" w:color="auto"/>
                <w:right w:val="none" w:sz="0" w:space="0" w:color="auto"/>
              </w:divBdr>
            </w:div>
            <w:div w:id="859584566">
              <w:marLeft w:val="0"/>
              <w:marRight w:val="0"/>
              <w:marTop w:val="0"/>
              <w:marBottom w:val="0"/>
              <w:divBdr>
                <w:top w:val="none" w:sz="0" w:space="0" w:color="auto"/>
                <w:left w:val="none" w:sz="0" w:space="0" w:color="auto"/>
                <w:bottom w:val="none" w:sz="0" w:space="0" w:color="auto"/>
                <w:right w:val="none" w:sz="0" w:space="0" w:color="auto"/>
              </w:divBdr>
            </w:div>
            <w:div w:id="294457850">
              <w:marLeft w:val="0"/>
              <w:marRight w:val="0"/>
              <w:marTop w:val="0"/>
              <w:marBottom w:val="0"/>
              <w:divBdr>
                <w:top w:val="none" w:sz="0" w:space="0" w:color="auto"/>
                <w:left w:val="none" w:sz="0" w:space="0" w:color="auto"/>
                <w:bottom w:val="none" w:sz="0" w:space="0" w:color="auto"/>
                <w:right w:val="none" w:sz="0" w:space="0" w:color="auto"/>
              </w:divBdr>
            </w:div>
            <w:div w:id="513155011">
              <w:marLeft w:val="0"/>
              <w:marRight w:val="0"/>
              <w:marTop w:val="0"/>
              <w:marBottom w:val="0"/>
              <w:divBdr>
                <w:top w:val="none" w:sz="0" w:space="0" w:color="auto"/>
                <w:left w:val="none" w:sz="0" w:space="0" w:color="auto"/>
                <w:bottom w:val="none" w:sz="0" w:space="0" w:color="auto"/>
                <w:right w:val="none" w:sz="0" w:space="0" w:color="auto"/>
              </w:divBdr>
            </w:div>
          </w:divsChild>
        </w:div>
        <w:div w:id="329258456">
          <w:marLeft w:val="0"/>
          <w:marRight w:val="0"/>
          <w:marTop w:val="0"/>
          <w:marBottom w:val="0"/>
          <w:divBdr>
            <w:top w:val="none" w:sz="0" w:space="0" w:color="auto"/>
            <w:left w:val="none" w:sz="0" w:space="0" w:color="auto"/>
            <w:bottom w:val="none" w:sz="0" w:space="0" w:color="auto"/>
            <w:right w:val="none" w:sz="0" w:space="0" w:color="auto"/>
          </w:divBdr>
          <w:divsChild>
            <w:div w:id="1133520623">
              <w:marLeft w:val="0"/>
              <w:marRight w:val="0"/>
              <w:marTop w:val="0"/>
              <w:marBottom w:val="0"/>
              <w:divBdr>
                <w:top w:val="none" w:sz="0" w:space="0" w:color="auto"/>
                <w:left w:val="none" w:sz="0" w:space="0" w:color="auto"/>
                <w:bottom w:val="none" w:sz="0" w:space="0" w:color="auto"/>
                <w:right w:val="none" w:sz="0" w:space="0" w:color="auto"/>
              </w:divBdr>
            </w:div>
            <w:div w:id="815688325">
              <w:marLeft w:val="0"/>
              <w:marRight w:val="0"/>
              <w:marTop w:val="0"/>
              <w:marBottom w:val="0"/>
              <w:divBdr>
                <w:top w:val="none" w:sz="0" w:space="0" w:color="auto"/>
                <w:left w:val="none" w:sz="0" w:space="0" w:color="auto"/>
                <w:bottom w:val="none" w:sz="0" w:space="0" w:color="auto"/>
                <w:right w:val="none" w:sz="0" w:space="0" w:color="auto"/>
              </w:divBdr>
            </w:div>
            <w:div w:id="6534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3501">
      <w:bodyDiv w:val="1"/>
      <w:marLeft w:val="0"/>
      <w:marRight w:val="0"/>
      <w:marTop w:val="0"/>
      <w:marBottom w:val="0"/>
      <w:divBdr>
        <w:top w:val="none" w:sz="0" w:space="0" w:color="auto"/>
        <w:left w:val="none" w:sz="0" w:space="0" w:color="auto"/>
        <w:bottom w:val="none" w:sz="0" w:space="0" w:color="auto"/>
        <w:right w:val="none" w:sz="0" w:space="0" w:color="auto"/>
      </w:divBdr>
    </w:div>
    <w:div w:id="686834822">
      <w:bodyDiv w:val="1"/>
      <w:marLeft w:val="0"/>
      <w:marRight w:val="0"/>
      <w:marTop w:val="0"/>
      <w:marBottom w:val="0"/>
      <w:divBdr>
        <w:top w:val="none" w:sz="0" w:space="0" w:color="auto"/>
        <w:left w:val="none" w:sz="0" w:space="0" w:color="auto"/>
        <w:bottom w:val="none" w:sz="0" w:space="0" w:color="auto"/>
        <w:right w:val="none" w:sz="0" w:space="0" w:color="auto"/>
      </w:divBdr>
      <w:divsChild>
        <w:div w:id="1881475762">
          <w:marLeft w:val="0"/>
          <w:marRight w:val="0"/>
          <w:marTop w:val="0"/>
          <w:marBottom w:val="0"/>
          <w:divBdr>
            <w:top w:val="none" w:sz="0" w:space="0" w:color="auto"/>
            <w:left w:val="none" w:sz="0" w:space="0" w:color="auto"/>
            <w:bottom w:val="none" w:sz="0" w:space="0" w:color="auto"/>
            <w:right w:val="none" w:sz="0" w:space="0" w:color="auto"/>
          </w:divBdr>
          <w:divsChild>
            <w:div w:id="794107366">
              <w:marLeft w:val="0"/>
              <w:marRight w:val="0"/>
              <w:marTop w:val="0"/>
              <w:marBottom w:val="0"/>
              <w:divBdr>
                <w:top w:val="none" w:sz="0" w:space="0" w:color="auto"/>
                <w:left w:val="none" w:sz="0" w:space="0" w:color="auto"/>
                <w:bottom w:val="none" w:sz="0" w:space="0" w:color="auto"/>
                <w:right w:val="none" w:sz="0" w:space="0" w:color="auto"/>
              </w:divBdr>
            </w:div>
            <w:div w:id="102040464">
              <w:marLeft w:val="0"/>
              <w:marRight w:val="0"/>
              <w:marTop w:val="0"/>
              <w:marBottom w:val="0"/>
              <w:divBdr>
                <w:top w:val="none" w:sz="0" w:space="0" w:color="auto"/>
                <w:left w:val="none" w:sz="0" w:space="0" w:color="auto"/>
                <w:bottom w:val="none" w:sz="0" w:space="0" w:color="auto"/>
                <w:right w:val="none" w:sz="0" w:space="0" w:color="auto"/>
              </w:divBdr>
            </w:div>
            <w:div w:id="1141768501">
              <w:marLeft w:val="0"/>
              <w:marRight w:val="0"/>
              <w:marTop w:val="0"/>
              <w:marBottom w:val="0"/>
              <w:divBdr>
                <w:top w:val="none" w:sz="0" w:space="0" w:color="auto"/>
                <w:left w:val="none" w:sz="0" w:space="0" w:color="auto"/>
                <w:bottom w:val="none" w:sz="0" w:space="0" w:color="auto"/>
                <w:right w:val="none" w:sz="0" w:space="0" w:color="auto"/>
              </w:divBdr>
            </w:div>
            <w:div w:id="1313172251">
              <w:marLeft w:val="0"/>
              <w:marRight w:val="0"/>
              <w:marTop w:val="0"/>
              <w:marBottom w:val="0"/>
              <w:divBdr>
                <w:top w:val="none" w:sz="0" w:space="0" w:color="auto"/>
                <w:left w:val="none" w:sz="0" w:space="0" w:color="auto"/>
                <w:bottom w:val="none" w:sz="0" w:space="0" w:color="auto"/>
                <w:right w:val="none" w:sz="0" w:space="0" w:color="auto"/>
              </w:divBdr>
            </w:div>
            <w:div w:id="635764986">
              <w:marLeft w:val="0"/>
              <w:marRight w:val="0"/>
              <w:marTop w:val="0"/>
              <w:marBottom w:val="0"/>
              <w:divBdr>
                <w:top w:val="none" w:sz="0" w:space="0" w:color="auto"/>
                <w:left w:val="none" w:sz="0" w:space="0" w:color="auto"/>
                <w:bottom w:val="none" w:sz="0" w:space="0" w:color="auto"/>
                <w:right w:val="none" w:sz="0" w:space="0" w:color="auto"/>
              </w:divBdr>
            </w:div>
            <w:div w:id="1446734529">
              <w:marLeft w:val="0"/>
              <w:marRight w:val="0"/>
              <w:marTop w:val="0"/>
              <w:marBottom w:val="0"/>
              <w:divBdr>
                <w:top w:val="none" w:sz="0" w:space="0" w:color="auto"/>
                <w:left w:val="none" w:sz="0" w:space="0" w:color="auto"/>
                <w:bottom w:val="none" w:sz="0" w:space="0" w:color="auto"/>
                <w:right w:val="none" w:sz="0" w:space="0" w:color="auto"/>
              </w:divBdr>
            </w:div>
            <w:div w:id="146632982">
              <w:marLeft w:val="0"/>
              <w:marRight w:val="0"/>
              <w:marTop w:val="0"/>
              <w:marBottom w:val="0"/>
              <w:divBdr>
                <w:top w:val="none" w:sz="0" w:space="0" w:color="auto"/>
                <w:left w:val="none" w:sz="0" w:space="0" w:color="auto"/>
                <w:bottom w:val="none" w:sz="0" w:space="0" w:color="auto"/>
                <w:right w:val="none" w:sz="0" w:space="0" w:color="auto"/>
              </w:divBdr>
            </w:div>
            <w:div w:id="140778998">
              <w:marLeft w:val="0"/>
              <w:marRight w:val="0"/>
              <w:marTop w:val="0"/>
              <w:marBottom w:val="0"/>
              <w:divBdr>
                <w:top w:val="none" w:sz="0" w:space="0" w:color="auto"/>
                <w:left w:val="none" w:sz="0" w:space="0" w:color="auto"/>
                <w:bottom w:val="none" w:sz="0" w:space="0" w:color="auto"/>
                <w:right w:val="none" w:sz="0" w:space="0" w:color="auto"/>
              </w:divBdr>
            </w:div>
            <w:div w:id="546334089">
              <w:marLeft w:val="0"/>
              <w:marRight w:val="0"/>
              <w:marTop w:val="0"/>
              <w:marBottom w:val="0"/>
              <w:divBdr>
                <w:top w:val="none" w:sz="0" w:space="0" w:color="auto"/>
                <w:left w:val="none" w:sz="0" w:space="0" w:color="auto"/>
                <w:bottom w:val="none" w:sz="0" w:space="0" w:color="auto"/>
                <w:right w:val="none" w:sz="0" w:space="0" w:color="auto"/>
              </w:divBdr>
            </w:div>
            <w:div w:id="972322422">
              <w:marLeft w:val="0"/>
              <w:marRight w:val="0"/>
              <w:marTop w:val="0"/>
              <w:marBottom w:val="0"/>
              <w:divBdr>
                <w:top w:val="none" w:sz="0" w:space="0" w:color="auto"/>
                <w:left w:val="none" w:sz="0" w:space="0" w:color="auto"/>
                <w:bottom w:val="none" w:sz="0" w:space="0" w:color="auto"/>
                <w:right w:val="none" w:sz="0" w:space="0" w:color="auto"/>
              </w:divBdr>
            </w:div>
            <w:div w:id="1001808733">
              <w:marLeft w:val="0"/>
              <w:marRight w:val="0"/>
              <w:marTop w:val="0"/>
              <w:marBottom w:val="0"/>
              <w:divBdr>
                <w:top w:val="none" w:sz="0" w:space="0" w:color="auto"/>
                <w:left w:val="none" w:sz="0" w:space="0" w:color="auto"/>
                <w:bottom w:val="none" w:sz="0" w:space="0" w:color="auto"/>
                <w:right w:val="none" w:sz="0" w:space="0" w:color="auto"/>
              </w:divBdr>
            </w:div>
            <w:div w:id="1321079104">
              <w:marLeft w:val="0"/>
              <w:marRight w:val="0"/>
              <w:marTop w:val="0"/>
              <w:marBottom w:val="0"/>
              <w:divBdr>
                <w:top w:val="none" w:sz="0" w:space="0" w:color="auto"/>
                <w:left w:val="none" w:sz="0" w:space="0" w:color="auto"/>
                <w:bottom w:val="none" w:sz="0" w:space="0" w:color="auto"/>
                <w:right w:val="none" w:sz="0" w:space="0" w:color="auto"/>
              </w:divBdr>
            </w:div>
            <w:div w:id="2105110242">
              <w:marLeft w:val="0"/>
              <w:marRight w:val="0"/>
              <w:marTop w:val="0"/>
              <w:marBottom w:val="0"/>
              <w:divBdr>
                <w:top w:val="none" w:sz="0" w:space="0" w:color="auto"/>
                <w:left w:val="none" w:sz="0" w:space="0" w:color="auto"/>
                <w:bottom w:val="none" w:sz="0" w:space="0" w:color="auto"/>
                <w:right w:val="none" w:sz="0" w:space="0" w:color="auto"/>
              </w:divBdr>
            </w:div>
            <w:div w:id="1220288065">
              <w:marLeft w:val="0"/>
              <w:marRight w:val="0"/>
              <w:marTop w:val="0"/>
              <w:marBottom w:val="0"/>
              <w:divBdr>
                <w:top w:val="none" w:sz="0" w:space="0" w:color="auto"/>
                <w:left w:val="none" w:sz="0" w:space="0" w:color="auto"/>
                <w:bottom w:val="none" w:sz="0" w:space="0" w:color="auto"/>
                <w:right w:val="none" w:sz="0" w:space="0" w:color="auto"/>
              </w:divBdr>
            </w:div>
            <w:div w:id="384179877">
              <w:marLeft w:val="0"/>
              <w:marRight w:val="0"/>
              <w:marTop w:val="0"/>
              <w:marBottom w:val="0"/>
              <w:divBdr>
                <w:top w:val="none" w:sz="0" w:space="0" w:color="auto"/>
                <w:left w:val="none" w:sz="0" w:space="0" w:color="auto"/>
                <w:bottom w:val="none" w:sz="0" w:space="0" w:color="auto"/>
                <w:right w:val="none" w:sz="0" w:space="0" w:color="auto"/>
              </w:divBdr>
            </w:div>
            <w:div w:id="1919707034">
              <w:marLeft w:val="0"/>
              <w:marRight w:val="0"/>
              <w:marTop w:val="0"/>
              <w:marBottom w:val="0"/>
              <w:divBdr>
                <w:top w:val="none" w:sz="0" w:space="0" w:color="auto"/>
                <w:left w:val="none" w:sz="0" w:space="0" w:color="auto"/>
                <w:bottom w:val="none" w:sz="0" w:space="0" w:color="auto"/>
                <w:right w:val="none" w:sz="0" w:space="0" w:color="auto"/>
              </w:divBdr>
            </w:div>
            <w:div w:id="1996906656">
              <w:marLeft w:val="0"/>
              <w:marRight w:val="0"/>
              <w:marTop w:val="0"/>
              <w:marBottom w:val="0"/>
              <w:divBdr>
                <w:top w:val="none" w:sz="0" w:space="0" w:color="auto"/>
                <w:left w:val="none" w:sz="0" w:space="0" w:color="auto"/>
                <w:bottom w:val="none" w:sz="0" w:space="0" w:color="auto"/>
                <w:right w:val="none" w:sz="0" w:space="0" w:color="auto"/>
              </w:divBdr>
            </w:div>
            <w:div w:id="1269853021">
              <w:marLeft w:val="0"/>
              <w:marRight w:val="0"/>
              <w:marTop w:val="0"/>
              <w:marBottom w:val="0"/>
              <w:divBdr>
                <w:top w:val="none" w:sz="0" w:space="0" w:color="auto"/>
                <w:left w:val="none" w:sz="0" w:space="0" w:color="auto"/>
                <w:bottom w:val="none" w:sz="0" w:space="0" w:color="auto"/>
                <w:right w:val="none" w:sz="0" w:space="0" w:color="auto"/>
              </w:divBdr>
            </w:div>
            <w:div w:id="1520972734">
              <w:marLeft w:val="0"/>
              <w:marRight w:val="0"/>
              <w:marTop w:val="0"/>
              <w:marBottom w:val="0"/>
              <w:divBdr>
                <w:top w:val="none" w:sz="0" w:space="0" w:color="auto"/>
                <w:left w:val="none" w:sz="0" w:space="0" w:color="auto"/>
                <w:bottom w:val="none" w:sz="0" w:space="0" w:color="auto"/>
                <w:right w:val="none" w:sz="0" w:space="0" w:color="auto"/>
              </w:divBdr>
            </w:div>
            <w:div w:id="1012293258">
              <w:marLeft w:val="0"/>
              <w:marRight w:val="0"/>
              <w:marTop w:val="0"/>
              <w:marBottom w:val="0"/>
              <w:divBdr>
                <w:top w:val="none" w:sz="0" w:space="0" w:color="auto"/>
                <w:left w:val="none" w:sz="0" w:space="0" w:color="auto"/>
                <w:bottom w:val="none" w:sz="0" w:space="0" w:color="auto"/>
                <w:right w:val="none" w:sz="0" w:space="0" w:color="auto"/>
              </w:divBdr>
            </w:div>
          </w:divsChild>
        </w:div>
        <w:div w:id="1110051576">
          <w:marLeft w:val="0"/>
          <w:marRight w:val="0"/>
          <w:marTop w:val="0"/>
          <w:marBottom w:val="0"/>
          <w:divBdr>
            <w:top w:val="none" w:sz="0" w:space="0" w:color="auto"/>
            <w:left w:val="none" w:sz="0" w:space="0" w:color="auto"/>
            <w:bottom w:val="none" w:sz="0" w:space="0" w:color="auto"/>
            <w:right w:val="none" w:sz="0" w:space="0" w:color="auto"/>
          </w:divBdr>
          <w:divsChild>
            <w:div w:id="1255550611">
              <w:marLeft w:val="0"/>
              <w:marRight w:val="0"/>
              <w:marTop w:val="0"/>
              <w:marBottom w:val="0"/>
              <w:divBdr>
                <w:top w:val="none" w:sz="0" w:space="0" w:color="auto"/>
                <w:left w:val="none" w:sz="0" w:space="0" w:color="auto"/>
                <w:bottom w:val="none" w:sz="0" w:space="0" w:color="auto"/>
                <w:right w:val="none" w:sz="0" w:space="0" w:color="auto"/>
              </w:divBdr>
            </w:div>
            <w:div w:id="68118099">
              <w:marLeft w:val="0"/>
              <w:marRight w:val="0"/>
              <w:marTop w:val="0"/>
              <w:marBottom w:val="0"/>
              <w:divBdr>
                <w:top w:val="none" w:sz="0" w:space="0" w:color="auto"/>
                <w:left w:val="none" w:sz="0" w:space="0" w:color="auto"/>
                <w:bottom w:val="none" w:sz="0" w:space="0" w:color="auto"/>
                <w:right w:val="none" w:sz="0" w:space="0" w:color="auto"/>
              </w:divBdr>
            </w:div>
            <w:div w:id="576012189">
              <w:marLeft w:val="0"/>
              <w:marRight w:val="0"/>
              <w:marTop w:val="0"/>
              <w:marBottom w:val="0"/>
              <w:divBdr>
                <w:top w:val="none" w:sz="0" w:space="0" w:color="auto"/>
                <w:left w:val="none" w:sz="0" w:space="0" w:color="auto"/>
                <w:bottom w:val="none" w:sz="0" w:space="0" w:color="auto"/>
                <w:right w:val="none" w:sz="0" w:space="0" w:color="auto"/>
              </w:divBdr>
            </w:div>
            <w:div w:id="1016005747">
              <w:marLeft w:val="0"/>
              <w:marRight w:val="0"/>
              <w:marTop w:val="0"/>
              <w:marBottom w:val="0"/>
              <w:divBdr>
                <w:top w:val="none" w:sz="0" w:space="0" w:color="auto"/>
                <w:left w:val="none" w:sz="0" w:space="0" w:color="auto"/>
                <w:bottom w:val="none" w:sz="0" w:space="0" w:color="auto"/>
                <w:right w:val="none" w:sz="0" w:space="0" w:color="auto"/>
              </w:divBdr>
            </w:div>
            <w:div w:id="912080605">
              <w:marLeft w:val="0"/>
              <w:marRight w:val="0"/>
              <w:marTop w:val="0"/>
              <w:marBottom w:val="0"/>
              <w:divBdr>
                <w:top w:val="none" w:sz="0" w:space="0" w:color="auto"/>
                <w:left w:val="none" w:sz="0" w:space="0" w:color="auto"/>
                <w:bottom w:val="none" w:sz="0" w:space="0" w:color="auto"/>
                <w:right w:val="none" w:sz="0" w:space="0" w:color="auto"/>
              </w:divBdr>
            </w:div>
            <w:div w:id="1251161775">
              <w:marLeft w:val="0"/>
              <w:marRight w:val="0"/>
              <w:marTop w:val="0"/>
              <w:marBottom w:val="0"/>
              <w:divBdr>
                <w:top w:val="none" w:sz="0" w:space="0" w:color="auto"/>
                <w:left w:val="none" w:sz="0" w:space="0" w:color="auto"/>
                <w:bottom w:val="none" w:sz="0" w:space="0" w:color="auto"/>
                <w:right w:val="none" w:sz="0" w:space="0" w:color="auto"/>
              </w:divBdr>
            </w:div>
            <w:div w:id="1867980900">
              <w:marLeft w:val="0"/>
              <w:marRight w:val="0"/>
              <w:marTop w:val="0"/>
              <w:marBottom w:val="0"/>
              <w:divBdr>
                <w:top w:val="none" w:sz="0" w:space="0" w:color="auto"/>
                <w:left w:val="none" w:sz="0" w:space="0" w:color="auto"/>
                <w:bottom w:val="none" w:sz="0" w:space="0" w:color="auto"/>
                <w:right w:val="none" w:sz="0" w:space="0" w:color="auto"/>
              </w:divBdr>
            </w:div>
            <w:div w:id="505826686">
              <w:marLeft w:val="0"/>
              <w:marRight w:val="0"/>
              <w:marTop w:val="0"/>
              <w:marBottom w:val="0"/>
              <w:divBdr>
                <w:top w:val="none" w:sz="0" w:space="0" w:color="auto"/>
                <w:left w:val="none" w:sz="0" w:space="0" w:color="auto"/>
                <w:bottom w:val="none" w:sz="0" w:space="0" w:color="auto"/>
                <w:right w:val="none" w:sz="0" w:space="0" w:color="auto"/>
              </w:divBdr>
            </w:div>
            <w:div w:id="1902054387">
              <w:marLeft w:val="0"/>
              <w:marRight w:val="0"/>
              <w:marTop w:val="0"/>
              <w:marBottom w:val="0"/>
              <w:divBdr>
                <w:top w:val="none" w:sz="0" w:space="0" w:color="auto"/>
                <w:left w:val="none" w:sz="0" w:space="0" w:color="auto"/>
                <w:bottom w:val="none" w:sz="0" w:space="0" w:color="auto"/>
                <w:right w:val="none" w:sz="0" w:space="0" w:color="auto"/>
              </w:divBdr>
            </w:div>
            <w:div w:id="481046062">
              <w:marLeft w:val="0"/>
              <w:marRight w:val="0"/>
              <w:marTop w:val="0"/>
              <w:marBottom w:val="0"/>
              <w:divBdr>
                <w:top w:val="none" w:sz="0" w:space="0" w:color="auto"/>
                <w:left w:val="none" w:sz="0" w:space="0" w:color="auto"/>
                <w:bottom w:val="none" w:sz="0" w:space="0" w:color="auto"/>
                <w:right w:val="none" w:sz="0" w:space="0" w:color="auto"/>
              </w:divBdr>
            </w:div>
            <w:div w:id="1191339082">
              <w:marLeft w:val="0"/>
              <w:marRight w:val="0"/>
              <w:marTop w:val="0"/>
              <w:marBottom w:val="0"/>
              <w:divBdr>
                <w:top w:val="none" w:sz="0" w:space="0" w:color="auto"/>
                <w:left w:val="none" w:sz="0" w:space="0" w:color="auto"/>
                <w:bottom w:val="none" w:sz="0" w:space="0" w:color="auto"/>
                <w:right w:val="none" w:sz="0" w:space="0" w:color="auto"/>
              </w:divBdr>
            </w:div>
            <w:div w:id="463084436">
              <w:marLeft w:val="0"/>
              <w:marRight w:val="0"/>
              <w:marTop w:val="0"/>
              <w:marBottom w:val="0"/>
              <w:divBdr>
                <w:top w:val="none" w:sz="0" w:space="0" w:color="auto"/>
                <w:left w:val="none" w:sz="0" w:space="0" w:color="auto"/>
                <w:bottom w:val="none" w:sz="0" w:space="0" w:color="auto"/>
                <w:right w:val="none" w:sz="0" w:space="0" w:color="auto"/>
              </w:divBdr>
            </w:div>
            <w:div w:id="2081711498">
              <w:marLeft w:val="0"/>
              <w:marRight w:val="0"/>
              <w:marTop w:val="0"/>
              <w:marBottom w:val="0"/>
              <w:divBdr>
                <w:top w:val="none" w:sz="0" w:space="0" w:color="auto"/>
                <w:left w:val="none" w:sz="0" w:space="0" w:color="auto"/>
                <w:bottom w:val="none" w:sz="0" w:space="0" w:color="auto"/>
                <w:right w:val="none" w:sz="0" w:space="0" w:color="auto"/>
              </w:divBdr>
            </w:div>
            <w:div w:id="1309438068">
              <w:marLeft w:val="0"/>
              <w:marRight w:val="0"/>
              <w:marTop w:val="0"/>
              <w:marBottom w:val="0"/>
              <w:divBdr>
                <w:top w:val="none" w:sz="0" w:space="0" w:color="auto"/>
                <w:left w:val="none" w:sz="0" w:space="0" w:color="auto"/>
                <w:bottom w:val="none" w:sz="0" w:space="0" w:color="auto"/>
                <w:right w:val="none" w:sz="0" w:space="0" w:color="auto"/>
              </w:divBdr>
            </w:div>
            <w:div w:id="682784120">
              <w:marLeft w:val="0"/>
              <w:marRight w:val="0"/>
              <w:marTop w:val="0"/>
              <w:marBottom w:val="0"/>
              <w:divBdr>
                <w:top w:val="none" w:sz="0" w:space="0" w:color="auto"/>
                <w:left w:val="none" w:sz="0" w:space="0" w:color="auto"/>
                <w:bottom w:val="none" w:sz="0" w:space="0" w:color="auto"/>
                <w:right w:val="none" w:sz="0" w:space="0" w:color="auto"/>
              </w:divBdr>
            </w:div>
            <w:div w:id="40249335">
              <w:marLeft w:val="0"/>
              <w:marRight w:val="0"/>
              <w:marTop w:val="0"/>
              <w:marBottom w:val="0"/>
              <w:divBdr>
                <w:top w:val="none" w:sz="0" w:space="0" w:color="auto"/>
                <w:left w:val="none" w:sz="0" w:space="0" w:color="auto"/>
                <w:bottom w:val="none" w:sz="0" w:space="0" w:color="auto"/>
                <w:right w:val="none" w:sz="0" w:space="0" w:color="auto"/>
              </w:divBdr>
            </w:div>
            <w:div w:id="1290015785">
              <w:marLeft w:val="0"/>
              <w:marRight w:val="0"/>
              <w:marTop w:val="0"/>
              <w:marBottom w:val="0"/>
              <w:divBdr>
                <w:top w:val="none" w:sz="0" w:space="0" w:color="auto"/>
                <w:left w:val="none" w:sz="0" w:space="0" w:color="auto"/>
                <w:bottom w:val="none" w:sz="0" w:space="0" w:color="auto"/>
                <w:right w:val="none" w:sz="0" w:space="0" w:color="auto"/>
              </w:divBdr>
            </w:div>
            <w:div w:id="943004444">
              <w:marLeft w:val="0"/>
              <w:marRight w:val="0"/>
              <w:marTop w:val="0"/>
              <w:marBottom w:val="0"/>
              <w:divBdr>
                <w:top w:val="none" w:sz="0" w:space="0" w:color="auto"/>
                <w:left w:val="none" w:sz="0" w:space="0" w:color="auto"/>
                <w:bottom w:val="none" w:sz="0" w:space="0" w:color="auto"/>
                <w:right w:val="none" w:sz="0" w:space="0" w:color="auto"/>
              </w:divBdr>
            </w:div>
            <w:div w:id="407576175">
              <w:marLeft w:val="0"/>
              <w:marRight w:val="0"/>
              <w:marTop w:val="0"/>
              <w:marBottom w:val="0"/>
              <w:divBdr>
                <w:top w:val="none" w:sz="0" w:space="0" w:color="auto"/>
                <w:left w:val="none" w:sz="0" w:space="0" w:color="auto"/>
                <w:bottom w:val="none" w:sz="0" w:space="0" w:color="auto"/>
                <w:right w:val="none" w:sz="0" w:space="0" w:color="auto"/>
              </w:divBdr>
            </w:div>
            <w:div w:id="470252671">
              <w:marLeft w:val="0"/>
              <w:marRight w:val="0"/>
              <w:marTop w:val="0"/>
              <w:marBottom w:val="0"/>
              <w:divBdr>
                <w:top w:val="none" w:sz="0" w:space="0" w:color="auto"/>
                <w:left w:val="none" w:sz="0" w:space="0" w:color="auto"/>
                <w:bottom w:val="none" w:sz="0" w:space="0" w:color="auto"/>
                <w:right w:val="none" w:sz="0" w:space="0" w:color="auto"/>
              </w:divBdr>
            </w:div>
          </w:divsChild>
        </w:div>
        <w:div w:id="1348406622">
          <w:marLeft w:val="0"/>
          <w:marRight w:val="0"/>
          <w:marTop w:val="0"/>
          <w:marBottom w:val="0"/>
          <w:divBdr>
            <w:top w:val="none" w:sz="0" w:space="0" w:color="auto"/>
            <w:left w:val="none" w:sz="0" w:space="0" w:color="auto"/>
            <w:bottom w:val="none" w:sz="0" w:space="0" w:color="auto"/>
            <w:right w:val="none" w:sz="0" w:space="0" w:color="auto"/>
          </w:divBdr>
          <w:divsChild>
            <w:div w:id="1020276708">
              <w:marLeft w:val="0"/>
              <w:marRight w:val="0"/>
              <w:marTop w:val="0"/>
              <w:marBottom w:val="0"/>
              <w:divBdr>
                <w:top w:val="none" w:sz="0" w:space="0" w:color="auto"/>
                <w:left w:val="none" w:sz="0" w:space="0" w:color="auto"/>
                <w:bottom w:val="none" w:sz="0" w:space="0" w:color="auto"/>
                <w:right w:val="none" w:sz="0" w:space="0" w:color="auto"/>
              </w:divBdr>
            </w:div>
            <w:div w:id="2035959157">
              <w:marLeft w:val="0"/>
              <w:marRight w:val="0"/>
              <w:marTop w:val="0"/>
              <w:marBottom w:val="0"/>
              <w:divBdr>
                <w:top w:val="none" w:sz="0" w:space="0" w:color="auto"/>
                <w:left w:val="none" w:sz="0" w:space="0" w:color="auto"/>
                <w:bottom w:val="none" w:sz="0" w:space="0" w:color="auto"/>
                <w:right w:val="none" w:sz="0" w:space="0" w:color="auto"/>
              </w:divBdr>
            </w:div>
            <w:div w:id="603804493">
              <w:marLeft w:val="0"/>
              <w:marRight w:val="0"/>
              <w:marTop w:val="0"/>
              <w:marBottom w:val="0"/>
              <w:divBdr>
                <w:top w:val="none" w:sz="0" w:space="0" w:color="auto"/>
                <w:left w:val="none" w:sz="0" w:space="0" w:color="auto"/>
                <w:bottom w:val="none" w:sz="0" w:space="0" w:color="auto"/>
                <w:right w:val="none" w:sz="0" w:space="0" w:color="auto"/>
              </w:divBdr>
            </w:div>
            <w:div w:id="1791312786">
              <w:marLeft w:val="0"/>
              <w:marRight w:val="0"/>
              <w:marTop w:val="0"/>
              <w:marBottom w:val="0"/>
              <w:divBdr>
                <w:top w:val="none" w:sz="0" w:space="0" w:color="auto"/>
                <w:left w:val="none" w:sz="0" w:space="0" w:color="auto"/>
                <w:bottom w:val="none" w:sz="0" w:space="0" w:color="auto"/>
                <w:right w:val="none" w:sz="0" w:space="0" w:color="auto"/>
              </w:divBdr>
            </w:div>
            <w:div w:id="65224587">
              <w:marLeft w:val="0"/>
              <w:marRight w:val="0"/>
              <w:marTop w:val="0"/>
              <w:marBottom w:val="0"/>
              <w:divBdr>
                <w:top w:val="none" w:sz="0" w:space="0" w:color="auto"/>
                <w:left w:val="none" w:sz="0" w:space="0" w:color="auto"/>
                <w:bottom w:val="none" w:sz="0" w:space="0" w:color="auto"/>
                <w:right w:val="none" w:sz="0" w:space="0" w:color="auto"/>
              </w:divBdr>
            </w:div>
            <w:div w:id="1681199592">
              <w:marLeft w:val="0"/>
              <w:marRight w:val="0"/>
              <w:marTop w:val="0"/>
              <w:marBottom w:val="0"/>
              <w:divBdr>
                <w:top w:val="none" w:sz="0" w:space="0" w:color="auto"/>
                <w:left w:val="none" w:sz="0" w:space="0" w:color="auto"/>
                <w:bottom w:val="none" w:sz="0" w:space="0" w:color="auto"/>
                <w:right w:val="none" w:sz="0" w:space="0" w:color="auto"/>
              </w:divBdr>
            </w:div>
            <w:div w:id="510485472">
              <w:marLeft w:val="0"/>
              <w:marRight w:val="0"/>
              <w:marTop w:val="0"/>
              <w:marBottom w:val="0"/>
              <w:divBdr>
                <w:top w:val="none" w:sz="0" w:space="0" w:color="auto"/>
                <w:left w:val="none" w:sz="0" w:space="0" w:color="auto"/>
                <w:bottom w:val="none" w:sz="0" w:space="0" w:color="auto"/>
                <w:right w:val="none" w:sz="0" w:space="0" w:color="auto"/>
              </w:divBdr>
            </w:div>
            <w:div w:id="740566527">
              <w:marLeft w:val="0"/>
              <w:marRight w:val="0"/>
              <w:marTop w:val="0"/>
              <w:marBottom w:val="0"/>
              <w:divBdr>
                <w:top w:val="none" w:sz="0" w:space="0" w:color="auto"/>
                <w:left w:val="none" w:sz="0" w:space="0" w:color="auto"/>
                <w:bottom w:val="none" w:sz="0" w:space="0" w:color="auto"/>
                <w:right w:val="none" w:sz="0" w:space="0" w:color="auto"/>
              </w:divBdr>
            </w:div>
            <w:div w:id="1339500585">
              <w:marLeft w:val="0"/>
              <w:marRight w:val="0"/>
              <w:marTop w:val="0"/>
              <w:marBottom w:val="0"/>
              <w:divBdr>
                <w:top w:val="none" w:sz="0" w:space="0" w:color="auto"/>
                <w:left w:val="none" w:sz="0" w:space="0" w:color="auto"/>
                <w:bottom w:val="none" w:sz="0" w:space="0" w:color="auto"/>
                <w:right w:val="none" w:sz="0" w:space="0" w:color="auto"/>
              </w:divBdr>
            </w:div>
            <w:div w:id="1055084530">
              <w:marLeft w:val="0"/>
              <w:marRight w:val="0"/>
              <w:marTop w:val="0"/>
              <w:marBottom w:val="0"/>
              <w:divBdr>
                <w:top w:val="none" w:sz="0" w:space="0" w:color="auto"/>
                <w:left w:val="none" w:sz="0" w:space="0" w:color="auto"/>
                <w:bottom w:val="none" w:sz="0" w:space="0" w:color="auto"/>
                <w:right w:val="none" w:sz="0" w:space="0" w:color="auto"/>
              </w:divBdr>
            </w:div>
            <w:div w:id="486096168">
              <w:marLeft w:val="0"/>
              <w:marRight w:val="0"/>
              <w:marTop w:val="0"/>
              <w:marBottom w:val="0"/>
              <w:divBdr>
                <w:top w:val="none" w:sz="0" w:space="0" w:color="auto"/>
                <w:left w:val="none" w:sz="0" w:space="0" w:color="auto"/>
                <w:bottom w:val="none" w:sz="0" w:space="0" w:color="auto"/>
                <w:right w:val="none" w:sz="0" w:space="0" w:color="auto"/>
              </w:divBdr>
            </w:div>
            <w:div w:id="662660894">
              <w:marLeft w:val="0"/>
              <w:marRight w:val="0"/>
              <w:marTop w:val="0"/>
              <w:marBottom w:val="0"/>
              <w:divBdr>
                <w:top w:val="none" w:sz="0" w:space="0" w:color="auto"/>
                <w:left w:val="none" w:sz="0" w:space="0" w:color="auto"/>
                <w:bottom w:val="none" w:sz="0" w:space="0" w:color="auto"/>
                <w:right w:val="none" w:sz="0" w:space="0" w:color="auto"/>
              </w:divBdr>
            </w:div>
            <w:div w:id="2136674979">
              <w:marLeft w:val="0"/>
              <w:marRight w:val="0"/>
              <w:marTop w:val="0"/>
              <w:marBottom w:val="0"/>
              <w:divBdr>
                <w:top w:val="none" w:sz="0" w:space="0" w:color="auto"/>
                <w:left w:val="none" w:sz="0" w:space="0" w:color="auto"/>
                <w:bottom w:val="none" w:sz="0" w:space="0" w:color="auto"/>
                <w:right w:val="none" w:sz="0" w:space="0" w:color="auto"/>
              </w:divBdr>
            </w:div>
            <w:div w:id="1225067116">
              <w:marLeft w:val="0"/>
              <w:marRight w:val="0"/>
              <w:marTop w:val="0"/>
              <w:marBottom w:val="0"/>
              <w:divBdr>
                <w:top w:val="none" w:sz="0" w:space="0" w:color="auto"/>
                <w:left w:val="none" w:sz="0" w:space="0" w:color="auto"/>
                <w:bottom w:val="none" w:sz="0" w:space="0" w:color="auto"/>
                <w:right w:val="none" w:sz="0" w:space="0" w:color="auto"/>
              </w:divBdr>
            </w:div>
            <w:div w:id="1587878893">
              <w:marLeft w:val="0"/>
              <w:marRight w:val="0"/>
              <w:marTop w:val="0"/>
              <w:marBottom w:val="0"/>
              <w:divBdr>
                <w:top w:val="none" w:sz="0" w:space="0" w:color="auto"/>
                <w:left w:val="none" w:sz="0" w:space="0" w:color="auto"/>
                <w:bottom w:val="none" w:sz="0" w:space="0" w:color="auto"/>
                <w:right w:val="none" w:sz="0" w:space="0" w:color="auto"/>
              </w:divBdr>
            </w:div>
            <w:div w:id="1953973718">
              <w:marLeft w:val="0"/>
              <w:marRight w:val="0"/>
              <w:marTop w:val="0"/>
              <w:marBottom w:val="0"/>
              <w:divBdr>
                <w:top w:val="none" w:sz="0" w:space="0" w:color="auto"/>
                <w:left w:val="none" w:sz="0" w:space="0" w:color="auto"/>
                <w:bottom w:val="none" w:sz="0" w:space="0" w:color="auto"/>
                <w:right w:val="none" w:sz="0" w:space="0" w:color="auto"/>
              </w:divBdr>
            </w:div>
            <w:div w:id="735467813">
              <w:marLeft w:val="0"/>
              <w:marRight w:val="0"/>
              <w:marTop w:val="0"/>
              <w:marBottom w:val="0"/>
              <w:divBdr>
                <w:top w:val="none" w:sz="0" w:space="0" w:color="auto"/>
                <w:left w:val="none" w:sz="0" w:space="0" w:color="auto"/>
                <w:bottom w:val="none" w:sz="0" w:space="0" w:color="auto"/>
                <w:right w:val="none" w:sz="0" w:space="0" w:color="auto"/>
              </w:divBdr>
            </w:div>
            <w:div w:id="758213910">
              <w:marLeft w:val="0"/>
              <w:marRight w:val="0"/>
              <w:marTop w:val="0"/>
              <w:marBottom w:val="0"/>
              <w:divBdr>
                <w:top w:val="none" w:sz="0" w:space="0" w:color="auto"/>
                <w:left w:val="none" w:sz="0" w:space="0" w:color="auto"/>
                <w:bottom w:val="none" w:sz="0" w:space="0" w:color="auto"/>
                <w:right w:val="none" w:sz="0" w:space="0" w:color="auto"/>
              </w:divBdr>
            </w:div>
            <w:div w:id="512689637">
              <w:marLeft w:val="0"/>
              <w:marRight w:val="0"/>
              <w:marTop w:val="0"/>
              <w:marBottom w:val="0"/>
              <w:divBdr>
                <w:top w:val="none" w:sz="0" w:space="0" w:color="auto"/>
                <w:left w:val="none" w:sz="0" w:space="0" w:color="auto"/>
                <w:bottom w:val="none" w:sz="0" w:space="0" w:color="auto"/>
                <w:right w:val="none" w:sz="0" w:space="0" w:color="auto"/>
              </w:divBdr>
            </w:div>
            <w:div w:id="913005743">
              <w:marLeft w:val="0"/>
              <w:marRight w:val="0"/>
              <w:marTop w:val="0"/>
              <w:marBottom w:val="0"/>
              <w:divBdr>
                <w:top w:val="none" w:sz="0" w:space="0" w:color="auto"/>
                <w:left w:val="none" w:sz="0" w:space="0" w:color="auto"/>
                <w:bottom w:val="none" w:sz="0" w:space="0" w:color="auto"/>
                <w:right w:val="none" w:sz="0" w:space="0" w:color="auto"/>
              </w:divBdr>
            </w:div>
          </w:divsChild>
        </w:div>
        <w:div w:id="319115577">
          <w:marLeft w:val="0"/>
          <w:marRight w:val="0"/>
          <w:marTop w:val="0"/>
          <w:marBottom w:val="0"/>
          <w:divBdr>
            <w:top w:val="none" w:sz="0" w:space="0" w:color="auto"/>
            <w:left w:val="none" w:sz="0" w:space="0" w:color="auto"/>
            <w:bottom w:val="none" w:sz="0" w:space="0" w:color="auto"/>
            <w:right w:val="none" w:sz="0" w:space="0" w:color="auto"/>
          </w:divBdr>
          <w:divsChild>
            <w:div w:id="192378398">
              <w:marLeft w:val="0"/>
              <w:marRight w:val="0"/>
              <w:marTop w:val="0"/>
              <w:marBottom w:val="0"/>
              <w:divBdr>
                <w:top w:val="none" w:sz="0" w:space="0" w:color="auto"/>
                <w:left w:val="none" w:sz="0" w:space="0" w:color="auto"/>
                <w:bottom w:val="none" w:sz="0" w:space="0" w:color="auto"/>
                <w:right w:val="none" w:sz="0" w:space="0" w:color="auto"/>
              </w:divBdr>
            </w:div>
            <w:div w:id="338698940">
              <w:marLeft w:val="0"/>
              <w:marRight w:val="0"/>
              <w:marTop w:val="0"/>
              <w:marBottom w:val="0"/>
              <w:divBdr>
                <w:top w:val="none" w:sz="0" w:space="0" w:color="auto"/>
                <w:left w:val="none" w:sz="0" w:space="0" w:color="auto"/>
                <w:bottom w:val="none" w:sz="0" w:space="0" w:color="auto"/>
                <w:right w:val="none" w:sz="0" w:space="0" w:color="auto"/>
              </w:divBdr>
            </w:div>
            <w:div w:id="2067995156">
              <w:marLeft w:val="0"/>
              <w:marRight w:val="0"/>
              <w:marTop w:val="0"/>
              <w:marBottom w:val="0"/>
              <w:divBdr>
                <w:top w:val="none" w:sz="0" w:space="0" w:color="auto"/>
                <w:left w:val="none" w:sz="0" w:space="0" w:color="auto"/>
                <w:bottom w:val="none" w:sz="0" w:space="0" w:color="auto"/>
                <w:right w:val="none" w:sz="0" w:space="0" w:color="auto"/>
              </w:divBdr>
            </w:div>
            <w:div w:id="1001734979">
              <w:marLeft w:val="0"/>
              <w:marRight w:val="0"/>
              <w:marTop w:val="0"/>
              <w:marBottom w:val="0"/>
              <w:divBdr>
                <w:top w:val="none" w:sz="0" w:space="0" w:color="auto"/>
                <w:left w:val="none" w:sz="0" w:space="0" w:color="auto"/>
                <w:bottom w:val="none" w:sz="0" w:space="0" w:color="auto"/>
                <w:right w:val="none" w:sz="0" w:space="0" w:color="auto"/>
              </w:divBdr>
            </w:div>
            <w:div w:id="18508884">
              <w:marLeft w:val="0"/>
              <w:marRight w:val="0"/>
              <w:marTop w:val="0"/>
              <w:marBottom w:val="0"/>
              <w:divBdr>
                <w:top w:val="none" w:sz="0" w:space="0" w:color="auto"/>
                <w:left w:val="none" w:sz="0" w:space="0" w:color="auto"/>
                <w:bottom w:val="none" w:sz="0" w:space="0" w:color="auto"/>
                <w:right w:val="none" w:sz="0" w:space="0" w:color="auto"/>
              </w:divBdr>
            </w:div>
            <w:div w:id="1692683942">
              <w:marLeft w:val="0"/>
              <w:marRight w:val="0"/>
              <w:marTop w:val="0"/>
              <w:marBottom w:val="0"/>
              <w:divBdr>
                <w:top w:val="none" w:sz="0" w:space="0" w:color="auto"/>
                <w:left w:val="none" w:sz="0" w:space="0" w:color="auto"/>
                <w:bottom w:val="none" w:sz="0" w:space="0" w:color="auto"/>
                <w:right w:val="none" w:sz="0" w:space="0" w:color="auto"/>
              </w:divBdr>
            </w:div>
            <w:div w:id="1134248101">
              <w:marLeft w:val="0"/>
              <w:marRight w:val="0"/>
              <w:marTop w:val="0"/>
              <w:marBottom w:val="0"/>
              <w:divBdr>
                <w:top w:val="none" w:sz="0" w:space="0" w:color="auto"/>
                <w:left w:val="none" w:sz="0" w:space="0" w:color="auto"/>
                <w:bottom w:val="none" w:sz="0" w:space="0" w:color="auto"/>
                <w:right w:val="none" w:sz="0" w:space="0" w:color="auto"/>
              </w:divBdr>
            </w:div>
            <w:div w:id="640035107">
              <w:marLeft w:val="0"/>
              <w:marRight w:val="0"/>
              <w:marTop w:val="0"/>
              <w:marBottom w:val="0"/>
              <w:divBdr>
                <w:top w:val="none" w:sz="0" w:space="0" w:color="auto"/>
                <w:left w:val="none" w:sz="0" w:space="0" w:color="auto"/>
                <w:bottom w:val="none" w:sz="0" w:space="0" w:color="auto"/>
                <w:right w:val="none" w:sz="0" w:space="0" w:color="auto"/>
              </w:divBdr>
            </w:div>
            <w:div w:id="2042894512">
              <w:marLeft w:val="0"/>
              <w:marRight w:val="0"/>
              <w:marTop w:val="0"/>
              <w:marBottom w:val="0"/>
              <w:divBdr>
                <w:top w:val="none" w:sz="0" w:space="0" w:color="auto"/>
                <w:left w:val="none" w:sz="0" w:space="0" w:color="auto"/>
                <w:bottom w:val="none" w:sz="0" w:space="0" w:color="auto"/>
                <w:right w:val="none" w:sz="0" w:space="0" w:color="auto"/>
              </w:divBdr>
            </w:div>
            <w:div w:id="816343889">
              <w:marLeft w:val="0"/>
              <w:marRight w:val="0"/>
              <w:marTop w:val="0"/>
              <w:marBottom w:val="0"/>
              <w:divBdr>
                <w:top w:val="none" w:sz="0" w:space="0" w:color="auto"/>
                <w:left w:val="none" w:sz="0" w:space="0" w:color="auto"/>
                <w:bottom w:val="none" w:sz="0" w:space="0" w:color="auto"/>
                <w:right w:val="none" w:sz="0" w:space="0" w:color="auto"/>
              </w:divBdr>
            </w:div>
            <w:div w:id="1709916262">
              <w:marLeft w:val="0"/>
              <w:marRight w:val="0"/>
              <w:marTop w:val="0"/>
              <w:marBottom w:val="0"/>
              <w:divBdr>
                <w:top w:val="none" w:sz="0" w:space="0" w:color="auto"/>
                <w:left w:val="none" w:sz="0" w:space="0" w:color="auto"/>
                <w:bottom w:val="none" w:sz="0" w:space="0" w:color="auto"/>
                <w:right w:val="none" w:sz="0" w:space="0" w:color="auto"/>
              </w:divBdr>
            </w:div>
            <w:div w:id="1427993702">
              <w:marLeft w:val="0"/>
              <w:marRight w:val="0"/>
              <w:marTop w:val="0"/>
              <w:marBottom w:val="0"/>
              <w:divBdr>
                <w:top w:val="none" w:sz="0" w:space="0" w:color="auto"/>
                <w:left w:val="none" w:sz="0" w:space="0" w:color="auto"/>
                <w:bottom w:val="none" w:sz="0" w:space="0" w:color="auto"/>
                <w:right w:val="none" w:sz="0" w:space="0" w:color="auto"/>
              </w:divBdr>
            </w:div>
            <w:div w:id="1832986029">
              <w:marLeft w:val="0"/>
              <w:marRight w:val="0"/>
              <w:marTop w:val="0"/>
              <w:marBottom w:val="0"/>
              <w:divBdr>
                <w:top w:val="none" w:sz="0" w:space="0" w:color="auto"/>
                <w:left w:val="none" w:sz="0" w:space="0" w:color="auto"/>
                <w:bottom w:val="none" w:sz="0" w:space="0" w:color="auto"/>
                <w:right w:val="none" w:sz="0" w:space="0" w:color="auto"/>
              </w:divBdr>
            </w:div>
            <w:div w:id="1576932309">
              <w:marLeft w:val="0"/>
              <w:marRight w:val="0"/>
              <w:marTop w:val="0"/>
              <w:marBottom w:val="0"/>
              <w:divBdr>
                <w:top w:val="none" w:sz="0" w:space="0" w:color="auto"/>
                <w:left w:val="none" w:sz="0" w:space="0" w:color="auto"/>
                <w:bottom w:val="none" w:sz="0" w:space="0" w:color="auto"/>
                <w:right w:val="none" w:sz="0" w:space="0" w:color="auto"/>
              </w:divBdr>
            </w:div>
            <w:div w:id="1824542879">
              <w:marLeft w:val="0"/>
              <w:marRight w:val="0"/>
              <w:marTop w:val="0"/>
              <w:marBottom w:val="0"/>
              <w:divBdr>
                <w:top w:val="none" w:sz="0" w:space="0" w:color="auto"/>
                <w:left w:val="none" w:sz="0" w:space="0" w:color="auto"/>
                <w:bottom w:val="none" w:sz="0" w:space="0" w:color="auto"/>
                <w:right w:val="none" w:sz="0" w:space="0" w:color="auto"/>
              </w:divBdr>
            </w:div>
            <w:div w:id="1171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1774">
      <w:bodyDiv w:val="1"/>
      <w:marLeft w:val="0"/>
      <w:marRight w:val="0"/>
      <w:marTop w:val="0"/>
      <w:marBottom w:val="0"/>
      <w:divBdr>
        <w:top w:val="none" w:sz="0" w:space="0" w:color="auto"/>
        <w:left w:val="none" w:sz="0" w:space="0" w:color="auto"/>
        <w:bottom w:val="none" w:sz="0" w:space="0" w:color="auto"/>
        <w:right w:val="none" w:sz="0" w:space="0" w:color="auto"/>
      </w:divBdr>
    </w:div>
    <w:div w:id="912008729">
      <w:bodyDiv w:val="1"/>
      <w:marLeft w:val="0"/>
      <w:marRight w:val="0"/>
      <w:marTop w:val="0"/>
      <w:marBottom w:val="0"/>
      <w:divBdr>
        <w:top w:val="none" w:sz="0" w:space="0" w:color="auto"/>
        <w:left w:val="none" w:sz="0" w:space="0" w:color="auto"/>
        <w:bottom w:val="none" w:sz="0" w:space="0" w:color="auto"/>
        <w:right w:val="none" w:sz="0" w:space="0" w:color="auto"/>
      </w:divBdr>
    </w:div>
    <w:div w:id="1182358065">
      <w:bodyDiv w:val="1"/>
      <w:marLeft w:val="0"/>
      <w:marRight w:val="0"/>
      <w:marTop w:val="0"/>
      <w:marBottom w:val="0"/>
      <w:divBdr>
        <w:top w:val="none" w:sz="0" w:space="0" w:color="auto"/>
        <w:left w:val="none" w:sz="0" w:space="0" w:color="auto"/>
        <w:bottom w:val="none" w:sz="0" w:space="0" w:color="auto"/>
        <w:right w:val="none" w:sz="0" w:space="0" w:color="auto"/>
      </w:divBdr>
    </w:div>
    <w:div w:id="1430544973">
      <w:bodyDiv w:val="1"/>
      <w:marLeft w:val="0"/>
      <w:marRight w:val="0"/>
      <w:marTop w:val="0"/>
      <w:marBottom w:val="0"/>
      <w:divBdr>
        <w:top w:val="none" w:sz="0" w:space="0" w:color="auto"/>
        <w:left w:val="none" w:sz="0" w:space="0" w:color="auto"/>
        <w:bottom w:val="none" w:sz="0" w:space="0" w:color="auto"/>
        <w:right w:val="none" w:sz="0" w:space="0" w:color="auto"/>
      </w:divBdr>
      <w:divsChild>
        <w:div w:id="749733813">
          <w:marLeft w:val="0"/>
          <w:marRight w:val="0"/>
          <w:marTop w:val="0"/>
          <w:marBottom w:val="0"/>
          <w:divBdr>
            <w:top w:val="none" w:sz="0" w:space="0" w:color="auto"/>
            <w:left w:val="none" w:sz="0" w:space="0" w:color="auto"/>
            <w:bottom w:val="none" w:sz="0" w:space="0" w:color="auto"/>
            <w:right w:val="none" w:sz="0" w:space="0" w:color="auto"/>
          </w:divBdr>
        </w:div>
        <w:div w:id="1107044276">
          <w:marLeft w:val="0"/>
          <w:marRight w:val="0"/>
          <w:marTop w:val="0"/>
          <w:marBottom w:val="0"/>
          <w:divBdr>
            <w:top w:val="none" w:sz="0" w:space="0" w:color="auto"/>
            <w:left w:val="none" w:sz="0" w:space="0" w:color="auto"/>
            <w:bottom w:val="none" w:sz="0" w:space="0" w:color="auto"/>
            <w:right w:val="none" w:sz="0" w:space="0" w:color="auto"/>
          </w:divBdr>
        </w:div>
        <w:div w:id="95951102">
          <w:marLeft w:val="0"/>
          <w:marRight w:val="0"/>
          <w:marTop w:val="0"/>
          <w:marBottom w:val="0"/>
          <w:divBdr>
            <w:top w:val="none" w:sz="0" w:space="0" w:color="auto"/>
            <w:left w:val="none" w:sz="0" w:space="0" w:color="auto"/>
            <w:bottom w:val="none" w:sz="0" w:space="0" w:color="auto"/>
            <w:right w:val="none" w:sz="0" w:space="0" w:color="auto"/>
          </w:divBdr>
        </w:div>
        <w:div w:id="1581452598">
          <w:marLeft w:val="0"/>
          <w:marRight w:val="0"/>
          <w:marTop w:val="0"/>
          <w:marBottom w:val="0"/>
          <w:divBdr>
            <w:top w:val="none" w:sz="0" w:space="0" w:color="auto"/>
            <w:left w:val="none" w:sz="0" w:space="0" w:color="auto"/>
            <w:bottom w:val="none" w:sz="0" w:space="0" w:color="auto"/>
            <w:right w:val="none" w:sz="0" w:space="0" w:color="auto"/>
          </w:divBdr>
        </w:div>
        <w:div w:id="1506895649">
          <w:marLeft w:val="0"/>
          <w:marRight w:val="0"/>
          <w:marTop w:val="0"/>
          <w:marBottom w:val="0"/>
          <w:divBdr>
            <w:top w:val="none" w:sz="0" w:space="0" w:color="auto"/>
            <w:left w:val="none" w:sz="0" w:space="0" w:color="auto"/>
            <w:bottom w:val="none" w:sz="0" w:space="0" w:color="auto"/>
            <w:right w:val="none" w:sz="0" w:space="0" w:color="auto"/>
          </w:divBdr>
        </w:div>
        <w:div w:id="2030787700">
          <w:marLeft w:val="0"/>
          <w:marRight w:val="0"/>
          <w:marTop w:val="0"/>
          <w:marBottom w:val="0"/>
          <w:divBdr>
            <w:top w:val="none" w:sz="0" w:space="0" w:color="auto"/>
            <w:left w:val="none" w:sz="0" w:space="0" w:color="auto"/>
            <w:bottom w:val="none" w:sz="0" w:space="0" w:color="auto"/>
            <w:right w:val="none" w:sz="0" w:space="0" w:color="auto"/>
          </w:divBdr>
        </w:div>
        <w:div w:id="1446533477">
          <w:marLeft w:val="0"/>
          <w:marRight w:val="0"/>
          <w:marTop w:val="0"/>
          <w:marBottom w:val="0"/>
          <w:divBdr>
            <w:top w:val="none" w:sz="0" w:space="0" w:color="auto"/>
            <w:left w:val="none" w:sz="0" w:space="0" w:color="auto"/>
            <w:bottom w:val="none" w:sz="0" w:space="0" w:color="auto"/>
            <w:right w:val="none" w:sz="0" w:space="0" w:color="auto"/>
          </w:divBdr>
        </w:div>
        <w:div w:id="339546385">
          <w:marLeft w:val="0"/>
          <w:marRight w:val="0"/>
          <w:marTop w:val="0"/>
          <w:marBottom w:val="0"/>
          <w:divBdr>
            <w:top w:val="none" w:sz="0" w:space="0" w:color="auto"/>
            <w:left w:val="none" w:sz="0" w:space="0" w:color="auto"/>
            <w:bottom w:val="none" w:sz="0" w:space="0" w:color="auto"/>
            <w:right w:val="none" w:sz="0" w:space="0" w:color="auto"/>
          </w:divBdr>
        </w:div>
        <w:div w:id="1072001896">
          <w:marLeft w:val="0"/>
          <w:marRight w:val="0"/>
          <w:marTop w:val="0"/>
          <w:marBottom w:val="0"/>
          <w:divBdr>
            <w:top w:val="none" w:sz="0" w:space="0" w:color="auto"/>
            <w:left w:val="none" w:sz="0" w:space="0" w:color="auto"/>
            <w:bottom w:val="none" w:sz="0" w:space="0" w:color="auto"/>
            <w:right w:val="none" w:sz="0" w:space="0" w:color="auto"/>
          </w:divBdr>
        </w:div>
        <w:div w:id="369453994">
          <w:marLeft w:val="0"/>
          <w:marRight w:val="0"/>
          <w:marTop w:val="0"/>
          <w:marBottom w:val="0"/>
          <w:divBdr>
            <w:top w:val="none" w:sz="0" w:space="0" w:color="auto"/>
            <w:left w:val="none" w:sz="0" w:space="0" w:color="auto"/>
            <w:bottom w:val="none" w:sz="0" w:space="0" w:color="auto"/>
            <w:right w:val="none" w:sz="0" w:space="0" w:color="auto"/>
          </w:divBdr>
        </w:div>
        <w:div w:id="503521688">
          <w:marLeft w:val="0"/>
          <w:marRight w:val="0"/>
          <w:marTop w:val="0"/>
          <w:marBottom w:val="0"/>
          <w:divBdr>
            <w:top w:val="none" w:sz="0" w:space="0" w:color="auto"/>
            <w:left w:val="none" w:sz="0" w:space="0" w:color="auto"/>
            <w:bottom w:val="none" w:sz="0" w:space="0" w:color="auto"/>
            <w:right w:val="none" w:sz="0" w:space="0" w:color="auto"/>
          </w:divBdr>
        </w:div>
        <w:div w:id="1568883807">
          <w:marLeft w:val="0"/>
          <w:marRight w:val="0"/>
          <w:marTop w:val="0"/>
          <w:marBottom w:val="0"/>
          <w:divBdr>
            <w:top w:val="none" w:sz="0" w:space="0" w:color="auto"/>
            <w:left w:val="none" w:sz="0" w:space="0" w:color="auto"/>
            <w:bottom w:val="none" w:sz="0" w:space="0" w:color="auto"/>
            <w:right w:val="none" w:sz="0" w:space="0" w:color="auto"/>
          </w:divBdr>
        </w:div>
        <w:div w:id="699474434">
          <w:marLeft w:val="0"/>
          <w:marRight w:val="0"/>
          <w:marTop w:val="0"/>
          <w:marBottom w:val="0"/>
          <w:divBdr>
            <w:top w:val="none" w:sz="0" w:space="0" w:color="auto"/>
            <w:left w:val="none" w:sz="0" w:space="0" w:color="auto"/>
            <w:bottom w:val="none" w:sz="0" w:space="0" w:color="auto"/>
            <w:right w:val="none" w:sz="0" w:space="0" w:color="auto"/>
          </w:divBdr>
        </w:div>
        <w:div w:id="991449702">
          <w:marLeft w:val="0"/>
          <w:marRight w:val="0"/>
          <w:marTop w:val="0"/>
          <w:marBottom w:val="0"/>
          <w:divBdr>
            <w:top w:val="none" w:sz="0" w:space="0" w:color="auto"/>
            <w:left w:val="none" w:sz="0" w:space="0" w:color="auto"/>
            <w:bottom w:val="none" w:sz="0" w:space="0" w:color="auto"/>
            <w:right w:val="none" w:sz="0" w:space="0" w:color="auto"/>
          </w:divBdr>
        </w:div>
        <w:div w:id="868756193">
          <w:marLeft w:val="0"/>
          <w:marRight w:val="0"/>
          <w:marTop w:val="0"/>
          <w:marBottom w:val="0"/>
          <w:divBdr>
            <w:top w:val="none" w:sz="0" w:space="0" w:color="auto"/>
            <w:left w:val="none" w:sz="0" w:space="0" w:color="auto"/>
            <w:bottom w:val="none" w:sz="0" w:space="0" w:color="auto"/>
            <w:right w:val="none" w:sz="0" w:space="0" w:color="auto"/>
          </w:divBdr>
        </w:div>
        <w:div w:id="1621764318">
          <w:marLeft w:val="0"/>
          <w:marRight w:val="0"/>
          <w:marTop w:val="0"/>
          <w:marBottom w:val="0"/>
          <w:divBdr>
            <w:top w:val="none" w:sz="0" w:space="0" w:color="auto"/>
            <w:left w:val="none" w:sz="0" w:space="0" w:color="auto"/>
            <w:bottom w:val="none" w:sz="0" w:space="0" w:color="auto"/>
            <w:right w:val="none" w:sz="0" w:space="0" w:color="auto"/>
          </w:divBdr>
        </w:div>
        <w:div w:id="1888298448">
          <w:marLeft w:val="0"/>
          <w:marRight w:val="0"/>
          <w:marTop w:val="0"/>
          <w:marBottom w:val="0"/>
          <w:divBdr>
            <w:top w:val="none" w:sz="0" w:space="0" w:color="auto"/>
            <w:left w:val="none" w:sz="0" w:space="0" w:color="auto"/>
            <w:bottom w:val="none" w:sz="0" w:space="0" w:color="auto"/>
            <w:right w:val="none" w:sz="0" w:space="0" w:color="auto"/>
          </w:divBdr>
        </w:div>
        <w:div w:id="1483616716">
          <w:marLeft w:val="0"/>
          <w:marRight w:val="0"/>
          <w:marTop w:val="0"/>
          <w:marBottom w:val="0"/>
          <w:divBdr>
            <w:top w:val="none" w:sz="0" w:space="0" w:color="auto"/>
            <w:left w:val="none" w:sz="0" w:space="0" w:color="auto"/>
            <w:bottom w:val="none" w:sz="0" w:space="0" w:color="auto"/>
            <w:right w:val="none" w:sz="0" w:space="0" w:color="auto"/>
          </w:divBdr>
        </w:div>
        <w:div w:id="1818763602">
          <w:marLeft w:val="0"/>
          <w:marRight w:val="0"/>
          <w:marTop w:val="0"/>
          <w:marBottom w:val="0"/>
          <w:divBdr>
            <w:top w:val="none" w:sz="0" w:space="0" w:color="auto"/>
            <w:left w:val="none" w:sz="0" w:space="0" w:color="auto"/>
            <w:bottom w:val="none" w:sz="0" w:space="0" w:color="auto"/>
            <w:right w:val="none" w:sz="0" w:space="0" w:color="auto"/>
          </w:divBdr>
        </w:div>
        <w:div w:id="104157281">
          <w:marLeft w:val="0"/>
          <w:marRight w:val="0"/>
          <w:marTop w:val="0"/>
          <w:marBottom w:val="0"/>
          <w:divBdr>
            <w:top w:val="none" w:sz="0" w:space="0" w:color="auto"/>
            <w:left w:val="none" w:sz="0" w:space="0" w:color="auto"/>
            <w:bottom w:val="none" w:sz="0" w:space="0" w:color="auto"/>
            <w:right w:val="none" w:sz="0" w:space="0" w:color="auto"/>
          </w:divBdr>
        </w:div>
        <w:div w:id="853690279">
          <w:marLeft w:val="0"/>
          <w:marRight w:val="0"/>
          <w:marTop w:val="0"/>
          <w:marBottom w:val="0"/>
          <w:divBdr>
            <w:top w:val="none" w:sz="0" w:space="0" w:color="auto"/>
            <w:left w:val="none" w:sz="0" w:space="0" w:color="auto"/>
            <w:bottom w:val="none" w:sz="0" w:space="0" w:color="auto"/>
            <w:right w:val="none" w:sz="0" w:space="0" w:color="auto"/>
          </w:divBdr>
        </w:div>
        <w:div w:id="1452239689">
          <w:marLeft w:val="0"/>
          <w:marRight w:val="0"/>
          <w:marTop w:val="0"/>
          <w:marBottom w:val="0"/>
          <w:divBdr>
            <w:top w:val="none" w:sz="0" w:space="0" w:color="auto"/>
            <w:left w:val="none" w:sz="0" w:space="0" w:color="auto"/>
            <w:bottom w:val="none" w:sz="0" w:space="0" w:color="auto"/>
            <w:right w:val="none" w:sz="0" w:space="0" w:color="auto"/>
          </w:divBdr>
        </w:div>
        <w:div w:id="188836755">
          <w:marLeft w:val="0"/>
          <w:marRight w:val="0"/>
          <w:marTop w:val="0"/>
          <w:marBottom w:val="0"/>
          <w:divBdr>
            <w:top w:val="none" w:sz="0" w:space="0" w:color="auto"/>
            <w:left w:val="none" w:sz="0" w:space="0" w:color="auto"/>
            <w:bottom w:val="none" w:sz="0" w:space="0" w:color="auto"/>
            <w:right w:val="none" w:sz="0" w:space="0" w:color="auto"/>
          </w:divBdr>
        </w:div>
        <w:div w:id="311983432">
          <w:marLeft w:val="0"/>
          <w:marRight w:val="0"/>
          <w:marTop w:val="0"/>
          <w:marBottom w:val="0"/>
          <w:divBdr>
            <w:top w:val="none" w:sz="0" w:space="0" w:color="auto"/>
            <w:left w:val="none" w:sz="0" w:space="0" w:color="auto"/>
            <w:bottom w:val="none" w:sz="0" w:space="0" w:color="auto"/>
            <w:right w:val="none" w:sz="0" w:space="0" w:color="auto"/>
          </w:divBdr>
        </w:div>
        <w:div w:id="2123455425">
          <w:marLeft w:val="0"/>
          <w:marRight w:val="0"/>
          <w:marTop w:val="0"/>
          <w:marBottom w:val="0"/>
          <w:divBdr>
            <w:top w:val="none" w:sz="0" w:space="0" w:color="auto"/>
            <w:left w:val="none" w:sz="0" w:space="0" w:color="auto"/>
            <w:bottom w:val="none" w:sz="0" w:space="0" w:color="auto"/>
            <w:right w:val="none" w:sz="0" w:space="0" w:color="auto"/>
          </w:divBdr>
        </w:div>
        <w:div w:id="1923483917">
          <w:marLeft w:val="0"/>
          <w:marRight w:val="0"/>
          <w:marTop w:val="0"/>
          <w:marBottom w:val="0"/>
          <w:divBdr>
            <w:top w:val="none" w:sz="0" w:space="0" w:color="auto"/>
            <w:left w:val="none" w:sz="0" w:space="0" w:color="auto"/>
            <w:bottom w:val="none" w:sz="0" w:space="0" w:color="auto"/>
            <w:right w:val="none" w:sz="0" w:space="0" w:color="auto"/>
          </w:divBdr>
        </w:div>
        <w:div w:id="1128276356">
          <w:marLeft w:val="0"/>
          <w:marRight w:val="0"/>
          <w:marTop w:val="0"/>
          <w:marBottom w:val="0"/>
          <w:divBdr>
            <w:top w:val="none" w:sz="0" w:space="0" w:color="auto"/>
            <w:left w:val="none" w:sz="0" w:space="0" w:color="auto"/>
            <w:bottom w:val="none" w:sz="0" w:space="0" w:color="auto"/>
            <w:right w:val="none" w:sz="0" w:space="0" w:color="auto"/>
          </w:divBdr>
        </w:div>
        <w:div w:id="1371764705">
          <w:marLeft w:val="0"/>
          <w:marRight w:val="0"/>
          <w:marTop w:val="0"/>
          <w:marBottom w:val="0"/>
          <w:divBdr>
            <w:top w:val="none" w:sz="0" w:space="0" w:color="auto"/>
            <w:left w:val="none" w:sz="0" w:space="0" w:color="auto"/>
            <w:bottom w:val="none" w:sz="0" w:space="0" w:color="auto"/>
            <w:right w:val="none" w:sz="0" w:space="0" w:color="auto"/>
          </w:divBdr>
        </w:div>
        <w:div w:id="717782936">
          <w:marLeft w:val="0"/>
          <w:marRight w:val="0"/>
          <w:marTop w:val="0"/>
          <w:marBottom w:val="0"/>
          <w:divBdr>
            <w:top w:val="none" w:sz="0" w:space="0" w:color="auto"/>
            <w:left w:val="none" w:sz="0" w:space="0" w:color="auto"/>
            <w:bottom w:val="none" w:sz="0" w:space="0" w:color="auto"/>
            <w:right w:val="none" w:sz="0" w:space="0" w:color="auto"/>
          </w:divBdr>
        </w:div>
        <w:div w:id="221184511">
          <w:marLeft w:val="0"/>
          <w:marRight w:val="0"/>
          <w:marTop w:val="0"/>
          <w:marBottom w:val="0"/>
          <w:divBdr>
            <w:top w:val="none" w:sz="0" w:space="0" w:color="auto"/>
            <w:left w:val="none" w:sz="0" w:space="0" w:color="auto"/>
            <w:bottom w:val="none" w:sz="0" w:space="0" w:color="auto"/>
            <w:right w:val="none" w:sz="0" w:space="0" w:color="auto"/>
          </w:divBdr>
        </w:div>
        <w:div w:id="815806939">
          <w:marLeft w:val="0"/>
          <w:marRight w:val="0"/>
          <w:marTop w:val="0"/>
          <w:marBottom w:val="0"/>
          <w:divBdr>
            <w:top w:val="none" w:sz="0" w:space="0" w:color="auto"/>
            <w:left w:val="none" w:sz="0" w:space="0" w:color="auto"/>
            <w:bottom w:val="none" w:sz="0" w:space="0" w:color="auto"/>
            <w:right w:val="none" w:sz="0" w:space="0" w:color="auto"/>
          </w:divBdr>
        </w:div>
        <w:div w:id="412119255">
          <w:marLeft w:val="0"/>
          <w:marRight w:val="0"/>
          <w:marTop w:val="0"/>
          <w:marBottom w:val="0"/>
          <w:divBdr>
            <w:top w:val="none" w:sz="0" w:space="0" w:color="auto"/>
            <w:left w:val="none" w:sz="0" w:space="0" w:color="auto"/>
            <w:bottom w:val="none" w:sz="0" w:space="0" w:color="auto"/>
            <w:right w:val="none" w:sz="0" w:space="0" w:color="auto"/>
          </w:divBdr>
        </w:div>
        <w:div w:id="1202208461">
          <w:marLeft w:val="0"/>
          <w:marRight w:val="0"/>
          <w:marTop w:val="0"/>
          <w:marBottom w:val="0"/>
          <w:divBdr>
            <w:top w:val="none" w:sz="0" w:space="0" w:color="auto"/>
            <w:left w:val="none" w:sz="0" w:space="0" w:color="auto"/>
            <w:bottom w:val="none" w:sz="0" w:space="0" w:color="auto"/>
            <w:right w:val="none" w:sz="0" w:space="0" w:color="auto"/>
          </w:divBdr>
        </w:div>
        <w:div w:id="1521971012">
          <w:marLeft w:val="0"/>
          <w:marRight w:val="0"/>
          <w:marTop w:val="0"/>
          <w:marBottom w:val="0"/>
          <w:divBdr>
            <w:top w:val="none" w:sz="0" w:space="0" w:color="auto"/>
            <w:left w:val="none" w:sz="0" w:space="0" w:color="auto"/>
            <w:bottom w:val="none" w:sz="0" w:space="0" w:color="auto"/>
            <w:right w:val="none" w:sz="0" w:space="0" w:color="auto"/>
          </w:divBdr>
        </w:div>
        <w:div w:id="720445756">
          <w:marLeft w:val="0"/>
          <w:marRight w:val="0"/>
          <w:marTop w:val="0"/>
          <w:marBottom w:val="0"/>
          <w:divBdr>
            <w:top w:val="none" w:sz="0" w:space="0" w:color="auto"/>
            <w:left w:val="none" w:sz="0" w:space="0" w:color="auto"/>
            <w:bottom w:val="none" w:sz="0" w:space="0" w:color="auto"/>
            <w:right w:val="none" w:sz="0" w:space="0" w:color="auto"/>
          </w:divBdr>
        </w:div>
        <w:div w:id="64256545">
          <w:marLeft w:val="0"/>
          <w:marRight w:val="0"/>
          <w:marTop w:val="0"/>
          <w:marBottom w:val="0"/>
          <w:divBdr>
            <w:top w:val="none" w:sz="0" w:space="0" w:color="auto"/>
            <w:left w:val="none" w:sz="0" w:space="0" w:color="auto"/>
            <w:bottom w:val="none" w:sz="0" w:space="0" w:color="auto"/>
            <w:right w:val="none" w:sz="0" w:space="0" w:color="auto"/>
          </w:divBdr>
        </w:div>
        <w:div w:id="140540281">
          <w:marLeft w:val="0"/>
          <w:marRight w:val="0"/>
          <w:marTop w:val="0"/>
          <w:marBottom w:val="0"/>
          <w:divBdr>
            <w:top w:val="none" w:sz="0" w:space="0" w:color="auto"/>
            <w:left w:val="none" w:sz="0" w:space="0" w:color="auto"/>
            <w:bottom w:val="none" w:sz="0" w:space="0" w:color="auto"/>
            <w:right w:val="none" w:sz="0" w:space="0" w:color="auto"/>
          </w:divBdr>
        </w:div>
      </w:divsChild>
    </w:div>
    <w:div w:id="1729304708">
      <w:bodyDiv w:val="1"/>
      <w:marLeft w:val="0"/>
      <w:marRight w:val="0"/>
      <w:marTop w:val="0"/>
      <w:marBottom w:val="0"/>
      <w:divBdr>
        <w:top w:val="none" w:sz="0" w:space="0" w:color="auto"/>
        <w:left w:val="none" w:sz="0" w:space="0" w:color="auto"/>
        <w:bottom w:val="none" w:sz="0" w:space="0" w:color="auto"/>
        <w:right w:val="none" w:sz="0" w:space="0" w:color="auto"/>
      </w:divBdr>
    </w:div>
    <w:div w:id="17556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Media/Default/Get-involved/Meetings-In-Public/Public-board-meetings/march-23-pbm-proposed-approach-for-modular-updates-for-the-manual-for-technology-evaluation.docx" TargetMode="External"/><Relationship Id="rId13" Type="http://schemas.openxmlformats.org/officeDocument/2006/relationships/hyperlink" Target="bookmark://_Methods_and_processes" TargetMode="External"/><Relationship Id="rId18" Type="http://schemas.openxmlformats.org/officeDocument/2006/relationships/hyperlink" Target="https://www.nice.org.uk/process/pmg20/chapter/ensuring-that-published-guidelines-are-current-and-accurate" TargetMode="External"/><Relationship Id="rId26" Type="http://schemas.openxmlformats.org/officeDocument/2006/relationships/hyperlink" Target="https://www.nice.org.uk/Glossary?letter=C" TargetMode="External"/><Relationship Id="rId3" Type="http://schemas.openxmlformats.org/officeDocument/2006/relationships/settings" Target="settings.xml"/><Relationship Id="rId21" Type="http://schemas.openxmlformats.org/officeDocument/2006/relationships/hyperlink" Target="https://www.nice.org.uk/process/pmg20/chapter/introduction" TargetMode="External"/><Relationship Id="rId7" Type="http://schemas.openxmlformats.org/officeDocument/2006/relationships/hyperlink" Target="https://www.nice.org.uk/process/pmg36/chapter/introduction-to-health-technology-evaluation" TargetMode="External"/><Relationship Id="rId12" Type="http://schemas.openxmlformats.org/officeDocument/2006/relationships/hyperlink" Target="bookmark://_Criteria_and_triggers" TargetMode="External"/><Relationship Id="rId17" Type="http://schemas.openxmlformats.org/officeDocument/2006/relationships/hyperlink" Target="https://www.nice.org.uk/process/pmg20/chapter/ensuring-that-published-guidelines-are-current-and-accurate" TargetMode="External"/><Relationship Id="rId25" Type="http://schemas.openxmlformats.org/officeDocument/2006/relationships/hyperlink" Target="https://www.nice.org.uk/Glossary?letter=C" TargetMode="External"/><Relationship Id="rId2" Type="http://schemas.openxmlformats.org/officeDocument/2006/relationships/styles" Target="styles.xml"/><Relationship Id="rId16" Type="http://schemas.openxmlformats.org/officeDocument/2006/relationships/hyperlink" Target="https://www.nice.org.uk/about/who-we-are/our-principles" TargetMode="External"/><Relationship Id="rId20" Type="http://schemas.openxmlformats.org/officeDocument/2006/relationships/hyperlink" Target="https://www.nice.org.uk/process/pmg20/chapter/introduction"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about/who-we-are/corporate-publications/the-nice-strategy-2021-to-2026" TargetMode="External"/><Relationship Id="rId24" Type="http://schemas.openxmlformats.org/officeDocument/2006/relationships/hyperlink" Target="https://www.nice.org.uk/process/pmg20/chapter/introduction" TargetMode="External"/><Relationship Id="rId5" Type="http://schemas.openxmlformats.org/officeDocument/2006/relationships/footnotes" Target="footnotes.xml"/><Relationship Id="rId15" Type="http://schemas.openxmlformats.org/officeDocument/2006/relationships/hyperlink" Target="https://www.nice.org.uk/process/pmg20/chapter/introduction" TargetMode="External"/><Relationship Id="rId23" Type="http://schemas.openxmlformats.org/officeDocument/2006/relationships/hyperlink" Target="https://www.nice.org.uk/about/who-we-are/our-principles" TargetMode="External"/><Relationship Id="rId28" Type="http://schemas.openxmlformats.org/officeDocument/2006/relationships/header" Target="header1.xml"/><Relationship Id="rId10" Type="http://schemas.openxmlformats.org/officeDocument/2006/relationships/hyperlink" Target="https://www.nice.org.uk/about/who-we-are/our-principles" TargetMode="External"/><Relationship Id="rId19" Type="http://schemas.openxmlformats.org/officeDocument/2006/relationships/hyperlink" Target="https://www.nice.org.uk/process/pmg20/chapter/ensuring-that-published-guidelines-are-current-and-accurat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ice.org.uk/about/who-we-are/our-charter" TargetMode="External"/><Relationship Id="rId14" Type="http://schemas.openxmlformats.org/officeDocument/2006/relationships/hyperlink" Target="bookmark://_Criteria_and_triggers" TargetMode="External"/><Relationship Id="rId22" Type="http://schemas.openxmlformats.org/officeDocument/2006/relationships/hyperlink" Target="https://www.nice.org.uk/process/pmg20/chapter/introduction" TargetMode="External"/><Relationship Id="rId27" Type="http://schemas.openxmlformats.org/officeDocument/2006/relationships/hyperlink" Target="https://www.nice.org.uk/process/pmg36/chapter/involvement-and-participation"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6005</Words>
  <Characters>36614</Characters>
  <Application>Microsoft Office Word</Application>
  <DocSecurity>0</DocSecurity>
  <Lines>305</Lines>
  <Paragraphs>85</Paragraphs>
  <ScaleCrop>false</ScaleCrop>
  <Company/>
  <LinksUpToDate>false</LinksUpToDate>
  <CharactersWithSpaces>42534</CharactersWithSpaces>
  <SharedDoc>false</SharedDoc>
  <HLinks>
    <vt:vector size="24" baseType="variant">
      <vt:variant>
        <vt:i4>4784203</vt:i4>
      </vt:variant>
      <vt:variant>
        <vt:i4>9</vt:i4>
      </vt:variant>
      <vt:variant>
        <vt:i4>0</vt:i4>
      </vt:variant>
      <vt:variant>
        <vt:i4>5</vt:i4>
      </vt:variant>
      <vt:variant>
        <vt:lpwstr>https://niceuk-my.sharepoint.com/:w:/g/personal/sara_buckner_nice_org_uk/EcCZcmDwD21ClxSEcxAMAOYBPeGT-zvx8kv1h1i3rdp5RA?e=0QkvJO</vt:lpwstr>
      </vt:variant>
      <vt:variant>
        <vt:lpwstr/>
      </vt:variant>
      <vt:variant>
        <vt:i4>262221</vt:i4>
      </vt:variant>
      <vt:variant>
        <vt:i4>6</vt:i4>
      </vt:variant>
      <vt:variant>
        <vt:i4>0</vt:i4>
      </vt:variant>
      <vt:variant>
        <vt:i4>5</vt:i4>
      </vt:variant>
      <vt:variant>
        <vt:lpwstr>https://www.nice.org.uk/Media/Default/Get-involved/Meetings-In-Public/Public-board-meetings/march-23-pbm-proposed-approach-for-modular-updates-for-the-manual-for-technology-evaluation.docx</vt:lpwstr>
      </vt:variant>
      <vt:variant>
        <vt:lpwstr/>
      </vt:variant>
      <vt:variant>
        <vt:i4>8323176</vt:i4>
      </vt:variant>
      <vt:variant>
        <vt:i4>3</vt:i4>
      </vt:variant>
      <vt:variant>
        <vt:i4>0</vt:i4>
      </vt:variant>
      <vt:variant>
        <vt:i4>5</vt:i4>
      </vt:variant>
      <vt:variant>
        <vt:lpwstr>https://www.nice.org.uk/process/pmg36/chapter/introduction-to-health-technology-evaluation</vt:lpwstr>
      </vt:variant>
      <vt:variant>
        <vt:lpwstr/>
      </vt:variant>
      <vt:variant>
        <vt:i4>6946925</vt:i4>
      </vt:variant>
      <vt:variant>
        <vt:i4>0</vt:i4>
      </vt:variant>
      <vt:variant>
        <vt:i4>0</vt:i4>
      </vt:variant>
      <vt:variant>
        <vt:i4>5</vt:i4>
      </vt:variant>
      <vt:variant>
        <vt:lpwstr>https://www.nice.org.uk/about/who-we-are/corporate-publications/the-nice-strategy-2021-to-2026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2023-12-08T12:01:00Z</dcterms:created>
  <dcterms:modified xsi:type="dcterms:W3CDTF">2023-12-08T12:01:00Z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2023-12-08T12:01:42Z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ed92d0e2-a2be-4159-ba30-136e47441bdf</vt:lpwstr>
  </property>
  <property fmtid="{D5CDD505-2E9C-101B-9397-08002B2CF9AE}" pid="8" name="MSIP_Label_c69d85d5-6d9e-4305-a294-1f636ec0f2d6_ContentBits">
    <vt:lpwstr>0</vt:lpwstr>
  </property>
</Properties>
</file>