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45CFC" w14:textId="7CBD33EC" w:rsidR="00057044" w:rsidRDefault="00057044" w:rsidP="003D3B28">
      <w:pPr>
        <w:pStyle w:val="Title1"/>
      </w:pPr>
      <w:r w:rsidRPr="003D3B28">
        <w:t xml:space="preserve">Board </w:t>
      </w:r>
      <w:proofErr w:type="gramStart"/>
      <w:r w:rsidRPr="003D3B28">
        <w:t>meeting</w:t>
      </w:r>
      <w:proofErr w:type="gramEnd"/>
      <w:r w:rsidRPr="003D3B28">
        <w:t xml:space="preserve"> </w:t>
      </w:r>
    </w:p>
    <w:p w14:paraId="109FFCBA" w14:textId="121C6CFB" w:rsidR="004B4705" w:rsidRDefault="006F0EA9" w:rsidP="003D3B28">
      <w:pPr>
        <w:pStyle w:val="Title20"/>
      </w:pPr>
      <w:r>
        <w:t>17 July 2024</w:t>
      </w:r>
    </w:p>
    <w:p w14:paraId="2EC19EF1" w14:textId="77777777" w:rsidR="006F0EA9" w:rsidRPr="006F0EA9" w:rsidRDefault="006F0EA9" w:rsidP="006F0EA9">
      <w:pPr>
        <w:pStyle w:val="Title1"/>
        <w:rPr>
          <w:rStyle w:val="eop"/>
          <w:color w:val="000000"/>
          <w:szCs w:val="40"/>
          <w:shd w:val="clear" w:color="auto" w:fill="FFFFFF"/>
        </w:rPr>
      </w:pPr>
      <w:r w:rsidRPr="006F0EA9">
        <w:rPr>
          <w:rStyle w:val="normaltextrun"/>
          <w:color w:val="000000"/>
          <w:szCs w:val="40"/>
          <w:shd w:val="clear" w:color="auto" w:fill="FFFFFF"/>
        </w:rPr>
        <w:t>Working alongside People and Communities at NICE - A three-year strategy for involvement and engagement </w:t>
      </w:r>
      <w:r w:rsidRPr="006F0EA9">
        <w:rPr>
          <w:rStyle w:val="eop"/>
          <w:color w:val="000000"/>
          <w:szCs w:val="40"/>
          <w:shd w:val="clear" w:color="auto" w:fill="FFFFFF"/>
        </w:rPr>
        <w:t> </w:t>
      </w:r>
    </w:p>
    <w:p w14:paraId="2DCB1B15" w14:textId="5A55F5C0" w:rsidR="009B1D56" w:rsidRPr="003D3B28" w:rsidRDefault="009B1D56" w:rsidP="003D3B28">
      <w:pPr>
        <w:pStyle w:val="Heading1boardreport"/>
      </w:pPr>
      <w:r w:rsidRPr="003D3B28">
        <w:t>Purpose of paper</w:t>
      </w:r>
    </w:p>
    <w:p w14:paraId="63DAD044" w14:textId="23BD78FE" w:rsidR="009B1D56" w:rsidRPr="00BB1607" w:rsidRDefault="006F0EA9" w:rsidP="003830CE">
      <w:pPr>
        <w:pStyle w:val="NICEnormal"/>
      </w:pPr>
      <w:r w:rsidRPr="00BB1607">
        <w:t>For approval</w:t>
      </w:r>
    </w:p>
    <w:p w14:paraId="5C74A029" w14:textId="77777777" w:rsidR="009B1D56" w:rsidRPr="003D3B28" w:rsidRDefault="009B1D56" w:rsidP="00AD57E2">
      <w:pPr>
        <w:pStyle w:val="Heading1boardreport"/>
      </w:pPr>
      <w:r w:rsidRPr="003D3B28">
        <w:t xml:space="preserve">Board action </w:t>
      </w:r>
      <w:proofErr w:type="gramStart"/>
      <w:r w:rsidRPr="003D3B28">
        <w:t>required</w:t>
      </w:r>
      <w:proofErr w:type="gramEnd"/>
    </w:p>
    <w:p w14:paraId="681CC7E6" w14:textId="3A4D487F" w:rsidR="00016FBF" w:rsidRPr="00016FBF" w:rsidRDefault="00016FBF" w:rsidP="004D20C5">
      <w:pPr>
        <w:pStyle w:val="NICEnormal"/>
        <w:rPr>
          <w:b/>
          <w:bCs/>
        </w:rPr>
      </w:pPr>
      <w:bookmarkStart w:id="0" w:name="_Hlk170742575"/>
      <w:r w:rsidRPr="00016FBF">
        <w:t xml:space="preserve">The </w:t>
      </w:r>
      <w:r w:rsidR="00EE44A5">
        <w:t>B</w:t>
      </w:r>
      <w:r w:rsidRPr="00016FBF">
        <w:t>oard is asked to:</w:t>
      </w:r>
    </w:p>
    <w:p w14:paraId="0601C3C2" w14:textId="11C47F57" w:rsidR="00156187" w:rsidRPr="001D1C3E" w:rsidRDefault="00105B0A" w:rsidP="001D1C3E">
      <w:pPr>
        <w:pStyle w:val="NICEnormalnumbered"/>
      </w:pPr>
      <w:r w:rsidRPr="001D1C3E">
        <w:t>Consider</w:t>
      </w:r>
      <w:r w:rsidR="00016FBF" w:rsidRPr="001D1C3E">
        <w:t xml:space="preserve"> the themes arising from the public consultation on the draft strategy for involvement and engagement</w:t>
      </w:r>
      <w:r w:rsidR="00156187" w:rsidRPr="001D1C3E">
        <w:t>.</w:t>
      </w:r>
    </w:p>
    <w:p w14:paraId="0F7EC35C" w14:textId="36D75B4D" w:rsidR="00016FBF" w:rsidRPr="001D1C3E" w:rsidRDefault="00016FBF" w:rsidP="001D1C3E">
      <w:pPr>
        <w:pStyle w:val="NICEnormalnumbered"/>
      </w:pPr>
      <w:r w:rsidRPr="001D1C3E">
        <w:t xml:space="preserve">Approve </w:t>
      </w:r>
      <w:r w:rsidR="00156187" w:rsidRPr="001D1C3E">
        <w:t xml:space="preserve">a three-year strategy for involvement and engagement - Working alongside People and Communities at NICE and </w:t>
      </w:r>
      <w:r w:rsidR="002541BB" w:rsidRPr="001D1C3E">
        <w:t xml:space="preserve">the </w:t>
      </w:r>
      <w:r w:rsidR="00156187" w:rsidRPr="001D1C3E">
        <w:t>p</w:t>
      </w:r>
      <w:r w:rsidR="00105B0A" w:rsidRPr="001D1C3E">
        <w:t>roposed deliverables for 24/25.</w:t>
      </w:r>
    </w:p>
    <w:bookmarkEnd w:id="0"/>
    <w:p w14:paraId="56D088CF" w14:textId="0720C6FE" w:rsidR="009B1D56" w:rsidRDefault="009B1D56" w:rsidP="00016FBF">
      <w:pPr>
        <w:pStyle w:val="Heading1boardreport"/>
      </w:pPr>
      <w:proofErr w:type="gramStart"/>
      <w:r w:rsidRPr="003D3B28">
        <w:t>Brief summary</w:t>
      </w:r>
      <w:proofErr w:type="gramEnd"/>
    </w:p>
    <w:p w14:paraId="6F6B8804" w14:textId="658D3815" w:rsidR="00A660F4" w:rsidRDefault="006F0EA9" w:rsidP="006F0EA9">
      <w:pPr>
        <w:pStyle w:val="NICEnormal"/>
      </w:pPr>
      <w:r>
        <w:t>Working alongside People and Communities at NICE - A three-year strategy for involvement and engagement</w:t>
      </w:r>
      <w:r w:rsidR="00A660F4">
        <w:t xml:space="preserve"> sets out our collective ambitions for 2024-27. </w:t>
      </w:r>
      <w:r w:rsidR="001F1C63">
        <w:t>Our approach</w:t>
      </w:r>
      <w:r w:rsidR="00A660F4">
        <w:t xml:space="preserve"> includes:</w:t>
      </w:r>
    </w:p>
    <w:p w14:paraId="004BC40B" w14:textId="77777777" w:rsidR="003D0EFB" w:rsidRDefault="001F1C63" w:rsidP="00EE44A5">
      <w:pPr>
        <w:pStyle w:val="Bullets"/>
      </w:pPr>
      <w:r w:rsidRPr="001F1C63">
        <w:rPr>
          <w:b/>
          <w:bCs/>
        </w:rPr>
        <w:t xml:space="preserve">A single vision </w:t>
      </w:r>
      <w:r>
        <w:t>-</w:t>
      </w:r>
      <w:r w:rsidRPr="001F1C63">
        <w:t xml:space="preserve"> “To have a best-practice approach to involvement and engagement, to improve the impact of our guidance and ensure the best care for people and communities”.</w:t>
      </w:r>
      <w:r>
        <w:t xml:space="preserve"> </w:t>
      </w:r>
    </w:p>
    <w:p w14:paraId="754988D2" w14:textId="77777777" w:rsidR="003D0EFB" w:rsidRDefault="001F1C63" w:rsidP="00EE44A5">
      <w:pPr>
        <w:pStyle w:val="Bullets"/>
      </w:pPr>
      <w:r w:rsidRPr="001F1C63">
        <w:t xml:space="preserve">We will realise this vision by delivering against </w:t>
      </w:r>
      <w:r w:rsidRPr="001F1C63">
        <w:rPr>
          <w:b/>
          <w:bCs/>
        </w:rPr>
        <w:t>5 key areas of focus</w:t>
      </w:r>
      <w:r w:rsidRPr="001F1C63">
        <w:t xml:space="preserve">, each of which has </w:t>
      </w:r>
      <w:proofErr w:type="gramStart"/>
      <w:r w:rsidRPr="001F1C63">
        <w:t>a number of</w:t>
      </w:r>
      <w:proofErr w:type="gramEnd"/>
      <w:r w:rsidRPr="001F1C63">
        <w:t xml:space="preserve"> measurable aims to help us realise our vision over the next three years.</w:t>
      </w:r>
      <w:r>
        <w:t xml:space="preserve"> </w:t>
      </w:r>
    </w:p>
    <w:p w14:paraId="5B89F0EE" w14:textId="1C8C2AF0" w:rsidR="001F1C63" w:rsidRDefault="001F1C63" w:rsidP="00EE44A5">
      <w:pPr>
        <w:pStyle w:val="Bullets"/>
      </w:pPr>
      <w:r w:rsidRPr="001F1C63">
        <w:t xml:space="preserve">We will adopt </w:t>
      </w:r>
      <w:r w:rsidRPr="001F1C63">
        <w:rPr>
          <w:b/>
          <w:bCs/>
        </w:rPr>
        <w:t>12 guiding principles</w:t>
      </w:r>
      <w:r w:rsidRPr="001F1C63">
        <w:t xml:space="preserve"> that will underpin everything we do</w:t>
      </w:r>
      <w:r w:rsidR="00E23F20">
        <w:t>,</w:t>
      </w:r>
      <w:r w:rsidRPr="001F1C63">
        <w:t xml:space="preserve"> helping to foster and cultivate a positive culture of involvement and engagement across our work.</w:t>
      </w:r>
    </w:p>
    <w:p w14:paraId="42840C63" w14:textId="3861B629" w:rsidR="001F1C63" w:rsidRDefault="006F0EA9" w:rsidP="006F3085">
      <w:pPr>
        <w:pStyle w:val="NICEnormal"/>
        <w:spacing w:before="240" w:after="0"/>
      </w:pPr>
      <w:r>
        <w:lastRenderedPageBreak/>
        <w:t xml:space="preserve">The strategy aligns with NICE’s overarching strategic ambition and will inform annual business planning activities for </w:t>
      </w:r>
      <w:r w:rsidR="001F1C63">
        <w:t xml:space="preserve">involvement and engagement over </w:t>
      </w:r>
      <w:r>
        <w:t>the next 3 years.</w:t>
      </w:r>
      <w:r w:rsidR="001F1C63" w:rsidRPr="001F1C63">
        <w:t xml:space="preserve"> We will </w:t>
      </w:r>
      <w:r w:rsidR="001F1C63">
        <w:t xml:space="preserve">now </w:t>
      </w:r>
      <w:r w:rsidR="001F1C63" w:rsidRPr="001F1C63">
        <w:t xml:space="preserve">translate our strategy into specific annual deliverables, </w:t>
      </w:r>
      <w:proofErr w:type="gramStart"/>
      <w:r w:rsidR="001F1C63" w:rsidRPr="001F1C63">
        <w:t>targets</w:t>
      </w:r>
      <w:proofErr w:type="gramEnd"/>
      <w:r w:rsidR="001F1C63" w:rsidRPr="001F1C63">
        <w:t xml:space="preserve"> and activities to be taken forward, in partnership with the people, communities and partners we work alongside. Development and delivery of the strategy will be overseen by our involvement and engagement </w:t>
      </w:r>
      <w:r w:rsidR="006F3085">
        <w:t>oversight</w:t>
      </w:r>
      <w:r w:rsidR="001F1C63" w:rsidRPr="001F1C63">
        <w:t xml:space="preserve"> groups, to ensure we are on track and delivering our aims. </w:t>
      </w:r>
    </w:p>
    <w:p w14:paraId="7A13CB8B" w14:textId="3A02B524" w:rsidR="006F0EA9" w:rsidRDefault="006F0EA9" w:rsidP="006F3085">
      <w:pPr>
        <w:pStyle w:val="NICEnormal"/>
        <w:spacing w:before="240" w:after="0"/>
      </w:pPr>
      <w:r>
        <w:t xml:space="preserve">The strategy underwent public consultation in the Spring of 2024 </w:t>
      </w:r>
      <w:r w:rsidR="001F1C63">
        <w:t xml:space="preserve">to inform the version presented to </w:t>
      </w:r>
      <w:r w:rsidR="00EE44A5">
        <w:t xml:space="preserve">the </w:t>
      </w:r>
      <w:r w:rsidR="001F1C63">
        <w:t xml:space="preserve">Board for approval today. </w:t>
      </w:r>
    </w:p>
    <w:p w14:paraId="15B38B52" w14:textId="77777777" w:rsidR="009B1D56" w:rsidRPr="003D3B28" w:rsidRDefault="009B1D56" w:rsidP="003D3B28">
      <w:pPr>
        <w:pStyle w:val="Heading1boardreport"/>
      </w:pPr>
      <w:r w:rsidRPr="003D3B28">
        <w:t xml:space="preserve">Board </w:t>
      </w:r>
      <w:proofErr w:type="gramStart"/>
      <w:r w:rsidRPr="003D3B28">
        <w:t>sponsor</w:t>
      </w:r>
      <w:proofErr w:type="gramEnd"/>
    </w:p>
    <w:p w14:paraId="23F481E3" w14:textId="668DF250" w:rsidR="009B1D56" w:rsidRPr="006F0EA9" w:rsidRDefault="006F0EA9" w:rsidP="003830CE">
      <w:pPr>
        <w:pStyle w:val="NICEnormal"/>
      </w:pPr>
      <w:r w:rsidRPr="006F0EA9">
        <w:t>Clare Morgan, Director of Impact and Partnerships</w:t>
      </w:r>
    </w:p>
    <w:p w14:paraId="7627A4AC" w14:textId="77777777" w:rsidR="004B4705" w:rsidRPr="005F10EE" w:rsidRDefault="004B4705" w:rsidP="004511A7">
      <w:pPr>
        <w:pStyle w:val="NICEnormal"/>
      </w:pPr>
      <w:r w:rsidRPr="005F10EE">
        <w:br w:type="page"/>
      </w:r>
    </w:p>
    <w:p w14:paraId="7F5981A0" w14:textId="77777777" w:rsidR="003D0EFB" w:rsidRPr="006F0EA9" w:rsidRDefault="003D0EFB" w:rsidP="003D0EFB">
      <w:pPr>
        <w:pStyle w:val="Title1"/>
        <w:jc w:val="left"/>
        <w:rPr>
          <w:rStyle w:val="eop"/>
          <w:color w:val="000000"/>
          <w:szCs w:val="40"/>
          <w:shd w:val="clear" w:color="auto" w:fill="FFFFFF"/>
        </w:rPr>
      </w:pPr>
      <w:r w:rsidRPr="006F0EA9">
        <w:rPr>
          <w:rStyle w:val="normaltextrun"/>
          <w:color w:val="000000"/>
          <w:szCs w:val="40"/>
          <w:shd w:val="clear" w:color="auto" w:fill="FFFFFF"/>
        </w:rPr>
        <w:lastRenderedPageBreak/>
        <w:t>Working alongside People and Communities at NICE - A three-year strategy for involvement and engagement </w:t>
      </w:r>
      <w:r w:rsidRPr="006F0EA9">
        <w:rPr>
          <w:rStyle w:val="eop"/>
          <w:color w:val="000000"/>
          <w:szCs w:val="40"/>
          <w:shd w:val="clear" w:color="auto" w:fill="FFFFFF"/>
        </w:rPr>
        <w:t> </w:t>
      </w:r>
    </w:p>
    <w:p w14:paraId="69E55810" w14:textId="3E4CA95C" w:rsidR="004B4705" w:rsidRPr="00C30FD9" w:rsidRDefault="004B4705" w:rsidP="00AD57E2">
      <w:pPr>
        <w:pStyle w:val="Heading1boardreport"/>
      </w:pPr>
      <w:r w:rsidRPr="00AD57E2">
        <w:t>Introduction</w:t>
      </w:r>
      <w:r>
        <w:t xml:space="preserve"> </w:t>
      </w:r>
    </w:p>
    <w:p w14:paraId="277E7C6B" w14:textId="59404B1B" w:rsidR="0060533D" w:rsidRDefault="00E53E42" w:rsidP="00AD57E2">
      <w:pPr>
        <w:pStyle w:val="NICEnormalnumbered"/>
      </w:pPr>
      <w:r>
        <w:t xml:space="preserve">Involving and engaging people and communities in NICE’s work has been one of the key principles that NICE has held since its inception. </w:t>
      </w:r>
      <w:r w:rsidR="0060533D" w:rsidRPr="0060533D">
        <w:t>Working alongside People and Communities at NICE - A three-year strategy for involvement and engagement sets out our collective ambitions for 2024-27.</w:t>
      </w:r>
    </w:p>
    <w:p w14:paraId="222289F1" w14:textId="63A0B64C" w:rsidR="004B4705" w:rsidRPr="0060533D" w:rsidRDefault="004B4705" w:rsidP="00AD57E2">
      <w:pPr>
        <w:pStyle w:val="Heading1boardreport"/>
      </w:pPr>
      <w:r w:rsidRPr="0060533D">
        <w:t xml:space="preserve">Background </w:t>
      </w:r>
    </w:p>
    <w:p w14:paraId="2B071E2C" w14:textId="367E9EFD" w:rsidR="00036300" w:rsidRPr="00036300" w:rsidRDefault="00D1371E" w:rsidP="00AD57E2">
      <w:pPr>
        <w:pStyle w:val="NICEnormalnumbered"/>
      </w:pPr>
      <w:r>
        <w:t>Working alongside People and Communities at NICE - A three-year strategy for involvement and engagemen</w:t>
      </w:r>
      <w:r w:rsidR="0060533D">
        <w:t>t</w:t>
      </w:r>
      <w:r w:rsidR="00036300">
        <w:t xml:space="preserve"> </w:t>
      </w:r>
      <w:r w:rsidR="00036300" w:rsidRPr="00036300">
        <w:t>describes how we will improve the way we capture the collective wisdom and experiences of the people and communities we serve by 2027. Improving how we involve and engage people and communities within our work will ensure our guidance is relevant and impactful, which helps improve guidance uptake and ultimately provide the best care to people. </w:t>
      </w:r>
    </w:p>
    <w:p w14:paraId="4B1D46BD" w14:textId="76BE26BD" w:rsidR="00036300" w:rsidRDefault="00036300" w:rsidP="00AD57E2">
      <w:pPr>
        <w:pStyle w:val="NICEnormalnumbered"/>
      </w:pPr>
      <w:r w:rsidRPr="00036300">
        <w:t>This strategy is our roadmap for the next 3 years</w:t>
      </w:r>
      <w:r w:rsidR="0060533D">
        <w:t>,</w:t>
      </w:r>
      <w:r w:rsidRPr="00036300">
        <w:t xml:space="preserve"> to </w:t>
      </w:r>
      <w:r w:rsidR="0060533D">
        <w:t xml:space="preserve">grow </w:t>
      </w:r>
      <w:r w:rsidRPr="00036300">
        <w:t xml:space="preserve">a NICE-wide, innovative approach to involvement and engagement, where people and communities feel safe and empowered to work with us in partnership to </w:t>
      </w:r>
      <w:r w:rsidR="00E23F20">
        <w:t>deliver</w:t>
      </w:r>
      <w:r w:rsidR="006A0FCE">
        <w:t>,</w:t>
      </w:r>
      <w:r w:rsidR="0060533D">
        <w:t xml:space="preserve"> </w:t>
      </w:r>
      <w:r w:rsidRPr="00036300">
        <w:t xml:space="preserve">impact and influence our guidance. We will use the </w:t>
      </w:r>
      <w:r w:rsidR="0060533D">
        <w:t>approaches</w:t>
      </w:r>
      <w:r w:rsidRPr="00036300">
        <w:t xml:space="preserve"> outlined in this strategy to ensure that </w:t>
      </w:r>
      <w:r w:rsidR="0060533D">
        <w:t xml:space="preserve">we work alongside people and communities to involve and engage purposefully, pragmatically and with respect. </w:t>
      </w:r>
      <w:r w:rsidRPr="00036300">
        <w:t> </w:t>
      </w:r>
    </w:p>
    <w:p w14:paraId="7E70F61A" w14:textId="23D325A9" w:rsidR="00105B0A" w:rsidRPr="00080E0B" w:rsidRDefault="00105B0A" w:rsidP="00AD57E2">
      <w:pPr>
        <w:pStyle w:val="Heading1boardreport"/>
      </w:pPr>
      <w:r w:rsidRPr="00080E0B">
        <w:t xml:space="preserve">Summary of </w:t>
      </w:r>
      <w:r w:rsidR="00080E0B" w:rsidRPr="00080E0B">
        <w:t>the public co</w:t>
      </w:r>
      <w:r w:rsidRPr="00080E0B">
        <w:t xml:space="preserve">nsultation </w:t>
      </w:r>
      <w:r w:rsidR="00080E0B" w:rsidRPr="00080E0B">
        <w:t>&amp; feedback</w:t>
      </w:r>
    </w:p>
    <w:p w14:paraId="117CEE09" w14:textId="7F9C808D" w:rsidR="00ED5CBB" w:rsidRPr="00ED5CBB" w:rsidRDefault="00080E0B" w:rsidP="00AD57E2">
      <w:pPr>
        <w:pStyle w:val="NICEnormalnumbered"/>
      </w:pPr>
      <w:r>
        <w:t>The strategy has been developed iteratively over the past 1</w:t>
      </w:r>
      <w:r w:rsidR="00ED5CBB">
        <w:t>2</w:t>
      </w:r>
      <w:r>
        <w:t xml:space="preserve"> months and has been </w:t>
      </w:r>
      <w:r w:rsidR="00E23F20">
        <w:t>co-created</w:t>
      </w:r>
      <w:r>
        <w:t xml:space="preserve"> and validated with stakeholders and partners</w:t>
      </w:r>
      <w:r w:rsidR="0060533D">
        <w:t>,</w:t>
      </w:r>
      <w:r>
        <w:t xml:space="preserve"> both externally and internally within NICE.  </w:t>
      </w:r>
      <w:r w:rsidR="00ED5CBB" w:rsidRPr="00ED5CBB">
        <w:t xml:space="preserve">A public consultation on the proposed three-year strategy for involvement and engagement was held between 19 February and 27 March 2024. </w:t>
      </w:r>
    </w:p>
    <w:p w14:paraId="1F252015" w14:textId="1D1E4340" w:rsidR="00ED5CBB" w:rsidRPr="00C31008" w:rsidRDefault="00ED5CBB" w:rsidP="00AD57E2">
      <w:pPr>
        <w:pStyle w:val="NICEnormalnumbered"/>
      </w:pPr>
      <w:r w:rsidRPr="00C31008">
        <w:lastRenderedPageBreak/>
        <w:t>A series of internal and external stakeholder events and meetings were held during the consultation</w:t>
      </w:r>
      <w:r w:rsidR="00CF7CAA" w:rsidRPr="00C31008">
        <w:t xml:space="preserve"> period</w:t>
      </w:r>
      <w:r w:rsidRPr="00C31008">
        <w:t xml:space="preserve">, to </w:t>
      </w:r>
      <w:r w:rsidR="00CF7CAA" w:rsidRPr="00C31008">
        <w:t xml:space="preserve">gather feedback to </w:t>
      </w:r>
      <w:r w:rsidRPr="00C31008">
        <w:t xml:space="preserve">inform the </w:t>
      </w:r>
      <w:r w:rsidR="00CF7CAA" w:rsidRPr="00C31008">
        <w:t>final version of the s</w:t>
      </w:r>
      <w:r w:rsidRPr="00C31008">
        <w:t>trategy</w:t>
      </w:r>
      <w:r w:rsidR="00CF7CAA" w:rsidRPr="00C31008">
        <w:t xml:space="preserve">. </w:t>
      </w:r>
      <w:r w:rsidR="0060533D" w:rsidRPr="00C31008">
        <w:t>Consultation r</w:t>
      </w:r>
      <w:r w:rsidRPr="00C31008">
        <w:t>espondents were given the opportunity to provide detailed comments on all sections of the consultation document. 81 responses were received, 45 of which were provided on behalf of an organisation (including the Voluntary &amp; Community Sector, the life sciences industry</w:t>
      </w:r>
      <w:r w:rsidR="00CF7CAA" w:rsidRPr="00C31008">
        <w:t xml:space="preserve"> </w:t>
      </w:r>
      <w:r w:rsidRPr="00C31008">
        <w:t>and other arms length bodies) and 36 as individuals.</w:t>
      </w:r>
      <w:bookmarkStart w:id="1" w:name="TABLE1"/>
      <w:bookmarkEnd w:id="1"/>
    </w:p>
    <w:p w14:paraId="1F0540C0" w14:textId="5C2E8CE6" w:rsidR="00ED5CBB" w:rsidRPr="00C31008" w:rsidRDefault="00ED5CBB" w:rsidP="00AD57E2">
      <w:pPr>
        <w:pStyle w:val="NICEnormalnumbered"/>
      </w:pPr>
      <w:r w:rsidRPr="00C31008">
        <w:t xml:space="preserve">Overall, the strategy and proposed approach to involvement and engagement </w:t>
      </w:r>
      <w:r w:rsidR="00CF7CAA" w:rsidRPr="00C31008">
        <w:t xml:space="preserve">with people and communities </w:t>
      </w:r>
      <w:r w:rsidRPr="00C31008">
        <w:t xml:space="preserve">was </w:t>
      </w:r>
      <w:r w:rsidR="00CF7CAA" w:rsidRPr="00C31008">
        <w:t xml:space="preserve">warmly </w:t>
      </w:r>
      <w:r w:rsidRPr="00C31008">
        <w:t>welcomed</w:t>
      </w:r>
      <w:r w:rsidR="00CF7CAA" w:rsidRPr="00C31008">
        <w:t xml:space="preserve">. </w:t>
      </w:r>
      <w:r w:rsidRPr="00C31008">
        <w:t>Key themes that emerged from the consultation were:</w:t>
      </w:r>
    </w:p>
    <w:p w14:paraId="2791C6CA" w14:textId="30073A2F" w:rsidR="00ED5CBB" w:rsidRPr="00ED5CBB" w:rsidRDefault="00ED5CBB" w:rsidP="00AD57E2">
      <w:pPr>
        <w:pStyle w:val="Bullets"/>
      </w:pPr>
      <w:r w:rsidRPr="00ED5CBB">
        <w:t>Strong support for the vision, 5 core areas of focus, and our 12 principles</w:t>
      </w:r>
      <w:r w:rsidR="00093CBD" w:rsidRPr="00C31008">
        <w:t xml:space="preserve"> (</w:t>
      </w:r>
      <w:r w:rsidR="00A500B0" w:rsidRPr="00C31008">
        <w:t xml:space="preserve">on average </w:t>
      </w:r>
      <w:r w:rsidR="00A500B0">
        <w:t>88% a</w:t>
      </w:r>
      <w:r w:rsidR="00093CBD">
        <w:t>greed or strongly agreed</w:t>
      </w:r>
      <w:r w:rsidR="00A500B0">
        <w:t xml:space="preserve"> with the three domains</w:t>
      </w:r>
      <w:r w:rsidR="00093CBD">
        <w:t>)</w:t>
      </w:r>
      <w:r w:rsidR="00A500B0">
        <w:t xml:space="preserve">. </w:t>
      </w:r>
    </w:p>
    <w:p w14:paraId="49CEBE72" w14:textId="32BC209F" w:rsidR="000410FD" w:rsidRPr="00CF7CAA" w:rsidRDefault="0060533D" w:rsidP="00AD57E2">
      <w:pPr>
        <w:pStyle w:val="Bullets"/>
      </w:pPr>
      <w:r>
        <w:t>U</w:t>
      </w:r>
      <w:r w:rsidR="00A500B0" w:rsidRPr="000410FD">
        <w:t>ncertain</w:t>
      </w:r>
      <w:r>
        <w:t>ty</w:t>
      </w:r>
      <w:r w:rsidR="00A500B0" w:rsidRPr="000410FD">
        <w:t xml:space="preserve"> about the difference between ‘</w:t>
      </w:r>
      <w:r w:rsidR="003D0EFB">
        <w:t>i</w:t>
      </w:r>
      <w:r w:rsidR="00A500B0" w:rsidRPr="000410FD">
        <w:t>mpactful involvement and engagement’ and ‘</w:t>
      </w:r>
      <w:r w:rsidR="003D0EFB">
        <w:t>t</w:t>
      </w:r>
      <w:r w:rsidR="00A500B0" w:rsidRPr="000410FD">
        <w:t xml:space="preserve">ailored </w:t>
      </w:r>
      <w:proofErr w:type="gramStart"/>
      <w:r w:rsidR="00A500B0" w:rsidRPr="000410FD">
        <w:t>approaches’</w:t>
      </w:r>
      <w:proofErr w:type="gramEnd"/>
      <w:r>
        <w:t>.</w:t>
      </w:r>
    </w:p>
    <w:p w14:paraId="1E840056" w14:textId="793C710B" w:rsidR="00ED5CBB" w:rsidRDefault="0060533D" w:rsidP="00AD57E2">
      <w:pPr>
        <w:pStyle w:val="Bullets"/>
      </w:pPr>
      <w:r>
        <w:t>G</w:t>
      </w:r>
      <w:r w:rsidR="00A500B0">
        <w:t xml:space="preserve">reater clarity </w:t>
      </w:r>
      <w:r>
        <w:t xml:space="preserve">requested </w:t>
      </w:r>
      <w:r w:rsidR="00A500B0">
        <w:t xml:space="preserve">on </w:t>
      </w:r>
      <w:r w:rsidR="00ED5CBB" w:rsidRPr="00ED5CBB">
        <w:t>measur</w:t>
      </w:r>
      <w:r w:rsidR="002541BB">
        <w:t>ing</w:t>
      </w:r>
      <w:r w:rsidR="00ED5CBB" w:rsidRPr="00ED5CBB">
        <w:t xml:space="preserve"> success</w:t>
      </w:r>
      <w:r w:rsidR="000410FD">
        <w:t>.</w:t>
      </w:r>
      <w:r w:rsidR="00A500B0">
        <w:t xml:space="preserve"> </w:t>
      </w:r>
      <w:r w:rsidR="000410FD">
        <w:t xml:space="preserve">Although generally </w:t>
      </w:r>
      <w:r w:rsidR="000410FD" w:rsidRPr="000410FD">
        <w:t xml:space="preserve">supportive of the measures, </w:t>
      </w:r>
      <w:r w:rsidR="006F3085">
        <w:t>respondents</w:t>
      </w:r>
      <w:r>
        <w:t xml:space="preserve"> requested </w:t>
      </w:r>
      <w:r w:rsidR="000410FD">
        <w:t>use</w:t>
      </w:r>
      <w:r w:rsidR="000410FD" w:rsidRPr="000410FD">
        <w:t xml:space="preserve"> </w:t>
      </w:r>
      <w:r>
        <w:t xml:space="preserve">of </w:t>
      </w:r>
      <w:r w:rsidR="000410FD">
        <w:t xml:space="preserve">more </w:t>
      </w:r>
      <w:r w:rsidR="000410FD" w:rsidRPr="000410FD">
        <w:t>quantifiable metrics</w:t>
      </w:r>
      <w:r w:rsidR="000410FD">
        <w:t xml:space="preserve">, to specify </w:t>
      </w:r>
      <w:r w:rsidR="000410FD" w:rsidRPr="000410FD">
        <w:t>which data sources would be used to establish a baseline for measuring improvement against</w:t>
      </w:r>
      <w:r w:rsidR="000410FD">
        <w:t xml:space="preserve"> and to expand measures from just experience but also the impact of partnership working.</w:t>
      </w:r>
    </w:p>
    <w:p w14:paraId="40985A53" w14:textId="3BB171D7" w:rsidR="003D0EFB" w:rsidRPr="0060533D" w:rsidRDefault="006F3085" w:rsidP="00AD57E2">
      <w:pPr>
        <w:pStyle w:val="Bullets"/>
      </w:pPr>
      <w:r>
        <w:t>Inc</w:t>
      </w:r>
      <w:r w:rsidR="003D0EFB" w:rsidRPr="003D0EFB">
        <w:t>onsistency of terminology and alignment with national and international best practice</w:t>
      </w:r>
    </w:p>
    <w:p w14:paraId="2E71B2FB" w14:textId="2B184B04" w:rsidR="00CF7CAA" w:rsidRDefault="006F3085" w:rsidP="00AD57E2">
      <w:pPr>
        <w:pStyle w:val="Bullets"/>
      </w:pPr>
      <w:r>
        <w:t>C</w:t>
      </w:r>
      <w:r w:rsidR="000410FD" w:rsidRPr="000410FD">
        <w:t xml:space="preserve">larity and examples of what would change and be different </w:t>
      </w:r>
      <w:r w:rsidR="00C31008" w:rsidRPr="000410FD">
        <w:t>because of</w:t>
      </w:r>
      <w:r w:rsidR="000410FD" w:rsidRPr="000410FD">
        <w:t xml:space="preserve"> the strategy</w:t>
      </w:r>
      <w:r w:rsidR="000410FD">
        <w:t xml:space="preserve"> and how this will be communicated</w:t>
      </w:r>
      <w:r w:rsidR="0060533D">
        <w:t>.</w:t>
      </w:r>
      <w:r w:rsidR="000410FD">
        <w:t xml:space="preserve"> </w:t>
      </w:r>
    </w:p>
    <w:p w14:paraId="1FB49FFF" w14:textId="277C39A7" w:rsidR="0060533D" w:rsidRDefault="006F3085" w:rsidP="00BD74D1">
      <w:pPr>
        <w:pStyle w:val="Bulletslast"/>
      </w:pPr>
      <w:r w:rsidRPr="006F3085">
        <w:t>F</w:t>
      </w:r>
      <w:r w:rsidR="00CF7CAA" w:rsidRPr="006F3085">
        <w:t>urther detail on the strategic plan and associated deliverables</w:t>
      </w:r>
      <w:r w:rsidRPr="006F3085">
        <w:t xml:space="preserve">. </w:t>
      </w:r>
    </w:p>
    <w:p w14:paraId="0E461220" w14:textId="7D75CB3B" w:rsidR="00A500B0" w:rsidRDefault="0060533D" w:rsidP="00AD57E2">
      <w:pPr>
        <w:pStyle w:val="NICEnormalnumbered"/>
      </w:pPr>
      <w:r>
        <w:t>All comments were analysed and the above themes addressed in an updated version of ‘</w:t>
      </w:r>
      <w:r w:rsidRPr="0060533D">
        <w:t>Working alongside People and Communities at NICE - A three-year strategy for involvement and engagement</w:t>
      </w:r>
      <w:r w:rsidR="002541BB">
        <w:t>’ which</w:t>
      </w:r>
      <w:r w:rsidRPr="0060533D">
        <w:t xml:space="preserve"> sets out our collective ambitions for 2024-27</w:t>
      </w:r>
      <w:r>
        <w:t>’ . This accessible version is shared with the Board for approval.</w:t>
      </w:r>
      <w:r w:rsidR="006F3085">
        <w:t xml:space="preserve"> </w:t>
      </w:r>
    </w:p>
    <w:p w14:paraId="0960FB99" w14:textId="77777777" w:rsidR="00093CBD" w:rsidRPr="00036300" w:rsidRDefault="00093CBD" w:rsidP="00AD57E2">
      <w:pPr>
        <w:pStyle w:val="Heading1boardreport"/>
      </w:pPr>
      <w:bookmarkStart w:id="2" w:name="VPAG"/>
      <w:bookmarkEnd w:id="2"/>
      <w:r w:rsidRPr="00080E0B">
        <w:t>Delivering the strategy</w:t>
      </w:r>
    </w:p>
    <w:p w14:paraId="68A0C75D" w14:textId="07E85D3E" w:rsidR="00093CBD" w:rsidRDefault="00093CBD" w:rsidP="00AD57E2">
      <w:pPr>
        <w:pStyle w:val="NICEnormalnumbered"/>
      </w:pPr>
      <w:r w:rsidRPr="00036300">
        <w:t xml:space="preserve">Our strategy will define where we will focus annually, over the next </w:t>
      </w:r>
      <w:r w:rsidR="002541BB">
        <w:t>3</w:t>
      </w:r>
      <w:r w:rsidRPr="00036300">
        <w:t xml:space="preserve"> years and how we will work with partners, stakeholders and staff. This allows everyone who works with NICE to understand our approach and what they can expect when we </w:t>
      </w:r>
      <w:r w:rsidRPr="00036300">
        <w:lastRenderedPageBreak/>
        <w:t>work together.</w:t>
      </w:r>
      <w:r>
        <w:t xml:space="preserve"> A </w:t>
      </w:r>
      <w:r w:rsidR="002541BB">
        <w:t>consistent</w:t>
      </w:r>
      <w:r>
        <w:t xml:space="preserve"> consultation theme was </w:t>
      </w:r>
      <w:r w:rsidR="002541BB">
        <w:t xml:space="preserve">requesting </w:t>
      </w:r>
      <w:r w:rsidRPr="00093CBD">
        <w:t xml:space="preserve">further detail on the </w:t>
      </w:r>
      <w:r w:rsidR="002541BB">
        <w:t>3</w:t>
      </w:r>
      <w:r w:rsidR="006F3085">
        <w:t xml:space="preserve"> year </w:t>
      </w:r>
      <w:r w:rsidRPr="00093CBD">
        <w:t xml:space="preserve">strategic plan and associated </w:t>
      </w:r>
      <w:r w:rsidR="006F3085">
        <w:t xml:space="preserve">annual </w:t>
      </w:r>
      <w:r w:rsidRPr="00093CBD">
        <w:t>deliverables</w:t>
      </w:r>
      <w:r w:rsidR="006F3085">
        <w:t>.</w:t>
      </w:r>
    </w:p>
    <w:p w14:paraId="7B0D301F" w14:textId="77777777" w:rsidR="00093CBD" w:rsidRDefault="00093CBD" w:rsidP="00AD57E2">
      <w:pPr>
        <w:pStyle w:val="NICEnormalnumbered"/>
      </w:pPr>
      <w:r>
        <w:t>In year 1 (24/25) of implementing the strategy we will:</w:t>
      </w:r>
    </w:p>
    <w:p w14:paraId="35A5AC73" w14:textId="2EF05895" w:rsidR="00093CBD" w:rsidRPr="00156187" w:rsidRDefault="00093CBD" w:rsidP="00AD57E2">
      <w:pPr>
        <w:pStyle w:val="Bullets"/>
        <w:rPr>
          <w:noProof/>
        </w:rPr>
      </w:pPr>
      <w:r w:rsidRPr="00156187">
        <w:rPr>
          <w:noProof/>
        </w:rPr>
        <w:t xml:space="preserve">Test new approaches to involvement in guidance development, using quality improvement techniques across two cycles of change for three prioritised topic areas, including </w:t>
      </w:r>
      <w:r w:rsidR="00156187">
        <w:rPr>
          <w:noProof/>
        </w:rPr>
        <w:t xml:space="preserve">the guideline update - </w:t>
      </w:r>
      <w:r w:rsidR="00156187" w:rsidRPr="00156187">
        <w:rPr>
          <w:noProof/>
        </w:rPr>
        <w:t>Violence and Aggression: short-term management in mental health, health and community setting</w:t>
      </w:r>
      <w:r w:rsidR="00156187">
        <w:rPr>
          <w:noProof/>
        </w:rPr>
        <w:t>s.</w:t>
      </w:r>
    </w:p>
    <w:p w14:paraId="2FD57D03" w14:textId="24B4313C" w:rsidR="00093CBD" w:rsidRDefault="00093CBD" w:rsidP="00AD57E2">
      <w:pPr>
        <w:pStyle w:val="Bullets"/>
      </w:pPr>
      <w:r>
        <w:t>Publish and implement a non-staff payment policy which adequately and fairly recognises the contribution that people and communities make to NICE’s work</w:t>
      </w:r>
      <w:r w:rsidR="003C4F33">
        <w:t>.</w:t>
      </w:r>
    </w:p>
    <w:p w14:paraId="2C29AFA3" w14:textId="2FD18F22" w:rsidR="00093CBD" w:rsidRDefault="00093CBD" w:rsidP="00AD57E2">
      <w:pPr>
        <w:pStyle w:val="Bullets"/>
      </w:pPr>
      <w:r>
        <w:t>Create and roll-out a training programme to develop involvement and engagement leaders at NICE</w:t>
      </w:r>
      <w:r w:rsidR="003C4F33">
        <w:t>.</w:t>
      </w:r>
    </w:p>
    <w:p w14:paraId="5643C7FF" w14:textId="1A251829" w:rsidR="00093CBD" w:rsidRDefault="00093CBD" w:rsidP="00AD57E2">
      <w:pPr>
        <w:pStyle w:val="Bullets"/>
      </w:pPr>
      <w:r>
        <w:t>Reshape our strategic engagement approach- co-producing an effective model with the Voluntary Community Sector forum</w:t>
      </w:r>
      <w:r w:rsidR="00E23F20">
        <w:t xml:space="preserve">, </w:t>
      </w:r>
      <w:r w:rsidR="00AE2E1F">
        <w:t xml:space="preserve">the </w:t>
      </w:r>
      <w:r w:rsidR="00AE2E1F" w:rsidRPr="00AE2E1F">
        <w:t xml:space="preserve">public involvement programme expert </w:t>
      </w:r>
      <w:proofErr w:type="gramStart"/>
      <w:r w:rsidR="00AE2E1F" w:rsidRPr="00AE2E1F">
        <w:t>panel</w:t>
      </w:r>
      <w:proofErr w:type="gramEnd"/>
      <w:r w:rsidR="00E23F20">
        <w:t xml:space="preserve"> and the wider community.</w:t>
      </w:r>
    </w:p>
    <w:p w14:paraId="015C5BEE" w14:textId="11B2CF85" w:rsidR="00093CBD" w:rsidRDefault="00093CBD" w:rsidP="00AD57E2">
      <w:pPr>
        <w:pStyle w:val="Bullets"/>
        <w:rPr>
          <w:noProof/>
        </w:rPr>
      </w:pPr>
      <w:r>
        <w:rPr>
          <w:noProof/>
        </w:rPr>
        <w:t xml:space="preserve">Designate </w:t>
      </w:r>
      <w:r w:rsidRPr="00016FBF">
        <w:rPr>
          <w:noProof/>
        </w:rPr>
        <w:t xml:space="preserve">a </w:t>
      </w:r>
      <w:r>
        <w:rPr>
          <w:noProof/>
        </w:rPr>
        <w:t xml:space="preserve">NICE Board </w:t>
      </w:r>
      <w:r w:rsidRPr="00016FBF">
        <w:rPr>
          <w:noProof/>
        </w:rPr>
        <w:t>non-executive director to have a specific responsibility for people and communit</w:t>
      </w:r>
      <w:r w:rsidR="003D39B2">
        <w:rPr>
          <w:noProof/>
        </w:rPr>
        <w:t>ies</w:t>
      </w:r>
      <w:r w:rsidRPr="00016FBF">
        <w:rPr>
          <w:noProof/>
        </w:rPr>
        <w:t xml:space="preserve"> involvement and engagement</w:t>
      </w:r>
      <w:r>
        <w:rPr>
          <w:noProof/>
        </w:rPr>
        <w:t xml:space="preserve"> </w:t>
      </w:r>
      <w:r w:rsidRPr="00016FBF">
        <w:rPr>
          <w:noProof/>
        </w:rPr>
        <w:t xml:space="preserve"> and </w:t>
      </w:r>
      <w:r w:rsidR="00C46D1C">
        <w:rPr>
          <w:noProof/>
        </w:rPr>
        <w:t xml:space="preserve">also </w:t>
      </w:r>
      <w:r w:rsidR="003D39B2">
        <w:rPr>
          <w:noProof/>
        </w:rPr>
        <w:t xml:space="preserve">establish a </w:t>
      </w:r>
      <w:r w:rsidRPr="00016FBF">
        <w:rPr>
          <w:noProof/>
        </w:rPr>
        <w:t xml:space="preserve">People and Communities Involvement and Engagement </w:t>
      </w:r>
      <w:r w:rsidR="003D39B2">
        <w:rPr>
          <w:noProof/>
        </w:rPr>
        <w:t>Steering</w:t>
      </w:r>
      <w:r w:rsidRPr="00016FBF">
        <w:rPr>
          <w:noProof/>
        </w:rPr>
        <w:t xml:space="preserve"> </w:t>
      </w:r>
      <w:r w:rsidR="006F3085">
        <w:rPr>
          <w:noProof/>
        </w:rPr>
        <w:t>Group</w:t>
      </w:r>
      <w:r w:rsidR="003D39B2">
        <w:rPr>
          <w:noProof/>
        </w:rPr>
        <w:t xml:space="preserve">, </w:t>
      </w:r>
      <w:r w:rsidR="003D39B2" w:rsidRPr="003D39B2">
        <w:rPr>
          <w:noProof/>
        </w:rPr>
        <w:t>with membership from voluntary and community sector organisations and people with lived experience.</w:t>
      </w:r>
    </w:p>
    <w:p w14:paraId="4E8DED02" w14:textId="6C65D9F9" w:rsidR="00093CBD" w:rsidRDefault="00093CBD" w:rsidP="00A90CFE">
      <w:pPr>
        <w:pStyle w:val="Bulletslast"/>
      </w:pPr>
      <w:r>
        <w:t xml:space="preserve">Develop and finalise the </w:t>
      </w:r>
      <w:proofErr w:type="gramStart"/>
      <w:r w:rsidR="00E23F20">
        <w:t>three year</w:t>
      </w:r>
      <w:proofErr w:type="gramEnd"/>
      <w:r w:rsidR="00E23F20">
        <w:t xml:space="preserve"> </w:t>
      </w:r>
      <w:r>
        <w:t xml:space="preserve">strategic delivery plan, including deliverables, milestones and annual key performance indicators. </w:t>
      </w:r>
    </w:p>
    <w:p w14:paraId="35CA41AA" w14:textId="77777777" w:rsidR="00093CBD" w:rsidRDefault="00093CBD" w:rsidP="00AD57E2">
      <w:pPr>
        <w:pStyle w:val="NICEnormalnumbered"/>
      </w:pPr>
      <w:r>
        <w:t>The strategy aligns with NICE’s overarching strategic ambitions and will inform annual business planning activities for the next 3 years.</w:t>
      </w:r>
    </w:p>
    <w:p w14:paraId="38BACE8E" w14:textId="77777777" w:rsidR="00812053" w:rsidRDefault="00812053" w:rsidP="00AD57E2">
      <w:pPr>
        <w:pStyle w:val="Heading1boardreport"/>
      </w:pPr>
      <w:r>
        <w:t xml:space="preserve">Financial </w:t>
      </w:r>
      <w:r w:rsidRPr="00AD57E2">
        <w:t>implications</w:t>
      </w:r>
      <w:r>
        <w:t xml:space="preserve"> </w:t>
      </w:r>
    </w:p>
    <w:p w14:paraId="7192FB05" w14:textId="024BFFAE" w:rsidR="00812053" w:rsidRPr="008426DC" w:rsidRDefault="00812053" w:rsidP="00AD57E2">
      <w:pPr>
        <w:pStyle w:val="NICEnormalnumbered"/>
      </w:pPr>
      <w:r w:rsidRPr="008426DC">
        <w:t xml:space="preserve">The strategy proposes establishing a small number of partnerships to amplify the impact of NICE guidance and to fund a fair reimbursement policy. This has been included in associated budgets for 2024/25. </w:t>
      </w:r>
    </w:p>
    <w:p w14:paraId="2EB4DC10" w14:textId="77777777" w:rsidR="00812053" w:rsidRPr="008426DC" w:rsidRDefault="00812053" w:rsidP="00AD57E2">
      <w:pPr>
        <w:pStyle w:val="NICEnormalnumbered"/>
      </w:pPr>
      <w:r w:rsidRPr="008426DC">
        <w:t>There are no anticipated HR or associated legal implications.</w:t>
      </w:r>
    </w:p>
    <w:p w14:paraId="6B6B255B" w14:textId="77777777" w:rsidR="00812053" w:rsidRPr="008426DC" w:rsidRDefault="00812053" w:rsidP="00AD57E2">
      <w:pPr>
        <w:pStyle w:val="Heading1boardreport"/>
      </w:pPr>
      <w:r w:rsidRPr="008426DC">
        <w:lastRenderedPageBreak/>
        <w:t xml:space="preserve">Cross organisational impact </w:t>
      </w:r>
    </w:p>
    <w:p w14:paraId="38DBF3FB" w14:textId="2F25881F" w:rsidR="00812053" w:rsidRPr="008426DC" w:rsidRDefault="00812053" w:rsidP="00AD57E2">
      <w:pPr>
        <w:pStyle w:val="NICEnormalnumbered"/>
      </w:pPr>
      <w:r w:rsidRPr="008426DC">
        <w:t>Th</w:t>
      </w:r>
      <w:r w:rsidR="00E23F20" w:rsidRPr="008426DC">
        <w:t xml:space="preserve">is is </w:t>
      </w:r>
      <w:r w:rsidRPr="008426DC">
        <w:t>an involvement and engagement strategy for NICE and will require cross-organisation buy in and leadership to implement. Teams across NICE have been involved in the development of the strategy via focus groups, 1:1 meetings, team meetings and through consultation. We will take a managed test and learn approach to introducing new approaches into guidance development, in close partnership with the guidance producing functions. A core focus of the strategy relates to training and support for staff in embedding and leading a culture of curiosity for involvement and engagement, which will underpin implementation of the strategy.</w:t>
      </w:r>
    </w:p>
    <w:p w14:paraId="22007B7A" w14:textId="022D845F" w:rsidR="00812053" w:rsidRPr="00E23F20" w:rsidRDefault="00812053" w:rsidP="00AD57E2">
      <w:pPr>
        <w:pStyle w:val="Heading1boardreport"/>
      </w:pPr>
      <w:r w:rsidRPr="00E23F20">
        <w:t xml:space="preserve">Paper Authors </w:t>
      </w:r>
    </w:p>
    <w:p w14:paraId="6FAC071D" w14:textId="078DBCB5" w:rsidR="00812053" w:rsidRDefault="00812053" w:rsidP="00812053">
      <w:pPr>
        <w:pStyle w:val="NICEnormal"/>
      </w:pPr>
      <w:r>
        <w:t>Clare Morgan, Laura Norburn, Mark Rasburn, Lesley Goodburn</w:t>
      </w:r>
    </w:p>
    <w:p w14:paraId="3B6A9F04" w14:textId="77777777" w:rsidR="00AD57E2" w:rsidRDefault="00AD57E2" w:rsidP="00812053">
      <w:pPr>
        <w:pStyle w:val="NICEnormal"/>
      </w:pPr>
    </w:p>
    <w:p w14:paraId="4365DB99" w14:textId="28CC6D95" w:rsidR="004B4705" w:rsidRPr="00DB6F82" w:rsidRDefault="004B4705" w:rsidP="004B4705">
      <w:pPr>
        <w:pStyle w:val="NICEnormal"/>
      </w:pPr>
      <w:r w:rsidRPr="00DB6F82">
        <w:t xml:space="preserve">© NICE </w:t>
      </w:r>
      <w:r w:rsidR="00BB1607">
        <w:t>2024.</w:t>
      </w:r>
      <w:r w:rsidRPr="00DB6F82">
        <w:t xml:space="preserve"> All rights reserved. </w:t>
      </w:r>
      <w:hyperlink r:id="rId8" w:anchor="notice-of-rights" w:history="1">
        <w:r w:rsidRPr="00DB6F82">
          <w:rPr>
            <w:rStyle w:val="Hyperlink"/>
          </w:rPr>
          <w:t>Subject to Notice of rights</w:t>
        </w:r>
      </w:hyperlink>
      <w:r w:rsidRPr="00DB6F82">
        <w:t>.</w:t>
      </w:r>
    </w:p>
    <w:p w14:paraId="35A65094" w14:textId="10722C98" w:rsidR="004B4705" w:rsidRDefault="00BB1607" w:rsidP="004511A7">
      <w:pPr>
        <w:pStyle w:val="NICEnormal"/>
      </w:pPr>
      <w:r>
        <w:t>July 2024</w:t>
      </w:r>
    </w:p>
    <w:sectPr w:rsidR="004B4705" w:rsidSect="00B046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FD040" w14:textId="77777777" w:rsidR="009F2BD4" w:rsidRDefault="009F2BD4">
      <w:r>
        <w:separator/>
      </w:r>
    </w:p>
  </w:endnote>
  <w:endnote w:type="continuationSeparator" w:id="0">
    <w:p w14:paraId="41CB8422" w14:textId="77777777" w:rsidR="009F2BD4" w:rsidRDefault="009F2BD4">
      <w:r>
        <w:continuationSeparator/>
      </w:r>
    </w:p>
  </w:endnote>
  <w:endnote w:type="continuationNotice" w:id="1">
    <w:p w14:paraId="0061D05D" w14:textId="77777777" w:rsidR="009F2BD4" w:rsidRDefault="009F2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46E9D" w14:textId="1557E8E0" w:rsidR="00812053" w:rsidRPr="00843A61" w:rsidRDefault="00812053" w:rsidP="00A70E2A">
    <w:pPr>
      <w:pStyle w:val="Footer"/>
      <w:tabs>
        <w:tab w:val="right" w:pos="8931"/>
        <w:tab w:val="right" w:pos="13892"/>
      </w:tabs>
      <w:rPr>
        <w:szCs w:val="16"/>
      </w:rPr>
    </w:pPr>
    <w:r w:rsidRPr="00843A61">
      <w:rPr>
        <w:szCs w:val="16"/>
      </w:rPr>
      <w:t xml:space="preserve">Working alongside People and Communities at NICE </w:t>
    </w:r>
    <w:r w:rsidRPr="00843A61">
      <w:rPr>
        <w:szCs w:val="16"/>
      </w:rPr>
      <w:tab/>
    </w:r>
    <w:r w:rsidR="00A70E2A">
      <w:rPr>
        <w:szCs w:val="16"/>
      </w:rPr>
      <w:tab/>
    </w:r>
    <w:r w:rsidR="00A70E2A" w:rsidRPr="00843A61">
      <w:rPr>
        <w:szCs w:val="16"/>
      </w:rPr>
      <w:t xml:space="preserve">Page </w:t>
    </w:r>
    <w:r w:rsidR="00A70E2A" w:rsidRPr="00843A61">
      <w:rPr>
        <w:szCs w:val="16"/>
      </w:rPr>
      <w:fldChar w:fldCharType="begin"/>
    </w:r>
    <w:r w:rsidR="00A70E2A" w:rsidRPr="00843A61">
      <w:rPr>
        <w:szCs w:val="16"/>
      </w:rPr>
      <w:instrText xml:space="preserve"> PAGE  \* Arabic  \* MERGEFORMAT </w:instrText>
    </w:r>
    <w:r w:rsidR="00A70E2A" w:rsidRPr="00843A61">
      <w:rPr>
        <w:szCs w:val="16"/>
      </w:rPr>
      <w:fldChar w:fldCharType="separate"/>
    </w:r>
    <w:r w:rsidR="00A70E2A">
      <w:rPr>
        <w:szCs w:val="16"/>
      </w:rPr>
      <w:t>1</w:t>
    </w:r>
    <w:r w:rsidR="00A70E2A" w:rsidRPr="00843A61">
      <w:rPr>
        <w:szCs w:val="16"/>
      </w:rPr>
      <w:fldChar w:fldCharType="end"/>
    </w:r>
    <w:r w:rsidR="00A70E2A" w:rsidRPr="00843A61">
      <w:rPr>
        <w:szCs w:val="16"/>
      </w:rPr>
      <w:t xml:space="preserve"> of </w:t>
    </w:r>
    <w:r w:rsidR="00A70E2A" w:rsidRPr="00843A61">
      <w:rPr>
        <w:szCs w:val="16"/>
      </w:rPr>
      <w:fldChar w:fldCharType="begin"/>
    </w:r>
    <w:r w:rsidR="00A70E2A" w:rsidRPr="00843A61">
      <w:rPr>
        <w:szCs w:val="16"/>
      </w:rPr>
      <w:instrText xml:space="preserve"> NUMPAGES  \* Arabic  \* MERGEFORMAT </w:instrText>
    </w:r>
    <w:r w:rsidR="00A70E2A" w:rsidRPr="00843A61">
      <w:rPr>
        <w:szCs w:val="16"/>
      </w:rPr>
      <w:fldChar w:fldCharType="separate"/>
    </w:r>
    <w:r w:rsidR="00A70E2A">
      <w:rPr>
        <w:szCs w:val="16"/>
      </w:rPr>
      <w:t>6</w:t>
    </w:r>
    <w:r w:rsidR="00A70E2A" w:rsidRPr="00843A61">
      <w:rPr>
        <w:szCs w:val="16"/>
      </w:rPr>
      <w:fldChar w:fldCharType="end"/>
    </w:r>
  </w:p>
  <w:p w14:paraId="48B52C3F" w14:textId="69FED900" w:rsidR="00A70E2A" w:rsidRDefault="00A70E2A" w:rsidP="004B4705">
    <w:pPr>
      <w:pStyle w:val="Footer"/>
      <w:rPr>
        <w:szCs w:val="16"/>
      </w:rPr>
    </w:pPr>
    <w:r>
      <w:rPr>
        <w:szCs w:val="16"/>
      </w:rPr>
      <w:t>Public Board meeting</w:t>
    </w:r>
  </w:p>
  <w:p w14:paraId="0584711A" w14:textId="1B6D3C76" w:rsidR="00812053" w:rsidRPr="002A231B" w:rsidRDefault="00812053" w:rsidP="004B4705">
    <w:pPr>
      <w:pStyle w:val="Footer"/>
      <w:rPr>
        <w:szCs w:val="16"/>
      </w:rPr>
    </w:pPr>
    <w:r w:rsidRPr="00843A61">
      <w:rPr>
        <w:szCs w:val="16"/>
      </w:rPr>
      <w:t xml:space="preserve">17 July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702EB" w14:textId="77777777" w:rsidR="009F2BD4" w:rsidRDefault="009F2BD4">
      <w:r>
        <w:separator/>
      </w:r>
    </w:p>
  </w:footnote>
  <w:footnote w:type="continuationSeparator" w:id="0">
    <w:p w14:paraId="45A78F58" w14:textId="77777777" w:rsidR="009F2BD4" w:rsidRDefault="009F2BD4">
      <w:r>
        <w:continuationSeparator/>
      </w:r>
    </w:p>
  </w:footnote>
  <w:footnote w:type="continuationNotice" w:id="1">
    <w:p w14:paraId="6991C66B" w14:textId="77777777" w:rsidR="009F2BD4" w:rsidRDefault="009F2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25F54" w14:textId="3D29733D" w:rsidR="00812053" w:rsidRPr="006E0F0C" w:rsidRDefault="00812053" w:rsidP="006E0F0C">
    <w:pPr>
      <w:pStyle w:val="Header"/>
      <w:ind w:left="0"/>
    </w:pPr>
    <w:r>
      <w:rPr>
        <w:noProof/>
      </w:rPr>
      <w:drawing>
        <wp:inline distT="0" distB="0" distL="0" distR="0" wp14:anchorId="5444E87B" wp14:editId="729794F1">
          <wp:extent cx="2352675" cy="257175"/>
          <wp:effectExtent l="0" t="0" r="9525" b="9525"/>
          <wp:docPr id="979934191" name="Picture 979934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A70E2A">
      <w:t xml:space="preserve">Item </w:t>
    </w:r>
    <w:r w:rsidR="00A70E2A" w:rsidRPr="00A70E2A">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DD7172B"/>
    <w:multiLevelType w:val="hybridMultilevel"/>
    <w:tmpl w:val="A678F6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15797"/>
    <w:multiLevelType w:val="hybridMultilevel"/>
    <w:tmpl w:val="C3983226"/>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40823C8"/>
    <w:multiLevelType w:val="multilevel"/>
    <w:tmpl w:val="5BE6194C"/>
    <w:lvl w:ilvl="0">
      <w:start w:val="1"/>
      <w:numFmt w:val="bullet"/>
      <w:lvlText w:val=""/>
      <w:lvlJc w:val="left"/>
      <w:pPr>
        <w:tabs>
          <w:tab w:val="num" w:pos="1494"/>
        </w:tabs>
        <w:ind w:left="1494" w:hanging="1134"/>
      </w:pPr>
      <w:rPr>
        <w:rFonts w:ascii="Symbol" w:hAnsi="Symbol" w:hint="default"/>
      </w:rPr>
    </w:lvl>
    <w:lvl w:ilvl="1">
      <w:start w:val="1"/>
      <w:numFmt w:val="decimal"/>
      <w:lvlText w:val="%1.%2"/>
      <w:lvlJc w:val="left"/>
      <w:pPr>
        <w:tabs>
          <w:tab w:val="num" w:pos="1494"/>
        </w:tabs>
        <w:ind w:left="1494" w:hanging="1134"/>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1494"/>
        </w:tabs>
        <w:ind w:left="1494" w:hanging="1134"/>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760"/>
        </w:tabs>
        <w:ind w:left="3096" w:hanging="936"/>
      </w:pPr>
      <w:rPr>
        <w:rFonts w:hint="default"/>
      </w:rPr>
    </w:lvl>
    <w:lvl w:ilvl="6">
      <w:start w:val="1"/>
      <w:numFmt w:val="decimal"/>
      <w:lvlText w:val="%1.%2.%3.%4.%5.%6.%7."/>
      <w:lvlJc w:val="left"/>
      <w:pPr>
        <w:tabs>
          <w:tab w:val="num" w:pos="6840"/>
        </w:tabs>
        <w:ind w:left="3600" w:hanging="1080"/>
      </w:pPr>
      <w:rPr>
        <w:rFonts w:hint="default"/>
      </w:rPr>
    </w:lvl>
    <w:lvl w:ilvl="7">
      <w:start w:val="1"/>
      <w:numFmt w:val="decimal"/>
      <w:lvlText w:val="%1.%2.%3.%4.%5.%6.%7.%8."/>
      <w:lvlJc w:val="left"/>
      <w:pPr>
        <w:tabs>
          <w:tab w:val="num" w:pos="7560"/>
        </w:tabs>
        <w:ind w:left="4104" w:hanging="1224"/>
      </w:pPr>
      <w:rPr>
        <w:rFonts w:hint="default"/>
      </w:rPr>
    </w:lvl>
    <w:lvl w:ilvl="8">
      <w:start w:val="1"/>
      <w:numFmt w:val="decimal"/>
      <w:lvlText w:val="%1.%2.%3.%4.%5.%6.%7.%8.%9."/>
      <w:lvlJc w:val="left"/>
      <w:pPr>
        <w:tabs>
          <w:tab w:val="num" w:pos="8640"/>
        </w:tabs>
        <w:ind w:left="4680" w:hanging="1440"/>
      </w:pPr>
      <w:rPr>
        <w:rFont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2042"/>
        </w:tabs>
        <w:ind w:left="2042" w:hanging="1134"/>
      </w:pPr>
      <w:rPr>
        <w:rFonts w:hint="default"/>
      </w:rPr>
    </w:lvl>
    <w:lvl w:ilvl="1">
      <w:start w:val="1"/>
      <w:numFmt w:val="decimal"/>
      <w:pStyle w:val="Numberedheading2"/>
      <w:lvlText w:val="%1.%2"/>
      <w:lvlJc w:val="left"/>
      <w:pPr>
        <w:tabs>
          <w:tab w:val="num" w:pos="2042"/>
        </w:tabs>
        <w:ind w:left="2042" w:hanging="1134"/>
      </w:pPr>
      <w:rPr>
        <w:rFonts w:hint="default"/>
      </w:rPr>
    </w:lvl>
    <w:lvl w:ilvl="2">
      <w:start w:val="1"/>
      <w:numFmt w:val="decimal"/>
      <w:pStyle w:val="Numberedheading3"/>
      <w:lvlText w:val="%1.%2.%3"/>
      <w:lvlJc w:val="left"/>
      <w:pPr>
        <w:tabs>
          <w:tab w:val="num" w:pos="2042"/>
        </w:tabs>
        <w:ind w:left="2042" w:hanging="1134"/>
      </w:pPr>
      <w:rPr>
        <w:rFonts w:hint="default"/>
      </w:rPr>
    </w:lvl>
    <w:lvl w:ilvl="3">
      <w:start w:val="1"/>
      <w:numFmt w:val="decimal"/>
      <w:pStyle w:val="Numberedlevel4text"/>
      <w:lvlText w:val="%1.%2.%3.%4"/>
      <w:lvlJc w:val="left"/>
      <w:pPr>
        <w:tabs>
          <w:tab w:val="num" w:pos="2042"/>
        </w:tabs>
        <w:ind w:left="2042" w:hanging="1134"/>
      </w:pPr>
      <w:rPr>
        <w:rFonts w:hint="default"/>
      </w:rPr>
    </w:lvl>
    <w:lvl w:ilvl="4">
      <w:start w:val="1"/>
      <w:numFmt w:val="decimal"/>
      <w:lvlText w:val="%1.%2.%3.%4.%5."/>
      <w:lvlJc w:val="left"/>
      <w:pPr>
        <w:tabs>
          <w:tab w:val="num" w:pos="5228"/>
        </w:tabs>
        <w:ind w:left="3140" w:hanging="792"/>
      </w:pPr>
      <w:rPr>
        <w:rFonts w:hint="default"/>
      </w:rPr>
    </w:lvl>
    <w:lvl w:ilvl="5">
      <w:start w:val="1"/>
      <w:numFmt w:val="decimal"/>
      <w:lvlText w:val="%1.%2.%3.%4.%5.%6."/>
      <w:lvlJc w:val="left"/>
      <w:pPr>
        <w:tabs>
          <w:tab w:val="num" w:pos="6308"/>
        </w:tabs>
        <w:ind w:left="3644" w:hanging="936"/>
      </w:pPr>
      <w:rPr>
        <w:rFonts w:hint="default"/>
      </w:rPr>
    </w:lvl>
    <w:lvl w:ilvl="6">
      <w:start w:val="1"/>
      <w:numFmt w:val="decimal"/>
      <w:lvlText w:val="%1.%2.%3.%4.%5.%6.%7."/>
      <w:lvlJc w:val="left"/>
      <w:pPr>
        <w:tabs>
          <w:tab w:val="num" w:pos="7388"/>
        </w:tabs>
        <w:ind w:left="4148" w:hanging="1080"/>
      </w:pPr>
      <w:rPr>
        <w:rFonts w:hint="default"/>
      </w:rPr>
    </w:lvl>
    <w:lvl w:ilvl="7">
      <w:start w:val="1"/>
      <w:numFmt w:val="decimal"/>
      <w:lvlText w:val="%1.%2.%3.%4.%5.%6.%7.%8."/>
      <w:lvlJc w:val="left"/>
      <w:pPr>
        <w:tabs>
          <w:tab w:val="num" w:pos="8108"/>
        </w:tabs>
        <w:ind w:left="4652" w:hanging="1224"/>
      </w:pPr>
      <w:rPr>
        <w:rFonts w:hint="default"/>
      </w:rPr>
    </w:lvl>
    <w:lvl w:ilvl="8">
      <w:start w:val="1"/>
      <w:numFmt w:val="decimal"/>
      <w:lvlText w:val="%1.%2.%3.%4.%5.%6.%7.%8.%9."/>
      <w:lvlJc w:val="left"/>
      <w:pPr>
        <w:tabs>
          <w:tab w:val="num" w:pos="9188"/>
        </w:tabs>
        <w:ind w:left="5228"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381CCD"/>
    <w:multiLevelType w:val="multilevel"/>
    <w:tmpl w:val="5BE6194C"/>
    <w:lvl w:ilvl="0">
      <w:start w:val="1"/>
      <w:numFmt w:val="bullet"/>
      <w:lvlText w:val=""/>
      <w:lvlJc w:val="left"/>
      <w:pPr>
        <w:tabs>
          <w:tab w:val="num" w:pos="1494"/>
        </w:tabs>
        <w:ind w:left="1494" w:hanging="1134"/>
      </w:pPr>
      <w:rPr>
        <w:rFonts w:ascii="Symbol" w:hAnsi="Symbol" w:hint="default"/>
      </w:rPr>
    </w:lvl>
    <w:lvl w:ilvl="1">
      <w:start w:val="1"/>
      <w:numFmt w:val="decimal"/>
      <w:lvlText w:val="%1.%2"/>
      <w:lvlJc w:val="left"/>
      <w:pPr>
        <w:tabs>
          <w:tab w:val="num" w:pos="1494"/>
        </w:tabs>
        <w:ind w:left="1494" w:hanging="1134"/>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1494"/>
        </w:tabs>
        <w:ind w:left="1494" w:hanging="1134"/>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760"/>
        </w:tabs>
        <w:ind w:left="3096" w:hanging="936"/>
      </w:pPr>
      <w:rPr>
        <w:rFonts w:hint="default"/>
      </w:rPr>
    </w:lvl>
    <w:lvl w:ilvl="6">
      <w:start w:val="1"/>
      <w:numFmt w:val="decimal"/>
      <w:lvlText w:val="%1.%2.%3.%4.%5.%6.%7."/>
      <w:lvlJc w:val="left"/>
      <w:pPr>
        <w:tabs>
          <w:tab w:val="num" w:pos="6840"/>
        </w:tabs>
        <w:ind w:left="3600" w:hanging="1080"/>
      </w:pPr>
      <w:rPr>
        <w:rFonts w:hint="default"/>
      </w:rPr>
    </w:lvl>
    <w:lvl w:ilvl="7">
      <w:start w:val="1"/>
      <w:numFmt w:val="decimal"/>
      <w:lvlText w:val="%1.%2.%3.%4.%5.%6.%7.%8."/>
      <w:lvlJc w:val="left"/>
      <w:pPr>
        <w:tabs>
          <w:tab w:val="num" w:pos="7560"/>
        </w:tabs>
        <w:ind w:left="4104" w:hanging="1224"/>
      </w:pPr>
      <w:rPr>
        <w:rFonts w:hint="default"/>
      </w:rPr>
    </w:lvl>
    <w:lvl w:ilvl="8">
      <w:start w:val="1"/>
      <w:numFmt w:val="decimal"/>
      <w:lvlText w:val="%1.%2.%3.%4.%5.%6.%7.%8.%9."/>
      <w:lvlJc w:val="left"/>
      <w:pPr>
        <w:tabs>
          <w:tab w:val="num" w:pos="8640"/>
        </w:tabs>
        <w:ind w:left="4680" w:hanging="1440"/>
      </w:pPr>
      <w:rPr>
        <w:rFonts w:hint="default"/>
      </w:r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DF6196"/>
    <w:multiLevelType w:val="multilevel"/>
    <w:tmpl w:val="5BE6194C"/>
    <w:lvl w:ilvl="0">
      <w:start w:val="1"/>
      <w:numFmt w:val="bullet"/>
      <w:lvlText w:val=""/>
      <w:lvlJc w:val="left"/>
      <w:pPr>
        <w:tabs>
          <w:tab w:val="num" w:pos="1494"/>
        </w:tabs>
        <w:ind w:left="1494" w:hanging="1134"/>
      </w:pPr>
      <w:rPr>
        <w:rFonts w:ascii="Symbol" w:hAnsi="Symbol" w:hint="default"/>
      </w:rPr>
    </w:lvl>
    <w:lvl w:ilvl="1">
      <w:start w:val="1"/>
      <w:numFmt w:val="decimal"/>
      <w:lvlText w:val="%1.%2"/>
      <w:lvlJc w:val="left"/>
      <w:pPr>
        <w:tabs>
          <w:tab w:val="num" w:pos="1494"/>
        </w:tabs>
        <w:ind w:left="1494" w:hanging="1134"/>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1494"/>
        </w:tabs>
        <w:ind w:left="1494" w:hanging="1134"/>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760"/>
        </w:tabs>
        <w:ind w:left="3096" w:hanging="936"/>
      </w:pPr>
      <w:rPr>
        <w:rFonts w:hint="default"/>
      </w:rPr>
    </w:lvl>
    <w:lvl w:ilvl="6">
      <w:start w:val="1"/>
      <w:numFmt w:val="decimal"/>
      <w:lvlText w:val="%1.%2.%3.%4.%5.%6.%7."/>
      <w:lvlJc w:val="left"/>
      <w:pPr>
        <w:tabs>
          <w:tab w:val="num" w:pos="6840"/>
        </w:tabs>
        <w:ind w:left="3600" w:hanging="1080"/>
      </w:pPr>
      <w:rPr>
        <w:rFonts w:hint="default"/>
      </w:rPr>
    </w:lvl>
    <w:lvl w:ilvl="7">
      <w:start w:val="1"/>
      <w:numFmt w:val="decimal"/>
      <w:lvlText w:val="%1.%2.%3.%4.%5.%6.%7.%8."/>
      <w:lvlJc w:val="left"/>
      <w:pPr>
        <w:tabs>
          <w:tab w:val="num" w:pos="7560"/>
        </w:tabs>
        <w:ind w:left="4104" w:hanging="1224"/>
      </w:pPr>
      <w:rPr>
        <w:rFonts w:hint="default"/>
      </w:rPr>
    </w:lvl>
    <w:lvl w:ilvl="8">
      <w:start w:val="1"/>
      <w:numFmt w:val="decimal"/>
      <w:lvlText w:val="%1.%2.%3.%4.%5.%6.%7.%8.%9."/>
      <w:lvlJc w:val="left"/>
      <w:pPr>
        <w:tabs>
          <w:tab w:val="num" w:pos="8640"/>
        </w:tabs>
        <w:ind w:left="4680" w:hanging="1440"/>
      </w:pPr>
      <w:rPr>
        <w:rFonts w:hint="default"/>
      </w:r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2CE0847"/>
    <w:multiLevelType w:val="hybridMultilevel"/>
    <w:tmpl w:val="B20606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8400FD8"/>
    <w:multiLevelType w:val="multilevel"/>
    <w:tmpl w:val="5BE6194C"/>
    <w:lvl w:ilvl="0">
      <w:start w:val="1"/>
      <w:numFmt w:val="bullet"/>
      <w:lvlText w:val=""/>
      <w:lvlJc w:val="left"/>
      <w:pPr>
        <w:tabs>
          <w:tab w:val="num" w:pos="1134"/>
        </w:tabs>
        <w:ind w:left="1134" w:hanging="1134"/>
      </w:pPr>
      <w:rPr>
        <w:rFonts w:ascii="Symbol" w:hAnsi="Symbol"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EA259E4"/>
    <w:multiLevelType w:val="hybridMultilevel"/>
    <w:tmpl w:val="A678F6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E41951"/>
    <w:multiLevelType w:val="multilevel"/>
    <w:tmpl w:val="5BE6194C"/>
    <w:lvl w:ilvl="0">
      <w:start w:val="1"/>
      <w:numFmt w:val="bullet"/>
      <w:lvlText w:val=""/>
      <w:lvlJc w:val="left"/>
      <w:pPr>
        <w:tabs>
          <w:tab w:val="num" w:pos="1134"/>
        </w:tabs>
        <w:ind w:left="1134" w:hanging="1134"/>
      </w:pPr>
      <w:rPr>
        <w:rFonts w:ascii="Symbol" w:hAnsi="Symbol"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32"/>
  </w:num>
  <w:num w:numId="3" w16cid:durableId="2116749296">
    <w:abstractNumId w:val="20"/>
  </w:num>
  <w:num w:numId="4" w16cid:durableId="611715962">
    <w:abstractNumId w:val="21"/>
  </w:num>
  <w:num w:numId="5" w16cid:durableId="377554922">
    <w:abstractNumId w:val="6"/>
  </w:num>
  <w:num w:numId="6" w16cid:durableId="1967815002">
    <w:abstractNumId w:val="9"/>
  </w:num>
  <w:num w:numId="7" w16cid:durableId="1478373446">
    <w:abstractNumId w:val="14"/>
  </w:num>
  <w:num w:numId="8" w16cid:durableId="1216622483">
    <w:abstractNumId w:val="18"/>
  </w:num>
  <w:num w:numId="9" w16cid:durableId="1028289363">
    <w:abstractNumId w:val="25"/>
  </w:num>
  <w:num w:numId="10" w16cid:durableId="1748379919">
    <w:abstractNumId w:val="8"/>
  </w:num>
  <w:num w:numId="11" w16cid:durableId="1008825018">
    <w:abstractNumId w:val="29"/>
  </w:num>
  <w:num w:numId="12" w16cid:durableId="128134450">
    <w:abstractNumId w:val="12"/>
  </w:num>
  <w:num w:numId="13" w16cid:durableId="503516617">
    <w:abstractNumId w:val="23"/>
  </w:num>
  <w:num w:numId="14" w16cid:durableId="1971012577">
    <w:abstractNumId w:val="27"/>
  </w:num>
  <w:num w:numId="15" w16cid:durableId="1256014139">
    <w:abstractNumId w:val="13"/>
  </w:num>
  <w:num w:numId="16" w16cid:durableId="230039927">
    <w:abstractNumId w:val="0"/>
  </w:num>
  <w:num w:numId="17" w16cid:durableId="882135492">
    <w:abstractNumId w:val="1"/>
  </w:num>
  <w:num w:numId="18" w16cid:durableId="194315641">
    <w:abstractNumId w:val="10"/>
  </w:num>
  <w:num w:numId="19" w16cid:durableId="1279488302">
    <w:abstractNumId w:val="16"/>
  </w:num>
  <w:num w:numId="20" w16cid:durableId="102305755">
    <w:abstractNumId w:val="7"/>
  </w:num>
  <w:num w:numId="21" w16cid:durableId="1863712968">
    <w:abstractNumId w:val="31"/>
  </w:num>
  <w:num w:numId="22" w16cid:durableId="426196748">
    <w:abstractNumId w:val="28"/>
  </w:num>
  <w:num w:numId="23" w16cid:durableId="1440686053">
    <w:abstractNumId w:val="33"/>
  </w:num>
  <w:num w:numId="24" w16cid:durableId="87122838">
    <w:abstractNumId w:val="11"/>
  </w:num>
  <w:num w:numId="25" w16cid:durableId="2069259383">
    <w:abstractNumId w:val="4"/>
  </w:num>
  <w:num w:numId="26" w16cid:durableId="1082874494">
    <w:abstractNumId w:val="4"/>
    <w:lvlOverride w:ilvl="0">
      <w:startOverride w:val="1"/>
    </w:lvlOverride>
  </w:num>
  <w:num w:numId="27" w16cid:durableId="119737226">
    <w:abstractNumId w:val="30"/>
  </w:num>
  <w:num w:numId="28" w16cid:durableId="1434279040">
    <w:abstractNumId w:val="24"/>
  </w:num>
  <w:num w:numId="29" w16cid:durableId="2110391395">
    <w:abstractNumId w:val="3"/>
  </w:num>
  <w:num w:numId="30" w16cid:durableId="673414213">
    <w:abstractNumId w:val="15"/>
  </w:num>
  <w:num w:numId="31" w16cid:durableId="1362559410">
    <w:abstractNumId w:val="19"/>
  </w:num>
  <w:num w:numId="32" w16cid:durableId="743456165">
    <w:abstractNumId w:val="17"/>
  </w:num>
  <w:num w:numId="33" w16cid:durableId="633020805">
    <w:abstractNumId w:val="5"/>
  </w:num>
  <w:num w:numId="34" w16cid:durableId="2043092004">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73"/>
    <w:rsid w:val="000119FB"/>
    <w:rsid w:val="00016FBF"/>
    <w:rsid w:val="000242AA"/>
    <w:rsid w:val="00036300"/>
    <w:rsid w:val="000410FD"/>
    <w:rsid w:val="00057044"/>
    <w:rsid w:val="000641C9"/>
    <w:rsid w:val="00080E0B"/>
    <w:rsid w:val="00093CBD"/>
    <w:rsid w:val="00094B5D"/>
    <w:rsid w:val="000A103F"/>
    <w:rsid w:val="000A1EC0"/>
    <w:rsid w:val="000C3F75"/>
    <w:rsid w:val="000C4168"/>
    <w:rsid w:val="000E6C5F"/>
    <w:rsid w:val="00101F34"/>
    <w:rsid w:val="00105B0A"/>
    <w:rsid w:val="001100C3"/>
    <w:rsid w:val="001172E1"/>
    <w:rsid w:val="001219F1"/>
    <w:rsid w:val="00123D3F"/>
    <w:rsid w:val="00131EB8"/>
    <w:rsid w:val="00156187"/>
    <w:rsid w:val="00161AA0"/>
    <w:rsid w:val="001650FD"/>
    <w:rsid w:val="0017277D"/>
    <w:rsid w:val="001B0506"/>
    <w:rsid w:val="001C032E"/>
    <w:rsid w:val="001D1C3E"/>
    <w:rsid w:val="001E2F03"/>
    <w:rsid w:val="001F1C63"/>
    <w:rsid w:val="0021029D"/>
    <w:rsid w:val="002169E7"/>
    <w:rsid w:val="00235CAB"/>
    <w:rsid w:val="00251D56"/>
    <w:rsid w:val="002526E6"/>
    <w:rsid w:val="002535B1"/>
    <w:rsid w:val="002541BB"/>
    <w:rsid w:val="00262EEB"/>
    <w:rsid w:val="002A024B"/>
    <w:rsid w:val="002A3712"/>
    <w:rsid w:val="002C3FAA"/>
    <w:rsid w:val="002E380E"/>
    <w:rsid w:val="002F15CF"/>
    <w:rsid w:val="00311A6A"/>
    <w:rsid w:val="0031664C"/>
    <w:rsid w:val="003330E6"/>
    <w:rsid w:val="00335267"/>
    <w:rsid w:val="00353D3E"/>
    <w:rsid w:val="00361A2F"/>
    <w:rsid w:val="00362226"/>
    <w:rsid w:val="00377E36"/>
    <w:rsid w:val="0038143A"/>
    <w:rsid w:val="003830CE"/>
    <w:rsid w:val="003B1379"/>
    <w:rsid w:val="003B7BCF"/>
    <w:rsid w:val="003C36AC"/>
    <w:rsid w:val="003C4F33"/>
    <w:rsid w:val="003D0EFB"/>
    <w:rsid w:val="003D39B2"/>
    <w:rsid w:val="003D3B28"/>
    <w:rsid w:val="004511A7"/>
    <w:rsid w:val="004519B2"/>
    <w:rsid w:val="00461997"/>
    <w:rsid w:val="004820E9"/>
    <w:rsid w:val="0048361F"/>
    <w:rsid w:val="00484FE9"/>
    <w:rsid w:val="00485B88"/>
    <w:rsid w:val="004914C0"/>
    <w:rsid w:val="004A4E6B"/>
    <w:rsid w:val="004B4705"/>
    <w:rsid w:val="004B514C"/>
    <w:rsid w:val="004D20C5"/>
    <w:rsid w:val="004F6EA5"/>
    <w:rsid w:val="00503454"/>
    <w:rsid w:val="00526C07"/>
    <w:rsid w:val="0053387C"/>
    <w:rsid w:val="005541FD"/>
    <w:rsid w:val="005614AA"/>
    <w:rsid w:val="005860F4"/>
    <w:rsid w:val="005866B1"/>
    <w:rsid w:val="005A5E10"/>
    <w:rsid w:val="005C051F"/>
    <w:rsid w:val="005C762E"/>
    <w:rsid w:val="005D098C"/>
    <w:rsid w:val="00603E56"/>
    <w:rsid w:val="0060533D"/>
    <w:rsid w:val="0060662A"/>
    <w:rsid w:val="00614BDA"/>
    <w:rsid w:val="00617519"/>
    <w:rsid w:val="006331B4"/>
    <w:rsid w:val="006343F3"/>
    <w:rsid w:val="00642906"/>
    <w:rsid w:val="006571D4"/>
    <w:rsid w:val="00680B94"/>
    <w:rsid w:val="0069313E"/>
    <w:rsid w:val="0069376F"/>
    <w:rsid w:val="006A0FCE"/>
    <w:rsid w:val="006A721F"/>
    <w:rsid w:val="006C3593"/>
    <w:rsid w:val="006D73F1"/>
    <w:rsid w:val="006E0F0C"/>
    <w:rsid w:val="006F0EA9"/>
    <w:rsid w:val="006F3085"/>
    <w:rsid w:val="007277C3"/>
    <w:rsid w:val="00732519"/>
    <w:rsid w:val="00737F9C"/>
    <w:rsid w:val="007A174B"/>
    <w:rsid w:val="007A4EEE"/>
    <w:rsid w:val="007B5BCA"/>
    <w:rsid w:val="00812053"/>
    <w:rsid w:val="0081404B"/>
    <w:rsid w:val="008426DC"/>
    <w:rsid w:val="00843A61"/>
    <w:rsid w:val="008505C3"/>
    <w:rsid w:val="00862C0C"/>
    <w:rsid w:val="008853CB"/>
    <w:rsid w:val="00892EFB"/>
    <w:rsid w:val="008A3CB5"/>
    <w:rsid w:val="008A6557"/>
    <w:rsid w:val="008C782E"/>
    <w:rsid w:val="008D26D0"/>
    <w:rsid w:val="008D6069"/>
    <w:rsid w:val="008E7585"/>
    <w:rsid w:val="009108E6"/>
    <w:rsid w:val="00921354"/>
    <w:rsid w:val="00923A9A"/>
    <w:rsid w:val="00934032"/>
    <w:rsid w:val="0094366C"/>
    <w:rsid w:val="00953ADF"/>
    <w:rsid w:val="00971131"/>
    <w:rsid w:val="009871F3"/>
    <w:rsid w:val="009A0289"/>
    <w:rsid w:val="009B1D56"/>
    <w:rsid w:val="009B621A"/>
    <w:rsid w:val="009C45D9"/>
    <w:rsid w:val="009C6E2D"/>
    <w:rsid w:val="009F03B2"/>
    <w:rsid w:val="009F2BD4"/>
    <w:rsid w:val="00A06657"/>
    <w:rsid w:val="00A24C1C"/>
    <w:rsid w:val="00A36575"/>
    <w:rsid w:val="00A500B0"/>
    <w:rsid w:val="00A660F4"/>
    <w:rsid w:val="00A70E2A"/>
    <w:rsid w:val="00A7281B"/>
    <w:rsid w:val="00A820E1"/>
    <w:rsid w:val="00A86D3D"/>
    <w:rsid w:val="00A90CFE"/>
    <w:rsid w:val="00A9341B"/>
    <w:rsid w:val="00A956DE"/>
    <w:rsid w:val="00AB2948"/>
    <w:rsid w:val="00AB39FA"/>
    <w:rsid w:val="00AD57E2"/>
    <w:rsid w:val="00AD5CB7"/>
    <w:rsid w:val="00AD5E0B"/>
    <w:rsid w:val="00AD6933"/>
    <w:rsid w:val="00AD6B7B"/>
    <w:rsid w:val="00AE2E1F"/>
    <w:rsid w:val="00B0463B"/>
    <w:rsid w:val="00B15262"/>
    <w:rsid w:val="00B2202F"/>
    <w:rsid w:val="00B60D70"/>
    <w:rsid w:val="00B715DA"/>
    <w:rsid w:val="00B84BC1"/>
    <w:rsid w:val="00BA0179"/>
    <w:rsid w:val="00BA51EA"/>
    <w:rsid w:val="00BA589F"/>
    <w:rsid w:val="00BB047B"/>
    <w:rsid w:val="00BB1607"/>
    <w:rsid w:val="00BB6398"/>
    <w:rsid w:val="00BC0E86"/>
    <w:rsid w:val="00BD0372"/>
    <w:rsid w:val="00BD246E"/>
    <w:rsid w:val="00BD74D1"/>
    <w:rsid w:val="00BF4768"/>
    <w:rsid w:val="00BF6573"/>
    <w:rsid w:val="00C139CA"/>
    <w:rsid w:val="00C31008"/>
    <w:rsid w:val="00C433C5"/>
    <w:rsid w:val="00C46D1C"/>
    <w:rsid w:val="00C51429"/>
    <w:rsid w:val="00CA3397"/>
    <w:rsid w:val="00CA33E1"/>
    <w:rsid w:val="00CB6BEB"/>
    <w:rsid w:val="00CE7855"/>
    <w:rsid w:val="00CF7CAA"/>
    <w:rsid w:val="00D1371E"/>
    <w:rsid w:val="00D3612A"/>
    <w:rsid w:val="00D37703"/>
    <w:rsid w:val="00D37F25"/>
    <w:rsid w:val="00D453F6"/>
    <w:rsid w:val="00D60D8D"/>
    <w:rsid w:val="00D73C98"/>
    <w:rsid w:val="00DA11DD"/>
    <w:rsid w:val="00DC0120"/>
    <w:rsid w:val="00DE643F"/>
    <w:rsid w:val="00E23F20"/>
    <w:rsid w:val="00E2509B"/>
    <w:rsid w:val="00E4622C"/>
    <w:rsid w:val="00E46571"/>
    <w:rsid w:val="00E51FFB"/>
    <w:rsid w:val="00E53E42"/>
    <w:rsid w:val="00E63855"/>
    <w:rsid w:val="00E95993"/>
    <w:rsid w:val="00EB03BB"/>
    <w:rsid w:val="00EB1C36"/>
    <w:rsid w:val="00ED5CBB"/>
    <w:rsid w:val="00EE2EB2"/>
    <w:rsid w:val="00EE3B03"/>
    <w:rsid w:val="00EE406C"/>
    <w:rsid w:val="00EE44A5"/>
    <w:rsid w:val="00F07534"/>
    <w:rsid w:val="00F26A9F"/>
    <w:rsid w:val="00F26E68"/>
    <w:rsid w:val="00F33119"/>
    <w:rsid w:val="00F70556"/>
    <w:rsid w:val="00F73C47"/>
    <w:rsid w:val="00F81F2C"/>
    <w:rsid w:val="00F90E63"/>
    <w:rsid w:val="00FA66A6"/>
    <w:rsid w:val="00FA6EE7"/>
    <w:rsid w:val="00FB47DD"/>
    <w:rsid w:val="00FB73D3"/>
    <w:rsid w:val="00FD4756"/>
    <w:rsid w:val="00FD5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228BD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character" w:customStyle="1" w:styleId="normaltextrun">
    <w:name w:val="normaltextrun"/>
    <w:basedOn w:val="DefaultParagraphFont"/>
    <w:rsid w:val="006F0EA9"/>
  </w:style>
  <w:style w:type="character" w:customStyle="1" w:styleId="eop">
    <w:name w:val="eop"/>
    <w:basedOn w:val="DefaultParagraphFont"/>
    <w:rsid w:val="006F0EA9"/>
  </w:style>
  <w:style w:type="paragraph" w:styleId="CommentSubject">
    <w:name w:val="annotation subject"/>
    <w:basedOn w:val="CommentText"/>
    <w:next w:val="CommentText"/>
    <w:link w:val="CommentSubjectChar"/>
    <w:rsid w:val="00D1371E"/>
    <w:rPr>
      <w:b/>
      <w:bCs/>
      <w:lang w:eastAsia="en-US"/>
    </w:rPr>
  </w:style>
  <w:style w:type="character" w:customStyle="1" w:styleId="CommentSubjectChar">
    <w:name w:val="Comment Subject Char"/>
    <w:basedOn w:val="CommentTextChar"/>
    <w:link w:val="CommentSubject"/>
    <w:rsid w:val="00D137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6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2.xml><?xml version="1.0" encoding="utf-8"?>
<ds:datastoreItem xmlns:ds="http://schemas.openxmlformats.org/officeDocument/2006/customXml" ds:itemID="{98B955BF-5F94-4166-8F18-4D3B4309FAFE}"/>
</file>

<file path=customXml/itemProps3.xml><?xml version="1.0" encoding="utf-8"?>
<ds:datastoreItem xmlns:ds="http://schemas.openxmlformats.org/officeDocument/2006/customXml" ds:itemID="{CD57EC21-B8C2-405A-A70F-9EFCB5A96E36}"/>
</file>

<file path=customXml/itemProps4.xml><?xml version="1.0" encoding="utf-8"?>
<ds:datastoreItem xmlns:ds="http://schemas.openxmlformats.org/officeDocument/2006/customXml" ds:itemID="{82453AE2-D08E-4D05-A221-EE39F98038C0}"/>
</file>

<file path=docProps/app.xml><?xml version="1.0" encoding="utf-8"?>
<Properties xmlns="http://schemas.openxmlformats.org/officeDocument/2006/extended-properties" xmlns:vt="http://schemas.openxmlformats.org/officeDocument/2006/docPropsVTypes">
  <Template>Normal</Template>
  <TotalTime>0</TotalTime>
  <Pages>6</Pages>
  <Words>1248</Words>
  <Characters>7154</Characters>
  <Application>Microsoft Office Word</Application>
  <DocSecurity>0</DocSecurity>
  <Lines>397</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2024-07-08T16:19:00Z</dcterms:created>
  <dcterms:modified xsi:type="dcterms:W3CDTF">2024-07-08T16:19:00Z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2024-07-08T16:19:39Z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90bc01c9-3288-4727-af63-9f73e9bc9036</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y fmtid="{D5CDD505-2E9C-101B-9397-08002B2CF9AE}" pid="10" name="Display Status">
    <vt:lpwstr>6;#Published to NICE Space|f71fafb2-379e-4f7a-b39f-0cae49bb0737</vt:lpwstr>
  </property>
  <property fmtid="{D5CDD505-2E9C-101B-9397-08002B2CF9AE}" pid="11" name="Policy Status">
    <vt:lpwstr/>
  </property>
  <property fmtid="{D5CDD505-2E9C-101B-9397-08002B2CF9AE}" pid="12" name="Service area">
    <vt:lpwstr/>
  </property>
  <property fmtid="{D5CDD505-2E9C-101B-9397-08002B2CF9AE}" pid="13" name="c3e9b32804b143caaf778522fda46369">
    <vt:lpwstr/>
  </property>
  <property fmtid="{D5CDD505-2E9C-101B-9397-08002B2CF9AE}" pid="14" name="TaxCatchAll">
    <vt:lpwstr>6;#Published to NICE Space|f71fafb2-379e-4f7a-b39f-0cae49bb0737</vt:lpwstr>
  </property>
  <property fmtid="{D5CDD505-2E9C-101B-9397-08002B2CF9AE}" pid="15" name="j31c8abf4698464c99deb46d7432c918">
    <vt:lpwstr/>
  </property>
</Properties>
</file>