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B3416" w14:textId="54ACD1B3" w:rsidR="00057044" w:rsidRDefault="00057044" w:rsidP="003D3B28">
      <w:pPr>
        <w:pStyle w:val="Title1"/>
      </w:pPr>
      <w:bookmarkStart w:id="0" w:name="_Hlk127543539"/>
      <w:r w:rsidRPr="003D3B28">
        <w:t>Board meeting</w:t>
      </w:r>
    </w:p>
    <w:p w14:paraId="4139DE73" w14:textId="1E4E484F" w:rsidR="004B4705" w:rsidRDefault="0039634D" w:rsidP="003D3B28">
      <w:pPr>
        <w:pStyle w:val="Title20"/>
      </w:pPr>
      <w:r>
        <w:t>22</w:t>
      </w:r>
      <w:r w:rsidR="00F14C23">
        <w:t xml:space="preserve"> </w:t>
      </w:r>
      <w:r>
        <w:t xml:space="preserve">March </w:t>
      </w:r>
      <w:r w:rsidR="00F14C23">
        <w:t>202</w:t>
      </w:r>
      <w:r>
        <w:t>3</w:t>
      </w:r>
    </w:p>
    <w:p w14:paraId="6417ACEE" w14:textId="1E3809E1" w:rsidR="00094B5D" w:rsidRPr="008036DF" w:rsidRDefault="005C6116" w:rsidP="003D3B28">
      <w:pPr>
        <w:pStyle w:val="Title1"/>
      </w:pPr>
      <w:bookmarkStart w:id="1" w:name="_Hlk129789595"/>
      <w:r>
        <w:t xml:space="preserve">Health </w:t>
      </w:r>
      <w:r w:rsidR="003C0A98">
        <w:t>T</w:t>
      </w:r>
      <w:r>
        <w:t>echnology</w:t>
      </w:r>
      <w:r w:rsidR="004430BB">
        <w:t xml:space="preserve"> </w:t>
      </w:r>
      <w:r w:rsidR="003C0A98">
        <w:t>E</w:t>
      </w:r>
      <w:r w:rsidR="004430BB">
        <w:t>valuation</w:t>
      </w:r>
      <w:r>
        <w:t xml:space="preserve">: update on implementation of new </w:t>
      </w:r>
      <w:r w:rsidR="004430BB">
        <w:t xml:space="preserve">manual/methods </w:t>
      </w:r>
      <w:r>
        <w:t xml:space="preserve">and proposed approach </w:t>
      </w:r>
      <w:r w:rsidR="0039634D">
        <w:t xml:space="preserve">for modular updates </w:t>
      </w:r>
    </w:p>
    <w:bookmarkEnd w:id="1"/>
    <w:p w14:paraId="38E8A489" w14:textId="7E766D73" w:rsidR="037A9947" w:rsidRDefault="037A9947" w:rsidP="037A9947">
      <w:pPr>
        <w:pStyle w:val="Heading1boardreport"/>
      </w:pPr>
    </w:p>
    <w:p w14:paraId="7B52076A" w14:textId="77777777" w:rsidR="009B1D56" w:rsidRPr="003D3B28" w:rsidRDefault="009B1D56" w:rsidP="003D3B28">
      <w:pPr>
        <w:pStyle w:val="Heading1boardreport"/>
      </w:pPr>
      <w:r w:rsidRPr="003D3B28">
        <w:t>Purpose of paper</w:t>
      </w:r>
    </w:p>
    <w:p w14:paraId="14F36F5D" w14:textId="6788EC33" w:rsidR="009B1D56" w:rsidRPr="003830CE" w:rsidRDefault="006C0D5D" w:rsidP="003830CE">
      <w:pPr>
        <w:pStyle w:val="NICEnormal"/>
        <w:rPr>
          <w:highlight w:val="lightGray"/>
        </w:rPr>
      </w:pPr>
      <w:r>
        <w:t xml:space="preserve">For review and </w:t>
      </w:r>
      <w:r w:rsidR="005C6116">
        <w:t>consideration</w:t>
      </w:r>
      <w:r w:rsidR="00D11E2F">
        <w:t xml:space="preserve"> </w:t>
      </w:r>
      <w:r>
        <w:t xml:space="preserve"> </w:t>
      </w:r>
    </w:p>
    <w:p w14:paraId="5A03EE04" w14:textId="521067AA" w:rsidR="009B1D56" w:rsidRPr="003D3B28" w:rsidRDefault="009B1D56" w:rsidP="003D3B28">
      <w:pPr>
        <w:pStyle w:val="Heading1boardreport"/>
      </w:pPr>
      <w:r w:rsidRPr="003D3B28">
        <w:t xml:space="preserve">Board action </w:t>
      </w:r>
      <w:proofErr w:type="gramStart"/>
      <w:r w:rsidRPr="003D3B28">
        <w:t>required</w:t>
      </w:r>
      <w:proofErr w:type="gramEnd"/>
    </w:p>
    <w:p w14:paraId="249C682C" w14:textId="7C9809B0" w:rsidR="0039634D" w:rsidRDefault="0039634D" w:rsidP="002E0442">
      <w:pPr>
        <w:pStyle w:val="NICEnormalnumbered"/>
        <w:numPr>
          <w:ilvl w:val="0"/>
          <w:numId w:val="0"/>
        </w:numPr>
      </w:pPr>
      <w:r>
        <w:t>The Board is asked to</w:t>
      </w:r>
      <w:r w:rsidR="002E0442">
        <w:t xml:space="preserve"> </w:t>
      </w:r>
      <w:r w:rsidR="005C6116">
        <w:t xml:space="preserve">note early findings from our implementation of </w:t>
      </w:r>
      <w:r w:rsidR="004430BB">
        <w:t xml:space="preserve">the </w:t>
      </w:r>
      <w:r w:rsidR="005C6116">
        <w:t xml:space="preserve">new </w:t>
      </w:r>
      <w:r w:rsidR="004430BB">
        <w:t xml:space="preserve">manual </w:t>
      </w:r>
      <w:r w:rsidR="005C6116">
        <w:t xml:space="preserve">for Health Technology </w:t>
      </w:r>
      <w:r w:rsidR="004430BB">
        <w:t>Evaluation</w:t>
      </w:r>
      <w:r w:rsidR="005C6116">
        <w:t xml:space="preserve"> and consider</w:t>
      </w:r>
      <w:r>
        <w:t xml:space="preserve"> </w:t>
      </w:r>
      <w:r w:rsidR="005C6116">
        <w:t xml:space="preserve">the proposed approach to </w:t>
      </w:r>
      <w:r w:rsidR="004430BB">
        <w:t xml:space="preserve">future </w:t>
      </w:r>
      <w:r w:rsidR="005C6116">
        <w:t>modular updates. Next steps are for the evaluation team</w:t>
      </w:r>
      <w:r w:rsidR="005313C3">
        <w:t>s</w:t>
      </w:r>
      <w:r w:rsidR="005C6116">
        <w:t xml:space="preserve"> to engage </w:t>
      </w:r>
      <w:r w:rsidR="00333141">
        <w:t xml:space="preserve">with stakeholders </w:t>
      </w:r>
      <w:r w:rsidR="005C6116">
        <w:t xml:space="preserve">on the proposed approach </w:t>
      </w:r>
      <w:r w:rsidR="00333141">
        <w:t xml:space="preserve">and </w:t>
      </w:r>
      <w:r w:rsidR="00E5593A">
        <w:t>begin developing the system</w:t>
      </w:r>
      <w:r w:rsidR="004E67C5">
        <w:t>s</w:t>
      </w:r>
      <w:r w:rsidR="00A87377">
        <w:t xml:space="preserve"> </w:t>
      </w:r>
      <w:r w:rsidR="00E5593A">
        <w:t xml:space="preserve">required to deliver it. </w:t>
      </w:r>
    </w:p>
    <w:p w14:paraId="187BDE82" w14:textId="7BAB2ECA" w:rsidR="009B1D56" w:rsidRPr="003D3B28" w:rsidRDefault="009B1D56" w:rsidP="00F14C23">
      <w:pPr>
        <w:pStyle w:val="Heading1boardreport"/>
      </w:pPr>
      <w:proofErr w:type="gramStart"/>
      <w:r w:rsidRPr="003D3B28">
        <w:t>Brief summary</w:t>
      </w:r>
      <w:proofErr w:type="gramEnd"/>
    </w:p>
    <w:p w14:paraId="25FC74BF" w14:textId="56727D84" w:rsidR="0024722D" w:rsidRDefault="00AF3000" w:rsidP="00AF3000">
      <w:pPr>
        <w:pStyle w:val="NICEnormalnumbered"/>
        <w:numPr>
          <w:ilvl w:val="0"/>
          <w:numId w:val="0"/>
        </w:numPr>
      </w:pPr>
      <w:r>
        <w:t xml:space="preserve">This report </w:t>
      </w:r>
      <w:r w:rsidR="005C6116">
        <w:t xml:space="preserve">outlines progress so far in implementation of </w:t>
      </w:r>
      <w:r w:rsidR="004430BB">
        <w:t xml:space="preserve">the </w:t>
      </w:r>
      <w:r w:rsidR="005C6116">
        <w:t xml:space="preserve">new </w:t>
      </w:r>
      <w:r w:rsidR="004430BB">
        <w:t>manual/</w:t>
      </w:r>
      <w:r w:rsidR="005C6116">
        <w:t xml:space="preserve">methods for Health Technology </w:t>
      </w:r>
      <w:r w:rsidR="004430BB">
        <w:t xml:space="preserve">Evaluation </w:t>
      </w:r>
      <w:r w:rsidR="005C6116">
        <w:t>in 2022</w:t>
      </w:r>
      <w:r w:rsidR="005313C3">
        <w:t xml:space="preserve">. It also </w:t>
      </w:r>
      <w:r>
        <w:t>describes a draft proposed framework to identify and conduct modular updates for th</w:t>
      </w:r>
      <w:r w:rsidR="005C6116">
        <w:t>e</w:t>
      </w:r>
      <w:r>
        <w:t xml:space="preserve"> NICE technology evaluation programmes</w:t>
      </w:r>
      <w:r w:rsidR="005C6116">
        <w:t xml:space="preserve"> in future</w:t>
      </w:r>
      <w:r>
        <w:t xml:space="preserve">. </w:t>
      </w:r>
    </w:p>
    <w:p w14:paraId="133409CE" w14:textId="6C20655A" w:rsidR="0024722D" w:rsidRDefault="005C6116" w:rsidP="0024722D">
      <w:pPr>
        <w:pStyle w:val="NICEnormalnumbered"/>
        <w:numPr>
          <w:ilvl w:val="0"/>
          <w:numId w:val="0"/>
        </w:numPr>
      </w:pPr>
      <w:r w:rsidRPr="037A9947">
        <w:rPr>
          <w:u w:val="single"/>
        </w:rPr>
        <w:t xml:space="preserve">Implementation of new </w:t>
      </w:r>
      <w:r w:rsidR="005313C3" w:rsidRPr="037A9947">
        <w:rPr>
          <w:u w:val="single"/>
        </w:rPr>
        <w:t>manual</w:t>
      </w:r>
      <w:r w:rsidRPr="037A9947">
        <w:rPr>
          <w:u w:val="single"/>
        </w:rPr>
        <w:t>:</w:t>
      </w:r>
      <w:r>
        <w:t xml:space="preserve"> </w:t>
      </w:r>
      <w:r w:rsidR="0024722D">
        <w:t xml:space="preserve">The updated methods are working well so far. Based on a quaterly review, 20 topics have been considered using them. The severity modifier has been successfully applied (including x1.7) to support patient access to severe disease medicines. It is too soon to assess the system-level impacts of the methods due to the small number of medicines considered </w:t>
      </w:r>
      <w:r w:rsidR="005313C3">
        <w:t xml:space="preserve">so </w:t>
      </w:r>
      <w:r w:rsidR="0024722D">
        <w:t xml:space="preserve">far. In parallel, proportionate approaches to technology appriaisal </w:t>
      </w:r>
      <w:r w:rsidR="00E453F8">
        <w:t xml:space="preserve">and Early Value Assessment of </w:t>
      </w:r>
      <w:r w:rsidR="00E453F8">
        <w:lastRenderedPageBreak/>
        <w:t xml:space="preserve">MedTech </w:t>
      </w:r>
      <w:r w:rsidR="0024722D">
        <w:t xml:space="preserve">have been piloted and are being finalised to begin roll-out from April. The </w:t>
      </w:r>
      <w:r w:rsidR="005313C3">
        <w:t xml:space="preserve">approaches </w:t>
      </w:r>
      <w:r w:rsidR="0024722D">
        <w:t>piloted will be the topic</w:t>
      </w:r>
      <w:r w:rsidR="00361086">
        <w:t>s</w:t>
      </w:r>
      <w:r w:rsidR="0024722D">
        <w:t xml:space="preserve"> of our first modular update.</w:t>
      </w:r>
    </w:p>
    <w:p w14:paraId="4F409672" w14:textId="484506FE" w:rsidR="00376029" w:rsidRDefault="0024722D" w:rsidP="00376029">
      <w:pPr>
        <w:pStyle w:val="NICEnormalnumbered"/>
        <w:numPr>
          <w:ilvl w:val="0"/>
          <w:numId w:val="0"/>
        </w:numPr>
      </w:pPr>
      <w:r w:rsidRPr="037A9947">
        <w:rPr>
          <w:u w:val="single"/>
        </w:rPr>
        <w:t>Further modular updates:</w:t>
      </w:r>
      <w:r>
        <w:t xml:space="preserve"> </w:t>
      </w:r>
      <w:r w:rsidR="00483B65">
        <w:t xml:space="preserve">Following the publication of the </w:t>
      </w:r>
      <w:r w:rsidR="00904A87">
        <w:t>2022</w:t>
      </w:r>
      <w:r w:rsidR="00483B65">
        <w:t xml:space="preserve"> manual for technology evaluations</w:t>
      </w:r>
      <w:r w:rsidR="00D11E2F">
        <w:t xml:space="preserve">, </w:t>
      </w:r>
      <w:r w:rsidR="00483B65">
        <w:t xml:space="preserve">NICE outlined its vision to move towards a </w:t>
      </w:r>
      <w:r w:rsidR="00D11E2F">
        <w:t xml:space="preserve">more </w:t>
      </w:r>
      <w:r w:rsidR="00483B65">
        <w:t>modular approach to updating its processes and methods.</w:t>
      </w:r>
      <w:r w:rsidR="00D11E2F">
        <w:t xml:space="preserve"> That is, updating specific </w:t>
      </w:r>
      <w:r w:rsidR="006C5029">
        <w:t>mo</w:t>
      </w:r>
      <w:r w:rsidR="008E293B">
        <w:t xml:space="preserve">dules or </w:t>
      </w:r>
      <w:r w:rsidR="00524F25">
        <w:t>subjects</w:t>
      </w:r>
      <w:r w:rsidR="008E293B">
        <w:t xml:space="preserve"> of</w:t>
      </w:r>
      <w:r w:rsidR="00D11E2F">
        <w:t xml:space="preserve"> the manual, as and when needed. </w:t>
      </w:r>
      <w:r w:rsidR="00844CFD">
        <w:t xml:space="preserve">We have </w:t>
      </w:r>
      <w:r w:rsidR="000C48BC">
        <w:t xml:space="preserve">presented </w:t>
      </w:r>
      <w:r w:rsidR="00844CFD">
        <w:t>a</w:t>
      </w:r>
      <w:r w:rsidR="009E3942">
        <w:t xml:space="preserve"> framework to undertake </w:t>
      </w:r>
      <w:r w:rsidR="00844CFD">
        <w:t>the mod</w:t>
      </w:r>
      <w:r w:rsidR="009E3942">
        <w:t>u</w:t>
      </w:r>
      <w:r w:rsidR="00844CFD">
        <w:t>lar updates</w:t>
      </w:r>
      <w:r w:rsidR="00361086">
        <w:t xml:space="preserve">. Following </w:t>
      </w:r>
      <w:r w:rsidR="000C48BC">
        <w:t>engagement</w:t>
      </w:r>
      <w:r w:rsidR="004768A7">
        <w:t xml:space="preserve"> with stakeholders</w:t>
      </w:r>
      <w:r w:rsidR="000C48BC">
        <w:t xml:space="preserve">, </w:t>
      </w:r>
      <w:r w:rsidR="004768A7">
        <w:t xml:space="preserve">we </w:t>
      </w:r>
      <w:r w:rsidR="009E3942">
        <w:t xml:space="preserve">will finalise </w:t>
      </w:r>
      <w:r w:rsidR="009D5F06">
        <w:t xml:space="preserve">the </w:t>
      </w:r>
      <w:r w:rsidR="00B9565A">
        <w:t xml:space="preserve">process and develop the systems required to deliver </w:t>
      </w:r>
      <w:r w:rsidR="00384937">
        <w:t xml:space="preserve">it </w:t>
      </w:r>
      <w:r w:rsidR="000375E2">
        <w:t xml:space="preserve">during </w:t>
      </w:r>
      <w:r w:rsidR="00B9565A">
        <w:t>2023</w:t>
      </w:r>
      <w:r w:rsidR="00145188">
        <w:t xml:space="preserve">. </w:t>
      </w:r>
    </w:p>
    <w:p w14:paraId="4954937B" w14:textId="56F55B82" w:rsidR="009B1A87" w:rsidRPr="009B1A87" w:rsidRDefault="009B1D56" w:rsidP="00376029">
      <w:pPr>
        <w:pStyle w:val="Heading1boardreport"/>
      </w:pPr>
      <w:r w:rsidRPr="003D3B28">
        <w:t>Board sponsor</w:t>
      </w:r>
    </w:p>
    <w:p w14:paraId="7F41C650" w14:textId="71F2C648" w:rsidR="00A4691D" w:rsidRDefault="00A4691D" w:rsidP="004511A7">
      <w:pPr>
        <w:pStyle w:val="NICEnormal"/>
      </w:pPr>
      <w:r>
        <w:t>Helen Knight, Director of Medicines Evaluation</w:t>
      </w:r>
    </w:p>
    <w:p w14:paraId="44408BF1" w14:textId="46609A5F" w:rsidR="00CC3BC4" w:rsidRDefault="00CC3BC4">
      <w:pPr>
        <w:rPr>
          <w:rFonts w:ascii="Arial" w:hAnsi="Arial"/>
        </w:rPr>
      </w:pPr>
      <w:r>
        <w:br w:type="page"/>
      </w:r>
    </w:p>
    <w:p w14:paraId="074A15B3" w14:textId="2953712E" w:rsidR="00376029" w:rsidRPr="008036DF" w:rsidRDefault="005313C3" w:rsidP="00376029">
      <w:pPr>
        <w:pStyle w:val="Title1"/>
      </w:pPr>
      <w:r>
        <w:lastRenderedPageBreak/>
        <w:t xml:space="preserve">Health Technology Evaluation: update on implementation of new manual/methods and proposed approach for modular updates </w:t>
      </w:r>
    </w:p>
    <w:p w14:paraId="4EE50670" w14:textId="23F378AE" w:rsidR="00376029" w:rsidRDefault="00376029" w:rsidP="00376029">
      <w:pPr>
        <w:pStyle w:val="Heading1boardreport"/>
      </w:pPr>
      <w:r>
        <w:t xml:space="preserve">Progress to date on implementation of the current manual for </w:t>
      </w:r>
      <w:r w:rsidR="005313C3">
        <w:t xml:space="preserve">health </w:t>
      </w:r>
      <w:r>
        <w:t xml:space="preserve">technology evaluation </w:t>
      </w:r>
    </w:p>
    <w:p w14:paraId="4334D759" w14:textId="0B112592" w:rsidR="00376029" w:rsidRDefault="00376029" w:rsidP="00376029">
      <w:pPr>
        <w:pStyle w:val="Paragraph"/>
        <w:spacing w:line="360" w:lineRule="auto"/>
        <w:ind w:left="357" w:hanging="357"/>
      </w:pPr>
      <w:r>
        <w:t xml:space="preserve">The updated </w:t>
      </w:r>
      <w:hyperlink r:id="rId8">
        <w:r w:rsidRPr="037A9947">
          <w:rPr>
            <w:rStyle w:val="Hyperlink"/>
          </w:rPr>
          <w:t>NICE manual</w:t>
        </w:r>
      </w:hyperlink>
      <w:r>
        <w:t xml:space="preserve"> applies to all topics starting 1 February 2022 onwards. NICE has gathered information </w:t>
      </w:r>
      <w:r w:rsidR="005313C3">
        <w:t xml:space="preserve">within Technology Appraisals </w:t>
      </w:r>
      <w:r>
        <w:t>to identify early insights into the impact of the changes and to ensure we can best support implementation</w:t>
      </w:r>
      <w:r w:rsidR="005313C3">
        <w:t>.</w:t>
      </w:r>
      <w:r>
        <w:t xml:space="preserve"> </w:t>
      </w:r>
      <w:r w:rsidR="005313C3">
        <w:t>T</w:t>
      </w:r>
      <w:r>
        <w:t xml:space="preserve">his includes observing multiple committees, receiving regular feedback from NICE teams, quantitative data collection, and qualitative interviews with key internal and external stakeholders, including committee members, </w:t>
      </w:r>
      <w:r w:rsidR="005313C3">
        <w:t xml:space="preserve">External </w:t>
      </w:r>
      <w:r>
        <w:t xml:space="preserve">Assessment Groups (EAGs), NHS England and industry. Up to and including December 2022, 20 </w:t>
      </w:r>
      <w:r w:rsidR="005313C3">
        <w:t xml:space="preserve">technology appraisal </w:t>
      </w:r>
      <w:r>
        <w:t>topics have been reviewed by NICE using the new methods and processes. The very small sample size means that both the quantity and the range of topics are too small to draw firm conclusions on the system-level impact of the new manual. Ongoing data collection, collated on a quaterly basis, will help inform future</w:t>
      </w:r>
      <w:r w:rsidR="008F11ED">
        <w:t xml:space="preserve"> review</w:t>
      </w:r>
      <w:r>
        <w:t xml:space="preserve">. </w:t>
      </w:r>
    </w:p>
    <w:p w14:paraId="5D3647F3" w14:textId="77777777" w:rsidR="00376029" w:rsidRDefault="00376029" w:rsidP="00376029">
      <w:pPr>
        <w:pStyle w:val="Heading2"/>
      </w:pPr>
      <w:r>
        <w:t xml:space="preserve">Decision modifiers and flexibilities  </w:t>
      </w:r>
    </w:p>
    <w:p w14:paraId="0A699ABF" w14:textId="150117C7" w:rsidR="00376029" w:rsidRDefault="00376029" w:rsidP="00376029">
      <w:pPr>
        <w:pStyle w:val="Paragraph"/>
      </w:pPr>
      <w:r>
        <w:t xml:space="preserve">Five topics applied for the severity modifier up to December 2022 (Figure 1). </w:t>
      </w:r>
    </w:p>
    <w:p w14:paraId="106234C2" w14:textId="77777777" w:rsidR="00376029" w:rsidRDefault="00376029" w:rsidP="00376029">
      <w:pPr>
        <w:pStyle w:val="Paragraph"/>
        <w:numPr>
          <w:ilvl w:val="0"/>
          <w:numId w:val="48"/>
        </w:numPr>
        <w:tabs>
          <w:tab w:val="clear" w:pos="426"/>
        </w:tabs>
        <w:spacing w:line="360" w:lineRule="auto"/>
      </w:pPr>
      <w:r>
        <w:t xml:space="preserve">Committee accepted the highest severity modifier in 2 of the 3 topics which applied for it. </w:t>
      </w:r>
      <w:r w:rsidRPr="005F59A8">
        <w:t xml:space="preserve">Of the 3 </w:t>
      </w:r>
      <w:r>
        <w:t xml:space="preserve">topics </w:t>
      </w:r>
      <w:r w:rsidRPr="005F59A8">
        <w:t xml:space="preserve">where </w:t>
      </w:r>
      <w:r>
        <w:t>severity</w:t>
      </w:r>
      <w:r w:rsidRPr="005F59A8">
        <w:t xml:space="preserve"> was not</w:t>
      </w:r>
      <w:r>
        <w:t xml:space="preserve"> fully</w:t>
      </w:r>
      <w:r w:rsidRPr="005F59A8">
        <w:t xml:space="preserve"> accepted</w:t>
      </w:r>
      <w:r>
        <w:t>:</w:t>
      </w:r>
    </w:p>
    <w:p w14:paraId="228E9FC4" w14:textId="77777777" w:rsidR="00376029" w:rsidRDefault="00376029" w:rsidP="00376029">
      <w:pPr>
        <w:pStyle w:val="Paragraph"/>
        <w:numPr>
          <w:ilvl w:val="1"/>
          <w:numId w:val="48"/>
        </w:numPr>
        <w:tabs>
          <w:tab w:val="clear" w:pos="426"/>
        </w:tabs>
        <w:spacing w:line="360" w:lineRule="auto"/>
      </w:pPr>
      <w:r>
        <w:t xml:space="preserve">2 committees have requested more information (that is, the decision on severity is not yet final) </w:t>
      </w:r>
    </w:p>
    <w:p w14:paraId="5493D8E6" w14:textId="77777777" w:rsidR="00376029" w:rsidRDefault="00376029" w:rsidP="00376029">
      <w:pPr>
        <w:pStyle w:val="Paragraph"/>
        <w:numPr>
          <w:ilvl w:val="1"/>
          <w:numId w:val="48"/>
        </w:numPr>
        <w:tabs>
          <w:tab w:val="clear" w:pos="426"/>
        </w:tabs>
        <w:spacing w:line="360" w:lineRule="auto"/>
      </w:pPr>
      <w:r w:rsidRPr="005F59A8">
        <w:t>1</w:t>
      </w:r>
      <w:r>
        <w:t xml:space="preserve"> </w:t>
      </w:r>
      <w:r w:rsidRPr="00E4552C">
        <w:t>committee discussion was complex: the modifier was not convincingly met but applied in some scenarios (recommended in managed access)</w:t>
      </w:r>
      <w:r>
        <w:t xml:space="preserve">. </w:t>
      </w:r>
    </w:p>
    <w:p w14:paraId="46F4E052" w14:textId="77777777" w:rsidR="00376029" w:rsidRDefault="00376029" w:rsidP="00376029">
      <w:pPr>
        <w:pStyle w:val="Paragraph"/>
        <w:numPr>
          <w:ilvl w:val="0"/>
          <w:numId w:val="48"/>
        </w:numPr>
        <w:tabs>
          <w:tab w:val="clear" w:pos="426"/>
        </w:tabs>
        <w:spacing w:line="360" w:lineRule="auto"/>
      </w:pPr>
      <w:r w:rsidRPr="009A1784">
        <w:t>Where the severity modifier was fully or partially accepted, it supported a positive recommendation and patient access.</w:t>
      </w:r>
      <w:r w:rsidRPr="00F6796D">
        <w:t xml:space="preserve"> </w:t>
      </w:r>
    </w:p>
    <w:p w14:paraId="6D703B04" w14:textId="77777777" w:rsidR="00376029" w:rsidRDefault="00376029" w:rsidP="00376029">
      <w:pPr>
        <w:pStyle w:val="Paragraph"/>
        <w:numPr>
          <w:ilvl w:val="0"/>
          <w:numId w:val="48"/>
        </w:numPr>
        <w:tabs>
          <w:tab w:val="clear" w:pos="426"/>
        </w:tabs>
        <w:spacing w:line="360" w:lineRule="auto"/>
      </w:pPr>
      <w:r w:rsidRPr="00F6796D">
        <w:lastRenderedPageBreak/>
        <w:t xml:space="preserve">Given the small sample size, it is too soon to establish whether the rate of application of the modifier is consistent with </w:t>
      </w:r>
      <w:r>
        <w:t>predictions.</w:t>
      </w:r>
    </w:p>
    <w:p w14:paraId="55DC05A3" w14:textId="77777777" w:rsidR="00376029" w:rsidRPr="00895DB3" w:rsidRDefault="00376029" w:rsidP="003C0A98">
      <w:pPr>
        <w:pStyle w:val="Caption"/>
      </w:pPr>
      <w:r w:rsidRPr="00895DB3">
        <w:t xml:space="preserve">Figure 1: </w:t>
      </w:r>
      <w:r>
        <w:t xml:space="preserve">Topics where severity requested, and committee </w:t>
      </w:r>
      <w:proofErr w:type="gramStart"/>
      <w:r>
        <w:t>decision</w:t>
      </w:r>
      <w:proofErr w:type="gramEnd"/>
      <w:r>
        <w:t xml:space="preserve"> </w:t>
      </w:r>
    </w:p>
    <w:p w14:paraId="3B4E91CA" w14:textId="3F8C8797" w:rsidR="00376029" w:rsidRDefault="00376029" w:rsidP="00376029">
      <w:pPr>
        <w:pStyle w:val="Paragraph"/>
        <w:numPr>
          <w:ilvl w:val="0"/>
          <w:numId w:val="0"/>
        </w:numPr>
        <w:ind w:left="360"/>
      </w:pPr>
      <w:r w:rsidRPr="00897202">
        <w:drawing>
          <wp:inline distT="0" distB="0" distL="0" distR="0" wp14:anchorId="16830C84" wp14:editId="2755A7A9">
            <wp:extent cx="5274310" cy="2302510"/>
            <wp:effectExtent l="0" t="0" r="2540" b="2540"/>
            <wp:docPr id="3" name="Picture 3" descr="Chart outlining the use of the severity modifier in new methods topics">
              <a:extLst xmlns:a="http://schemas.openxmlformats.org/drawingml/2006/main">
                <a:ext uri="{FF2B5EF4-FFF2-40B4-BE49-F238E27FC236}">
                  <a16:creationId xmlns:a16="http://schemas.microsoft.com/office/drawing/2014/main" id="{925BDCC1-1CE7-2F81-9B3A-CBABAE9FC5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outlining the use of the severity modifier in new methods topics">
                      <a:extLst>
                        <a:ext uri="{FF2B5EF4-FFF2-40B4-BE49-F238E27FC236}">
                          <a16:creationId xmlns:a16="http://schemas.microsoft.com/office/drawing/2014/main" id="{925BDCC1-1CE7-2F81-9B3A-CBABAE9FC515}"/>
                        </a:ext>
                      </a:extLst>
                    </pic:cNvPr>
                    <pic:cNvPicPr>
                      <a:picLocks noChangeAspect="1"/>
                    </pic:cNvPicPr>
                  </pic:nvPicPr>
                  <pic:blipFill>
                    <a:blip r:embed="rId9"/>
                    <a:stretch>
                      <a:fillRect/>
                    </a:stretch>
                  </pic:blipFill>
                  <pic:spPr>
                    <a:xfrm>
                      <a:off x="0" y="0"/>
                      <a:ext cx="5274310" cy="2302510"/>
                    </a:xfrm>
                    <a:prstGeom prst="rect">
                      <a:avLst/>
                    </a:prstGeom>
                  </pic:spPr>
                </pic:pic>
              </a:graphicData>
            </a:graphic>
          </wp:inline>
        </w:drawing>
      </w:r>
    </w:p>
    <w:p w14:paraId="503BD0B8" w14:textId="2170D7FD" w:rsidR="00376029" w:rsidRDefault="79605E93" w:rsidP="00376029">
      <w:pPr>
        <w:pStyle w:val="Paragraph"/>
      </w:pPr>
      <w:r>
        <w:t>Up to December 2022, no</w:t>
      </w:r>
      <w:r w:rsidR="00376029">
        <w:t xml:space="preserve"> appraisals ha</w:t>
      </w:r>
      <w:r w:rsidR="0CC92718">
        <w:t>d</w:t>
      </w:r>
      <w:r w:rsidR="00376029">
        <w:t xml:space="preserve"> yet arisen that required consideration of flexibilities specified in the updated manual (for example, quality of life or real-world evidence). </w:t>
      </w:r>
    </w:p>
    <w:p w14:paraId="21C2F09F" w14:textId="77777777" w:rsidR="00376029" w:rsidRDefault="00376029" w:rsidP="00376029">
      <w:pPr>
        <w:pStyle w:val="Heading2"/>
      </w:pPr>
      <w:r>
        <w:t xml:space="preserve">Qualitative feedback: Stakeholder interviews and NICE observations </w:t>
      </w:r>
    </w:p>
    <w:p w14:paraId="4E95CC11" w14:textId="77777777" w:rsidR="00376029" w:rsidRDefault="00376029" w:rsidP="00376029">
      <w:pPr>
        <w:pStyle w:val="Paragraph"/>
      </w:pPr>
      <w:r>
        <w:t>Stakeholder</w:t>
      </w:r>
      <w:r w:rsidRPr="00612778">
        <w:t xml:space="preserve"> interviews collated broad qualitative feedback on a wide range of topics. </w:t>
      </w:r>
      <w:r>
        <w:t xml:space="preserve">Key findings from all qualitative feedback included:  </w:t>
      </w:r>
    </w:p>
    <w:p w14:paraId="63C28CE1" w14:textId="77777777" w:rsidR="00376029" w:rsidRDefault="00376029" w:rsidP="00376029">
      <w:pPr>
        <w:pStyle w:val="Paragraph"/>
        <w:numPr>
          <w:ilvl w:val="0"/>
          <w:numId w:val="47"/>
        </w:numPr>
        <w:tabs>
          <w:tab w:val="clear" w:pos="426"/>
        </w:tabs>
        <w:spacing w:line="360" w:lineRule="auto"/>
      </w:pPr>
      <w:r>
        <w:t xml:space="preserve">Industry interviewees were concerned it was going to be difficult to qualify for severity, especially x1.7. </w:t>
      </w:r>
      <w:r w:rsidRPr="00C75D7A">
        <w:t>The severity modifier should indeed be applied only in exceptional circumstances; nevertheless it has been applied in 2 appraisal</w:t>
      </w:r>
      <w:r>
        <w:t>s</w:t>
      </w:r>
      <w:r w:rsidRPr="00C75D7A">
        <w:t>, providing reassurance that it is achievable</w:t>
      </w:r>
      <w:r>
        <w:t>.</w:t>
      </w:r>
    </w:p>
    <w:p w14:paraId="39A37260" w14:textId="77777777" w:rsidR="00376029" w:rsidRDefault="00376029" w:rsidP="00376029">
      <w:pPr>
        <w:pStyle w:val="Paragraph"/>
        <w:numPr>
          <w:ilvl w:val="0"/>
          <w:numId w:val="47"/>
        </w:numPr>
        <w:tabs>
          <w:tab w:val="clear" w:pos="426"/>
        </w:tabs>
        <w:spacing w:line="360" w:lineRule="auto"/>
      </w:pPr>
      <w:r>
        <w:t xml:space="preserve">Patient representatives noted severity is a difficult area to understand and more lay-friendly explanations would be welcome. </w:t>
      </w:r>
    </w:p>
    <w:p w14:paraId="4E679029" w14:textId="77777777" w:rsidR="00376029" w:rsidRDefault="00376029" w:rsidP="00376029">
      <w:pPr>
        <w:pStyle w:val="Paragraph"/>
        <w:numPr>
          <w:ilvl w:val="0"/>
          <w:numId w:val="50"/>
        </w:numPr>
        <w:tabs>
          <w:tab w:val="clear" w:pos="426"/>
        </w:tabs>
        <w:spacing w:line="360" w:lineRule="auto"/>
      </w:pPr>
      <w:r>
        <w:t>N</w:t>
      </w:r>
      <w:r w:rsidRPr="00392CD8">
        <w:t xml:space="preserve">ICE </w:t>
      </w:r>
      <w:r>
        <w:t>teams</w:t>
      </w:r>
      <w:r w:rsidRPr="00392CD8">
        <w:t xml:space="preserve"> are actively encouraging committees to consider additional flexibilities during decision making. </w:t>
      </w:r>
      <w:r>
        <w:t xml:space="preserve">NICE will be working on structured decision support guides for committee meetings.   </w:t>
      </w:r>
    </w:p>
    <w:p w14:paraId="76125314" w14:textId="643E4F9C" w:rsidR="00376029" w:rsidRDefault="00376029" w:rsidP="00376029">
      <w:pPr>
        <w:pStyle w:val="Paragraph"/>
        <w:numPr>
          <w:ilvl w:val="0"/>
          <w:numId w:val="49"/>
        </w:numPr>
        <w:tabs>
          <w:tab w:val="clear" w:pos="426"/>
        </w:tabs>
        <w:spacing w:line="360" w:lineRule="auto"/>
      </w:pPr>
      <w:r>
        <w:t xml:space="preserve">The new manual aims to front-load work </w:t>
      </w:r>
      <w:r w:rsidRPr="00895DB3">
        <w:rPr>
          <w:i/>
          <w:iCs/>
        </w:rPr>
        <w:t>pre</w:t>
      </w:r>
      <w:r>
        <w:t xml:space="preserve">-committee to ensure timeliness, however a lot of work still happens </w:t>
      </w:r>
      <w:r w:rsidRPr="00895DB3">
        <w:rPr>
          <w:i/>
          <w:iCs/>
        </w:rPr>
        <w:t>post</w:t>
      </w:r>
      <w:r>
        <w:t xml:space="preserve">-committee, including delays for </w:t>
      </w:r>
      <w:r>
        <w:lastRenderedPageBreak/>
        <w:t xml:space="preserve">commercial and managed access negotiations. Often, both companies and NHS England are keen to know committee’s preferred assumptions before deciding commercial next steps, which can negate any time savings from earlier engagement, delaying patient access.   </w:t>
      </w:r>
    </w:p>
    <w:p w14:paraId="380A0C78" w14:textId="77777777" w:rsidR="00376029" w:rsidRDefault="00376029" w:rsidP="00376029">
      <w:pPr>
        <w:pStyle w:val="Paragraph"/>
        <w:numPr>
          <w:ilvl w:val="0"/>
          <w:numId w:val="49"/>
        </w:numPr>
        <w:tabs>
          <w:tab w:val="clear" w:pos="426"/>
        </w:tabs>
        <w:spacing w:line="360" w:lineRule="auto"/>
      </w:pPr>
      <w:r>
        <w:t xml:space="preserve">All stakeholders were happy with opportunities to take pragmatic approaches to speed up the process, for example, </w:t>
      </w:r>
      <w:r w:rsidRPr="00796D27">
        <w:t>decision making outside of a formal committee in specific circumstances</w:t>
      </w:r>
      <w:r>
        <w:t xml:space="preserve">.   </w:t>
      </w:r>
    </w:p>
    <w:p w14:paraId="748D2824" w14:textId="70647780" w:rsidR="00376029" w:rsidRDefault="00376029" w:rsidP="00376029">
      <w:pPr>
        <w:pStyle w:val="Heading2"/>
      </w:pPr>
      <w:r>
        <w:t>Conclusions and next steps on implementation of the current manual for technology evaluation</w:t>
      </w:r>
    </w:p>
    <w:p w14:paraId="6649D108" w14:textId="7ECDE9C4" w:rsidR="00376029" w:rsidRDefault="00376029" w:rsidP="00376029">
      <w:pPr>
        <w:pStyle w:val="Paragraph"/>
      </w:pPr>
      <w:r>
        <w:t xml:space="preserve">We will </w:t>
      </w:r>
      <w:r w:rsidR="00275788">
        <w:t>continue to</w:t>
      </w:r>
      <w:r>
        <w:t xml:space="preserve"> review the implementation of the </w:t>
      </w:r>
      <w:r w:rsidR="008F11ED">
        <w:t>manual</w:t>
      </w:r>
      <w:r w:rsidR="00275788">
        <w:t xml:space="preserve">, returning to the </w:t>
      </w:r>
      <w:r w:rsidR="008F11ED">
        <w:t xml:space="preserve">NICE </w:t>
      </w:r>
      <w:r w:rsidR="00275788">
        <w:t>Board</w:t>
      </w:r>
      <w:r>
        <w:t xml:space="preserve"> after 1 year of committee meetings (quarter 4 2023)</w:t>
      </w:r>
      <w:r w:rsidR="00275788">
        <w:t xml:space="preserve"> with a further update</w:t>
      </w:r>
      <w:r>
        <w:t xml:space="preserve">, including: </w:t>
      </w:r>
    </w:p>
    <w:p w14:paraId="38E505BC" w14:textId="77777777" w:rsidR="00376029" w:rsidRDefault="00376029" w:rsidP="00376029">
      <w:pPr>
        <w:pStyle w:val="Paragraph"/>
        <w:numPr>
          <w:ilvl w:val="0"/>
          <w:numId w:val="46"/>
        </w:numPr>
        <w:tabs>
          <w:tab w:val="clear" w:pos="426"/>
        </w:tabs>
        <w:spacing w:line="360" w:lineRule="auto"/>
      </w:pPr>
      <w:r>
        <w:t>Quantitative and qualitative data on use of the methods in practice</w:t>
      </w:r>
    </w:p>
    <w:p w14:paraId="4519D15E" w14:textId="77777777" w:rsidR="00376029" w:rsidRDefault="00376029" w:rsidP="00376029">
      <w:pPr>
        <w:pStyle w:val="Paragraph"/>
        <w:numPr>
          <w:ilvl w:val="0"/>
          <w:numId w:val="46"/>
        </w:numPr>
        <w:tabs>
          <w:tab w:val="clear" w:pos="426"/>
        </w:tabs>
        <w:spacing w:line="360" w:lineRule="auto"/>
      </w:pPr>
      <w:r>
        <w:t>Practical and operational challenges, requiring additional implementation support (e.g. training, resources, clarification, position statements)</w:t>
      </w:r>
    </w:p>
    <w:p w14:paraId="0A81D559" w14:textId="77777777" w:rsidR="00376029" w:rsidRDefault="00376029" w:rsidP="00376029">
      <w:pPr>
        <w:pStyle w:val="Paragraph"/>
        <w:numPr>
          <w:ilvl w:val="0"/>
          <w:numId w:val="46"/>
        </w:numPr>
        <w:tabs>
          <w:tab w:val="clear" w:pos="426"/>
        </w:tabs>
        <w:spacing w:line="360" w:lineRule="auto"/>
      </w:pPr>
      <w:r>
        <w:t>Methodological challenges, concerns or developments that may require consideration for modular updates.</w:t>
      </w:r>
    </w:p>
    <w:p w14:paraId="1351C323" w14:textId="1457A35D" w:rsidR="004B4705" w:rsidRPr="00A22E2D" w:rsidRDefault="00376029" w:rsidP="00275788">
      <w:pPr>
        <w:pStyle w:val="Title1"/>
        <w:jc w:val="left"/>
      </w:pPr>
      <w:r>
        <w:t>Develop</w:t>
      </w:r>
      <w:r w:rsidR="00275788">
        <w:t>ing</w:t>
      </w:r>
      <w:r>
        <w:t xml:space="preserve"> a framework for </w:t>
      </w:r>
      <w:r w:rsidR="00275788">
        <w:t xml:space="preserve">a </w:t>
      </w:r>
      <w:r>
        <w:t xml:space="preserve">modular </w:t>
      </w:r>
      <w:r w:rsidR="000C67BC">
        <w:t>update</w:t>
      </w:r>
    </w:p>
    <w:p w14:paraId="5B918CDB" w14:textId="1538B83A" w:rsidR="00483B65" w:rsidRDefault="00483B65" w:rsidP="00483B65">
      <w:pPr>
        <w:pStyle w:val="NICEnormalnumbered"/>
      </w:pPr>
      <w:r>
        <w:t xml:space="preserve">A modular update is a review of </w:t>
      </w:r>
      <w:r w:rsidR="00AE6DD6">
        <w:t xml:space="preserve">the </w:t>
      </w:r>
      <w:r>
        <w:t>process and</w:t>
      </w:r>
      <w:r w:rsidR="00822578">
        <w:t>/or</w:t>
      </w:r>
      <w:r>
        <w:t xml:space="preserve"> methods</w:t>
      </w:r>
      <w:r w:rsidR="00AE6DD6">
        <w:t xml:space="preserve"> of technology evaluation</w:t>
      </w:r>
      <w:r>
        <w:t xml:space="preserve"> that is limited to specific </w:t>
      </w:r>
      <w:r w:rsidR="00700287">
        <w:t>subject</w:t>
      </w:r>
      <w:r w:rsidR="005D1859">
        <w:t xml:space="preserve"> </w:t>
      </w:r>
      <w:r>
        <w:t>areas</w:t>
      </w:r>
      <w:r w:rsidR="00931AA6">
        <w:t xml:space="preserve"> (e.g. </w:t>
      </w:r>
      <w:r w:rsidR="002E2A61">
        <w:t>children</w:t>
      </w:r>
      <w:r w:rsidR="003C0A98">
        <w:t>’</w:t>
      </w:r>
      <w:r w:rsidR="002E2A61">
        <w:t>s</w:t>
      </w:r>
      <w:r w:rsidR="00F64F49">
        <w:t xml:space="preserve"> quality of life</w:t>
      </w:r>
      <w:r w:rsidR="00931AA6">
        <w:t>)</w:t>
      </w:r>
      <w:r>
        <w:t xml:space="preserve">, which can be </w:t>
      </w:r>
      <w:r w:rsidR="00931AA6">
        <w:t xml:space="preserve">reviewed and </w:t>
      </w:r>
      <w:r>
        <w:t xml:space="preserve">updated </w:t>
      </w:r>
      <w:r w:rsidR="00931AA6">
        <w:t>as required</w:t>
      </w:r>
      <w:r w:rsidR="00B52142">
        <w:t xml:space="preserve">, </w:t>
      </w:r>
      <w:r>
        <w:t xml:space="preserve">without </w:t>
      </w:r>
      <w:r w:rsidR="005838D1">
        <w:t xml:space="preserve">needing </w:t>
      </w:r>
      <w:r>
        <w:t xml:space="preserve">a review of the full manual. Modular updates will be split into 3 main types: </w:t>
      </w:r>
    </w:p>
    <w:p w14:paraId="79D584D9" w14:textId="7D9F63D6" w:rsidR="00483B65" w:rsidRDefault="30138509" w:rsidP="00AE6DD6">
      <w:pPr>
        <w:pStyle w:val="Bulletindent1"/>
      </w:pPr>
      <w:r>
        <w:t xml:space="preserve">Quick wins </w:t>
      </w:r>
      <w:r w:rsidR="69EB635C">
        <w:t>–</w:t>
      </w:r>
      <w:r>
        <w:t xml:space="preserve"> </w:t>
      </w:r>
      <w:r w:rsidR="00C64874">
        <w:t>can be immediately</w:t>
      </w:r>
      <w:r>
        <w:t xml:space="preserve"> implemented</w:t>
      </w:r>
      <w:r w:rsidR="00B83C7C">
        <w:t xml:space="preserve"> without engagement</w:t>
      </w:r>
      <w:r w:rsidR="00483B65">
        <w:t>.</w:t>
      </w:r>
      <w:r>
        <w:t xml:space="preserve"> For example, </w:t>
      </w:r>
      <w:r w:rsidR="69EB635C">
        <w:t xml:space="preserve">making changes to the manual such as </w:t>
      </w:r>
      <w:r>
        <w:t>correcting typos, fixing hyperlinks, correcting 'bugs</w:t>
      </w:r>
      <w:proofErr w:type="gramStart"/>
      <w:r>
        <w:t>'</w:t>
      </w:r>
      <w:proofErr w:type="gramEnd"/>
      <w:r w:rsidR="007403AA">
        <w:t xml:space="preserve"> and</w:t>
      </w:r>
      <w:r>
        <w:t xml:space="preserve"> </w:t>
      </w:r>
      <w:r w:rsidR="773CE829">
        <w:t>adding clarification wording</w:t>
      </w:r>
      <w:r w:rsidR="69EB635C">
        <w:t xml:space="preserve">. </w:t>
      </w:r>
    </w:p>
    <w:p w14:paraId="0F566A20" w14:textId="1378BC7E" w:rsidR="00483B65" w:rsidRDefault="00483B65" w:rsidP="00AE6DD6">
      <w:pPr>
        <w:pStyle w:val="Bulletindent1"/>
      </w:pPr>
      <w:r>
        <w:t xml:space="preserve">Partial update </w:t>
      </w:r>
      <w:r w:rsidR="009D6557">
        <w:t>–</w:t>
      </w:r>
      <w:r>
        <w:t xml:space="preserve"> needs some form of review and engagement before </w:t>
      </w:r>
      <w:r w:rsidR="009D6557">
        <w:t>deciding whether a</w:t>
      </w:r>
      <w:r>
        <w:t xml:space="preserve"> change</w:t>
      </w:r>
      <w:r w:rsidR="009D6557">
        <w:t xml:space="preserve"> to the manual is needed</w:t>
      </w:r>
      <w:r>
        <w:t xml:space="preserve">. </w:t>
      </w:r>
      <w:r w:rsidR="007403AA">
        <w:t>For example,</w:t>
      </w:r>
      <w:r>
        <w:t xml:space="preserve"> providing clarification about a </w:t>
      </w:r>
      <w:r w:rsidR="43BD15AA">
        <w:t xml:space="preserve">subject </w:t>
      </w:r>
      <w:r>
        <w:t>where there are areas of ambiguity</w:t>
      </w:r>
      <w:r w:rsidR="00B52142">
        <w:t>.</w:t>
      </w:r>
    </w:p>
    <w:p w14:paraId="2A1C1041" w14:textId="09503050" w:rsidR="009D3170" w:rsidRPr="009D3170" w:rsidRDefault="30138509" w:rsidP="009D3170">
      <w:pPr>
        <w:pStyle w:val="Bulletindent1last"/>
      </w:pPr>
      <w:r>
        <w:lastRenderedPageBreak/>
        <w:t xml:space="preserve">Full update </w:t>
      </w:r>
      <w:r w:rsidR="69EB635C">
        <w:t>–</w:t>
      </w:r>
      <w:r>
        <w:t xml:space="preserve"> </w:t>
      </w:r>
      <w:r w:rsidR="69EB635C">
        <w:t>requires a</w:t>
      </w:r>
      <w:r>
        <w:t xml:space="preserve"> full review</w:t>
      </w:r>
      <w:r w:rsidR="00BB1532">
        <w:t xml:space="preserve"> and</w:t>
      </w:r>
      <w:r>
        <w:t xml:space="preserve"> consultation before </w:t>
      </w:r>
      <w:r w:rsidR="00BB1532">
        <w:t>implementing</w:t>
      </w:r>
      <w:r w:rsidR="69EB635C">
        <w:t xml:space="preserve"> a change to the manual</w:t>
      </w:r>
      <w:r>
        <w:t>. For example, assessing whether to consider an update to decision modifiers.</w:t>
      </w:r>
    </w:p>
    <w:p w14:paraId="753E9EC8" w14:textId="56941B74" w:rsidR="002E16A2" w:rsidRDefault="0088665B" w:rsidP="00483B65">
      <w:pPr>
        <w:pStyle w:val="NICEnormalnumbered"/>
      </w:pPr>
      <w:r>
        <w:t>A</w:t>
      </w:r>
      <w:r w:rsidR="00483B65">
        <w:t xml:space="preserve"> </w:t>
      </w:r>
      <w:r w:rsidR="00700287">
        <w:t>subject</w:t>
      </w:r>
      <w:r w:rsidR="00C65D04">
        <w:t xml:space="preserve"> </w:t>
      </w:r>
      <w:r w:rsidR="00483B65">
        <w:t xml:space="preserve">area considered for a modular update may, or may not, result in changes to the written manual. </w:t>
      </w:r>
      <w:r w:rsidR="002E16A2">
        <w:t xml:space="preserve">For example </w:t>
      </w:r>
      <w:r w:rsidR="00894200">
        <w:t xml:space="preserve">the following may </w:t>
      </w:r>
      <w:r w:rsidR="002E16A2">
        <w:t>be determined</w:t>
      </w:r>
      <w:r w:rsidR="00894200">
        <w:t>, and which would not require a consultation</w:t>
      </w:r>
      <w:r w:rsidR="002E16A2">
        <w:t xml:space="preserve">: </w:t>
      </w:r>
    </w:p>
    <w:p w14:paraId="76426048" w14:textId="555914B2" w:rsidR="002E16A2" w:rsidRDefault="67194D3F" w:rsidP="002E16A2">
      <w:pPr>
        <w:pStyle w:val="Bulletindent1"/>
      </w:pPr>
      <w:r>
        <w:t xml:space="preserve">Updates to documents other than the manual are required. For example, updating company submission templates with additional detail, </w:t>
      </w:r>
      <w:r w:rsidR="005F7A4B">
        <w:t xml:space="preserve">or developing a technical support document, </w:t>
      </w:r>
      <w:r>
        <w:t xml:space="preserve">rather than updating the manual. </w:t>
      </w:r>
    </w:p>
    <w:p w14:paraId="08AEEA9D" w14:textId="08DBAF8E" w:rsidR="009D6557" w:rsidRPr="002E16A2" w:rsidRDefault="69EB635C" w:rsidP="002E16A2">
      <w:pPr>
        <w:pStyle w:val="Bulletindent1"/>
      </w:pPr>
      <w:r>
        <w:t xml:space="preserve">A change is required in how the manual is operationalised, rather than the </w:t>
      </w:r>
      <w:r w:rsidR="005F7A4B">
        <w:t xml:space="preserve">wording in the </w:t>
      </w:r>
      <w:r>
        <w:t>manual</w:t>
      </w:r>
      <w:r w:rsidR="50C6D300">
        <w:t xml:space="preserve">. </w:t>
      </w:r>
    </w:p>
    <w:p w14:paraId="04A398AC" w14:textId="23C36E0B" w:rsidR="002E16A2" w:rsidRDefault="002E16A2" w:rsidP="002E16A2">
      <w:pPr>
        <w:pStyle w:val="Bulletindent1last"/>
      </w:pPr>
      <w:r>
        <w:t>A</w:t>
      </w:r>
      <w:r w:rsidR="00483B65">
        <w:t xml:space="preserve"> decision of 'no change necessary'</w:t>
      </w:r>
      <w:r>
        <w:t xml:space="preserve"> may be an appropriate </w:t>
      </w:r>
      <w:r w:rsidR="00483B65">
        <w:t>conclusion.</w:t>
      </w:r>
      <w:r w:rsidR="009D3170">
        <w:t xml:space="preserve">   </w:t>
      </w:r>
      <w:r w:rsidR="00483B65">
        <w:t xml:space="preserve">  </w:t>
      </w:r>
    </w:p>
    <w:p w14:paraId="7053567F" w14:textId="16F70BEE" w:rsidR="00AE6DD6" w:rsidRDefault="00A924C1" w:rsidP="002473A2">
      <w:pPr>
        <w:pStyle w:val="Heading1boardreport"/>
      </w:pPr>
      <w:r>
        <w:t xml:space="preserve">Which teams will this framework be relevant for? </w:t>
      </w:r>
    </w:p>
    <w:p w14:paraId="5672877E" w14:textId="7841349F" w:rsidR="002473A2" w:rsidRDefault="00A924C1" w:rsidP="00F14C23">
      <w:pPr>
        <w:pStyle w:val="NICEnormalnumbered"/>
      </w:pPr>
      <w:r>
        <w:t xml:space="preserve">The </w:t>
      </w:r>
      <w:r w:rsidR="00B740DE">
        <w:t xml:space="preserve">existing </w:t>
      </w:r>
      <w:r>
        <w:t>manual for technology evaluation covers</w:t>
      </w:r>
      <w:r w:rsidR="002E16A2">
        <w:t xml:space="preserve"> the following teams</w:t>
      </w:r>
      <w:r w:rsidR="009D2784">
        <w:t xml:space="preserve"> and programmes: commercial and managed access, diagnostic assessment</w:t>
      </w:r>
      <w:r w:rsidR="0018077F">
        <w:t>s</w:t>
      </w:r>
      <w:r w:rsidR="009D2784">
        <w:t>, highly specialised technologies, medical technologies evaluation</w:t>
      </w:r>
      <w:r w:rsidR="0018077F">
        <w:t>s</w:t>
      </w:r>
      <w:r w:rsidR="009D2784">
        <w:t xml:space="preserve"> and technology appraisals</w:t>
      </w:r>
      <w:r w:rsidR="002E16A2">
        <w:t>. These will be the teams directly impacted by any modular updates to the manual</w:t>
      </w:r>
      <w:r w:rsidR="009D2784">
        <w:t>.</w:t>
      </w:r>
      <w:r w:rsidR="49496F15">
        <w:t xml:space="preserve"> </w:t>
      </w:r>
      <w:r w:rsidR="002473A2">
        <w:t xml:space="preserve">In addition, cross-NICE engagement will be undertaken for </w:t>
      </w:r>
      <w:r w:rsidR="00B740DE">
        <w:t xml:space="preserve">any </w:t>
      </w:r>
      <w:r w:rsidR="00295514">
        <w:t xml:space="preserve">partial or </w:t>
      </w:r>
      <w:r w:rsidR="005F7A4B">
        <w:t>full</w:t>
      </w:r>
      <w:r w:rsidR="002473A2">
        <w:t xml:space="preserve"> </w:t>
      </w:r>
      <w:r w:rsidR="00E10F41">
        <w:t xml:space="preserve">modular </w:t>
      </w:r>
      <w:r w:rsidR="002473A2">
        <w:t>updates</w:t>
      </w:r>
      <w:r w:rsidR="00683EB6">
        <w:t xml:space="preserve"> to</w:t>
      </w:r>
      <w:r w:rsidR="002473A2">
        <w:t xml:space="preserve"> ensure </w:t>
      </w:r>
      <w:r w:rsidR="00C65D04">
        <w:t>consistency</w:t>
      </w:r>
      <w:r w:rsidR="00E514F4">
        <w:t xml:space="preserve"> and </w:t>
      </w:r>
      <w:r w:rsidR="002473A2">
        <w:t>alignment of NICE processe</w:t>
      </w:r>
      <w:r w:rsidR="006A4737">
        <w:t>s and methods</w:t>
      </w:r>
      <w:r w:rsidR="002473A2">
        <w:t xml:space="preserve"> wherever possible</w:t>
      </w:r>
      <w:r w:rsidR="007403AA">
        <w:t>.</w:t>
      </w:r>
      <w:r w:rsidR="002473A2">
        <w:t xml:space="preserve"> </w:t>
      </w:r>
    </w:p>
    <w:p w14:paraId="7EC5B119" w14:textId="5389E028" w:rsidR="00F14C23" w:rsidRPr="00554AD1" w:rsidRDefault="00AE6DD6" w:rsidP="00A22E2D">
      <w:pPr>
        <w:pStyle w:val="Heading1boardreport"/>
      </w:pPr>
      <w:r w:rsidRPr="00AE6DD6">
        <w:t>Overarching process</w:t>
      </w:r>
    </w:p>
    <w:p w14:paraId="2F63179F" w14:textId="13E9F006" w:rsidR="00A22E2D" w:rsidRDefault="00A22E2D" w:rsidP="00AE6DD6">
      <w:pPr>
        <w:pStyle w:val="NICEnormalnumbered"/>
      </w:pPr>
      <w:r>
        <w:t xml:space="preserve">Table 1 outlines </w:t>
      </w:r>
      <w:r w:rsidR="00AE6DD6">
        <w:t xml:space="preserve">the </w:t>
      </w:r>
      <w:r>
        <w:t xml:space="preserve">expected </w:t>
      </w:r>
      <w:r w:rsidR="00AE6DD6">
        <w:t>major steps</w:t>
      </w:r>
      <w:r>
        <w:t xml:space="preserve"> in the process</w:t>
      </w:r>
      <w:r w:rsidR="00966702">
        <w:t>.</w:t>
      </w:r>
      <w:r w:rsidR="007403AA">
        <w:t xml:space="preserve"> </w:t>
      </w:r>
      <w:r w:rsidR="00966702">
        <w:t>N</w:t>
      </w:r>
      <w:r>
        <w:t>ot all modular updates will require all steps</w:t>
      </w:r>
      <w:r w:rsidR="0085060B">
        <w:t>. A</w:t>
      </w:r>
      <w:r>
        <w:t xml:space="preserve"> cross denotes whether the action is required for each type of update</w:t>
      </w:r>
      <w:r w:rsidR="00FF479D">
        <w:t xml:space="preserve">. </w:t>
      </w:r>
      <w:r w:rsidR="007403AA">
        <w:t>Further detail on these process steps is outlined in the Appendix.</w:t>
      </w:r>
    </w:p>
    <w:p w14:paraId="1A02B9CF" w14:textId="24201C79" w:rsidR="00AE6DD6" w:rsidRDefault="62B27835" w:rsidP="00AE6DD6">
      <w:pPr>
        <w:pStyle w:val="NICEnormalnumbered"/>
      </w:pPr>
      <w:r>
        <w:t xml:space="preserve">Timings for each step are not set out; it is expected that different </w:t>
      </w:r>
      <w:r w:rsidR="0085060B">
        <w:t xml:space="preserve">modules </w:t>
      </w:r>
      <w:r>
        <w:t>will have different resource demands and so bespoke timelines would be generated</w:t>
      </w:r>
      <w:r w:rsidR="7BA92F51">
        <w:t xml:space="preserve"> for each modular update. </w:t>
      </w:r>
      <w:r>
        <w:t xml:space="preserve">  </w:t>
      </w:r>
    </w:p>
    <w:p w14:paraId="4686601E" w14:textId="3F5B25F8" w:rsidR="00AE6DD6" w:rsidRDefault="00AE6DD6" w:rsidP="00AE6DD6">
      <w:pPr>
        <w:pStyle w:val="Caption"/>
      </w:pPr>
      <w:r>
        <w:lastRenderedPageBreak/>
        <w:t>Table</w:t>
      </w:r>
      <w:r w:rsidRPr="009A3BD0">
        <w:t xml:space="preserve"> 1. </w:t>
      </w:r>
      <w:r w:rsidRPr="00AE6DD6">
        <w:t>Overarching process for modular updates for the manual for technology evaluation</w:t>
      </w:r>
    </w:p>
    <w:tbl>
      <w:tblPr>
        <w:tblStyle w:val="TableGrid"/>
        <w:tblW w:w="9016" w:type="dxa"/>
        <w:tblLook w:val="04A0" w:firstRow="1" w:lastRow="0" w:firstColumn="1" w:lastColumn="0" w:noHBand="0" w:noVBand="1"/>
      </w:tblPr>
      <w:tblGrid>
        <w:gridCol w:w="704"/>
        <w:gridCol w:w="4379"/>
        <w:gridCol w:w="1376"/>
        <w:gridCol w:w="1510"/>
        <w:gridCol w:w="1047"/>
      </w:tblGrid>
      <w:tr w:rsidR="009A5DE4" w:rsidRPr="007277C3" w14:paraId="2568F8CE" w14:textId="69B18FD9" w:rsidTr="037A9947">
        <w:tc>
          <w:tcPr>
            <w:tcW w:w="704" w:type="dxa"/>
          </w:tcPr>
          <w:p w14:paraId="4032294A" w14:textId="5861A508" w:rsidR="009A5DE4" w:rsidRPr="000A0608" w:rsidRDefault="009A5DE4" w:rsidP="00AE6DD6">
            <w:pPr>
              <w:pStyle w:val="Tableheadingboardreport"/>
            </w:pPr>
            <w:r>
              <w:t>No.</w:t>
            </w:r>
          </w:p>
        </w:tc>
        <w:tc>
          <w:tcPr>
            <w:tcW w:w="4379" w:type="dxa"/>
          </w:tcPr>
          <w:p w14:paraId="2C223657" w14:textId="4A086C5E" w:rsidR="009A5DE4" w:rsidRPr="00F14C23" w:rsidRDefault="009A5DE4" w:rsidP="00AE6DD6">
            <w:pPr>
              <w:pStyle w:val="Tableheadingboardreport"/>
            </w:pPr>
            <w:r w:rsidRPr="000A0608">
              <w:t xml:space="preserve">Step and description </w:t>
            </w:r>
          </w:p>
        </w:tc>
        <w:tc>
          <w:tcPr>
            <w:tcW w:w="1376" w:type="dxa"/>
          </w:tcPr>
          <w:p w14:paraId="378B8079" w14:textId="5C082836" w:rsidR="009A5DE4" w:rsidRPr="00F14C23" w:rsidRDefault="009A5DE4" w:rsidP="00AE6DD6">
            <w:pPr>
              <w:pStyle w:val="Tableheadingboardreport"/>
            </w:pPr>
            <w:r w:rsidRPr="000A0608">
              <w:t xml:space="preserve">Full modular update </w:t>
            </w:r>
          </w:p>
        </w:tc>
        <w:tc>
          <w:tcPr>
            <w:tcW w:w="1510" w:type="dxa"/>
          </w:tcPr>
          <w:p w14:paraId="7DCC65C4" w14:textId="2F4C79B6" w:rsidR="009A5DE4" w:rsidRPr="00F14C23" w:rsidRDefault="009A5DE4" w:rsidP="00AE6DD6">
            <w:pPr>
              <w:pStyle w:val="Tableheadingboardreport"/>
            </w:pPr>
            <w:r w:rsidRPr="000A0608">
              <w:t xml:space="preserve">Partial modular update </w:t>
            </w:r>
          </w:p>
        </w:tc>
        <w:tc>
          <w:tcPr>
            <w:tcW w:w="1047" w:type="dxa"/>
          </w:tcPr>
          <w:p w14:paraId="5BE858DD" w14:textId="23E5F497" w:rsidR="009A5DE4" w:rsidRDefault="009A5DE4" w:rsidP="00AE6DD6">
            <w:pPr>
              <w:pStyle w:val="Tableheadingboardreport"/>
            </w:pPr>
            <w:r w:rsidRPr="000A0608">
              <w:t xml:space="preserve">‘Quick win’ </w:t>
            </w:r>
          </w:p>
        </w:tc>
      </w:tr>
      <w:tr w:rsidR="009A5DE4" w:rsidRPr="007277C3" w14:paraId="23AC50D4" w14:textId="3EE74780" w:rsidTr="037A9947">
        <w:tc>
          <w:tcPr>
            <w:tcW w:w="704" w:type="dxa"/>
          </w:tcPr>
          <w:p w14:paraId="007EB9F8" w14:textId="522907B5" w:rsidR="009A5DE4" w:rsidRPr="009B34B0" w:rsidRDefault="009A5DE4" w:rsidP="00AE6DD6">
            <w:pPr>
              <w:pStyle w:val="Tabletext"/>
            </w:pPr>
            <w:r w:rsidRPr="009B34B0">
              <w:t>1</w:t>
            </w:r>
          </w:p>
        </w:tc>
        <w:tc>
          <w:tcPr>
            <w:tcW w:w="4379" w:type="dxa"/>
          </w:tcPr>
          <w:p w14:paraId="5754D729" w14:textId="733D84F0" w:rsidR="009A5DE4" w:rsidRPr="007D1E17" w:rsidRDefault="009A5DE4" w:rsidP="00AE6DD6">
            <w:pPr>
              <w:pStyle w:val="Tabletext"/>
            </w:pPr>
            <w:r w:rsidRPr="4A2C9E52">
              <w:rPr>
                <w:b/>
                <w:bCs/>
              </w:rPr>
              <w:t>Horizon scanning</w:t>
            </w:r>
            <w:r>
              <w:t>: Engaging with internal and external stakeholders about which subject areas might be relevant for review</w:t>
            </w:r>
          </w:p>
        </w:tc>
        <w:tc>
          <w:tcPr>
            <w:tcW w:w="1376" w:type="dxa"/>
          </w:tcPr>
          <w:p w14:paraId="48DF38A2" w14:textId="72AA9632" w:rsidR="009A5DE4" w:rsidRPr="00F14C23" w:rsidRDefault="009A5DE4" w:rsidP="00A22E2D">
            <w:pPr>
              <w:pStyle w:val="Tabletext"/>
              <w:jc w:val="center"/>
            </w:pPr>
            <w:r w:rsidRPr="006949CA">
              <w:t>X</w:t>
            </w:r>
          </w:p>
        </w:tc>
        <w:tc>
          <w:tcPr>
            <w:tcW w:w="1510" w:type="dxa"/>
          </w:tcPr>
          <w:p w14:paraId="6555B276" w14:textId="601C463D" w:rsidR="009A5DE4" w:rsidRPr="00F14C23" w:rsidRDefault="009A5DE4" w:rsidP="00A22E2D">
            <w:pPr>
              <w:pStyle w:val="Tabletext"/>
              <w:jc w:val="center"/>
            </w:pPr>
            <w:r w:rsidRPr="006949CA">
              <w:t>X</w:t>
            </w:r>
          </w:p>
        </w:tc>
        <w:tc>
          <w:tcPr>
            <w:tcW w:w="1047" w:type="dxa"/>
          </w:tcPr>
          <w:p w14:paraId="49AED36A" w14:textId="37BF8733" w:rsidR="009A5DE4" w:rsidRDefault="009A5DE4" w:rsidP="00A22E2D">
            <w:pPr>
              <w:pStyle w:val="Tabletext"/>
              <w:jc w:val="center"/>
            </w:pPr>
            <w:r w:rsidRPr="006949CA">
              <w:t>X</w:t>
            </w:r>
          </w:p>
        </w:tc>
      </w:tr>
      <w:tr w:rsidR="009A5DE4" w:rsidRPr="007277C3" w14:paraId="4F359F47" w14:textId="23B4A481" w:rsidTr="037A9947">
        <w:tc>
          <w:tcPr>
            <w:tcW w:w="704" w:type="dxa"/>
          </w:tcPr>
          <w:p w14:paraId="28A02235" w14:textId="36721BED" w:rsidR="009A5DE4" w:rsidRPr="009B34B0" w:rsidDel="00FF479D" w:rsidRDefault="009A5DE4" w:rsidP="00AE6DD6">
            <w:pPr>
              <w:pStyle w:val="Tabletext"/>
            </w:pPr>
            <w:r w:rsidRPr="009B34B0">
              <w:t>2</w:t>
            </w:r>
          </w:p>
        </w:tc>
        <w:tc>
          <w:tcPr>
            <w:tcW w:w="4379" w:type="dxa"/>
          </w:tcPr>
          <w:p w14:paraId="7582E431" w14:textId="48CF9647" w:rsidR="009A5DE4" w:rsidRDefault="009A5DE4" w:rsidP="00AE6DD6">
            <w:pPr>
              <w:pStyle w:val="Tabletext"/>
            </w:pPr>
            <w:r>
              <w:rPr>
                <w:b/>
                <w:bCs/>
              </w:rPr>
              <w:t>Module</w:t>
            </w:r>
            <w:r w:rsidRPr="21C3EA62">
              <w:rPr>
                <w:b/>
                <w:bCs/>
              </w:rPr>
              <w:t xml:space="preserve"> selection</w:t>
            </w:r>
            <w:r>
              <w:t>: Identified subjects assessed for feasibility and prioritisation</w:t>
            </w:r>
          </w:p>
        </w:tc>
        <w:tc>
          <w:tcPr>
            <w:tcW w:w="1376" w:type="dxa"/>
          </w:tcPr>
          <w:p w14:paraId="39792602" w14:textId="49B27EBA" w:rsidR="009A5DE4" w:rsidRDefault="009A5DE4" w:rsidP="00A22E2D">
            <w:pPr>
              <w:pStyle w:val="Tabletext"/>
              <w:jc w:val="center"/>
            </w:pPr>
            <w:r w:rsidRPr="006949CA">
              <w:t>X</w:t>
            </w:r>
          </w:p>
        </w:tc>
        <w:tc>
          <w:tcPr>
            <w:tcW w:w="1510" w:type="dxa"/>
          </w:tcPr>
          <w:p w14:paraId="77B3FE74" w14:textId="5FB47F2F" w:rsidR="009A5DE4" w:rsidRDefault="009A5DE4" w:rsidP="00A22E2D">
            <w:pPr>
              <w:pStyle w:val="Tabletext"/>
              <w:jc w:val="center"/>
            </w:pPr>
            <w:r w:rsidRPr="006949CA">
              <w:t>X</w:t>
            </w:r>
          </w:p>
        </w:tc>
        <w:tc>
          <w:tcPr>
            <w:tcW w:w="1047" w:type="dxa"/>
          </w:tcPr>
          <w:p w14:paraId="6417B118" w14:textId="77777777" w:rsidR="009A5DE4" w:rsidRDefault="009A5DE4" w:rsidP="00A22E2D">
            <w:pPr>
              <w:pStyle w:val="Tabletext"/>
              <w:jc w:val="center"/>
            </w:pPr>
          </w:p>
        </w:tc>
      </w:tr>
      <w:tr w:rsidR="009A5DE4" w:rsidRPr="007277C3" w14:paraId="0474E7F5" w14:textId="3E0F099E" w:rsidTr="037A9947">
        <w:tc>
          <w:tcPr>
            <w:tcW w:w="704" w:type="dxa"/>
          </w:tcPr>
          <w:p w14:paraId="18173022" w14:textId="58235B46" w:rsidR="009A5DE4" w:rsidRPr="009B34B0" w:rsidDel="0085060B" w:rsidRDefault="009A5DE4" w:rsidP="00AE6DD6">
            <w:pPr>
              <w:pStyle w:val="Tabletext"/>
            </w:pPr>
            <w:r w:rsidRPr="009B34B0">
              <w:t>3</w:t>
            </w:r>
          </w:p>
        </w:tc>
        <w:tc>
          <w:tcPr>
            <w:tcW w:w="4379" w:type="dxa"/>
          </w:tcPr>
          <w:p w14:paraId="1B16EE2A" w14:textId="0643FC68" w:rsidR="009A5DE4" w:rsidRDefault="009A5DE4" w:rsidP="00AE6DD6">
            <w:pPr>
              <w:pStyle w:val="Tabletext"/>
            </w:pPr>
            <w:r>
              <w:rPr>
                <w:b/>
                <w:bCs/>
              </w:rPr>
              <w:t>Module r</w:t>
            </w:r>
            <w:r w:rsidRPr="00AE6DD6">
              <w:rPr>
                <w:b/>
                <w:bCs/>
              </w:rPr>
              <w:t>outing</w:t>
            </w:r>
            <w:r w:rsidRPr="003B5D73">
              <w:t xml:space="preserve">: </w:t>
            </w:r>
            <w:r>
              <w:t>Module</w:t>
            </w:r>
            <w:r w:rsidRPr="003B5D73">
              <w:t xml:space="preserve"> handed over to appropriate work programme </w:t>
            </w:r>
          </w:p>
        </w:tc>
        <w:tc>
          <w:tcPr>
            <w:tcW w:w="1376" w:type="dxa"/>
          </w:tcPr>
          <w:p w14:paraId="59BB91E1" w14:textId="2A801135" w:rsidR="009A5DE4" w:rsidRDefault="009A5DE4" w:rsidP="00A22E2D">
            <w:pPr>
              <w:pStyle w:val="Tabletext"/>
              <w:jc w:val="center"/>
            </w:pPr>
            <w:r w:rsidRPr="006949CA">
              <w:t>X</w:t>
            </w:r>
          </w:p>
        </w:tc>
        <w:tc>
          <w:tcPr>
            <w:tcW w:w="1510" w:type="dxa"/>
          </w:tcPr>
          <w:p w14:paraId="0BD84FAA" w14:textId="1C198FA7" w:rsidR="009A5DE4" w:rsidRDefault="009A5DE4" w:rsidP="00A22E2D">
            <w:pPr>
              <w:pStyle w:val="Tabletext"/>
              <w:jc w:val="center"/>
            </w:pPr>
            <w:r>
              <w:t>X</w:t>
            </w:r>
          </w:p>
        </w:tc>
        <w:tc>
          <w:tcPr>
            <w:tcW w:w="1047" w:type="dxa"/>
          </w:tcPr>
          <w:p w14:paraId="61F0BBAD" w14:textId="1BA8AA00" w:rsidR="009A5DE4" w:rsidRDefault="009A5DE4" w:rsidP="00A22E2D">
            <w:pPr>
              <w:pStyle w:val="Tabletext"/>
              <w:jc w:val="center"/>
            </w:pPr>
            <w:r>
              <w:t>X</w:t>
            </w:r>
          </w:p>
        </w:tc>
      </w:tr>
      <w:tr w:rsidR="009A5DE4" w:rsidRPr="007277C3" w14:paraId="3953F99C" w14:textId="38D6A3FB" w:rsidTr="037A9947">
        <w:tc>
          <w:tcPr>
            <w:tcW w:w="704" w:type="dxa"/>
          </w:tcPr>
          <w:p w14:paraId="2480E5B2" w14:textId="05380046" w:rsidR="009A5DE4" w:rsidRPr="009B34B0" w:rsidRDefault="009A5DE4" w:rsidP="00AE6DD6">
            <w:pPr>
              <w:pStyle w:val="Tabletext"/>
            </w:pPr>
            <w:r w:rsidRPr="009B34B0">
              <w:t>4</w:t>
            </w:r>
          </w:p>
        </w:tc>
        <w:tc>
          <w:tcPr>
            <w:tcW w:w="4379" w:type="dxa"/>
          </w:tcPr>
          <w:p w14:paraId="3A2E2AC4" w14:textId="097D3C59" w:rsidR="009A5DE4" w:rsidRDefault="009A5DE4" w:rsidP="00AE6DD6">
            <w:pPr>
              <w:pStyle w:val="Tabletext"/>
            </w:pPr>
            <w:r w:rsidRPr="00AE6DD6">
              <w:rPr>
                <w:b/>
                <w:bCs/>
              </w:rPr>
              <w:t>Scoping</w:t>
            </w:r>
            <w:r w:rsidRPr="003B5D73">
              <w:t xml:space="preserve">: Setting out the parameters of what will and will not be considered as part of the update </w:t>
            </w:r>
          </w:p>
        </w:tc>
        <w:tc>
          <w:tcPr>
            <w:tcW w:w="1376" w:type="dxa"/>
          </w:tcPr>
          <w:p w14:paraId="182B67CA" w14:textId="3CF048C5" w:rsidR="009A5DE4" w:rsidRDefault="009A5DE4" w:rsidP="00A22E2D">
            <w:pPr>
              <w:pStyle w:val="Tabletext"/>
              <w:jc w:val="center"/>
            </w:pPr>
            <w:r>
              <w:t>X</w:t>
            </w:r>
          </w:p>
        </w:tc>
        <w:tc>
          <w:tcPr>
            <w:tcW w:w="1510" w:type="dxa"/>
          </w:tcPr>
          <w:p w14:paraId="543967E7" w14:textId="692477BE" w:rsidR="009A5DE4" w:rsidRDefault="009A5DE4" w:rsidP="00A22E2D">
            <w:pPr>
              <w:pStyle w:val="Tabletext"/>
              <w:jc w:val="center"/>
            </w:pPr>
            <w:r>
              <w:t>X</w:t>
            </w:r>
          </w:p>
        </w:tc>
        <w:tc>
          <w:tcPr>
            <w:tcW w:w="1047" w:type="dxa"/>
          </w:tcPr>
          <w:p w14:paraId="1D5DAAF4" w14:textId="77777777" w:rsidR="009A5DE4" w:rsidRDefault="009A5DE4" w:rsidP="00A22E2D">
            <w:pPr>
              <w:pStyle w:val="Tabletext"/>
              <w:jc w:val="center"/>
            </w:pPr>
          </w:p>
        </w:tc>
      </w:tr>
      <w:tr w:rsidR="009A5DE4" w:rsidRPr="007277C3" w14:paraId="517B8ABD" w14:textId="48AF7967" w:rsidTr="037A9947">
        <w:tc>
          <w:tcPr>
            <w:tcW w:w="704" w:type="dxa"/>
          </w:tcPr>
          <w:p w14:paraId="4A1E5FDE" w14:textId="302D3A13" w:rsidR="009A5DE4" w:rsidRPr="009B34B0" w:rsidRDefault="009A5DE4" w:rsidP="00AE6DD6">
            <w:pPr>
              <w:pStyle w:val="Tabletext"/>
            </w:pPr>
            <w:r w:rsidRPr="009B34B0">
              <w:t>5</w:t>
            </w:r>
          </w:p>
        </w:tc>
        <w:tc>
          <w:tcPr>
            <w:tcW w:w="4379" w:type="dxa"/>
          </w:tcPr>
          <w:p w14:paraId="7CED149F" w14:textId="160A3B81" w:rsidR="009A5DE4" w:rsidRDefault="009A5DE4" w:rsidP="00AE6DD6">
            <w:pPr>
              <w:pStyle w:val="Tabletext"/>
            </w:pPr>
            <w:r w:rsidRPr="21C3EA62">
              <w:rPr>
                <w:b/>
                <w:bCs/>
              </w:rPr>
              <w:t xml:space="preserve">Evidence </w:t>
            </w:r>
            <w:r>
              <w:rPr>
                <w:b/>
                <w:bCs/>
              </w:rPr>
              <w:t>development</w:t>
            </w:r>
            <w:r>
              <w:t>: Including literature review</w:t>
            </w:r>
            <w:r w:rsidR="00F34103">
              <w:t xml:space="preserve"> and engaging with stakeholders</w:t>
            </w:r>
            <w:r>
              <w:t xml:space="preserve">  </w:t>
            </w:r>
          </w:p>
        </w:tc>
        <w:tc>
          <w:tcPr>
            <w:tcW w:w="1376" w:type="dxa"/>
          </w:tcPr>
          <w:p w14:paraId="2E3D1112" w14:textId="0E20DDA6" w:rsidR="009A5DE4" w:rsidRDefault="009A5DE4" w:rsidP="00A22E2D">
            <w:pPr>
              <w:pStyle w:val="Tabletext"/>
              <w:jc w:val="center"/>
            </w:pPr>
            <w:r w:rsidRPr="006949CA">
              <w:t>X</w:t>
            </w:r>
          </w:p>
        </w:tc>
        <w:tc>
          <w:tcPr>
            <w:tcW w:w="1510" w:type="dxa"/>
          </w:tcPr>
          <w:p w14:paraId="77C4BC5F" w14:textId="3761E9FF" w:rsidR="009A5DE4" w:rsidRDefault="009A5DE4" w:rsidP="00A22E2D">
            <w:pPr>
              <w:pStyle w:val="Tabletext"/>
              <w:jc w:val="center"/>
            </w:pPr>
          </w:p>
        </w:tc>
        <w:tc>
          <w:tcPr>
            <w:tcW w:w="1047" w:type="dxa"/>
          </w:tcPr>
          <w:p w14:paraId="0ED14D79" w14:textId="77777777" w:rsidR="009A5DE4" w:rsidRDefault="009A5DE4" w:rsidP="00A22E2D">
            <w:pPr>
              <w:pStyle w:val="Tabletext"/>
              <w:jc w:val="center"/>
            </w:pPr>
          </w:p>
        </w:tc>
      </w:tr>
      <w:tr w:rsidR="003208DD" w:rsidRPr="007277C3" w14:paraId="1EB7456D" w14:textId="77777777" w:rsidTr="037A9947">
        <w:tc>
          <w:tcPr>
            <w:tcW w:w="704" w:type="dxa"/>
          </w:tcPr>
          <w:p w14:paraId="7A5CF716" w14:textId="16989269" w:rsidR="003208DD" w:rsidRPr="009B34B0" w:rsidRDefault="003208DD" w:rsidP="00AE6DD6">
            <w:pPr>
              <w:pStyle w:val="Tabletext"/>
            </w:pPr>
            <w:r w:rsidRPr="009B34B0">
              <w:t>6</w:t>
            </w:r>
          </w:p>
        </w:tc>
        <w:tc>
          <w:tcPr>
            <w:tcW w:w="4379" w:type="dxa"/>
          </w:tcPr>
          <w:p w14:paraId="5B7FF609" w14:textId="6F5E7EFD" w:rsidR="003208DD" w:rsidRPr="002A5C22" w:rsidRDefault="003208DD" w:rsidP="00AE6DD6">
            <w:pPr>
              <w:pStyle w:val="Tabletext"/>
            </w:pPr>
            <w:r>
              <w:rPr>
                <w:b/>
                <w:bCs/>
              </w:rPr>
              <w:t xml:space="preserve">Stakeholder engagement: </w:t>
            </w:r>
            <w:r>
              <w:t xml:space="preserve">Liaising with key internal and external stakeholders to allow input into any draft recommendation </w:t>
            </w:r>
            <w:r w:rsidR="00E5058F">
              <w:t>where necessary</w:t>
            </w:r>
          </w:p>
        </w:tc>
        <w:tc>
          <w:tcPr>
            <w:tcW w:w="1376" w:type="dxa"/>
          </w:tcPr>
          <w:p w14:paraId="570E989A" w14:textId="315A1376" w:rsidR="003208DD" w:rsidRPr="006949CA" w:rsidRDefault="003208DD" w:rsidP="00A22E2D">
            <w:pPr>
              <w:pStyle w:val="Tabletext"/>
              <w:jc w:val="center"/>
            </w:pPr>
            <w:r>
              <w:t>X</w:t>
            </w:r>
          </w:p>
        </w:tc>
        <w:tc>
          <w:tcPr>
            <w:tcW w:w="1510" w:type="dxa"/>
          </w:tcPr>
          <w:p w14:paraId="660123E9" w14:textId="058951CC" w:rsidR="003208DD" w:rsidRPr="006949CA" w:rsidRDefault="003208DD" w:rsidP="00A22E2D">
            <w:pPr>
              <w:pStyle w:val="Tabletext"/>
              <w:jc w:val="center"/>
            </w:pPr>
            <w:r>
              <w:t>X</w:t>
            </w:r>
          </w:p>
        </w:tc>
        <w:tc>
          <w:tcPr>
            <w:tcW w:w="1047" w:type="dxa"/>
          </w:tcPr>
          <w:p w14:paraId="54CB84EC" w14:textId="77777777" w:rsidR="003208DD" w:rsidRDefault="003208DD" w:rsidP="00A22E2D">
            <w:pPr>
              <w:pStyle w:val="Tabletext"/>
              <w:jc w:val="center"/>
            </w:pPr>
          </w:p>
        </w:tc>
      </w:tr>
      <w:tr w:rsidR="009A5DE4" w:rsidRPr="007277C3" w14:paraId="33939AA7" w14:textId="1ED09C0E" w:rsidTr="037A9947">
        <w:tc>
          <w:tcPr>
            <w:tcW w:w="704" w:type="dxa"/>
          </w:tcPr>
          <w:p w14:paraId="79644B05" w14:textId="587C630D" w:rsidR="009A5DE4" w:rsidRPr="009B34B0" w:rsidRDefault="003208DD" w:rsidP="00AE6DD6">
            <w:pPr>
              <w:pStyle w:val="Tabletext"/>
            </w:pPr>
            <w:r w:rsidRPr="009B34B0">
              <w:t>7</w:t>
            </w:r>
          </w:p>
        </w:tc>
        <w:tc>
          <w:tcPr>
            <w:tcW w:w="4379" w:type="dxa"/>
          </w:tcPr>
          <w:p w14:paraId="2E1FE478" w14:textId="005B262C" w:rsidR="009A5DE4" w:rsidRDefault="009A5DE4" w:rsidP="00AE6DD6">
            <w:pPr>
              <w:pStyle w:val="Tabletext"/>
            </w:pPr>
            <w:r w:rsidRPr="4A2C9E52">
              <w:rPr>
                <w:b/>
                <w:bCs/>
              </w:rPr>
              <w:t>Draft recommendation</w:t>
            </w:r>
            <w:r>
              <w:t>: Based on</w:t>
            </w:r>
            <w:r w:rsidR="008E53C1">
              <w:t xml:space="preserve"> engagement and</w:t>
            </w:r>
            <w:r>
              <w:t xml:space="preserve"> identified literature, appropriate changes proposed to manual (including ‘no change’) </w:t>
            </w:r>
          </w:p>
        </w:tc>
        <w:tc>
          <w:tcPr>
            <w:tcW w:w="1376" w:type="dxa"/>
          </w:tcPr>
          <w:p w14:paraId="188CA7A3" w14:textId="1DE3D00C" w:rsidR="009A5DE4" w:rsidRDefault="009A5DE4" w:rsidP="00A22E2D">
            <w:pPr>
              <w:pStyle w:val="Tabletext"/>
              <w:jc w:val="center"/>
            </w:pPr>
            <w:r w:rsidRPr="006949CA">
              <w:t>X</w:t>
            </w:r>
          </w:p>
        </w:tc>
        <w:tc>
          <w:tcPr>
            <w:tcW w:w="1510" w:type="dxa"/>
          </w:tcPr>
          <w:p w14:paraId="6707DC19" w14:textId="47B10C50" w:rsidR="009A5DE4" w:rsidRDefault="009A5DE4" w:rsidP="00A22E2D">
            <w:pPr>
              <w:pStyle w:val="Tabletext"/>
              <w:jc w:val="center"/>
            </w:pPr>
            <w:r w:rsidRPr="006949CA">
              <w:t>X</w:t>
            </w:r>
          </w:p>
        </w:tc>
        <w:tc>
          <w:tcPr>
            <w:tcW w:w="1047" w:type="dxa"/>
          </w:tcPr>
          <w:p w14:paraId="43FF787D" w14:textId="43DD6442" w:rsidR="009A5DE4" w:rsidRDefault="009A5DE4" w:rsidP="00A22E2D">
            <w:pPr>
              <w:pStyle w:val="Tabletext"/>
              <w:jc w:val="center"/>
            </w:pPr>
          </w:p>
        </w:tc>
      </w:tr>
      <w:tr w:rsidR="009A5DE4" w:rsidRPr="007277C3" w14:paraId="593601F3" w14:textId="77777777" w:rsidTr="037A9947">
        <w:tc>
          <w:tcPr>
            <w:tcW w:w="704" w:type="dxa"/>
          </w:tcPr>
          <w:p w14:paraId="2E0CA2BC" w14:textId="1FBAD9C6" w:rsidR="009A5DE4" w:rsidRPr="009B34B0" w:rsidRDefault="003208DD" w:rsidP="001377DA">
            <w:pPr>
              <w:pStyle w:val="Tabletext"/>
            </w:pPr>
            <w:r w:rsidRPr="009B34B0">
              <w:t>8</w:t>
            </w:r>
          </w:p>
        </w:tc>
        <w:tc>
          <w:tcPr>
            <w:tcW w:w="4379" w:type="dxa"/>
          </w:tcPr>
          <w:p w14:paraId="491E0968" w14:textId="37721140" w:rsidR="009A5DE4" w:rsidRPr="21C3EA62" w:rsidRDefault="009A5DE4" w:rsidP="001377DA">
            <w:pPr>
              <w:pStyle w:val="Tabletext"/>
              <w:rPr>
                <w:b/>
                <w:bCs/>
              </w:rPr>
            </w:pPr>
            <w:r w:rsidRPr="00804BC4">
              <w:rPr>
                <w:b/>
                <w:bCs/>
              </w:rPr>
              <w:t>Equalities impact assessment</w:t>
            </w:r>
            <w:r>
              <w:rPr>
                <w:b/>
                <w:bCs/>
              </w:rPr>
              <w:t xml:space="preserve"> (EIA)</w:t>
            </w:r>
            <w:r w:rsidRPr="003B5D73">
              <w:t xml:space="preserve">: Consideration </w:t>
            </w:r>
            <w:r>
              <w:t xml:space="preserve">of </w:t>
            </w:r>
            <w:r w:rsidRPr="003B5D73">
              <w:t xml:space="preserve">whether the recommendations might impact on any protected characteristic groups </w:t>
            </w:r>
          </w:p>
        </w:tc>
        <w:tc>
          <w:tcPr>
            <w:tcW w:w="1376" w:type="dxa"/>
          </w:tcPr>
          <w:p w14:paraId="205BA590" w14:textId="3A57E75C" w:rsidR="009A5DE4" w:rsidRPr="006949CA" w:rsidRDefault="009A5DE4" w:rsidP="001377DA">
            <w:pPr>
              <w:pStyle w:val="Tabletext"/>
              <w:jc w:val="center"/>
            </w:pPr>
            <w:r>
              <w:t>X</w:t>
            </w:r>
          </w:p>
        </w:tc>
        <w:tc>
          <w:tcPr>
            <w:tcW w:w="1510" w:type="dxa"/>
          </w:tcPr>
          <w:p w14:paraId="76EB436D" w14:textId="59539A79" w:rsidR="009A5DE4" w:rsidRPr="006949CA" w:rsidRDefault="009A5DE4" w:rsidP="001377DA">
            <w:pPr>
              <w:pStyle w:val="Tabletext"/>
              <w:jc w:val="center"/>
            </w:pPr>
            <w:r>
              <w:t>X</w:t>
            </w:r>
          </w:p>
        </w:tc>
        <w:tc>
          <w:tcPr>
            <w:tcW w:w="1047" w:type="dxa"/>
          </w:tcPr>
          <w:p w14:paraId="3A869CB1" w14:textId="77777777" w:rsidR="009A5DE4" w:rsidRPr="006949CA" w:rsidRDefault="009A5DE4" w:rsidP="001377DA">
            <w:pPr>
              <w:pStyle w:val="Tabletext"/>
              <w:jc w:val="center"/>
            </w:pPr>
          </w:p>
        </w:tc>
      </w:tr>
      <w:tr w:rsidR="009A5DE4" w:rsidRPr="007277C3" w14:paraId="59AFD6C3" w14:textId="5BBEC635" w:rsidTr="037A9947">
        <w:tc>
          <w:tcPr>
            <w:tcW w:w="704" w:type="dxa"/>
          </w:tcPr>
          <w:p w14:paraId="5D90C95A" w14:textId="227CBABA" w:rsidR="009A5DE4" w:rsidRPr="009B34B0" w:rsidRDefault="003208DD" w:rsidP="00AE6DD6">
            <w:pPr>
              <w:pStyle w:val="Tabletext"/>
            </w:pPr>
            <w:r w:rsidRPr="009B34B0">
              <w:t>9</w:t>
            </w:r>
          </w:p>
        </w:tc>
        <w:tc>
          <w:tcPr>
            <w:tcW w:w="4379" w:type="dxa"/>
          </w:tcPr>
          <w:p w14:paraId="4BF2C087" w14:textId="455EB69F" w:rsidR="009A5DE4" w:rsidRDefault="009A5DE4" w:rsidP="00AE6DD6">
            <w:pPr>
              <w:pStyle w:val="Tabletext"/>
            </w:pPr>
            <w:r w:rsidRPr="21C3EA62">
              <w:rPr>
                <w:b/>
                <w:bCs/>
              </w:rPr>
              <w:t>Internal sign off</w:t>
            </w:r>
            <w:r>
              <w:t xml:space="preserve">: Sign off step for quality assurance and governance </w:t>
            </w:r>
          </w:p>
        </w:tc>
        <w:tc>
          <w:tcPr>
            <w:tcW w:w="1376" w:type="dxa"/>
          </w:tcPr>
          <w:p w14:paraId="3AD0DE2C" w14:textId="1847890A" w:rsidR="009A5DE4" w:rsidRDefault="009A5DE4" w:rsidP="00A22E2D">
            <w:pPr>
              <w:pStyle w:val="Tabletext"/>
              <w:jc w:val="center"/>
            </w:pPr>
            <w:r w:rsidRPr="006949CA">
              <w:t>X</w:t>
            </w:r>
          </w:p>
        </w:tc>
        <w:tc>
          <w:tcPr>
            <w:tcW w:w="1510" w:type="dxa"/>
          </w:tcPr>
          <w:p w14:paraId="79E823BC" w14:textId="0B610167" w:rsidR="009A5DE4" w:rsidRDefault="009A5DE4" w:rsidP="00A22E2D">
            <w:pPr>
              <w:pStyle w:val="Tabletext"/>
              <w:jc w:val="center"/>
            </w:pPr>
            <w:r w:rsidRPr="006949CA">
              <w:t>X</w:t>
            </w:r>
          </w:p>
        </w:tc>
        <w:tc>
          <w:tcPr>
            <w:tcW w:w="1047" w:type="dxa"/>
          </w:tcPr>
          <w:p w14:paraId="40C6D4E4" w14:textId="237F8BCF" w:rsidR="009A5DE4" w:rsidRDefault="009A5DE4" w:rsidP="00A22E2D">
            <w:pPr>
              <w:pStyle w:val="Tabletext"/>
              <w:jc w:val="center"/>
            </w:pPr>
            <w:r w:rsidRPr="006949CA">
              <w:t>X</w:t>
            </w:r>
          </w:p>
        </w:tc>
      </w:tr>
      <w:tr w:rsidR="009A5DE4" w:rsidRPr="007277C3" w14:paraId="5426FEAD" w14:textId="77777777" w:rsidTr="037A9947">
        <w:tc>
          <w:tcPr>
            <w:tcW w:w="704" w:type="dxa"/>
          </w:tcPr>
          <w:p w14:paraId="2EDC405B" w14:textId="2B56CEE4" w:rsidR="009A5DE4" w:rsidRPr="009B34B0" w:rsidRDefault="003208DD" w:rsidP="00CE4101">
            <w:pPr>
              <w:pStyle w:val="Tabletext"/>
            </w:pPr>
            <w:r w:rsidRPr="009B34B0">
              <w:t>10</w:t>
            </w:r>
          </w:p>
        </w:tc>
        <w:tc>
          <w:tcPr>
            <w:tcW w:w="4379" w:type="dxa"/>
          </w:tcPr>
          <w:p w14:paraId="0491B7FB" w14:textId="6E0E1F86" w:rsidR="009A5DE4" w:rsidRPr="21C3EA62" w:rsidRDefault="009A5DE4" w:rsidP="00CE4101">
            <w:pPr>
              <w:pStyle w:val="Tabletext"/>
              <w:rPr>
                <w:b/>
                <w:bCs/>
              </w:rPr>
            </w:pPr>
            <w:r w:rsidRPr="21C3EA62">
              <w:rPr>
                <w:b/>
                <w:bCs/>
              </w:rPr>
              <w:t>Executive sign off</w:t>
            </w:r>
            <w:r>
              <w:t xml:space="preserve">: Recommendations for change reviewed by guidance executive </w:t>
            </w:r>
          </w:p>
        </w:tc>
        <w:tc>
          <w:tcPr>
            <w:tcW w:w="1376" w:type="dxa"/>
          </w:tcPr>
          <w:p w14:paraId="654BC01E" w14:textId="21C70325" w:rsidR="009A5DE4" w:rsidRPr="006949CA" w:rsidRDefault="009A5DE4" w:rsidP="00CE4101">
            <w:pPr>
              <w:pStyle w:val="Tabletext"/>
              <w:jc w:val="center"/>
            </w:pPr>
            <w:r w:rsidRPr="006949CA">
              <w:t>X</w:t>
            </w:r>
          </w:p>
        </w:tc>
        <w:tc>
          <w:tcPr>
            <w:tcW w:w="1510" w:type="dxa"/>
          </w:tcPr>
          <w:p w14:paraId="261637FC" w14:textId="77777777" w:rsidR="009A5DE4" w:rsidRDefault="009A5DE4" w:rsidP="00CE4101">
            <w:pPr>
              <w:pStyle w:val="Tabletext"/>
              <w:jc w:val="center"/>
            </w:pPr>
          </w:p>
        </w:tc>
        <w:tc>
          <w:tcPr>
            <w:tcW w:w="1047" w:type="dxa"/>
          </w:tcPr>
          <w:p w14:paraId="3D6E8667" w14:textId="77777777" w:rsidR="009A5DE4" w:rsidRDefault="009A5DE4" w:rsidP="00CE4101">
            <w:pPr>
              <w:pStyle w:val="Tabletext"/>
              <w:jc w:val="center"/>
            </w:pPr>
          </w:p>
        </w:tc>
      </w:tr>
      <w:tr w:rsidR="009A5DE4" w:rsidRPr="007277C3" w14:paraId="7AA8BF63" w14:textId="77777777" w:rsidTr="037A9947">
        <w:tc>
          <w:tcPr>
            <w:tcW w:w="704" w:type="dxa"/>
          </w:tcPr>
          <w:p w14:paraId="08D8228C" w14:textId="140E017E" w:rsidR="009A5DE4" w:rsidRPr="009B34B0" w:rsidRDefault="009A5DE4" w:rsidP="001377DA">
            <w:pPr>
              <w:pStyle w:val="Tabletext"/>
            </w:pPr>
            <w:r w:rsidRPr="009B34B0">
              <w:t>1</w:t>
            </w:r>
            <w:r w:rsidR="003208DD" w:rsidRPr="009B34B0">
              <w:t>1</w:t>
            </w:r>
          </w:p>
        </w:tc>
        <w:tc>
          <w:tcPr>
            <w:tcW w:w="4379" w:type="dxa"/>
          </w:tcPr>
          <w:p w14:paraId="7E060057" w14:textId="4F158D3C" w:rsidR="009A5DE4" w:rsidRPr="00804BC4" w:rsidRDefault="009A5DE4" w:rsidP="001377DA">
            <w:pPr>
              <w:pStyle w:val="Tabletext"/>
              <w:rPr>
                <w:b/>
                <w:bCs/>
              </w:rPr>
            </w:pPr>
            <w:r w:rsidRPr="21C3EA62">
              <w:rPr>
                <w:b/>
                <w:bCs/>
              </w:rPr>
              <w:t>Consultation</w:t>
            </w:r>
            <w:r>
              <w:t xml:space="preserve">: Recommendations for change and EIA sent to key stakeholders for comment  </w:t>
            </w:r>
          </w:p>
        </w:tc>
        <w:tc>
          <w:tcPr>
            <w:tcW w:w="1376" w:type="dxa"/>
          </w:tcPr>
          <w:p w14:paraId="47480DC7" w14:textId="39FF2F66" w:rsidR="009A5DE4" w:rsidRDefault="009A5DE4" w:rsidP="001377DA">
            <w:pPr>
              <w:pStyle w:val="Tabletext"/>
              <w:jc w:val="center"/>
            </w:pPr>
            <w:r w:rsidRPr="006949CA">
              <w:t>X</w:t>
            </w:r>
          </w:p>
        </w:tc>
        <w:tc>
          <w:tcPr>
            <w:tcW w:w="1510" w:type="dxa"/>
          </w:tcPr>
          <w:p w14:paraId="32457505" w14:textId="77777777" w:rsidR="009A5DE4" w:rsidRDefault="009A5DE4" w:rsidP="001377DA">
            <w:pPr>
              <w:pStyle w:val="Tabletext"/>
              <w:jc w:val="center"/>
            </w:pPr>
          </w:p>
        </w:tc>
        <w:tc>
          <w:tcPr>
            <w:tcW w:w="1047" w:type="dxa"/>
          </w:tcPr>
          <w:p w14:paraId="2DA6FF9C" w14:textId="77777777" w:rsidR="009A5DE4" w:rsidRDefault="009A5DE4" w:rsidP="001377DA">
            <w:pPr>
              <w:pStyle w:val="Tabletext"/>
              <w:jc w:val="center"/>
            </w:pPr>
          </w:p>
        </w:tc>
      </w:tr>
      <w:tr w:rsidR="009A5DE4" w:rsidRPr="007277C3" w14:paraId="447B8F75" w14:textId="019B079C" w:rsidTr="037A9947">
        <w:tc>
          <w:tcPr>
            <w:tcW w:w="704" w:type="dxa"/>
          </w:tcPr>
          <w:p w14:paraId="257489F7" w14:textId="73EA2254" w:rsidR="009A5DE4" w:rsidRPr="009B34B0" w:rsidRDefault="009A5DE4" w:rsidP="00AE6DD6">
            <w:pPr>
              <w:pStyle w:val="Tabletext"/>
            </w:pPr>
            <w:r w:rsidRPr="009B34B0">
              <w:t>1</w:t>
            </w:r>
            <w:r w:rsidR="003208DD" w:rsidRPr="009B34B0">
              <w:t>2</w:t>
            </w:r>
          </w:p>
        </w:tc>
        <w:tc>
          <w:tcPr>
            <w:tcW w:w="4379" w:type="dxa"/>
          </w:tcPr>
          <w:p w14:paraId="51830EA7" w14:textId="3DFCC73F" w:rsidR="009A5DE4" w:rsidRDefault="009A5DE4" w:rsidP="00AE6DD6">
            <w:pPr>
              <w:pStyle w:val="Tabletext"/>
            </w:pPr>
            <w:r w:rsidRPr="00804BC4">
              <w:rPr>
                <w:b/>
                <w:bCs/>
              </w:rPr>
              <w:t>Post consultation updates</w:t>
            </w:r>
            <w:r w:rsidRPr="003B5D73">
              <w:t xml:space="preserve">: Changes made as appropriate </w:t>
            </w:r>
          </w:p>
        </w:tc>
        <w:tc>
          <w:tcPr>
            <w:tcW w:w="1376" w:type="dxa"/>
          </w:tcPr>
          <w:p w14:paraId="2BD5F4C9" w14:textId="38F2CD4A" w:rsidR="009A5DE4" w:rsidRDefault="009A5DE4" w:rsidP="00A22E2D">
            <w:pPr>
              <w:pStyle w:val="Tabletext"/>
              <w:jc w:val="center"/>
            </w:pPr>
            <w:r w:rsidRPr="006949CA">
              <w:t>X</w:t>
            </w:r>
          </w:p>
        </w:tc>
        <w:tc>
          <w:tcPr>
            <w:tcW w:w="1510" w:type="dxa"/>
          </w:tcPr>
          <w:p w14:paraId="4A1C8DDF" w14:textId="77777777" w:rsidR="009A5DE4" w:rsidRDefault="009A5DE4" w:rsidP="00A22E2D">
            <w:pPr>
              <w:pStyle w:val="Tabletext"/>
              <w:jc w:val="center"/>
            </w:pPr>
          </w:p>
        </w:tc>
        <w:tc>
          <w:tcPr>
            <w:tcW w:w="1047" w:type="dxa"/>
          </w:tcPr>
          <w:p w14:paraId="337F95B5" w14:textId="77777777" w:rsidR="009A5DE4" w:rsidRDefault="009A5DE4" w:rsidP="00A22E2D">
            <w:pPr>
              <w:pStyle w:val="Tabletext"/>
              <w:jc w:val="center"/>
            </w:pPr>
          </w:p>
        </w:tc>
      </w:tr>
      <w:tr w:rsidR="009A5DE4" w:rsidRPr="007277C3" w14:paraId="5EE978CC" w14:textId="196F630A" w:rsidTr="037A9947">
        <w:tc>
          <w:tcPr>
            <w:tcW w:w="704" w:type="dxa"/>
          </w:tcPr>
          <w:p w14:paraId="105C639D" w14:textId="5EF9533F" w:rsidR="009A5DE4" w:rsidRPr="009B34B0" w:rsidRDefault="009A5DE4" w:rsidP="00AE6DD6">
            <w:pPr>
              <w:pStyle w:val="Tabletext"/>
            </w:pPr>
            <w:r w:rsidRPr="009B34B0">
              <w:t>1</w:t>
            </w:r>
            <w:r w:rsidR="003208DD" w:rsidRPr="009B34B0">
              <w:t>3</w:t>
            </w:r>
          </w:p>
        </w:tc>
        <w:tc>
          <w:tcPr>
            <w:tcW w:w="4379" w:type="dxa"/>
          </w:tcPr>
          <w:p w14:paraId="09B41E7C" w14:textId="40EE4867" w:rsidR="009A5DE4" w:rsidRDefault="009A5DE4" w:rsidP="00AE6DD6">
            <w:pPr>
              <w:pStyle w:val="Tabletext"/>
            </w:pPr>
            <w:r w:rsidRPr="21C3EA62">
              <w:rPr>
                <w:b/>
                <w:bCs/>
              </w:rPr>
              <w:t>Update</w:t>
            </w:r>
            <w:r>
              <w:t>: Any agreed changes made to the relevant documents, and published on the website</w:t>
            </w:r>
          </w:p>
        </w:tc>
        <w:tc>
          <w:tcPr>
            <w:tcW w:w="1376" w:type="dxa"/>
          </w:tcPr>
          <w:p w14:paraId="5E02272E" w14:textId="6CE69F53" w:rsidR="009A5DE4" w:rsidRDefault="009A5DE4" w:rsidP="00A22E2D">
            <w:pPr>
              <w:pStyle w:val="Tabletext"/>
              <w:jc w:val="center"/>
            </w:pPr>
            <w:r w:rsidRPr="006949CA">
              <w:t>X</w:t>
            </w:r>
          </w:p>
        </w:tc>
        <w:tc>
          <w:tcPr>
            <w:tcW w:w="1510" w:type="dxa"/>
          </w:tcPr>
          <w:p w14:paraId="13A5E907" w14:textId="667B1621" w:rsidR="009A5DE4" w:rsidRDefault="009A5DE4" w:rsidP="00A22E2D">
            <w:pPr>
              <w:pStyle w:val="Tabletext"/>
              <w:jc w:val="center"/>
            </w:pPr>
            <w:r w:rsidRPr="006949CA">
              <w:t>X</w:t>
            </w:r>
          </w:p>
        </w:tc>
        <w:tc>
          <w:tcPr>
            <w:tcW w:w="1047" w:type="dxa"/>
          </w:tcPr>
          <w:p w14:paraId="613729F6" w14:textId="1B0CEE3F" w:rsidR="009A5DE4" w:rsidRDefault="009A5DE4" w:rsidP="00A22E2D">
            <w:pPr>
              <w:pStyle w:val="Tabletext"/>
              <w:jc w:val="center"/>
            </w:pPr>
            <w:r w:rsidRPr="006949CA">
              <w:t>X</w:t>
            </w:r>
          </w:p>
        </w:tc>
      </w:tr>
    </w:tbl>
    <w:p w14:paraId="023D14B3" w14:textId="3D7055E7" w:rsidR="037A9947" w:rsidRDefault="037A9947"/>
    <w:p w14:paraId="384B989F" w14:textId="019D6707" w:rsidR="007403AA" w:rsidRDefault="007403AA" w:rsidP="007403AA">
      <w:pPr>
        <w:pStyle w:val="Paragraph"/>
        <w:numPr>
          <w:ilvl w:val="0"/>
          <w:numId w:val="0"/>
        </w:numPr>
      </w:pPr>
    </w:p>
    <w:p w14:paraId="5F5AAC41" w14:textId="6016D94B" w:rsidR="00A22E2D" w:rsidRDefault="002E0442" w:rsidP="002E0442">
      <w:pPr>
        <w:pStyle w:val="Heading1boardreport"/>
      </w:pPr>
      <w:r>
        <w:lastRenderedPageBreak/>
        <w:t>Progress to date on modular updates</w:t>
      </w:r>
    </w:p>
    <w:p w14:paraId="3462CF62" w14:textId="54942C6D" w:rsidR="002E0442" w:rsidRDefault="002E0E36" w:rsidP="037A9947">
      <w:pPr>
        <w:pStyle w:val="NICEnormalnumbered"/>
      </w:pPr>
      <w:r>
        <w:t>The first mo</w:t>
      </w:r>
      <w:r w:rsidRPr="037A9947">
        <w:t>dular updates considered by NICE ha</w:t>
      </w:r>
      <w:r w:rsidR="007C6154" w:rsidRPr="037A9947">
        <w:t>ve</w:t>
      </w:r>
      <w:r w:rsidRPr="037A9947">
        <w:t xml:space="preserve"> been proportionate approach to technology appraisals</w:t>
      </w:r>
      <w:r w:rsidR="00B21225" w:rsidRPr="037A9947">
        <w:t xml:space="preserve"> (PATT), and early value assessment for MedTech (EVA)</w:t>
      </w:r>
      <w:r w:rsidRPr="037A9947">
        <w:t xml:space="preserve">. </w:t>
      </w:r>
      <w:r w:rsidR="006815D2" w:rsidRPr="037A9947">
        <w:t xml:space="preserve">More information about PATT and EVA has been and will be </w:t>
      </w:r>
      <w:r w:rsidR="004063EF" w:rsidRPr="037A9947">
        <w:t>reported to the board separately</w:t>
      </w:r>
      <w:r w:rsidR="006815D2" w:rsidRPr="037A9947">
        <w:t xml:space="preserve">. </w:t>
      </w:r>
    </w:p>
    <w:p w14:paraId="010C852F" w14:textId="0E159F75" w:rsidR="002E0442" w:rsidRDefault="00077204" w:rsidP="003C0A98">
      <w:pPr>
        <w:pStyle w:val="Bullets"/>
        <w:rPr>
          <w:b/>
          <w:bCs/>
        </w:rPr>
      </w:pPr>
      <w:r w:rsidRPr="037A9947">
        <w:t xml:space="preserve">PATT has focussed on developing a proportionate </w:t>
      </w:r>
      <w:r w:rsidR="00024E6A" w:rsidRPr="037A9947">
        <w:t xml:space="preserve">approach </w:t>
      </w:r>
      <w:r w:rsidRPr="037A9947">
        <w:t xml:space="preserve">so we can scale up our appraisals outputs to meet growing demand while maintaining our robust, evidence-driven approach. </w:t>
      </w:r>
      <w:r w:rsidR="002E0442" w:rsidRPr="037A9947">
        <w:t xml:space="preserve">Several approaches have been </w:t>
      </w:r>
      <w:r w:rsidR="00836972" w:rsidRPr="037A9947">
        <w:t>explored</w:t>
      </w:r>
      <w:r w:rsidR="002E0442" w:rsidRPr="037A9947">
        <w:t xml:space="preserve">, </w:t>
      </w:r>
      <w:proofErr w:type="gramStart"/>
      <w:r w:rsidR="002E0442" w:rsidRPr="037A9947">
        <w:t>tested</w:t>
      </w:r>
      <w:proofErr w:type="gramEnd"/>
      <w:r w:rsidR="002E0442" w:rsidRPr="037A9947">
        <w:t xml:space="preserve"> and refined in a short space of time</w:t>
      </w:r>
      <w:r w:rsidR="00836972" w:rsidRPr="037A9947">
        <w:t>, including</w:t>
      </w:r>
      <w:r w:rsidR="006116CB" w:rsidRPr="037A9947">
        <w:t xml:space="preserve"> </w:t>
      </w:r>
      <w:r w:rsidR="00860ABA" w:rsidRPr="037A9947">
        <w:t>s</w:t>
      </w:r>
      <w:r w:rsidR="006116CB" w:rsidRPr="037A9947">
        <w:t>treamlined approaches, pair appraisals</w:t>
      </w:r>
      <w:r w:rsidR="65ADB666" w:rsidRPr="037A9947">
        <w:t xml:space="preserve"> and </w:t>
      </w:r>
      <w:r w:rsidR="006116CB" w:rsidRPr="037A9947">
        <w:t>pathway appraisals</w:t>
      </w:r>
      <w:r w:rsidR="00860ABA" w:rsidRPr="037A9947">
        <w:t xml:space="preserve">. </w:t>
      </w:r>
    </w:p>
    <w:p w14:paraId="13CD24BA" w14:textId="148F9686" w:rsidR="006E0E52" w:rsidRDefault="00CB6C57" w:rsidP="003C0A98">
      <w:pPr>
        <w:pStyle w:val="Bulletslast"/>
      </w:pPr>
      <w:r w:rsidRPr="037A9947">
        <w:t xml:space="preserve">EVA </w:t>
      </w:r>
      <w:r w:rsidR="006E0E52" w:rsidRPr="037A9947">
        <w:t>involve</w:t>
      </w:r>
      <w:r w:rsidR="0008648F" w:rsidRPr="037A9947">
        <w:t>s</w:t>
      </w:r>
      <w:r w:rsidR="006E0E52" w:rsidRPr="037A9947">
        <w:t xml:space="preserve"> using real world evidence generation </w:t>
      </w:r>
      <w:r w:rsidR="004571FA" w:rsidRPr="037A9947">
        <w:t xml:space="preserve">for MedTech </w:t>
      </w:r>
      <w:r w:rsidR="006E0E52" w:rsidRPr="037A9947">
        <w:t>to gather detailed evidence within a live environment.</w:t>
      </w:r>
      <w:r w:rsidR="00DD0109" w:rsidRPr="037A9947">
        <w:t xml:space="preserve"> </w:t>
      </w:r>
      <w:r w:rsidR="00382C4E" w:rsidRPr="037A9947">
        <w:t xml:space="preserve">This approach is being piloted with at least 10 medical technologies, </w:t>
      </w:r>
      <w:r w:rsidR="00383117" w:rsidRPr="037A9947">
        <w:t>including</w:t>
      </w:r>
      <w:r w:rsidR="00382C4E" w:rsidRPr="037A9947">
        <w:t xml:space="preserve"> </w:t>
      </w:r>
      <w:r w:rsidR="0060523F" w:rsidRPr="037A9947">
        <w:t xml:space="preserve">digital </w:t>
      </w:r>
      <w:r w:rsidR="00382C4E" w:rsidRPr="037A9947">
        <w:t>health technologies. The pilot</w:t>
      </w:r>
      <w:r w:rsidR="00383117" w:rsidRPr="037A9947">
        <w:t>s</w:t>
      </w:r>
      <w:r w:rsidR="00382C4E" w:rsidRPr="037A9947">
        <w:t xml:space="preserve"> will run to the end of March 23. </w:t>
      </w:r>
      <w:r w:rsidR="00DD0109" w:rsidRPr="037A9947">
        <w:t xml:space="preserve"> </w:t>
      </w:r>
    </w:p>
    <w:p w14:paraId="1F21F09D" w14:textId="773AAD50" w:rsidR="0008648F" w:rsidRDefault="0008648F" w:rsidP="006E2E38">
      <w:pPr>
        <w:pStyle w:val="NICEnormalnumbered"/>
      </w:pPr>
      <w:r w:rsidRPr="037A9947">
        <w:t>Interim meth</w:t>
      </w:r>
      <w:r>
        <w:t xml:space="preserve">ods and processes for some of these workstreams are scheduled to be published and implemented from April 2023. NICE will aim to integrate these into final methods and processes through a modular update during the 2023/24 business year. </w:t>
      </w:r>
    </w:p>
    <w:p w14:paraId="0F6B6A41" w14:textId="540B7448" w:rsidR="009F6748" w:rsidRDefault="4521FB9A" w:rsidP="004B299C">
      <w:pPr>
        <w:pStyle w:val="Heading1boardreport"/>
      </w:pPr>
      <w:r>
        <w:t>Future modular update</w:t>
      </w:r>
      <w:r w:rsidR="002C7139">
        <w:t xml:space="preserve"> work </w:t>
      </w:r>
    </w:p>
    <w:p w14:paraId="721D7845" w14:textId="0015C5D9" w:rsidR="006815D2" w:rsidRDefault="4521FB9A" w:rsidP="002A5C22">
      <w:pPr>
        <w:pStyle w:val="NICEnormalnumbered"/>
      </w:pPr>
      <w:bookmarkStart w:id="2" w:name="_Hlk129600714"/>
      <w:r>
        <w:t xml:space="preserve">Future modular updates </w:t>
      </w:r>
      <w:r w:rsidR="000E084C">
        <w:t>to</w:t>
      </w:r>
      <w:r w:rsidR="00A721B4">
        <w:t xml:space="preserve"> be </w:t>
      </w:r>
      <w:r w:rsidR="00D71C6D">
        <w:t xml:space="preserve">explored </w:t>
      </w:r>
      <w:r w:rsidR="00A721B4">
        <w:t xml:space="preserve">over the next 12 months </w:t>
      </w:r>
      <w:r>
        <w:t xml:space="preserve">will </w:t>
      </w:r>
      <w:r w:rsidR="006815D2">
        <w:t xml:space="preserve">include: </w:t>
      </w:r>
    </w:p>
    <w:p w14:paraId="54F68527" w14:textId="529EEFC2" w:rsidR="006815D2" w:rsidRDefault="006815D2" w:rsidP="037A9947">
      <w:pPr>
        <w:pStyle w:val="Bulletindent1"/>
      </w:pPr>
      <w:r>
        <w:t>Multiple medical technology guidance</w:t>
      </w:r>
      <w:r w:rsidR="00821F8E">
        <w:t xml:space="preserve">: </w:t>
      </w:r>
      <w:r w:rsidR="00D53B12">
        <w:t>T</w:t>
      </w:r>
      <w:r w:rsidR="00E371BC">
        <w:t xml:space="preserve">o </w:t>
      </w:r>
      <w:r w:rsidR="0060523F">
        <w:t xml:space="preserve">be done as part of </w:t>
      </w:r>
      <w:r w:rsidR="007A23E4">
        <w:t xml:space="preserve">a </w:t>
      </w:r>
      <w:r w:rsidR="0060523F">
        <w:t xml:space="preserve">new </w:t>
      </w:r>
      <w:r w:rsidR="00E32D65">
        <w:t>202</w:t>
      </w:r>
      <w:r w:rsidR="00E371BC">
        <w:t>3</w:t>
      </w:r>
      <w:r w:rsidR="00E32D65">
        <w:t>/2</w:t>
      </w:r>
      <w:r w:rsidR="00AE4F05">
        <w:t>4</w:t>
      </w:r>
      <w:r w:rsidR="00E32D65">
        <w:t xml:space="preserve"> </w:t>
      </w:r>
      <w:r w:rsidR="0060523F">
        <w:t>business objective. The first phase of changes will be Q1/2 and the second phase will be Q4.</w:t>
      </w:r>
      <w:r>
        <w:t xml:space="preserve">  </w:t>
      </w:r>
    </w:p>
    <w:bookmarkEnd w:id="2"/>
    <w:p w14:paraId="718F1659" w14:textId="7A949166" w:rsidR="005A5147" w:rsidRDefault="006815D2" w:rsidP="037A9947">
      <w:pPr>
        <w:pStyle w:val="Bulletindent1"/>
      </w:pPr>
      <w:r>
        <w:t>Rapid entry to managed access</w:t>
      </w:r>
      <w:r w:rsidR="00AE4F05">
        <w:t xml:space="preserve">: </w:t>
      </w:r>
      <w:r w:rsidR="00D53B12">
        <w:t>W</w:t>
      </w:r>
      <w:r w:rsidR="00DB0308">
        <w:t xml:space="preserve">e are identifying </w:t>
      </w:r>
      <w:r w:rsidR="00AA6FA2">
        <w:t xml:space="preserve">a </w:t>
      </w:r>
      <w:r w:rsidR="00391738">
        <w:t xml:space="preserve">topic to pilot streamlined decision-making </w:t>
      </w:r>
      <w:r w:rsidR="00DB0308">
        <w:t>for managed access</w:t>
      </w:r>
      <w:r w:rsidR="00391738">
        <w:t xml:space="preserve">. This is taking time given the small number of topics that require managed access. </w:t>
      </w:r>
      <w:r w:rsidR="000B60B4">
        <w:t>A</w:t>
      </w:r>
      <w:r w:rsidR="00391738">
        <w:t xml:space="preserve"> simulated pilot is being </w:t>
      </w:r>
      <w:r w:rsidR="00D80B9A">
        <w:t xml:space="preserve">undertaken </w:t>
      </w:r>
      <w:r w:rsidR="00391738">
        <w:t>on a topic that has already been recommended for managed access to assess whether the streamlined decision</w:t>
      </w:r>
      <w:r w:rsidR="000B60B4">
        <w:t>-</w:t>
      </w:r>
      <w:r w:rsidR="00391738">
        <w:t xml:space="preserve">making </w:t>
      </w:r>
      <w:r w:rsidR="000B60B4">
        <w:t xml:space="preserve">approach </w:t>
      </w:r>
      <w:r w:rsidR="00391738">
        <w:t>will reach the same decision</w:t>
      </w:r>
      <w:r w:rsidR="00D71C6D">
        <w:t xml:space="preserve">. </w:t>
      </w:r>
    </w:p>
    <w:p w14:paraId="43666125" w14:textId="2B20DE58" w:rsidR="006815D2" w:rsidRPr="00FE2FF9" w:rsidRDefault="006815D2" w:rsidP="037A9947">
      <w:pPr>
        <w:pStyle w:val="Bulletindent1last"/>
      </w:pPr>
      <w:r>
        <w:t>Pathway</w:t>
      </w:r>
      <w:r w:rsidR="00D71C6D">
        <w:t xml:space="preserve"> appraisals</w:t>
      </w:r>
      <w:r w:rsidR="00D80B9A">
        <w:t xml:space="preserve">: </w:t>
      </w:r>
      <w:r w:rsidR="008972FC">
        <w:t xml:space="preserve">The first </w:t>
      </w:r>
      <w:r w:rsidR="00C060D9">
        <w:t xml:space="preserve">committee meeting </w:t>
      </w:r>
      <w:r w:rsidR="008972FC">
        <w:t>for a pathways pilot for renal cell carcinoma is scheduled for Sep</w:t>
      </w:r>
      <w:r w:rsidR="00E863BE">
        <w:t>tember</w:t>
      </w:r>
      <w:r w:rsidR="008972FC">
        <w:t xml:space="preserve"> </w:t>
      </w:r>
      <w:r w:rsidR="00E863BE">
        <w:t>20</w:t>
      </w:r>
      <w:r w:rsidR="008972FC">
        <w:t xml:space="preserve">23. </w:t>
      </w:r>
    </w:p>
    <w:p w14:paraId="0CED8418" w14:textId="5CD1BAA9" w:rsidR="009F6748" w:rsidRDefault="00524EF3" w:rsidP="002A5C22">
      <w:pPr>
        <w:pStyle w:val="NICEnormalnumbered"/>
      </w:pPr>
      <w:r>
        <w:lastRenderedPageBreak/>
        <w:t>T</w:t>
      </w:r>
      <w:r w:rsidR="4521FB9A">
        <w:t xml:space="preserve">he following represents areas we have </w:t>
      </w:r>
      <w:r w:rsidR="00126EB9">
        <w:t xml:space="preserve">previously </w:t>
      </w:r>
      <w:r w:rsidR="4521FB9A">
        <w:t xml:space="preserve">identified </w:t>
      </w:r>
      <w:r w:rsidR="006F3797">
        <w:t xml:space="preserve">for </w:t>
      </w:r>
      <w:r w:rsidR="00D5410B">
        <w:t xml:space="preserve">potential </w:t>
      </w:r>
      <w:r w:rsidR="006F3797">
        <w:t>modular updates</w:t>
      </w:r>
      <w:r>
        <w:t xml:space="preserve">. The proposed framework described in this document will be used </w:t>
      </w:r>
      <w:r w:rsidR="00054EFA">
        <w:t xml:space="preserve">to </w:t>
      </w:r>
      <w:r>
        <w:t xml:space="preserve">prioritise </w:t>
      </w:r>
      <w:r w:rsidR="005F106E">
        <w:t>areas for modular updates</w:t>
      </w:r>
      <w:r w:rsidR="4521FB9A">
        <w:t xml:space="preserve">: </w:t>
      </w:r>
    </w:p>
    <w:p w14:paraId="0D29F5A5" w14:textId="0E0CF16A" w:rsidR="00BD7890" w:rsidRDefault="00BD7890" w:rsidP="00ED21AF">
      <w:pPr>
        <w:pStyle w:val="Bulletindent1"/>
      </w:pPr>
      <w:r>
        <w:t xml:space="preserve">Genomics </w:t>
      </w:r>
    </w:p>
    <w:p w14:paraId="5ED536BA" w14:textId="77777777" w:rsidR="00BD7890" w:rsidRDefault="00BD7890" w:rsidP="00ED21AF">
      <w:pPr>
        <w:pStyle w:val="Bulletindent1"/>
      </w:pPr>
      <w:r>
        <w:t>Antimicrobials</w:t>
      </w:r>
    </w:p>
    <w:p w14:paraId="58588B88" w14:textId="735EDA96" w:rsidR="00BD7890" w:rsidRDefault="00BD7890" w:rsidP="00ED21AF">
      <w:pPr>
        <w:pStyle w:val="Bulletindent1"/>
      </w:pPr>
      <w:r>
        <w:t xml:space="preserve">Health inequalities </w:t>
      </w:r>
    </w:p>
    <w:p w14:paraId="18F4A0EF" w14:textId="3A3E95FE" w:rsidR="00CC2405" w:rsidRDefault="00CC2405" w:rsidP="00ED21AF">
      <w:pPr>
        <w:pStyle w:val="Bulletindent1"/>
      </w:pPr>
      <w:r>
        <w:t xml:space="preserve">Digital technologies </w:t>
      </w:r>
    </w:p>
    <w:p w14:paraId="07532130" w14:textId="4302A084" w:rsidR="00D5410B" w:rsidRDefault="00D5410B" w:rsidP="00ED21AF">
      <w:pPr>
        <w:pStyle w:val="Bulletindent1"/>
      </w:pPr>
      <w:r>
        <w:t xml:space="preserve">Further alignment of </w:t>
      </w:r>
      <w:r w:rsidR="00D71C6D">
        <w:t xml:space="preserve">methods and processes </w:t>
      </w:r>
      <w:r>
        <w:t xml:space="preserve">for guidance producing programmes </w:t>
      </w:r>
    </w:p>
    <w:p w14:paraId="25D9C43B" w14:textId="770922E3" w:rsidR="00F14C23" w:rsidRDefault="00F14C23" w:rsidP="00F14C23">
      <w:pPr>
        <w:pStyle w:val="Heading1boardreport"/>
      </w:pPr>
      <w:r>
        <w:t xml:space="preserve">Board action </w:t>
      </w:r>
      <w:proofErr w:type="gramStart"/>
      <w:r>
        <w:t>required</w:t>
      </w:r>
      <w:proofErr w:type="gramEnd"/>
    </w:p>
    <w:p w14:paraId="2CB90C01" w14:textId="606BB9B0" w:rsidR="00D124F6" w:rsidRDefault="006A7E66" w:rsidP="037A9947">
      <w:pPr>
        <w:pStyle w:val="NICEnormalnumbered"/>
      </w:pPr>
      <w:r>
        <w:t xml:space="preserve">The Board is asked to note early findings from our implementation of the new manual for Health Technology Evaluation and consider the proposed approach to future modular updates. Next steps are for the evaluation teams to engage with stakeholders on the proposed approach and begin developing the systems required to deliver it. </w:t>
      </w:r>
    </w:p>
    <w:p w14:paraId="08F33310" w14:textId="77777777" w:rsidR="008F11ED" w:rsidRDefault="008F11ED">
      <w:pPr>
        <w:rPr>
          <w:rFonts w:ascii="Arial" w:hAnsi="Arial" w:cs="Arial"/>
          <w:b/>
          <w:bCs/>
          <w:kern w:val="32"/>
          <w:sz w:val="32"/>
          <w:szCs w:val="32"/>
        </w:rPr>
      </w:pPr>
      <w:r>
        <w:br w:type="page"/>
      </w:r>
    </w:p>
    <w:p w14:paraId="7E9367D8" w14:textId="67B43F74" w:rsidR="007403AA" w:rsidRDefault="00D124F6" w:rsidP="00613B9C">
      <w:pPr>
        <w:pStyle w:val="Heading1boardreport"/>
      </w:pPr>
      <w:r>
        <w:lastRenderedPageBreak/>
        <w:t xml:space="preserve">Appendix 1: Progress </w:t>
      </w:r>
      <w:r w:rsidR="007403AA">
        <w:t>steps for modular updates</w:t>
      </w:r>
    </w:p>
    <w:p w14:paraId="7803D43C" w14:textId="77777777" w:rsidR="007403AA" w:rsidRDefault="007403AA" w:rsidP="007403AA">
      <w:pPr>
        <w:pStyle w:val="Heading1boardreport"/>
      </w:pPr>
      <w:r>
        <w:t xml:space="preserve">Identification of modules  </w:t>
      </w:r>
    </w:p>
    <w:p w14:paraId="45F1EAEC" w14:textId="47BEDA14" w:rsidR="007403AA" w:rsidRDefault="007403AA" w:rsidP="007403AA">
      <w:pPr>
        <w:pStyle w:val="NICEnormalnumbered"/>
      </w:pPr>
      <w:r>
        <w:t>NICE will be responsible for identifying modules which might be suitable for a</w:t>
      </w:r>
      <w:r w:rsidR="00B41CB5">
        <w:t>n</w:t>
      </w:r>
      <w:r>
        <w:t xml:space="preserve"> update. </w:t>
      </w:r>
      <w:r w:rsidR="00694F58">
        <w:t>I</w:t>
      </w:r>
      <w:r>
        <w:t xml:space="preserve">nterested stakeholders </w:t>
      </w:r>
      <w:r w:rsidR="00694F58">
        <w:t xml:space="preserve">may notify NICE of potential modules </w:t>
      </w:r>
      <w:r>
        <w:t xml:space="preserve">via a </w:t>
      </w:r>
      <w:r w:rsidR="00C6376A">
        <w:t xml:space="preserve">website </w:t>
      </w:r>
      <w:r>
        <w:t xml:space="preserve">portal or a dedicated email address. NICE will proactively liaise with key internal and external stakeholders, including: </w:t>
      </w:r>
    </w:p>
    <w:p w14:paraId="6CCE3394" w14:textId="77777777" w:rsidR="007403AA" w:rsidRDefault="007403AA" w:rsidP="007403AA">
      <w:pPr>
        <w:pStyle w:val="Bulletindent1"/>
      </w:pPr>
      <w:r>
        <w:t xml:space="preserve">Academia </w:t>
      </w:r>
    </w:p>
    <w:p w14:paraId="3D9D986C" w14:textId="15400D2E" w:rsidR="007403AA" w:rsidRDefault="007403AA" w:rsidP="007403AA">
      <w:pPr>
        <w:pStyle w:val="Bulletindent1"/>
      </w:pPr>
      <w:r>
        <w:t>E</w:t>
      </w:r>
      <w:r w:rsidR="00BB2271">
        <w:t>xternal</w:t>
      </w:r>
      <w:r>
        <w:t xml:space="preserve"> Assessment Groups (EAGs) </w:t>
      </w:r>
    </w:p>
    <w:p w14:paraId="61ED3130" w14:textId="77777777" w:rsidR="007403AA" w:rsidRDefault="007403AA" w:rsidP="007403AA">
      <w:pPr>
        <w:pStyle w:val="Bulletindent1"/>
      </w:pPr>
      <w:r>
        <w:t xml:space="preserve">Industry </w:t>
      </w:r>
    </w:p>
    <w:p w14:paraId="6384E2FD" w14:textId="3614E0D7" w:rsidR="007403AA" w:rsidRDefault="007403AA" w:rsidP="007403AA">
      <w:pPr>
        <w:pStyle w:val="Bulletindent1"/>
      </w:pPr>
      <w:r>
        <w:t xml:space="preserve">International collaborators </w:t>
      </w:r>
      <w:r w:rsidR="00806C22">
        <w:t xml:space="preserve">e.g., </w:t>
      </w:r>
      <w:r>
        <w:t xml:space="preserve">other health technology assessment bodies </w:t>
      </w:r>
    </w:p>
    <w:p w14:paraId="7C04FAF8" w14:textId="432D88E4" w:rsidR="007403AA" w:rsidRDefault="007403AA" w:rsidP="007403AA">
      <w:pPr>
        <w:pStyle w:val="Bulletindent1"/>
      </w:pPr>
      <w:r>
        <w:t>NHS England / Integrated Care Boards</w:t>
      </w:r>
      <w:r w:rsidR="00A2112E">
        <w:t xml:space="preserve"> / </w:t>
      </w:r>
      <w:r w:rsidR="001C5240">
        <w:t>Department of Health and Social Care (</w:t>
      </w:r>
      <w:r w:rsidR="00A2112E">
        <w:t>DHSC</w:t>
      </w:r>
      <w:r w:rsidR="001C5240">
        <w:t>)</w:t>
      </w:r>
    </w:p>
    <w:p w14:paraId="661CEDFC" w14:textId="77777777" w:rsidR="007403AA" w:rsidRDefault="007403AA" w:rsidP="007403AA">
      <w:pPr>
        <w:pStyle w:val="Bulletindent1"/>
      </w:pPr>
      <w:r>
        <w:t xml:space="preserve">NICE committees </w:t>
      </w:r>
    </w:p>
    <w:p w14:paraId="7EE2B9FB" w14:textId="77777777" w:rsidR="007403AA" w:rsidRDefault="007403AA" w:rsidP="007403AA">
      <w:pPr>
        <w:pStyle w:val="Bulletindent1"/>
      </w:pPr>
      <w:r>
        <w:t xml:space="preserve">NICE Information Services </w:t>
      </w:r>
    </w:p>
    <w:p w14:paraId="5B05BF6D" w14:textId="77777777" w:rsidR="007403AA" w:rsidRDefault="007403AA" w:rsidP="007403AA">
      <w:pPr>
        <w:pStyle w:val="Bulletindent1"/>
      </w:pPr>
      <w:r>
        <w:t xml:space="preserve">NICE Listens </w:t>
      </w:r>
    </w:p>
    <w:p w14:paraId="068DB283" w14:textId="77777777" w:rsidR="007403AA" w:rsidRDefault="007403AA" w:rsidP="007403AA">
      <w:pPr>
        <w:pStyle w:val="Bulletindent1"/>
      </w:pPr>
      <w:r>
        <w:t xml:space="preserve">NICE Science, Policy and Research and Scientific Advice programmes  </w:t>
      </w:r>
    </w:p>
    <w:p w14:paraId="0505ED03" w14:textId="6CD28ED9" w:rsidR="007403AA" w:rsidRDefault="007403AA" w:rsidP="007403AA">
      <w:pPr>
        <w:pStyle w:val="Bulletindent1"/>
      </w:pPr>
      <w:r>
        <w:t xml:space="preserve">Patient and clinical </w:t>
      </w:r>
      <w:r w:rsidR="007C24B5">
        <w:t>organisations</w:t>
      </w:r>
    </w:p>
    <w:p w14:paraId="4F624004" w14:textId="791114D0" w:rsidR="007403AA" w:rsidRDefault="00CD3D61" w:rsidP="007403AA">
      <w:pPr>
        <w:pStyle w:val="Bulletindent1last"/>
      </w:pPr>
      <w:r>
        <w:t>NICE g</w:t>
      </w:r>
      <w:r w:rsidR="007403AA">
        <w:t xml:space="preserve">uidance producing </w:t>
      </w:r>
      <w:proofErr w:type="gramStart"/>
      <w:r w:rsidR="007403AA">
        <w:t>programmes</w:t>
      </w:r>
      <w:proofErr w:type="gramEnd"/>
      <w:r w:rsidR="007403AA">
        <w:t xml:space="preserve"> </w:t>
      </w:r>
    </w:p>
    <w:p w14:paraId="073EAE93" w14:textId="65509083" w:rsidR="007403AA" w:rsidRDefault="007403AA" w:rsidP="007403AA">
      <w:pPr>
        <w:pStyle w:val="NICEnormalnumbered"/>
      </w:pPr>
      <w:r>
        <w:t>NICE may choose from ongoing internal research projects</w:t>
      </w:r>
      <w:r w:rsidR="0029270D">
        <w:t>/</w:t>
      </w:r>
      <w:r>
        <w:t xml:space="preserve">pilots, collaborative work with other health technology assessment agencies, or may conduct independent research and discovery to inform potential modular updates. </w:t>
      </w:r>
    </w:p>
    <w:p w14:paraId="0ABBFE12" w14:textId="4847EE1A" w:rsidR="007403AA" w:rsidRDefault="007403AA" w:rsidP="007403AA">
      <w:pPr>
        <w:pStyle w:val="NICEnormalnumbered"/>
      </w:pPr>
      <w:r>
        <w:t>NICE will collate a long list of all subject areas</w:t>
      </w:r>
      <w:r w:rsidR="00D8128C">
        <w:t xml:space="preserve"> and</w:t>
      </w:r>
      <w:r>
        <w:t xml:space="preserve"> forward</w:t>
      </w:r>
      <w:r w:rsidR="00D8128C">
        <w:t xml:space="preserve"> this</w:t>
      </w:r>
      <w:r>
        <w:t xml:space="preserve"> to the Modular Updates Selection Oversight Panel (MSOP) for shortlisting and prioritisation (see below). </w:t>
      </w:r>
      <w:r w:rsidR="00736D63">
        <w:t>A</w:t>
      </w:r>
      <w:r>
        <w:t>ny 'quick wins' may be identified and forwarded immediately to the appropriate team for final approval and immediate update. A quick win must meet all of the following criteria:</w:t>
      </w:r>
    </w:p>
    <w:p w14:paraId="690EA2A6" w14:textId="77777777" w:rsidR="007403AA" w:rsidRDefault="007403AA" w:rsidP="007403AA">
      <w:pPr>
        <w:pStyle w:val="Bulletindent1"/>
      </w:pPr>
      <w:r>
        <w:t>No fundamental stage in the process is added or removed.</w:t>
      </w:r>
    </w:p>
    <w:p w14:paraId="7182974A" w14:textId="77777777" w:rsidR="007403AA" w:rsidRDefault="007403AA" w:rsidP="007403AA">
      <w:pPr>
        <w:pStyle w:val="Bulletindent1"/>
      </w:pPr>
      <w:r>
        <w:t>No fundamental method, technique or step is either added or removed.</w:t>
      </w:r>
    </w:p>
    <w:p w14:paraId="39F2DBAF" w14:textId="77777777" w:rsidR="007403AA" w:rsidRDefault="007403AA" w:rsidP="007403AA">
      <w:pPr>
        <w:pStyle w:val="Bulletindent1last"/>
      </w:pPr>
      <w:r>
        <w:t xml:space="preserve">No stakeholders will be obviously disadvantaged. </w:t>
      </w:r>
    </w:p>
    <w:p w14:paraId="727B30D6" w14:textId="6EC44784" w:rsidR="007403AA" w:rsidRPr="0004123E" w:rsidRDefault="007403AA" w:rsidP="037A9947">
      <w:pPr>
        <w:pStyle w:val="NICEnormalnumbered"/>
      </w:pPr>
      <w:r>
        <w:lastRenderedPageBreak/>
        <w:t xml:space="preserve">MSOP </w:t>
      </w:r>
      <w:r w:rsidR="00970729">
        <w:t xml:space="preserve">be </w:t>
      </w:r>
      <w:r>
        <w:t>responsib</w:t>
      </w:r>
      <w:r w:rsidR="00970729">
        <w:t>le</w:t>
      </w:r>
      <w:r>
        <w:t xml:space="preserve"> for prioritising modules proposed for a</w:t>
      </w:r>
      <w:r w:rsidR="006E59BC">
        <w:t>n</w:t>
      </w:r>
      <w:r>
        <w:t xml:space="preserve"> update, and routing to the appropriate work programme. Th</w:t>
      </w:r>
      <w:r w:rsidR="006E59BC">
        <w:t>e</w:t>
      </w:r>
      <w:r>
        <w:t xml:space="preserve"> group will be made up of relevant </w:t>
      </w:r>
      <w:r w:rsidR="00E73B79">
        <w:t xml:space="preserve">NICE </w:t>
      </w:r>
      <w:r w:rsidR="006E5618">
        <w:t xml:space="preserve">staff and </w:t>
      </w:r>
      <w:r>
        <w:t xml:space="preserve">other stakeholders </w:t>
      </w:r>
      <w:r w:rsidR="00982EBC">
        <w:t>(</w:t>
      </w:r>
      <w:r>
        <w:t xml:space="preserve">including NHS England, </w:t>
      </w:r>
      <w:r w:rsidR="001C5240">
        <w:t>DHSC</w:t>
      </w:r>
      <w:r w:rsidR="00982EBC">
        <w:t>)</w:t>
      </w:r>
      <w:r w:rsidR="00952E21">
        <w:t xml:space="preserve"> and p</w:t>
      </w:r>
      <w:r>
        <w:t>atient, clinical, and industry</w:t>
      </w:r>
      <w:r w:rsidR="00952E21">
        <w:t xml:space="preserve"> input will be </w:t>
      </w:r>
      <w:r w:rsidR="00982EBC">
        <w:t>sought</w:t>
      </w:r>
      <w:r>
        <w:t xml:space="preserve">. </w:t>
      </w:r>
    </w:p>
    <w:p w14:paraId="7B0D7966" w14:textId="659A6105" w:rsidR="007403AA" w:rsidRDefault="007403AA" w:rsidP="007403AA">
      <w:pPr>
        <w:pStyle w:val="NICEnormalnumbered"/>
      </w:pPr>
      <w:r>
        <w:t xml:space="preserve"> MSOP will review all </w:t>
      </w:r>
      <w:r w:rsidR="00396C22">
        <w:t xml:space="preserve">identified </w:t>
      </w:r>
      <w:r>
        <w:t xml:space="preserve">longlisted modules from horizon scanning, </w:t>
      </w:r>
      <w:r w:rsidR="002D547C">
        <w:t xml:space="preserve">decide </w:t>
      </w:r>
      <w:r>
        <w:t xml:space="preserve">which should be prioritised, and, if a priority, route </w:t>
      </w:r>
      <w:r w:rsidR="00875449">
        <w:t xml:space="preserve">it </w:t>
      </w:r>
      <w:r>
        <w:t>to the appropriate work programme. When</w:t>
      </w:r>
      <w:r w:rsidR="006A38E3">
        <w:t xml:space="preserve"> prioritising modules</w:t>
      </w:r>
      <w:r>
        <w:t xml:space="preserve">, the panel will take into account: </w:t>
      </w:r>
    </w:p>
    <w:p w14:paraId="4EF74167" w14:textId="77777777" w:rsidR="007403AA" w:rsidRDefault="007403AA" w:rsidP="007403AA">
      <w:pPr>
        <w:pStyle w:val="Bulletindent1"/>
      </w:pPr>
      <w:r>
        <w:t xml:space="preserve">Whether an update aligns to NICE’s strategic priorities </w:t>
      </w:r>
    </w:p>
    <w:p w14:paraId="7E94F64A" w14:textId="77777777" w:rsidR="007403AA" w:rsidRDefault="007403AA" w:rsidP="007403AA">
      <w:pPr>
        <w:pStyle w:val="Bulletindent1"/>
      </w:pPr>
      <w:r>
        <w:t xml:space="preserve">Volume of requests </w:t>
      </w:r>
      <w:proofErr w:type="gramStart"/>
      <w:r>
        <w:t>received</w:t>
      </w:r>
      <w:proofErr w:type="gramEnd"/>
    </w:p>
    <w:p w14:paraId="33B967F9" w14:textId="77777777" w:rsidR="007403AA" w:rsidRDefault="007403AA" w:rsidP="007403AA">
      <w:pPr>
        <w:pStyle w:val="Bulletindent1"/>
      </w:pPr>
      <w:r>
        <w:t>Breadth of stakeholder categories raising the request</w:t>
      </w:r>
    </w:p>
    <w:p w14:paraId="6AD6954B" w14:textId="77777777" w:rsidR="007403AA" w:rsidRDefault="007403AA" w:rsidP="007403AA">
      <w:pPr>
        <w:pStyle w:val="Bulletindent1"/>
      </w:pPr>
      <w:r>
        <w:t xml:space="preserve">Seriousness of concern </w:t>
      </w:r>
      <w:proofErr w:type="gramStart"/>
      <w:r>
        <w:t>raised</w:t>
      </w:r>
      <w:proofErr w:type="gramEnd"/>
      <w:r>
        <w:t xml:space="preserve"> </w:t>
      </w:r>
    </w:p>
    <w:p w14:paraId="452A5648" w14:textId="77777777" w:rsidR="007403AA" w:rsidRDefault="007403AA" w:rsidP="007403AA">
      <w:pPr>
        <w:pStyle w:val="Bulletindent1"/>
      </w:pPr>
      <w:r>
        <w:t xml:space="preserve">Number of appraisals, clinical guidelines etc. that would be affected by any change to the manual, and scale of this </w:t>
      </w:r>
      <w:proofErr w:type="gramStart"/>
      <w:r>
        <w:t>impact</w:t>
      </w:r>
      <w:proofErr w:type="gramEnd"/>
      <w:r>
        <w:t xml:space="preserve"> </w:t>
      </w:r>
    </w:p>
    <w:p w14:paraId="043CE1B3" w14:textId="77777777" w:rsidR="007403AA" w:rsidRDefault="007403AA" w:rsidP="007403AA">
      <w:pPr>
        <w:pStyle w:val="Bulletindent1"/>
      </w:pPr>
      <w:r>
        <w:t xml:space="preserve">Volume of work and resources required in order to action the </w:t>
      </w:r>
      <w:proofErr w:type="gramStart"/>
      <w:r>
        <w:t>update</w:t>
      </w:r>
      <w:proofErr w:type="gramEnd"/>
      <w:r>
        <w:t xml:space="preserve"> </w:t>
      </w:r>
    </w:p>
    <w:p w14:paraId="2EAB45D4" w14:textId="77777777" w:rsidR="007403AA" w:rsidRDefault="007403AA" w:rsidP="007403AA">
      <w:pPr>
        <w:pStyle w:val="Bulletindent1"/>
      </w:pPr>
      <w:r>
        <w:t xml:space="preserve">Likelihood of a review leading to a change, including evidence availability </w:t>
      </w:r>
    </w:p>
    <w:p w14:paraId="7BA29986" w14:textId="77777777" w:rsidR="007403AA" w:rsidRDefault="007403AA" w:rsidP="007403AA">
      <w:pPr>
        <w:pStyle w:val="Bulletindent1"/>
      </w:pPr>
      <w:r>
        <w:t xml:space="preserve">Potential to positively impact the NICE Key Performance Indicators, timeliness and/or </w:t>
      </w:r>
      <w:proofErr w:type="gramStart"/>
      <w:r>
        <w:t>productivity</w:t>
      </w:r>
      <w:proofErr w:type="gramEnd"/>
    </w:p>
    <w:p w14:paraId="27E89CC5" w14:textId="77777777" w:rsidR="007403AA" w:rsidRDefault="007403AA" w:rsidP="007403AA">
      <w:pPr>
        <w:pStyle w:val="Bulletindent1"/>
      </w:pPr>
      <w:r>
        <w:t xml:space="preserve">Time since last </w:t>
      </w:r>
      <w:proofErr w:type="gramStart"/>
      <w:r>
        <w:t>reviewed</w:t>
      </w:r>
      <w:proofErr w:type="gramEnd"/>
      <w:r>
        <w:t xml:space="preserve"> </w:t>
      </w:r>
    </w:p>
    <w:p w14:paraId="38696674" w14:textId="0794E1E8" w:rsidR="007403AA" w:rsidRDefault="007403AA" w:rsidP="007403AA">
      <w:pPr>
        <w:pStyle w:val="Bulletindent1"/>
      </w:pPr>
      <w:r>
        <w:t xml:space="preserve">Any ongoing work in this area </w:t>
      </w:r>
    </w:p>
    <w:p w14:paraId="3E8C4988" w14:textId="77777777" w:rsidR="007403AA" w:rsidRDefault="007403AA" w:rsidP="007403AA">
      <w:pPr>
        <w:pStyle w:val="Bulletindent1last"/>
      </w:pPr>
      <w:r>
        <w:t>Impact on any protected characteristics or health inequalities.</w:t>
      </w:r>
    </w:p>
    <w:p w14:paraId="26EDB4A2" w14:textId="175CD280" w:rsidR="007403AA" w:rsidRDefault="00B86A42" w:rsidP="007403AA">
      <w:pPr>
        <w:pStyle w:val="NICEnormalnumbered"/>
      </w:pPr>
      <w:r>
        <w:t>M</w:t>
      </w:r>
      <w:r w:rsidR="007403AA">
        <w:t xml:space="preserve">odular updates will be categorised as either low, medium, or high priority for update, and as either 'quick win', partial update required, or full update required. </w:t>
      </w:r>
    </w:p>
    <w:p w14:paraId="0837769C" w14:textId="77777777" w:rsidR="007403AA" w:rsidRDefault="007403AA" w:rsidP="007403AA">
      <w:pPr>
        <w:pStyle w:val="Heading1boardreport"/>
      </w:pPr>
      <w:r>
        <w:t xml:space="preserve">Stakeholder engagement </w:t>
      </w:r>
    </w:p>
    <w:p w14:paraId="52CDE449" w14:textId="0A6D3F0A" w:rsidR="007403AA" w:rsidRDefault="007403AA" w:rsidP="007403AA">
      <w:pPr>
        <w:pStyle w:val="NICEnormalnumbered"/>
      </w:pPr>
      <w:r>
        <w:t>MSOP will be responsible for determining whether there is any directly or indirectly relevant ongoing work</w:t>
      </w:r>
      <w:r w:rsidR="002A6F6B">
        <w:t>,</w:t>
      </w:r>
      <w:r w:rsidR="007A29A4">
        <w:t xml:space="preserve"> </w:t>
      </w:r>
      <w:r>
        <w:t xml:space="preserve">to avoid duplication of effort, or to consider if </w:t>
      </w:r>
      <w:r w:rsidR="007A29A4">
        <w:t>the update can build on</w:t>
      </w:r>
      <w:r>
        <w:t xml:space="preserve"> any existing learning. MSOP will produce a </w:t>
      </w:r>
      <w:r w:rsidR="007A29A4">
        <w:t>NICE</w:t>
      </w:r>
      <w:r>
        <w:t xml:space="preserve">-wide summary of activities </w:t>
      </w:r>
      <w:r w:rsidR="0050534C">
        <w:t xml:space="preserve">and send </w:t>
      </w:r>
      <w:r>
        <w:t xml:space="preserve">to key internal contacts. This will be published on the NICE website.   </w:t>
      </w:r>
    </w:p>
    <w:p w14:paraId="3FBBA567" w14:textId="3FBC76CA" w:rsidR="007403AA" w:rsidRDefault="007403AA" w:rsidP="007403AA">
      <w:pPr>
        <w:pStyle w:val="NICEnormalnumbered"/>
      </w:pPr>
      <w:r>
        <w:lastRenderedPageBreak/>
        <w:t xml:space="preserve">For partial updates, stakeholder engagement will include liasing with key stakeholders including NHS England, </w:t>
      </w:r>
      <w:r w:rsidR="00043DAB">
        <w:t>DHSC</w:t>
      </w:r>
      <w:r>
        <w:t xml:space="preserve">, academia, patient and clinical groups, and industry, to allow input into the draft recommendation. </w:t>
      </w:r>
    </w:p>
    <w:p w14:paraId="2421C66B" w14:textId="219083D5" w:rsidR="00D124F6" w:rsidRDefault="007403AA" w:rsidP="007403AA">
      <w:pPr>
        <w:pStyle w:val="NICEnormalnumbered"/>
      </w:pPr>
      <w:r>
        <w:t xml:space="preserve">For full updates, during evidence development, stakeholder engagement will include working closely with stakeholders including NHS England, </w:t>
      </w:r>
      <w:r w:rsidR="00F758C4">
        <w:t>DHSC</w:t>
      </w:r>
      <w:r>
        <w:t>, academia, patient and clinical groups, and industry. This will include where necessary active participation of these stakeholders in the working groups responsible for evidence development/draft recommendations. It may also include submissions of evidence from companies or other stakeholders, and discussions with patient, commissioning</w:t>
      </w:r>
      <w:r w:rsidR="00FC081E">
        <w:t>,</w:t>
      </w:r>
      <w:r>
        <w:t xml:space="preserve"> </w:t>
      </w:r>
      <w:r w:rsidR="005D040A">
        <w:t xml:space="preserve">and </w:t>
      </w:r>
      <w:r>
        <w:t xml:space="preserve">clinical experts. </w:t>
      </w:r>
    </w:p>
    <w:p w14:paraId="2F3EF060" w14:textId="412A7D81" w:rsidR="004B4705" w:rsidRPr="00DB6F82" w:rsidRDefault="004B4705" w:rsidP="004B4705">
      <w:pPr>
        <w:pStyle w:val="NICEnormal"/>
      </w:pPr>
      <w:r w:rsidRPr="00DB6F82">
        <w:t xml:space="preserve">© NICE </w:t>
      </w:r>
      <w:r w:rsidR="00F14C23">
        <w:t>202</w:t>
      </w:r>
      <w:r w:rsidR="005D569B">
        <w:t>3</w:t>
      </w:r>
      <w:r w:rsidRPr="00DB6F82">
        <w:t xml:space="preserve">. All rights reserved. </w:t>
      </w:r>
      <w:hyperlink r:id="rId10" w:anchor="notice-of-rights" w:history="1">
        <w:r w:rsidRPr="00DB6F82">
          <w:rPr>
            <w:rStyle w:val="Hyperlink"/>
          </w:rPr>
          <w:t>Subject to Notice of rights</w:t>
        </w:r>
      </w:hyperlink>
      <w:r w:rsidRPr="00DB6F82">
        <w:t>.</w:t>
      </w:r>
    </w:p>
    <w:p w14:paraId="65F2AC1E" w14:textId="2F05BB16" w:rsidR="004D2CD4" w:rsidRDefault="005D569B" w:rsidP="004511A7">
      <w:pPr>
        <w:pStyle w:val="NICEnormal"/>
      </w:pPr>
      <w:r>
        <w:t>March</w:t>
      </w:r>
      <w:r w:rsidR="00F14C23">
        <w:t xml:space="preserve"> 202</w:t>
      </w:r>
      <w:r>
        <w:t>3</w:t>
      </w:r>
      <w:bookmarkEnd w:id="0"/>
    </w:p>
    <w:sectPr w:rsidR="004D2CD4" w:rsidSect="00B0463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40CE" w14:textId="77777777" w:rsidR="00700B9B" w:rsidRDefault="00700B9B">
      <w:r>
        <w:separator/>
      </w:r>
    </w:p>
  </w:endnote>
  <w:endnote w:type="continuationSeparator" w:id="0">
    <w:p w14:paraId="7BF9D896" w14:textId="77777777" w:rsidR="00700B9B" w:rsidRDefault="00700B9B">
      <w:r>
        <w:continuationSeparator/>
      </w:r>
    </w:p>
  </w:endnote>
  <w:endnote w:type="continuationNotice" w:id="1">
    <w:p w14:paraId="2D1A3BD0" w14:textId="77777777" w:rsidR="00700B9B" w:rsidRDefault="00700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E73C" w14:textId="693C637B" w:rsidR="00AF3000" w:rsidRDefault="037A9947" w:rsidP="00AF3000">
    <w:pPr>
      <w:pStyle w:val="Footer"/>
      <w:rPr>
        <w:highlight w:val="yellow"/>
      </w:rPr>
    </w:pPr>
    <w:r>
      <w:t>Health Technology Evaluation: update on implementation of new manual/methods and proposed approach for modular updates</w:t>
    </w:r>
  </w:p>
  <w:p w14:paraId="12240275" w14:textId="1192D52B" w:rsidR="004B4705" w:rsidRPr="00AF3000" w:rsidRDefault="00AF3000" w:rsidP="004B4705">
    <w:pPr>
      <w:pStyle w:val="Footer"/>
      <w:tabs>
        <w:tab w:val="right" w:pos="8931"/>
        <w:tab w:val="right" w:pos="13892"/>
      </w:tabs>
      <w:rPr>
        <w:color w:val="000000" w:themeColor="text1"/>
        <w:szCs w:val="16"/>
      </w:rPr>
    </w:pPr>
    <w:r>
      <w:rPr>
        <w:szCs w:val="16"/>
      </w:rPr>
      <w:t>Public Board meeting</w:t>
    </w:r>
    <w:r w:rsidR="006C0D5D">
      <w:rPr>
        <w:szCs w:val="16"/>
      </w:rPr>
      <w:t xml:space="preserve"> </w:t>
    </w:r>
    <w:r w:rsidR="006C0D5D">
      <w:rPr>
        <w:szCs w:val="16"/>
      </w:rPr>
      <w:tab/>
    </w:r>
    <w:r w:rsidR="006C0D5D">
      <w:rPr>
        <w:szCs w:val="16"/>
      </w:rPr>
      <w:tab/>
    </w:r>
    <w:r w:rsidR="004B4705" w:rsidRPr="00AF3000">
      <w:rPr>
        <w:color w:val="000000" w:themeColor="text1"/>
        <w:szCs w:val="16"/>
      </w:rPr>
      <w:t xml:space="preserve">Page </w:t>
    </w:r>
    <w:r w:rsidR="004B4705" w:rsidRPr="00AF3000">
      <w:rPr>
        <w:color w:val="000000" w:themeColor="text1"/>
        <w:szCs w:val="16"/>
        <w:shd w:val="clear" w:color="auto" w:fill="E6E6E6"/>
      </w:rPr>
      <w:fldChar w:fldCharType="begin"/>
    </w:r>
    <w:r w:rsidR="004B4705" w:rsidRPr="00AF3000">
      <w:rPr>
        <w:color w:val="000000" w:themeColor="text1"/>
        <w:szCs w:val="16"/>
      </w:rPr>
      <w:instrText xml:space="preserve"> PAGE  \* Arabic  \* MERGEFORMAT </w:instrText>
    </w:r>
    <w:r w:rsidR="004B4705" w:rsidRPr="00AF3000">
      <w:rPr>
        <w:color w:val="000000" w:themeColor="text1"/>
        <w:szCs w:val="16"/>
        <w:shd w:val="clear" w:color="auto" w:fill="E6E6E6"/>
      </w:rPr>
      <w:fldChar w:fldCharType="separate"/>
    </w:r>
    <w:r w:rsidR="004B4705" w:rsidRPr="00AF3000">
      <w:rPr>
        <w:noProof/>
        <w:color w:val="000000" w:themeColor="text1"/>
        <w:szCs w:val="16"/>
      </w:rPr>
      <w:t>7</w:t>
    </w:r>
    <w:r w:rsidR="004B4705" w:rsidRPr="00AF3000">
      <w:rPr>
        <w:color w:val="000000" w:themeColor="text1"/>
        <w:szCs w:val="16"/>
        <w:shd w:val="clear" w:color="auto" w:fill="E6E6E6"/>
      </w:rPr>
      <w:fldChar w:fldCharType="end"/>
    </w:r>
    <w:r w:rsidR="004B4705" w:rsidRPr="00AF3000">
      <w:rPr>
        <w:color w:val="000000" w:themeColor="text1"/>
        <w:szCs w:val="16"/>
      </w:rPr>
      <w:t xml:space="preserve"> of </w:t>
    </w:r>
    <w:r w:rsidR="004B4705" w:rsidRPr="00AF3000">
      <w:rPr>
        <w:color w:val="000000" w:themeColor="text1"/>
        <w:szCs w:val="16"/>
        <w:shd w:val="clear" w:color="auto" w:fill="E6E6E6"/>
      </w:rPr>
      <w:fldChar w:fldCharType="begin"/>
    </w:r>
    <w:r w:rsidR="004B4705" w:rsidRPr="00AF3000">
      <w:rPr>
        <w:color w:val="000000" w:themeColor="text1"/>
        <w:szCs w:val="16"/>
      </w:rPr>
      <w:instrText xml:space="preserve"> NUMPAGES  \* Arabic  \* MERGEFORMAT </w:instrText>
    </w:r>
    <w:r w:rsidR="004B4705" w:rsidRPr="00AF3000">
      <w:rPr>
        <w:color w:val="000000" w:themeColor="text1"/>
        <w:szCs w:val="16"/>
        <w:shd w:val="clear" w:color="auto" w:fill="E6E6E6"/>
      </w:rPr>
      <w:fldChar w:fldCharType="separate"/>
    </w:r>
    <w:r w:rsidR="004B4705" w:rsidRPr="00AF3000">
      <w:rPr>
        <w:noProof/>
        <w:color w:val="000000" w:themeColor="text1"/>
        <w:szCs w:val="16"/>
      </w:rPr>
      <w:t>8</w:t>
    </w:r>
    <w:r w:rsidR="004B4705" w:rsidRPr="00AF3000">
      <w:rPr>
        <w:color w:val="000000" w:themeColor="text1"/>
        <w:szCs w:val="16"/>
        <w:shd w:val="clear" w:color="auto" w:fill="E6E6E6"/>
      </w:rPr>
      <w:fldChar w:fldCharType="end"/>
    </w:r>
  </w:p>
  <w:p w14:paraId="426A9E78" w14:textId="6631D256" w:rsidR="004B4705" w:rsidRPr="00AF3000" w:rsidRDefault="006C0D5D" w:rsidP="004B4705">
    <w:pPr>
      <w:pStyle w:val="Footer"/>
      <w:rPr>
        <w:color w:val="000000" w:themeColor="text1"/>
        <w:szCs w:val="16"/>
      </w:rPr>
    </w:pPr>
    <w:r w:rsidRPr="00AF3000">
      <w:rPr>
        <w:color w:val="000000" w:themeColor="text1"/>
      </w:rPr>
      <w:t xml:space="preserve">Date: </w:t>
    </w:r>
    <w:r w:rsidR="005D569B" w:rsidRPr="00AF3000">
      <w:rPr>
        <w:color w:val="000000" w:themeColor="text1"/>
      </w:rPr>
      <w:t>22</w:t>
    </w:r>
    <w:r w:rsidRPr="00AF3000">
      <w:rPr>
        <w:color w:val="000000" w:themeColor="text1"/>
      </w:rPr>
      <w:t xml:space="preserve"> </w:t>
    </w:r>
    <w:r w:rsidR="005D569B" w:rsidRPr="00AF3000">
      <w:rPr>
        <w:color w:val="000000" w:themeColor="text1"/>
      </w:rPr>
      <w:t>March 2023</w:t>
    </w:r>
    <w:r w:rsidR="004B4705" w:rsidRPr="00AF3000">
      <w:rPr>
        <w:color w:val="000000" w:themeColor="text1"/>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D20A0" w14:textId="77777777" w:rsidR="00700B9B" w:rsidRDefault="00700B9B">
      <w:r>
        <w:separator/>
      </w:r>
    </w:p>
  </w:footnote>
  <w:footnote w:type="continuationSeparator" w:id="0">
    <w:p w14:paraId="118F7A78" w14:textId="77777777" w:rsidR="00700B9B" w:rsidRDefault="00700B9B">
      <w:r>
        <w:continuationSeparator/>
      </w:r>
    </w:p>
  </w:footnote>
  <w:footnote w:type="continuationNotice" w:id="1">
    <w:p w14:paraId="428E42B1" w14:textId="77777777" w:rsidR="00700B9B" w:rsidRDefault="00700B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385A" w14:textId="0B4C7694" w:rsidR="004B4705" w:rsidRPr="006E0F0C" w:rsidRDefault="006E0F0C" w:rsidP="006E0F0C">
    <w:pPr>
      <w:pStyle w:val="Header"/>
      <w:ind w:left="0"/>
    </w:pPr>
    <w:r w:rsidRPr="00AF3000">
      <w:rPr>
        <w:noProof/>
        <w:color w:val="2B579A"/>
      </w:rPr>
      <w:drawing>
        <wp:inline distT="0" distB="0" distL="0" distR="0" wp14:anchorId="1ED40CEC" wp14:editId="480079F3">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6C0D5D">
      <w:t xml:space="preserve">Item </w:t>
    </w:r>
    <w:r w:rsidR="00EB043F">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4FD88FF2"/>
    <w:lvl w:ilvl="0" w:tplc="FFFFFFFF">
      <w:start w:val="1"/>
      <w:numFmt w:val="decimal"/>
      <w:pStyle w:val="Paragraph"/>
      <w:lvlText w:val="%1."/>
      <w:lvlJc w:val="left"/>
      <w:pPr>
        <w:ind w:left="502"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54A7C8D"/>
    <w:multiLevelType w:val="hybridMultilevel"/>
    <w:tmpl w:val="1F568DF2"/>
    <w:lvl w:ilvl="0" w:tplc="07E0946A">
      <w:start w:val="1"/>
      <w:numFmt w:val="bullet"/>
      <w:lvlText w:val=""/>
      <w:lvlJc w:val="left"/>
      <w:pPr>
        <w:ind w:left="720" w:hanging="360"/>
      </w:pPr>
      <w:rPr>
        <w:rFonts w:ascii="Symbol" w:hAnsi="Symbol"/>
      </w:rPr>
    </w:lvl>
    <w:lvl w:ilvl="1" w:tplc="4F2CC4FE">
      <w:start w:val="1"/>
      <w:numFmt w:val="bullet"/>
      <w:lvlText w:val=""/>
      <w:lvlJc w:val="left"/>
      <w:pPr>
        <w:ind w:left="720" w:hanging="360"/>
      </w:pPr>
      <w:rPr>
        <w:rFonts w:ascii="Symbol" w:hAnsi="Symbol"/>
      </w:rPr>
    </w:lvl>
    <w:lvl w:ilvl="2" w:tplc="C464E0E6">
      <w:start w:val="1"/>
      <w:numFmt w:val="bullet"/>
      <w:lvlText w:val=""/>
      <w:lvlJc w:val="left"/>
      <w:pPr>
        <w:ind w:left="720" w:hanging="360"/>
      </w:pPr>
      <w:rPr>
        <w:rFonts w:ascii="Symbol" w:hAnsi="Symbol"/>
      </w:rPr>
    </w:lvl>
    <w:lvl w:ilvl="3" w:tplc="794CEDBE">
      <w:start w:val="1"/>
      <w:numFmt w:val="bullet"/>
      <w:lvlText w:val=""/>
      <w:lvlJc w:val="left"/>
      <w:pPr>
        <w:ind w:left="720" w:hanging="360"/>
      </w:pPr>
      <w:rPr>
        <w:rFonts w:ascii="Symbol" w:hAnsi="Symbol"/>
      </w:rPr>
    </w:lvl>
    <w:lvl w:ilvl="4" w:tplc="1B7CABD6">
      <w:start w:val="1"/>
      <w:numFmt w:val="bullet"/>
      <w:lvlText w:val=""/>
      <w:lvlJc w:val="left"/>
      <w:pPr>
        <w:ind w:left="720" w:hanging="360"/>
      </w:pPr>
      <w:rPr>
        <w:rFonts w:ascii="Symbol" w:hAnsi="Symbol"/>
      </w:rPr>
    </w:lvl>
    <w:lvl w:ilvl="5" w:tplc="B14AFC8A">
      <w:start w:val="1"/>
      <w:numFmt w:val="bullet"/>
      <w:lvlText w:val=""/>
      <w:lvlJc w:val="left"/>
      <w:pPr>
        <w:ind w:left="720" w:hanging="360"/>
      </w:pPr>
      <w:rPr>
        <w:rFonts w:ascii="Symbol" w:hAnsi="Symbol"/>
      </w:rPr>
    </w:lvl>
    <w:lvl w:ilvl="6" w:tplc="BDD2B26A">
      <w:start w:val="1"/>
      <w:numFmt w:val="bullet"/>
      <w:lvlText w:val=""/>
      <w:lvlJc w:val="left"/>
      <w:pPr>
        <w:ind w:left="720" w:hanging="360"/>
      </w:pPr>
      <w:rPr>
        <w:rFonts w:ascii="Symbol" w:hAnsi="Symbol"/>
      </w:rPr>
    </w:lvl>
    <w:lvl w:ilvl="7" w:tplc="1584D2F0">
      <w:start w:val="1"/>
      <w:numFmt w:val="bullet"/>
      <w:lvlText w:val=""/>
      <w:lvlJc w:val="left"/>
      <w:pPr>
        <w:ind w:left="720" w:hanging="360"/>
      </w:pPr>
      <w:rPr>
        <w:rFonts w:ascii="Symbol" w:hAnsi="Symbol"/>
      </w:rPr>
    </w:lvl>
    <w:lvl w:ilvl="8" w:tplc="DBA85392">
      <w:start w:val="1"/>
      <w:numFmt w:val="bullet"/>
      <w:lvlText w:val=""/>
      <w:lvlJc w:val="left"/>
      <w:pPr>
        <w:ind w:left="720" w:hanging="360"/>
      </w:pPr>
      <w:rPr>
        <w:rFonts w:ascii="Symbol" w:hAnsi="Symbol"/>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5F54D2"/>
    <w:multiLevelType w:val="hybridMultilevel"/>
    <w:tmpl w:val="7C28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14A33"/>
    <w:multiLevelType w:val="hybridMultilevel"/>
    <w:tmpl w:val="9526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004"/>
        </w:tabs>
        <w:ind w:left="1004" w:hanging="284"/>
      </w:pPr>
      <w:rPr>
        <w:rFonts w:ascii="Symbol" w:hAnsi="Symbol" w:hint="default"/>
        <w:color w:val="auto"/>
        <w:sz w:val="24"/>
        <w:szCs w:val="24"/>
      </w:rPr>
    </w:lvl>
    <w:lvl w:ilvl="1" w:tplc="08090003" w:tentative="1">
      <w:start w:val="1"/>
      <w:numFmt w:val="bullet"/>
      <w:lvlText w:val="o"/>
      <w:lvlJc w:val="left"/>
      <w:pPr>
        <w:tabs>
          <w:tab w:val="num" w:pos="1026"/>
        </w:tabs>
        <w:ind w:left="1026" w:hanging="360"/>
      </w:pPr>
      <w:rPr>
        <w:rFonts w:ascii="Courier New" w:hAnsi="Courier New" w:cs="Courier New" w:hint="default"/>
      </w:rPr>
    </w:lvl>
    <w:lvl w:ilvl="2" w:tplc="08090005" w:tentative="1">
      <w:start w:val="1"/>
      <w:numFmt w:val="bullet"/>
      <w:lvlText w:val=""/>
      <w:lvlJc w:val="left"/>
      <w:pPr>
        <w:tabs>
          <w:tab w:val="num" w:pos="1746"/>
        </w:tabs>
        <w:ind w:left="1746" w:hanging="360"/>
      </w:pPr>
      <w:rPr>
        <w:rFonts w:ascii="Wingdings" w:hAnsi="Wingdings" w:hint="default"/>
      </w:rPr>
    </w:lvl>
    <w:lvl w:ilvl="3" w:tplc="08090001" w:tentative="1">
      <w:start w:val="1"/>
      <w:numFmt w:val="bullet"/>
      <w:lvlText w:val=""/>
      <w:lvlJc w:val="left"/>
      <w:pPr>
        <w:tabs>
          <w:tab w:val="num" w:pos="2466"/>
        </w:tabs>
        <w:ind w:left="2466" w:hanging="360"/>
      </w:pPr>
      <w:rPr>
        <w:rFonts w:ascii="Symbol" w:hAnsi="Symbol" w:hint="default"/>
      </w:rPr>
    </w:lvl>
    <w:lvl w:ilvl="4" w:tplc="08090003" w:tentative="1">
      <w:start w:val="1"/>
      <w:numFmt w:val="bullet"/>
      <w:lvlText w:val="o"/>
      <w:lvlJc w:val="left"/>
      <w:pPr>
        <w:tabs>
          <w:tab w:val="num" w:pos="3186"/>
        </w:tabs>
        <w:ind w:left="3186" w:hanging="360"/>
      </w:pPr>
      <w:rPr>
        <w:rFonts w:ascii="Courier New" w:hAnsi="Courier New" w:cs="Courier New" w:hint="default"/>
      </w:rPr>
    </w:lvl>
    <w:lvl w:ilvl="5" w:tplc="08090005" w:tentative="1">
      <w:start w:val="1"/>
      <w:numFmt w:val="bullet"/>
      <w:lvlText w:val=""/>
      <w:lvlJc w:val="left"/>
      <w:pPr>
        <w:tabs>
          <w:tab w:val="num" w:pos="3906"/>
        </w:tabs>
        <w:ind w:left="3906" w:hanging="360"/>
      </w:pPr>
      <w:rPr>
        <w:rFonts w:ascii="Wingdings" w:hAnsi="Wingdings" w:hint="default"/>
      </w:rPr>
    </w:lvl>
    <w:lvl w:ilvl="6" w:tplc="08090001" w:tentative="1">
      <w:start w:val="1"/>
      <w:numFmt w:val="bullet"/>
      <w:lvlText w:val=""/>
      <w:lvlJc w:val="left"/>
      <w:pPr>
        <w:tabs>
          <w:tab w:val="num" w:pos="4626"/>
        </w:tabs>
        <w:ind w:left="4626" w:hanging="360"/>
      </w:pPr>
      <w:rPr>
        <w:rFonts w:ascii="Symbol" w:hAnsi="Symbol" w:hint="default"/>
      </w:rPr>
    </w:lvl>
    <w:lvl w:ilvl="7" w:tplc="08090003" w:tentative="1">
      <w:start w:val="1"/>
      <w:numFmt w:val="bullet"/>
      <w:lvlText w:val="o"/>
      <w:lvlJc w:val="left"/>
      <w:pPr>
        <w:tabs>
          <w:tab w:val="num" w:pos="5346"/>
        </w:tabs>
        <w:ind w:left="5346" w:hanging="360"/>
      </w:pPr>
      <w:rPr>
        <w:rFonts w:ascii="Courier New" w:hAnsi="Courier New" w:cs="Courier New" w:hint="default"/>
      </w:rPr>
    </w:lvl>
    <w:lvl w:ilvl="8" w:tplc="08090005" w:tentative="1">
      <w:start w:val="1"/>
      <w:numFmt w:val="bullet"/>
      <w:lvlText w:val=""/>
      <w:lvlJc w:val="left"/>
      <w:pPr>
        <w:tabs>
          <w:tab w:val="num" w:pos="6066"/>
        </w:tabs>
        <w:ind w:left="6066"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3E36F25"/>
    <w:multiLevelType w:val="hybridMultilevel"/>
    <w:tmpl w:val="48CC2C32"/>
    <w:lvl w:ilvl="0" w:tplc="0150BE00">
      <w:start w:val="1"/>
      <w:numFmt w:val="decimal"/>
      <w:lvlText w:val="%1."/>
      <w:lvlJc w:val="left"/>
      <w:pPr>
        <w:ind w:left="1140" w:hanging="360"/>
      </w:pPr>
    </w:lvl>
    <w:lvl w:ilvl="1" w:tplc="C0EA50CE">
      <w:start w:val="1"/>
      <w:numFmt w:val="decimal"/>
      <w:lvlText w:val="%2."/>
      <w:lvlJc w:val="left"/>
      <w:pPr>
        <w:ind w:left="1140" w:hanging="360"/>
      </w:pPr>
    </w:lvl>
    <w:lvl w:ilvl="2" w:tplc="47CCD778">
      <w:start w:val="1"/>
      <w:numFmt w:val="decimal"/>
      <w:lvlText w:val="%3."/>
      <w:lvlJc w:val="left"/>
      <w:pPr>
        <w:ind w:left="1140" w:hanging="360"/>
      </w:pPr>
    </w:lvl>
    <w:lvl w:ilvl="3" w:tplc="A7B2C122">
      <w:start w:val="1"/>
      <w:numFmt w:val="decimal"/>
      <w:lvlText w:val="%4."/>
      <w:lvlJc w:val="left"/>
      <w:pPr>
        <w:ind w:left="1140" w:hanging="360"/>
      </w:pPr>
    </w:lvl>
    <w:lvl w:ilvl="4" w:tplc="D0422AA6">
      <w:start w:val="1"/>
      <w:numFmt w:val="decimal"/>
      <w:lvlText w:val="%5."/>
      <w:lvlJc w:val="left"/>
      <w:pPr>
        <w:ind w:left="1140" w:hanging="360"/>
      </w:pPr>
    </w:lvl>
    <w:lvl w:ilvl="5" w:tplc="84BE0F56">
      <w:start w:val="1"/>
      <w:numFmt w:val="decimal"/>
      <w:lvlText w:val="%6."/>
      <w:lvlJc w:val="left"/>
      <w:pPr>
        <w:ind w:left="1140" w:hanging="360"/>
      </w:pPr>
    </w:lvl>
    <w:lvl w:ilvl="6" w:tplc="A1D4F444">
      <w:start w:val="1"/>
      <w:numFmt w:val="decimal"/>
      <w:lvlText w:val="%7."/>
      <w:lvlJc w:val="left"/>
      <w:pPr>
        <w:ind w:left="1140" w:hanging="360"/>
      </w:pPr>
    </w:lvl>
    <w:lvl w:ilvl="7" w:tplc="6778D536">
      <w:start w:val="1"/>
      <w:numFmt w:val="decimal"/>
      <w:lvlText w:val="%8."/>
      <w:lvlJc w:val="left"/>
      <w:pPr>
        <w:ind w:left="1140" w:hanging="360"/>
      </w:pPr>
    </w:lvl>
    <w:lvl w:ilvl="8" w:tplc="F690A6B8">
      <w:start w:val="1"/>
      <w:numFmt w:val="decimal"/>
      <w:lvlText w:val="%9."/>
      <w:lvlJc w:val="left"/>
      <w:pPr>
        <w:ind w:left="1140" w:hanging="360"/>
      </w:pPr>
    </w:lvl>
  </w:abstractNum>
  <w:abstractNum w:abstractNumId="15" w15:restartNumberingAfterBreak="0">
    <w:nsid w:val="29920419"/>
    <w:multiLevelType w:val="multilevel"/>
    <w:tmpl w:val="B4E676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1BD5681"/>
    <w:multiLevelType w:val="hybridMultilevel"/>
    <w:tmpl w:val="A3BCCC4C"/>
    <w:lvl w:ilvl="0" w:tplc="34D2CD60">
      <w:start w:val="1"/>
      <w:numFmt w:val="bullet"/>
      <w:lvlText w:val=""/>
      <w:lvlJc w:val="left"/>
      <w:pPr>
        <w:ind w:left="720" w:hanging="360"/>
      </w:pPr>
      <w:rPr>
        <w:rFonts w:ascii="Symbol" w:hAnsi="Symbol"/>
      </w:rPr>
    </w:lvl>
    <w:lvl w:ilvl="1" w:tplc="78F0F7B0">
      <w:start w:val="1"/>
      <w:numFmt w:val="bullet"/>
      <w:lvlText w:val=""/>
      <w:lvlJc w:val="left"/>
      <w:pPr>
        <w:ind w:left="720" w:hanging="360"/>
      </w:pPr>
      <w:rPr>
        <w:rFonts w:ascii="Symbol" w:hAnsi="Symbol"/>
      </w:rPr>
    </w:lvl>
    <w:lvl w:ilvl="2" w:tplc="B7968E2E">
      <w:start w:val="1"/>
      <w:numFmt w:val="bullet"/>
      <w:lvlText w:val=""/>
      <w:lvlJc w:val="left"/>
      <w:pPr>
        <w:ind w:left="720" w:hanging="360"/>
      </w:pPr>
      <w:rPr>
        <w:rFonts w:ascii="Symbol" w:hAnsi="Symbol"/>
      </w:rPr>
    </w:lvl>
    <w:lvl w:ilvl="3" w:tplc="226AAA06">
      <w:start w:val="1"/>
      <w:numFmt w:val="bullet"/>
      <w:lvlText w:val=""/>
      <w:lvlJc w:val="left"/>
      <w:pPr>
        <w:ind w:left="720" w:hanging="360"/>
      </w:pPr>
      <w:rPr>
        <w:rFonts w:ascii="Symbol" w:hAnsi="Symbol"/>
      </w:rPr>
    </w:lvl>
    <w:lvl w:ilvl="4" w:tplc="4180332A">
      <w:start w:val="1"/>
      <w:numFmt w:val="bullet"/>
      <w:lvlText w:val=""/>
      <w:lvlJc w:val="left"/>
      <w:pPr>
        <w:ind w:left="720" w:hanging="360"/>
      </w:pPr>
      <w:rPr>
        <w:rFonts w:ascii="Symbol" w:hAnsi="Symbol"/>
      </w:rPr>
    </w:lvl>
    <w:lvl w:ilvl="5" w:tplc="408A7B48">
      <w:start w:val="1"/>
      <w:numFmt w:val="bullet"/>
      <w:lvlText w:val=""/>
      <w:lvlJc w:val="left"/>
      <w:pPr>
        <w:ind w:left="720" w:hanging="360"/>
      </w:pPr>
      <w:rPr>
        <w:rFonts w:ascii="Symbol" w:hAnsi="Symbol"/>
      </w:rPr>
    </w:lvl>
    <w:lvl w:ilvl="6" w:tplc="07467F34">
      <w:start w:val="1"/>
      <w:numFmt w:val="bullet"/>
      <w:lvlText w:val=""/>
      <w:lvlJc w:val="left"/>
      <w:pPr>
        <w:ind w:left="720" w:hanging="360"/>
      </w:pPr>
      <w:rPr>
        <w:rFonts w:ascii="Symbol" w:hAnsi="Symbol"/>
      </w:rPr>
    </w:lvl>
    <w:lvl w:ilvl="7" w:tplc="6E6233F0">
      <w:start w:val="1"/>
      <w:numFmt w:val="bullet"/>
      <w:lvlText w:val=""/>
      <w:lvlJc w:val="left"/>
      <w:pPr>
        <w:ind w:left="720" w:hanging="360"/>
      </w:pPr>
      <w:rPr>
        <w:rFonts w:ascii="Symbol" w:hAnsi="Symbol"/>
      </w:rPr>
    </w:lvl>
    <w:lvl w:ilvl="8" w:tplc="CD42FF3E">
      <w:start w:val="1"/>
      <w:numFmt w:val="bullet"/>
      <w:lvlText w:val=""/>
      <w:lvlJc w:val="left"/>
      <w:pPr>
        <w:ind w:left="720" w:hanging="360"/>
      </w:pPr>
      <w:rPr>
        <w:rFonts w:ascii="Symbol" w:hAnsi="Symbol"/>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3F619A"/>
    <w:multiLevelType w:val="hybridMultilevel"/>
    <w:tmpl w:val="3C084FA4"/>
    <w:lvl w:ilvl="0" w:tplc="B7A4C0D4">
      <w:start w:val="1"/>
      <w:numFmt w:val="bullet"/>
      <w:lvlText w:val=""/>
      <w:lvlJc w:val="left"/>
      <w:pPr>
        <w:ind w:left="1080" w:hanging="360"/>
      </w:pPr>
      <w:rPr>
        <w:rFonts w:ascii="Symbol" w:hAnsi="Symbol"/>
      </w:rPr>
    </w:lvl>
    <w:lvl w:ilvl="1" w:tplc="368052D2">
      <w:start w:val="1"/>
      <w:numFmt w:val="bullet"/>
      <w:lvlText w:val=""/>
      <w:lvlJc w:val="left"/>
      <w:pPr>
        <w:ind w:left="1080" w:hanging="360"/>
      </w:pPr>
      <w:rPr>
        <w:rFonts w:ascii="Symbol" w:hAnsi="Symbol"/>
      </w:rPr>
    </w:lvl>
    <w:lvl w:ilvl="2" w:tplc="B4EEB62C">
      <w:start w:val="1"/>
      <w:numFmt w:val="bullet"/>
      <w:lvlText w:val=""/>
      <w:lvlJc w:val="left"/>
      <w:pPr>
        <w:ind w:left="1080" w:hanging="360"/>
      </w:pPr>
      <w:rPr>
        <w:rFonts w:ascii="Symbol" w:hAnsi="Symbol"/>
      </w:rPr>
    </w:lvl>
    <w:lvl w:ilvl="3" w:tplc="6E121952">
      <w:start w:val="1"/>
      <w:numFmt w:val="bullet"/>
      <w:lvlText w:val=""/>
      <w:lvlJc w:val="left"/>
      <w:pPr>
        <w:ind w:left="1080" w:hanging="360"/>
      </w:pPr>
      <w:rPr>
        <w:rFonts w:ascii="Symbol" w:hAnsi="Symbol"/>
      </w:rPr>
    </w:lvl>
    <w:lvl w:ilvl="4" w:tplc="AC7EFDD0">
      <w:start w:val="1"/>
      <w:numFmt w:val="bullet"/>
      <w:lvlText w:val=""/>
      <w:lvlJc w:val="left"/>
      <w:pPr>
        <w:ind w:left="1080" w:hanging="360"/>
      </w:pPr>
      <w:rPr>
        <w:rFonts w:ascii="Symbol" w:hAnsi="Symbol"/>
      </w:rPr>
    </w:lvl>
    <w:lvl w:ilvl="5" w:tplc="DA568F30">
      <w:start w:val="1"/>
      <w:numFmt w:val="bullet"/>
      <w:lvlText w:val=""/>
      <w:lvlJc w:val="left"/>
      <w:pPr>
        <w:ind w:left="1080" w:hanging="360"/>
      </w:pPr>
      <w:rPr>
        <w:rFonts w:ascii="Symbol" w:hAnsi="Symbol"/>
      </w:rPr>
    </w:lvl>
    <w:lvl w:ilvl="6" w:tplc="8D0A5CB8">
      <w:start w:val="1"/>
      <w:numFmt w:val="bullet"/>
      <w:lvlText w:val=""/>
      <w:lvlJc w:val="left"/>
      <w:pPr>
        <w:ind w:left="1080" w:hanging="360"/>
      </w:pPr>
      <w:rPr>
        <w:rFonts w:ascii="Symbol" w:hAnsi="Symbol"/>
      </w:rPr>
    </w:lvl>
    <w:lvl w:ilvl="7" w:tplc="990C04B2">
      <w:start w:val="1"/>
      <w:numFmt w:val="bullet"/>
      <w:lvlText w:val=""/>
      <w:lvlJc w:val="left"/>
      <w:pPr>
        <w:ind w:left="1080" w:hanging="360"/>
      </w:pPr>
      <w:rPr>
        <w:rFonts w:ascii="Symbol" w:hAnsi="Symbol"/>
      </w:rPr>
    </w:lvl>
    <w:lvl w:ilvl="8" w:tplc="8E943C48">
      <w:start w:val="1"/>
      <w:numFmt w:val="bullet"/>
      <w:lvlText w:val=""/>
      <w:lvlJc w:val="left"/>
      <w:pPr>
        <w:ind w:left="1080" w:hanging="360"/>
      </w:pPr>
      <w:rPr>
        <w:rFonts w:ascii="Symbol" w:hAnsi="Symbol"/>
      </w:rPr>
    </w:lvl>
  </w:abstractNum>
  <w:abstractNum w:abstractNumId="21" w15:restartNumberingAfterBreak="0">
    <w:nsid w:val="370A339A"/>
    <w:multiLevelType w:val="hybridMultilevel"/>
    <w:tmpl w:val="D364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AF63FFD"/>
    <w:multiLevelType w:val="hybridMultilevel"/>
    <w:tmpl w:val="2E2E0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D04376"/>
    <w:multiLevelType w:val="hybridMultilevel"/>
    <w:tmpl w:val="8E92FEDA"/>
    <w:lvl w:ilvl="0" w:tplc="9482E62C">
      <w:start w:val="1"/>
      <w:numFmt w:val="decimal"/>
      <w:lvlText w:val="%1."/>
      <w:lvlJc w:val="left"/>
      <w:pPr>
        <w:ind w:left="1080" w:hanging="360"/>
      </w:pPr>
    </w:lvl>
    <w:lvl w:ilvl="1" w:tplc="D00630E0">
      <w:start w:val="1"/>
      <w:numFmt w:val="decimal"/>
      <w:lvlText w:val="%2."/>
      <w:lvlJc w:val="left"/>
      <w:pPr>
        <w:ind w:left="1080" w:hanging="360"/>
      </w:pPr>
    </w:lvl>
    <w:lvl w:ilvl="2" w:tplc="5CB2832A">
      <w:start w:val="1"/>
      <w:numFmt w:val="decimal"/>
      <w:lvlText w:val="%3."/>
      <w:lvlJc w:val="left"/>
      <w:pPr>
        <w:ind w:left="1080" w:hanging="360"/>
      </w:pPr>
    </w:lvl>
    <w:lvl w:ilvl="3" w:tplc="5EBCD758">
      <w:start w:val="1"/>
      <w:numFmt w:val="decimal"/>
      <w:lvlText w:val="%4."/>
      <w:lvlJc w:val="left"/>
      <w:pPr>
        <w:ind w:left="1080" w:hanging="360"/>
      </w:pPr>
    </w:lvl>
    <w:lvl w:ilvl="4" w:tplc="C9A65896">
      <w:start w:val="1"/>
      <w:numFmt w:val="decimal"/>
      <w:lvlText w:val="%5."/>
      <w:lvlJc w:val="left"/>
      <w:pPr>
        <w:ind w:left="1080" w:hanging="360"/>
      </w:pPr>
    </w:lvl>
    <w:lvl w:ilvl="5" w:tplc="C4A45AB2">
      <w:start w:val="1"/>
      <w:numFmt w:val="decimal"/>
      <w:lvlText w:val="%6."/>
      <w:lvlJc w:val="left"/>
      <w:pPr>
        <w:ind w:left="1080" w:hanging="360"/>
      </w:pPr>
    </w:lvl>
    <w:lvl w:ilvl="6" w:tplc="FA30C9D6">
      <w:start w:val="1"/>
      <w:numFmt w:val="decimal"/>
      <w:lvlText w:val="%7."/>
      <w:lvlJc w:val="left"/>
      <w:pPr>
        <w:ind w:left="1080" w:hanging="360"/>
      </w:pPr>
    </w:lvl>
    <w:lvl w:ilvl="7" w:tplc="B5FC1024">
      <w:start w:val="1"/>
      <w:numFmt w:val="decimal"/>
      <w:lvlText w:val="%8."/>
      <w:lvlJc w:val="left"/>
      <w:pPr>
        <w:ind w:left="1080" w:hanging="360"/>
      </w:pPr>
    </w:lvl>
    <w:lvl w:ilvl="8" w:tplc="A44EBE68">
      <w:start w:val="1"/>
      <w:numFmt w:val="decimal"/>
      <w:lvlText w:val="%9."/>
      <w:lvlJc w:val="left"/>
      <w:pPr>
        <w:ind w:left="1080" w:hanging="360"/>
      </w:pPr>
    </w:lvl>
  </w:abstractNum>
  <w:abstractNum w:abstractNumId="25" w15:restartNumberingAfterBreak="0">
    <w:nsid w:val="3D8427FE"/>
    <w:multiLevelType w:val="hybridMultilevel"/>
    <w:tmpl w:val="F4F4D2AC"/>
    <w:lvl w:ilvl="0" w:tplc="B4EAFEBE">
      <w:start w:val="1"/>
      <w:numFmt w:val="bullet"/>
      <w:lvlText w:val=""/>
      <w:lvlJc w:val="left"/>
      <w:pPr>
        <w:ind w:left="1720" w:hanging="360"/>
      </w:pPr>
      <w:rPr>
        <w:rFonts w:ascii="Symbol" w:hAnsi="Symbol"/>
      </w:rPr>
    </w:lvl>
    <w:lvl w:ilvl="1" w:tplc="53262936">
      <w:start w:val="1"/>
      <w:numFmt w:val="bullet"/>
      <w:lvlText w:val=""/>
      <w:lvlJc w:val="left"/>
      <w:pPr>
        <w:ind w:left="1720" w:hanging="360"/>
      </w:pPr>
      <w:rPr>
        <w:rFonts w:ascii="Symbol" w:hAnsi="Symbol"/>
      </w:rPr>
    </w:lvl>
    <w:lvl w:ilvl="2" w:tplc="52C49634">
      <w:start w:val="1"/>
      <w:numFmt w:val="bullet"/>
      <w:lvlText w:val=""/>
      <w:lvlJc w:val="left"/>
      <w:pPr>
        <w:ind w:left="1720" w:hanging="360"/>
      </w:pPr>
      <w:rPr>
        <w:rFonts w:ascii="Symbol" w:hAnsi="Symbol"/>
      </w:rPr>
    </w:lvl>
    <w:lvl w:ilvl="3" w:tplc="DC96E492">
      <w:start w:val="1"/>
      <w:numFmt w:val="bullet"/>
      <w:lvlText w:val=""/>
      <w:lvlJc w:val="left"/>
      <w:pPr>
        <w:ind w:left="1720" w:hanging="360"/>
      </w:pPr>
      <w:rPr>
        <w:rFonts w:ascii="Symbol" w:hAnsi="Symbol"/>
      </w:rPr>
    </w:lvl>
    <w:lvl w:ilvl="4" w:tplc="46CC6C66">
      <w:start w:val="1"/>
      <w:numFmt w:val="bullet"/>
      <w:lvlText w:val=""/>
      <w:lvlJc w:val="left"/>
      <w:pPr>
        <w:ind w:left="1720" w:hanging="360"/>
      </w:pPr>
      <w:rPr>
        <w:rFonts w:ascii="Symbol" w:hAnsi="Symbol"/>
      </w:rPr>
    </w:lvl>
    <w:lvl w:ilvl="5" w:tplc="1C5C5F20">
      <w:start w:val="1"/>
      <w:numFmt w:val="bullet"/>
      <w:lvlText w:val=""/>
      <w:lvlJc w:val="left"/>
      <w:pPr>
        <w:ind w:left="1720" w:hanging="360"/>
      </w:pPr>
      <w:rPr>
        <w:rFonts w:ascii="Symbol" w:hAnsi="Symbol"/>
      </w:rPr>
    </w:lvl>
    <w:lvl w:ilvl="6" w:tplc="D0EC7FDE">
      <w:start w:val="1"/>
      <w:numFmt w:val="bullet"/>
      <w:lvlText w:val=""/>
      <w:lvlJc w:val="left"/>
      <w:pPr>
        <w:ind w:left="1720" w:hanging="360"/>
      </w:pPr>
      <w:rPr>
        <w:rFonts w:ascii="Symbol" w:hAnsi="Symbol"/>
      </w:rPr>
    </w:lvl>
    <w:lvl w:ilvl="7" w:tplc="ED28DBAE">
      <w:start w:val="1"/>
      <w:numFmt w:val="bullet"/>
      <w:lvlText w:val=""/>
      <w:lvlJc w:val="left"/>
      <w:pPr>
        <w:ind w:left="1720" w:hanging="360"/>
      </w:pPr>
      <w:rPr>
        <w:rFonts w:ascii="Symbol" w:hAnsi="Symbol"/>
      </w:rPr>
    </w:lvl>
    <w:lvl w:ilvl="8" w:tplc="3A342EEE">
      <w:start w:val="1"/>
      <w:numFmt w:val="bullet"/>
      <w:lvlText w:val=""/>
      <w:lvlJc w:val="left"/>
      <w:pPr>
        <w:ind w:left="1720" w:hanging="360"/>
      </w:pPr>
      <w:rPr>
        <w:rFonts w:ascii="Symbol" w:hAnsi="Symbol"/>
      </w:rPr>
    </w:lvl>
  </w:abstractNum>
  <w:abstractNum w:abstractNumId="2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7" w15:restartNumberingAfterBreak="0">
    <w:nsid w:val="458F4162"/>
    <w:multiLevelType w:val="hybridMultilevel"/>
    <w:tmpl w:val="177A0020"/>
    <w:lvl w:ilvl="0" w:tplc="317A81B8">
      <w:start w:val="1"/>
      <w:numFmt w:val="bullet"/>
      <w:lvlText w:val=""/>
      <w:lvlJc w:val="left"/>
      <w:pPr>
        <w:ind w:left="1560" w:hanging="360"/>
      </w:pPr>
      <w:rPr>
        <w:rFonts w:ascii="Symbol" w:hAnsi="Symbol"/>
      </w:rPr>
    </w:lvl>
    <w:lvl w:ilvl="1" w:tplc="17B61F4C">
      <w:start w:val="1"/>
      <w:numFmt w:val="bullet"/>
      <w:lvlText w:val=""/>
      <w:lvlJc w:val="left"/>
      <w:pPr>
        <w:ind w:left="1560" w:hanging="360"/>
      </w:pPr>
      <w:rPr>
        <w:rFonts w:ascii="Symbol" w:hAnsi="Symbol"/>
      </w:rPr>
    </w:lvl>
    <w:lvl w:ilvl="2" w:tplc="E78C65B4">
      <w:start w:val="1"/>
      <w:numFmt w:val="bullet"/>
      <w:lvlText w:val=""/>
      <w:lvlJc w:val="left"/>
      <w:pPr>
        <w:ind w:left="1560" w:hanging="360"/>
      </w:pPr>
      <w:rPr>
        <w:rFonts w:ascii="Symbol" w:hAnsi="Symbol"/>
      </w:rPr>
    </w:lvl>
    <w:lvl w:ilvl="3" w:tplc="19E85E20">
      <w:start w:val="1"/>
      <w:numFmt w:val="bullet"/>
      <w:lvlText w:val=""/>
      <w:lvlJc w:val="left"/>
      <w:pPr>
        <w:ind w:left="1560" w:hanging="360"/>
      </w:pPr>
      <w:rPr>
        <w:rFonts w:ascii="Symbol" w:hAnsi="Symbol"/>
      </w:rPr>
    </w:lvl>
    <w:lvl w:ilvl="4" w:tplc="74960A74">
      <w:start w:val="1"/>
      <w:numFmt w:val="bullet"/>
      <w:lvlText w:val=""/>
      <w:lvlJc w:val="left"/>
      <w:pPr>
        <w:ind w:left="1560" w:hanging="360"/>
      </w:pPr>
      <w:rPr>
        <w:rFonts w:ascii="Symbol" w:hAnsi="Symbol"/>
      </w:rPr>
    </w:lvl>
    <w:lvl w:ilvl="5" w:tplc="51F8157E">
      <w:start w:val="1"/>
      <w:numFmt w:val="bullet"/>
      <w:lvlText w:val=""/>
      <w:lvlJc w:val="left"/>
      <w:pPr>
        <w:ind w:left="1560" w:hanging="360"/>
      </w:pPr>
      <w:rPr>
        <w:rFonts w:ascii="Symbol" w:hAnsi="Symbol"/>
      </w:rPr>
    </w:lvl>
    <w:lvl w:ilvl="6" w:tplc="C38205FC">
      <w:start w:val="1"/>
      <w:numFmt w:val="bullet"/>
      <w:lvlText w:val=""/>
      <w:lvlJc w:val="left"/>
      <w:pPr>
        <w:ind w:left="1560" w:hanging="360"/>
      </w:pPr>
      <w:rPr>
        <w:rFonts w:ascii="Symbol" w:hAnsi="Symbol"/>
      </w:rPr>
    </w:lvl>
    <w:lvl w:ilvl="7" w:tplc="EDAA2BEE">
      <w:start w:val="1"/>
      <w:numFmt w:val="bullet"/>
      <w:lvlText w:val=""/>
      <w:lvlJc w:val="left"/>
      <w:pPr>
        <w:ind w:left="1560" w:hanging="360"/>
      </w:pPr>
      <w:rPr>
        <w:rFonts w:ascii="Symbol" w:hAnsi="Symbol"/>
      </w:rPr>
    </w:lvl>
    <w:lvl w:ilvl="8" w:tplc="CA3839F8">
      <w:start w:val="1"/>
      <w:numFmt w:val="bullet"/>
      <w:lvlText w:val=""/>
      <w:lvlJc w:val="left"/>
      <w:pPr>
        <w:ind w:left="1560" w:hanging="360"/>
      </w:pPr>
      <w:rPr>
        <w:rFonts w:ascii="Symbol" w:hAnsi="Symbol"/>
      </w:rPr>
    </w:lvl>
  </w:abstractNum>
  <w:abstractNum w:abstractNumId="28" w15:restartNumberingAfterBreak="0">
    <w:nsid w:val="45ED5CF4"/>
    <w:multiLevelType w:val="hybridMultilevel"/>
    <w:tmpl w:val="7DE094A6"/>
    <w:lvl w:ilvl="0" w:tplc="29C49FF0">
      <w:start w:val="1"/>
      <w:numFmt w:val="bullet"/>
      <w:lvlText w:val=""/>
      <w:lvlJc w:val="left"/>
      <w:pPr>
        <w:ind w:left="1720" w:hanging="360"/>
      </w:pPr>
      <w:rPr>
        <w:rFonts w:ascii="Symbol" w:hAnsi="Symbol"/>
      </w:rPr>
    </w:lvl>
    <w:lvl w:ilvl="1" w:tplc="6B7A9E6A">
      <w:start w:val="1"/>
      <w:numFmt w:val="bullet"/>
      <w:lvlText w:val=""/>
      <w:lvlJc w:val="left"/>
      <w:pPr>
        <w:ind w:left="1720" w:hanging="360"/>
      </w:pPr>
      <w:rPr>
        <w:rFonts w:ascii="Symbol" w:hAnsi="Symbol"/>
      </w:rPr>
    </w:lvl>
    <w:lvl w:ilvl="2" w:tplc="C428D198">
      <w:start w:val="1"/>
      <w:numFmt w:val="bullet"/>
      <w:lvlText w:val=""/>
      <w:lvlJc w:val="left"/>
      <w:pPr>
        <w:ind w:left="1720" w:hanging="360"/>
      </w:pPr>
      <w:rPr>
        <w:rFonts w:ascii="Symbol" w:hAnsi="Symbol"/>
      </w:rPr>
    </w:lvl>
    <w:lvl w:ilvl="3" w:tplc="58E4A5E6">
      <w:start w:val="1"/>
      <w:numFmt w:val="bullet"/>
      <w:lvlText w:val=""/>
      <w:lvlJc w:val="left"/>
      <w:pPr>
        <w:ind w:left="1720" w:hanging="360"/>
      </w:pPr>
      <w:rPr>
        <w:rFonts w:ascii="Symbol" w:hAnsi="Symbol"/>
      </w:rPr>
    </w:lvl>
    <w:lvl w:ilvl="4" w:tplc="1AE8A114">
      <w:start w:val="1"/>
      <w:numFmt w:val="bullet"/>
      <w:lvlText w:val=""/>
      <w:lvlJc w:val="left"/>
      <w:pPr>
        <w:ind w:left="1720" w:hanging="360"/>
      </w:pPr>
      <w:rPr>
        <w:rFonts w:ascii="Symbol" w:hAnsi="Symbol"/>
      </w:rPr>
    </w:lvl>
    <w:lvl w:ilvl="5" w:tplc="E7E61AB4">
      <w:start w:val="1"/>
      <w:numFmt w:val="bullet"/>
      <w:lvlText w:val=""/>
      <w:lvlJc w:val="left"/>
      <w:pPr>
        <w:ind w:left="1720" w:hanging="360"/>
      </w:pPr>
      <w:rPr>
        <w:rFonts w:ascii="Symbol" w:hAnsi="Symbol"/>
      </w:rPr>
    </w:lvl>
    <w:lvl w:ilvl="6" w:tplc="C1845C36">
      <w:start w:val="1"/>
      <w:numFmt w:val="bullet"/>
      <w:lvlText w:val=""/>
      <w:lvlJc w:val="left"/>
      <w:pPr>
        <w:ind w:left="1720" w:hanging="360"/>
      </w:pPr>
      <w:rPr>
        <w:rFonts w:ascii="Symbol" w:hAnsi="Symbol"/>
      </w:rPr>
    </w:lvl>
    <w:lvl w:ilvl="7" w:tplc="1CDC69E0">
      <w:start w:val="1"/>
      <w:numFmt w:val="bullet"/>
      <w:lvlText w:val=""/>
      <w:lvlJc w:val="left"/>
      <w:pPr>
        <w:ind w:left="1720" w:hanging="360"/>
      </w:pPr>
      <w:rPr>
        <w:rFonts w:ascii="Symbol" w:hAnsi="Symbol"/>
      </w:rPr>
    </w:lvl>
    <w:lvl w:ilvl="8" w:tplc="42D441E4">
      <w:start w:val="1"/>
      <w:numFmt w:val="bullet"/>
      <w:lvlText w:val=""/>
      <w:lvlJc w:val="left"/>
      <w:pPr>
        <w:ind w:left="1720" w:hanging="360"/>
      </w:pPr>
      <w:rPr>
        <w:rFonts w:ascii="Symbol" w:hAnsi="Symbol"/>
      </w:rPr>
    </w:lvl>
  </w:abstractNum>
  <w:abstractNum w:abstractNumId="29" w15:restartNumberingAfterBreak="0">
    <w:nsid w:val="46AC7638"/>
    <w:multiLevelType w:val="hybridMultilevel"/>
    <w:tmpl w:val="3EDC0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EFA066D"/>
    <w:multiLevelType w:val="hybridMultilevel"/>
    <w:tmpl w:val="8DC06066"/>
    <w:lvl w:ilvl="0" w:tplc="8252234A">
      <w:start w:val="1"/>
      <w:numFmt w:val="decimal"/>
      <w:lvlText w:val="%1."/>
      <w:lvlJc w:val="left"/>
      <w:pPr>
        <w:ind w:left="1140" w:hanging="360"/>
      </w:pPr>
    </w:lvl>
    <w:lvl w:ilvl="1" w:tplc="23968DE2">
      <w:start w:val="1"/>
      <w:numFmt w:val="decimal"/>
      <w:lvlText w:val="%2."/>
      <w:lvlJc w:val="left"/>
      <w:pPr>
        <w:ind w:left="1140" w:hanging="360"/>
      </w:pPr>
    </w:lvl>
    <w:lvl w:ilvl="2" w:tplc="84DA229E">
      <w:start w:val="1"/>
      <w:numFmt w:val="decimal"/>
      <w:lvlText w:val="%3."/>
      <w:lvlJc w:val="left"/>
      <w:pPr>
        <w:ind w:left="1140" w:hanging="360"/>
      </w:pPr>
    </w:lvl>
    <w:lvl w:ilvl="3" w:tplc="88F82748">
      <w:start w:val="1"/>
      <w:numFmt w:val="decimal"/>
      <w:lvlText w:val="%4."/>
      <w:lvlJc w:val="left"/>
      <w:pPr>
        <w:ind w:left="1140" w:hanging="360"/>
      </w:pPr>
    </w:lvl>
    <w:lvl w:ilvl="4" w:tplc="50648A6C">
      <w:start w:val="1"/>
      <w:numFmt w:val="decimal"/>
      <w:lvlText w:val="%5."/>
      <w:lvlJc w:val="left"/>
      <w:pPr>
        <w:ind w:left="1140" w:hanging="360"/>
      </w:pPr>
    </w:lvl>
    <w:lvl w:ilvl="5" w:tplc="E45AF7D6">
      <w:start w:val="1"/>
      <w:numFmt w:val="decimal"/>
      <w:lvlText w:val="%6."/>
      <w:lvlJc w:val="left"/>
      <w:pPr>
        <w:ind w:left="1140" w:hanging="360"/>
      </w:pPr>
    </w:lvl>
    <w:lvl w:ilvl="6" w:tplc="4F26F884">
      <w:start w:val="1"/>
      <w:numFmt w:val="decimal"/>
      <w:lvlText w:val="%7."/>
      <w:lvlJc w:val="left"/>
      <w:pPr>
        <w:ind w:left="1140" w:hanging="360"/>
      </w:pPr>
    </w:lvl>
    <w:lvl w:ilvl="7" w:tplc="AC7EE878">
      <w:start w:val="1"/>
      <w:numFmt w:val="decimal"/>
      <w:lvlText w:val="%8."/>
      <w:lvlJc w:val="left"/>
      <w:pPr>
        <w:ind w:left="1140" w:hanging="360"/>
      </w:pPr>
    </w:lvl>
    <w:lvl w:ilvl="8" w:tplc="DEE0F472">
      <w:start w:val="1"/>
      <w:numFmt w:val="decimal"/>
      <w:lvlText w:val="%9."/>
      <w:lvlJc w:val="left"/>
      <w:pPr>
        <w:ind w:left="1140" w:hanging="360"/>
      </w:pPr>
    </w:lvl>
  </w:abstractNum>
  <w:abstractNum w:abstractNumId="3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1A72ABC"/>
    <w:multiLevelType w:val="hybridMultilevel"/>
    <w:tmpl w:val="45D8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FA46738"/>
    <w:multiLevelType w:val="hybridMultilevel"/>
    <w:tmpl w:val="2828E76A"/>
    <w:lvl w:ilvl="0" w:tplc="4AE825EC">
      <w:start w:val="1"/>
      <w:numFmt w:val="bullet"/>
      <w:lvlText w:val=""/>
      <w:lvlJc w:val="left"/>
      <w:pPr>
        <w:ind w:left="1560" w:hanging="360"/>
      </w:pPr>
      <w:rPr>
        <w:rFonts w:ascii="Symbol" w:hAnsi="Symbol"/>
      </w:rPr>
    </w:lvl>
    <w:lvl w:ilvl="1" w:tplc="36C468AC">
      <w:start w:val="1"/>
      <w:numFmt w:val="bullet"/>
      <w:lvlText w:val=""/>
      <w:lvlJc w:val="left"/>
      <w:pPr>
        <w:ind w:left="1560" w:hanging="360"/>
      </w:pPr>
      <w:rPr>
        <w:rFonts w:ascii="Symbol" w:hAnsi="Symbol"/>
      </w:rPr>
    </w:lvl>
    <w:lvl w:ilvl="2" w:tplc="20BC5054">
      <w:start w:val="1"/>
      <w:numFmt w:val="bullet"/>
      <w:lvlText w:val=""/>
      <w:lvlJc w:val="left"/>
      <w:pPr>
        <w:ind w:left="1560" w:hanging="360"/>
      </w:pPr>
      <w:rPr>
        <w:rFonts w:ascii="Symbol" w:hAnsi="Symbol"/>
      </w:rPr>
    </w:lvl>
    <w:lvl w:ilvl="3" w:tplc="328A2B22">
      <w:start w:val="1"/>
      <w:numFmt w:val="bullet"/>
      <w:lvlText w:val=""/>
      <w:lvlJc w:val="left"/>
      <w:pPr>
        <w:ind w:left="1560" w:hanging="360"/>
      </w:pPr>
      <w:rPr>
        <w:rFonts w:ascii="Symbol" w:hAnsi="Symbol"/>
      </w:rPr>
    </w:lvl>
    <w:lvl w:ilvl="4" w:tplc="1AD0F140">
      <w:start w:val="1"/>
      <w:numFmt w:val="bullet"/>
      <w:lvlText w:val=""/>
      <w:lvlJc w:val="left"/>
      <w:pPr>
        <w:ind w:left="1560" w:hanging="360"/>
      </w:pPr>
      <w:rPr>
        <w:rFonts w:ascii="Symbol" w:hAnsi="Symbol"/>
      </w:rPr>
    </w:lvl>
    <w:lvl w:ilvl="5" w:tplc="DC426D5A">
      <w:start w:val="1"/>
      <w:numFmt w:val="bullet"/>
      <w:lvlText w:val=""/>
      <w:lvlJc w:val="left"/>
      <w:pPr>
        <w:ind w:left="1560" w:hanging="360"/>
      </w:pPr>
      <w:rPr>
        <w:rFonts w:ascii="Symbol" w:hAnsi="Symbol"/>
      </w:rPr>
    </w:lvl>
    <w:lvl w:ilvl="6" w:tplc="9D80D4A2">
      <w:start w:val="1"/>
      <w:numFmt w:val="bullet"/>
      <w:lvlText w:val=""/>
      <w:lvlJc w:val="left"/>
      <w:pPr>
        <w:ind w:left="1560" w:hanging="360"/>
      </w:pPr>
      <w:rPr>
        <w:rFonts w:ascii="Symbol" w:hAnsi="Symbol"/>
      </w:rPr>
    </w:lvl>
    <w:lvl w:ilvl="7" w:tplc="C116081C">
      <w:start w:val="1"/>
      <w:numFmt w:val="bullet"/>
      <w:lvlText w:val=""/>
      <w:lvlJc w:val="left"/>
      <w:pPr>
        <w:ind w:left="1560" w:hanging="360"/>
      </w:pPr>
      <w:rPr>
        <w:rFonts w:ascii="Symbol" w:hAnsi="Symbol"/>
      </w:rPr>
    </w:lvl>
    <w:lvl w:ilvl="8" w:tplc="67AA4B64">
      <w:start w:val="1"/>
      <w:numFmt w:val="bullet"/>
      <w:lvlText w:val=""/>
      <w:lvlJc w:val="left"/>
      <w:pPr>
        <w:ind w:left="1560" w:hanging="360"/>
      </w:pPr>
      <w:rPr>
        <w:rFonts w:ascii="Symbol" w:hAnsi="Symbol"/>
      </w:rPr>
    </w:lvl>
  </w:abstractNum>
  <w:abstractNum w:abstractNumId="40"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2" w15:restartNumberingAfterBreak="0">
    <w:nsid w:val="67A312AC"/>
    <w:multiLevelType w:val="hybridMultilevel"/>
    <w:tmpl w:val="09AEC5B2"/>
    <w:lvl w:ilvl="0" w:tplc="D3388550">
      <w:start w:val="1"/>
      <w:numFmt w:val="bullet"/>
      <w:lvlText w:val=""/>
      <w:lvlJc w:val="left"/>
      <w:pPr>
        <w:ind w:left="720" w:hanging="360"/>
      </w:pPr>
      <w:rPr>
        <w:rFonts w:ascii="Symbol" w:hAnsi="Symbol"/>
      </w:rPr>
    </w:lvl>
    <w:lvl w:ilvl="1" w:tplc="F74225D0">
      <w:start w:val="1"/>
      <w:numFmt w:val="bullet"/>
      <w:lvlText w:val=""/>
      <w:lvlJc w:val="left"/>
      <w:pPr>
        <w:ind w:left="720" w:hanging="360"/>
      </w:pPr>
      <w:rPr>
        <w:rFonts w:ascii="Symbol" w:hAnsi="Symbol"/>
      </w:rPr>
    </w:lvl>
    <w:lvl w:ilvl="2" w:tplc="10B4151E">
      <w:start w:val="1"/>
      <w:numFmt w:val="bullet"/>
      <w:lvlText w:val=""/>
      <w:lvlJc w:val="left"/>
      <w:pPr>
        <w:ind w:left="720" w:hanging="360"/>
      </w:pPr>
      <w:rPr>
        <w:rFonts w:ascii="Symbol" w:hAnsi="Symbol"/>
      </w:rPr>
    </w:lvl>
    <w:lvl w:ilvl="3" w:tplc="A2866E88">
      <w:start w:val="1"/>
      <w:numFmt w:val="bullet"/>
      <w:lvlText w:val=""/>
      <w:lvlJc w:val="left"/>
      <w:pPr>
        <w:ind w:left="720" w:hanging="360"/>
      </w:pPr>
      <w:rPr>
        <w:rFonts w:ascii="Symbol" w:hAnsi="Symbol"/>
      </w:rPr>
    </w:lvl>
    <w:lvl w:ilvl="4" w:tplc="B9F80F50">
      <w:start w:val="1"/>
      <w:numFmt w:val="bullet"/>
      <w:lvlText w:val=""/>
      <w:lvlJc w:val="left"/>
      <w:pPr>
        <w:ind w:left="720" w:hanging="360"/>
      </w:pPr>
      <w:rPr>
        <w:rFonts w:ascii="Symbol" w:hAnsi="Symbol"/>
      </w:rPr>
    </w:lvl>
    <w:lvl w:ilvl="5" w:tplc="DDE2CC8E">
      <w:start w:val="1"/>
      <w:numFmt w:val="bullet"/>
      <w:lvlText w:val=""/>
      <w:lvlJc w:val="left"/>
      <w:pPr>
        <w:ind w:left="720" w:hanging="360"/>
      </w:pPr>
      <w:rPr>
        <w:rFonts w:ascii="Symbol" w:hAnsi="Symbol"/>
      </w:rPr>
    </w:lvl>
    <w:lvl w:ilvl="6" w:tplc="11506E66">
      <w:start w:val="1"/>
      <w:numFmt w:val="bullet"/>
      <w:lvlText w:val=""/>
      <w:lvlJc w:val="left"/>
      <w:pPr>
        <w:ind w:left="720" w:hanging="360"/>
      </w:pPr>
      <w:rPr>
        <w:rFonts w:ascii="Symbol" w:hAnsi="Symbol"/>
      </w:rPr>
    </w:lvl>
    <w:lvl w:ilvl="7" w:tplc="B68A4F38">
      <w:start w:val="1"/>
      <w:numFmt w:val="bullet"/>
      <w:lvlText w:val=""/>
      <w:lvlJc w:val="left"/>
      <w:pPr>
        <w:ind w:left="720" w:hanging="360"/>
      </w:pPr>
      <w:rPr>
        <w:rFonts w:ascii="Symbol" w:hAnsi="Symbol"/>
      </w:rPr>
    </w:lvl>
    <w:lvl w:ilvl="8" w:tplc="88FEE356">
      <w:start w:val="1"/>
      <w:numFmt w:val="bullet"/>
      <w:lvlText w:val=""/>
      <w:lvlJc w:val="left"/>
      <w:pPr>
        <w:ind w:left="720" w:hanging="360"/>
      </w:pPr>
      <w:rPr>
        <w:rFonts w:ascii="Symbol" w:hAnsi="Symbol"/>
      </w:rPr>
    </w:lvl>
  </w:abstractNum>
  <w:abstractNum w:abstractNumId="43"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2D2E74"/>
    <w:multiLevelType w:val="hybridMultilevel"/>
    <w:tmpl w:val="87A2EF0E"/>
    <w:lvl w:ilvl="0" w:tplc="91FE2DE0">
      <w:start w:val="1"/>
      <w:numFmt w:val="bullet"/>
      <w:lvlText w:val=""/>
      <w:lvlJc w:val="left"/>
      <w:pPr>
        <w:ind w:left="1080" w:hanging="360"/>
      </w:pPr>
      <w:rPr>
        <w:rFonts w:ascii="Symbol" w:hAnsi="Symbol"/>
      </w:rPr>
    </w:lvl>
    <w:lvl w:ilvl="1" w:tplc="39A61B78">
      <w:start w:val="1"/>
      <w:numFmt w:val="bullet"/>
      <w:lvlText w:val=""/>
      <w:lvlJc w:val="left"/>
      <w:pPr>
        <w:ind w:left="1080" w:hanging="360"/>
      </w:pPr>
      <w:rPr>
        <w:rFonts w:ascii="Symbol" w:hAnsi="Symbol"/>
      </w:rPr>
    </w:lvl>
    <w:lvl w:ilvl="2" w:tplc="295880A6">
      <w:start w:val="1"/>
      <w:numFmt w:val="bullet"/>
      <w:lvlText w:val=""/>
      <w:lvlJc w:val="left"/>
      <w:pPr>
        <w:ind w:left="1080" w:hanging="360"/>
      </w:pPr>
      <w:rPr>
        <w:rFonts w:ascii="Symbol" w:hAnsi="Symbol"/>
      </w:rPr>
    </w:lvl>
    <w:lvl w:ilvl="3" w:tplc="CA7C920E">
      <w:start w:val="1"/>
      <w:numFmt w:val="bullet"/>
      <w:lvlText w:val=""/>
      <w:lvlJc w:val="left"/>
      <w:pPr>
        <w:ind w:left="1080" w:hanging="360"/>
      </w:pPr>
      <w:rPr>
        <w:rFonts w:ascii="Symbol" w:hAnsi="Symbol"/>
      </w:rPr>
    </w:lvl>
    <w:lvl w:ilvl="4" w:tplc="B7C8F8B8">
      <w:start w:val="1"/>
      <w:numFmt w:val="bullet"/>
      <w:lvlText w:val=""/>
      <w:lvlJc w:val="left"/>
      <w:pPr>
        <w:ind w:left="1080" w:hanging="360"/>
      </w:pPr>
      <w:rPr>
        <w:rFonts w:ascii="Symbol" w:hAnsi="Symbol"/>
      </w:rPr>
    </w:lvl>
    <w:lvl w:ilvl="5" w:tplc="5C7A0CE4">
      <w:start w:val="1"/>
      <w:numFmt w:val="bullet"/>
      <w:lvlText w:val=""/>
      <w:lvlJc w:val="left"/>
      <w:pPr>
        <w:ind w:left="1080" w:hanging="360"/>
      </w:pPr>
      <w:rPr>
        <w:rFonts w:ascii="Symbol" w:hAnsi="Symbol"/>
      </w:rPr>
    </w:lvl>
    <w:lvl w:ilvl="6" w:tplc="D1FC3708">
      <w:start w:val="1"/>
      <w:numFmt w:val="bullet"/>
      <w:lvlText w:val=""/>
      <w:lvlJc w:val="left"/>
      <w:pPr>
        <w:ind w:left="1080" w:hanging="360"/>
      </w:pPr>
      <w:rPr>
        <w:rFonts w:ascii="Symbol" w:hAnsi="Symbol"/>
      </w:rPr>
    </w:lvl>
    <w:lvl w:ilvl="7" w:tplc="A6EAE8DE">
      <w:start w:val="1"/>
      <w:numFmt w:val="bullet"/>
      <w:lvlText w:val=""/>
      <w:lvlJc w:val="left"/>
      <w:pPr>
        <w:ind w:left="1080" w:hanging="360"/>
      </w:pPr>
      <w:rPr>
        <w:rFonts w:ascii="Symbol" w:hAnsi="Symbol"/>
      </w:rPr>
    </w:lvl>
    <w:lvl w:ilvl="8" w:tplc="439C2C8C">
      <w:start w:val="1"/>
      <w:numFmt w:val="bullet"/>
      <w:lvlText w:val=""/>
      <w:lvlJc w:val="left"/>
      <w:pPr>
        <w:ind w:left="1080" w:hanging="360"/>
      </w:pPr>
      <w:rPr>
        <w:rFonts w:ascii="Symbol" w:hAnsi="Symbol"/>
      </w:rPr>
    </w:lvl>
  </w:abstractNum>
  <w:abstractNum w:abstractNumId="45" w15:restartNumberingAfterBreak="0">
    <w:nsid w:val="7CA651F6"/>
    <w:multiLevelType w:val="hybridMultilevel"/>
    <w:tmpl w:val="36DC2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2"/>
  </w:num>
  <w:num w:numId="2" w16cid:durableId="2039620118">
    <w:abstractNumId w:val="41"/>
  </w:num>
  <w:num w:numId="3" w16cid:durableId="2116749296">
    <w:abstractNumId w:val="26"/>
  </w:num>
  <w:num w:numId="4" w16cid:durableId="611715962">
    <w:abstractNumId w:val="30"/>
  </w:num>
  <w:num w:numId="5" w16cid:durableId="377554922">
    <w:abstractNumId w:val="4"/>
  </w:num>
  <w:num w:numId="6" w16cid:durableId="1967815002">
    <w:abstractNumId w:val="8"/>
  </w:num>
  <w:num w:numId="7" w16cid:durableId="1478373446">
    <w:abstractNumId w:val="17"/>
  </w:num>
  <w:num w:numId="8" w16cid:durableId="1216622483">
    <w:abstractNumId w:val="22"/>
  </w:num>
  <w:num w:numId="9" w16cid:durableId="1028289363">
    <w:abstractNumId w:val="33"/>
  </w:num>
  <w:num w:numId="10" w16cid:durableId="1748379919">
    <w:abstractNumId w:val="7"/>
  </w:num>
  <w:num w:numId="11" w16cid:durableId="1008825018">
    <w:abstractNumId w:val="38"/>
  </w:num>
  <w:num w:numId="12" w16cid:durableId="128134450">
    <w:abstractNumId w:val="13"/>
  </w:num>
  <w:num w:numId="13" w16cid:durableId="503516617">
    <w:abstractNumId w:val="31"/>
  </w:num>
  <w:num w:numId="14" w16cid:durableId="1971012577">
    <w:abstractNumId w:val="36"/>
  </w:num>
  <w:num w:numId="15" w16cid:durableId="1256014139">
    <w:abstractNumId w:val="16"/>
  </w:num>
  <w:num w:numId="16" w16cid:durableId="230039927">
    <w:abstractNumId w:val="0"/>
  </w:num>
  <w:num w:numId="17" w16cid:durableId="882135492">
    <w:abstractNumId w:val="1"/>
  </w:num>
  <w:num w:numId="18" w16cid:durableId="194315641">
    <w:abstractNumId w:val="11"/>
  </w:num>
  <w:num w:numId="19" w16cid:durableId="1279488302">
    <w:abstractNumId w:val="19"/>
  </w:num>
  <w:num w:numId="20" w16cid:durableId="102305755">
    <w:abstractNumId w:val="6"/>
  </w:num>
  <w:num w:numId="21" w16cid:durableId="1863712968">
    <w:abstractNumId w:val="40"/>
  </w:num>
  <w:num w:numId="22" w16cid:durableId="426196748">
    <w:abstractNumId w:val="37"/>
  </w:num>
  <w:num w:numId="23" w16cid:durableId="1440686053">
    <w:abstractNumId w:val="43"/>
  </w:num>
  <w:num w:numId="24" w16cid:durableId="87122838">
    <w:abstractNumId w:val="12"/>
  </w:num>
  <w:num w:numId="25" w16cid:durableId="2069259383">
    <w:abstractNumId w:val="3"/>
  </w:num>
  <w:num w:numId="26" w16cid:durableId="1082874494">
    <w:abstractNumId w:val="3"/>
  </w:num>
  <w:num w:numId="27" w16cid:durableId="868027601">
    <w:abstractNumId w:val="34"/>
  </w:num>
  <w:num w:numId="28" w16cid:durableId="1593397404">
    <w:abstractNumId w:val="3"/>
  </w:num>
  <w:num w:numId="29" w16cid:durableId="722024985">
    <w:abstractNumId w:val="32"/>
  </w:num>
  <w:num w:numId="30" w16cid:durableId="1203208139">
    <w:abstractNumId w:val="39"/>
  </w:num>
  <w:num w:numId="31" w16cid:durableId="1250190850">
    <w:abstractNumId w:val="14"/>
  </w:num>
  <w:num w:numId="32" w16cid:durableId="414329717">
    <w:abstractNumId w:val="27"/>
  </w:num>
  <w:num w:numId="33" w16cid:durableId="1634019300">
    <w:abstractNumId w:val="1"/>
  </w:num>
  <w:num w:numId="34" w16cid:durableId="736440560">
    <w:abstractNumId w:val="11"/>
  </w:num>
  <w:num w:numId="35" w16cid:durableId="1118380637">
    <w:abstractNumId w:val="18"/>
  </w:num>
  <w:num w:numId="36" w16cid:durableId="993022622">
    <w:abstractNumId w:val="11"/>
  </w:num>
  <w:num w:numId="37" w16cid:durableId="364718040">
    <w:abstractNumId w:val="1"/>
  </w:num>
  <w:num w:numId="38" w16cid:durableId="1164392929">
    <w:abstractNumId w:val="1"/>
  </w:num>
  <w:num w:numId="39" w16cid:durableId="2054235438">
    <w:abstractNumId w:val="1"/>
  </w:num>
  <w:num w:numId="40" w16cid:durableId="535041094">
    <w:abstractNumId w:val="3"/>
  </w:num>
  <w:num w:numId="41" w16cid:durableId="2120488989">
    <w:abstractNumId w:val="3"/>
  </w:num>
  <w:num w:numId="42" w16cid:durableId="800616667">
    <w:abstractNumId w:val="5"/>
  </w:num>
  <w:num w:numId="43" w16cid:durableId="2102144429">
    <w:abstractNumId w:val="42"/>
  </w:num>
  <w:num w:numId="44" w16cid:durableId="1977835301">
    <w:abstractNumId w:val="24"/>
  </w:num>
  <w:num w:numId="45" w16cid:durableId="313409655">
    <w:abstractNumId w:val="3"/>
  </w:num>
  <w:num w:numId="46" w16cid:durableId="347218822">
    <w:abstractNumId w:val="9"/>
  </w:num>
  <w:num w:numId="47" w16cid:durableId="142428443">
    <w:abstractNumId w:val="10"/>
  </w:num>
  <w:num w:numId="48" w16cid:durableId="1593271663">
    <w:abstractNumId w:val="23"/>
  </w:num>
  <w:num w:numId="49" w16cid:durableId="313728709">
    <w:abstractNumId w:val="45"/>
  </w:num>
  <w:num w:numId="50" w16cid:durableId="491724919">
    <w:abstractNumId w:val="21"/>
  </w:num>
  <w:num w:numId="51" w16cid:durableId="1324578018">
    <w:abstractNumId w:val="3"/>
  </w:num>
  <w:num w:numId="52" w16cid:durableId="1108357392">
    <w:abstractNumId w:val="3"/>
  </w:num>
  <w:num w:numId="53" w16cid:durableId="279185257">
    <w:abstractNumId w:val="20"/>
  </w:num>
  <w:num w:numId="54" w16cid:durableId="865946815">
    <w:abstractNumId w:val="44"/>
  </w:num>
  <w:num w:numId="55" w16cid:durableId="1444763582">
    <w:abstractNumId w:val="3"/>
  </w:num>
  <w:num w:numId="56" w16cid:durableId="1153373815">
    <w:abstractNumId w:val="3"/>
  </w:num>
  <w:num w:numId="57" w16cid:durableId="1358116950">
    <w:abstractNumId w:val="3"/>
  </w:num>
  <w:num w:numId="58" w16cid:durableId="1754234005">
    <w:abstractNumId w:val="25"/>
  </w:num>
  <w:num w:numId="59" w16cid:durableId="1380940133">
    <w:abstractNumId w:val="3"/>
  </w:num>
  <w:num w:numId="60" w16cid:durableId="1142187298">
    <w:abstractNumId w:val="3"/>
  </w:num>
  <w:num w:numId="61" w16cid:durableId="600142710">
    <w:abstractNumId w:val="28"/>
  </w:num>
  <w:num w:numId="62" w16cid:durableId="521238883">
    <w:abstractNumId w:val="15"/>
  </w:num>
  <w:num w:numId="63" w16cid:durableId="952592959">
    <w:abstractNumId w:val="1"/>
  </w:num>
  <w:num w:numId="64" w16cid:durableId="666515515">
    <w:abstractNumId w:val="11"/>
  </w:num>
  <w:num w:numId="65" w16cid:durableId="1553925639">
    <w:abstractNumId w:val="3"/>
  </w:num>
  <w:num w:numId="66" w16cid:durableId="1065761193">
    <w:abstractNumId w:val="2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23"/>
    <w:rsid w:val="00003E75"/>
    <w:rsid w:val="000119FB"/>
    <w:rsid w:val="000242AA"/>
    <w:rsid w:val="00024E6A"/>
    <w:rsid w:val="00026E8D"/>
    <w:rsid w:val="000375E2"/>
    <w:rsid w:val="00040844"/>
    <w:rsid w:val="0004123E"/>
    <w:rsid w:val="00043DAB"/>
    <w:rsid w:val="00054EFA"/>
    <w:rsid w:val="00057044"/>
    <w:rsid w:val="0006787F"/>
    <w:rsid w:val="00070D72"/>
    <w:rsid w:val="00077204"/>
    <w:rsid w:val="0008648F"/>
    <w:rsid w:val="00094B5D"/>
    <w:rsid w:val="000964AD"/>
    <w:rsid w:val="000A103F"/>
    <w:rsid w:val="000A1EC0"/>
    <w:rsid w:val="000A2CD9"/>
    <w:rsid w:val="000B1E72"/>
    <w:rsid w:val="000B5591"/>
    <w:rsid w:val="000B60B4"/>
    <w:rsid w:val="000C3F75"/>
    <w:rsid w:val="000C4168"/>
    <w:rsid w:val="000C48BC"/>
    <w:rsid w:val="000C67BC"/>
    <w:rsid w:val="000C706D"/>
    <w:rsid w:val="000D02F4"/>
    <w:rsid w:val="000E084C"/>
    <w:rsid w:val="000E24CF"/>
    <w:rsid w:val="000E6C5F"/>
    <w:rsid w:val="000F0BEE"/>
    <w:rsid w:val="000F0F5F"/>
    <w:rsid w:val="000F2294"/>
    <w:rsid w:val="000F6EEE"/>
    <w:rsid w:val="00101F34"/>
    <w:rsid w:val="001100C3"/>
    <w:rsid w:val="001172E1"/>
    <w:rsid w:val="001219F1"/>
    <w:rsid w:val="00123D3F"/>
    <w:rsid w:val="00126EB9"/>
    <w:rsid w:val="00131EB8"/>
    <w:rsid w:val="00133C85"/>
    <w:rsid w:val="001377DA"/>
    <w:rsid w:val="001411AF"/>
    <w:rsid w:val="00142D3F"/>
    <w:rsid w:val="00144F4D"/>
    <w:rsid w:val="00145132"/>
    <w:rsid w:val="00145188"/>
    <w:rsid w:val="001467F1"/>
    <w:rsid w:val="001530C7"/>
    <w:rsid w:val="00153656"/>
    <w:rsid w:val="00155294"/>
    <w:rsid w:val="0016058D"/>
    <w:rsid w:val="00161AA0"/>
    <w:rsid w:val="0017277D"/>
    <w:rsid w:val="00172CCC"/>
    <w:rsid w:val="001736DF"/>
    <w:rsid w:val="00174357"/>
    <w:rsid w:val="001779D1"/>
    <w:rsid w:val="0018077F"/>
    <w:rsid w:val="001959E0"/>
    <w:rsid w:val="001A03F3"/>
    <w:rsid w:val="001B0506"/>
    <w:rsid w:val="001C032E"/>
    <w:rsid w:val="001C403D"/>
    <w:rsid w:val="001C5240"/>
    <w:rsid w:val="001C5954"/>
    <w:rsid w:val="001D0067"/>
    <w:rsid w:val="001F79C4"/>
    <w:rsid w:val="00200E49"/>
    <w:rsid w:val="002025B9"/>
    <w:rsid w:val="002047E6"/>
    <w:rsid w:val="0021029D"/>
    <w:rsid w:val="002169E7"/>
    <w:rsid w:val="00220164"/>
    <w:rsid w:val="00234777"/>
    <w:rsid w:val="00235CAB"/>
    <w:rsid w:val="00243414"/>
    <w:rsid w:val="0024722D"/>
    <w:rsid w:val="002473A2"/>
    <w:rsid w:val="00251D56"/>
    <w:rsid w:val="002526E6"/>
    <w:rsid w:val="002535B1"/>
    <w:rsid w:val="00267772"/>
    <w:rsid w:val="00267D3F"/>
    <w:rsid w:val="00273B39"/>
    <w:rsid w:val="00275788"/>
    <w:rsid w:val="0028459E"/>
    <w:rsid w:val="0029270D"/>
    <w:rsid w:val="00295514"/>
    <w:rsid w:val="002A024B"/>
    <w:rsid w:val="002A3712"/>
    <w:rsid w:val="002A5C22"/>
    <w:rsid w:val="002A6DF6"/>
    <w:rsid w:val="002A6F6B"/>
    <w:rsid w:val="002B447A"/>
    <w:rsid w:val="002B4C7B"/>
    <w:rsid w:val="002B539A"/>
    <w:rsid w:val="002C3FAA"/>
    <w:rsid w:val="002C6CA3"/>
    <w:rsid w:val="002C7139"/>
    <w:rsid w:val="002D2B4C"/>
    <w:rsid w:val="002D547C"/>
    <w:rsid w:val="002E0442"/>
    <w:rsid w:val="002E0E36"/>
    <w:rsid w:val="002E13BD"/>
    <w:rsid w:val="002E16A2"/>
    <w:rsid w:val="002E2A61"/>
    <w:rsid w:val="002E46EE"/>
    <w:rsid w:val="002F15CF"/>
    <w:rsid w:val="00300C9D"/>
    <w:rsid w:val="00301A8D"/>
    <w:rsid w:val="00303959"/>
    <w:rsid w:val="00310E4B"/>
    <w:rsid w:val="00312183"/>
    <w:rsid w:val="0031664C"/>
    <w:rsid w:val="00317833"/>
    <w:rsid w:val="003208DD"/>
    <w:rsid w:val="00324094"/>
    <w:rsid w:val="00326465"/>
    <w:rsid w:val="0033286B"/>
    <w:rsid w:val="003330E6"/>
    <w:rsid w:val="00333141"/>
    <w:rsid w:val="00335267"/>
    <w:rsid w:val="00340FEB"/>
    <w:rsid w:val="00343C5F"/>
    <w:rsid w:val="00353CF9"/>
    <w:rsid w:val="00353D3E"/>
    <w:rsid w:val="00361086"/>
    <w:rsid w:val="00362226"/>
    <w:rsid w:val="003717C2"/>
    <w:rsid w:val="00375CA3"/>
    <w:rsid w:val="00376029"/>
    <w:rsid w:val="00377E36"/>
    <w:rsid w:val="00382BC9"/>
    <w:rsid w:val="00382C4E"/>
    <w:rsid w:val="003830CE"/>
    <w:rsid w:val="00383117"/>
    <w:rsid w:val="00384937"/>
    <w:rsid w:val="00384CA1"/>
    <w:rsid w:val="00391738"/>
    <w:rsid w:val="0039634D"/>
    <w:rsid w:val="00396C22"/>
    <w:rsid w:val="003A4333"/>
    <w:rsid w:val="003A4461"/>
    <w:rsid w:val="003A5FBD"/>
    <w:rsid w:val="003B1379"/>
    <w:rsid w:val="003B1E1B"/>
    <w:rsid w:val="003B2A99"/>
    <w:rsid w:val="003B7BCF"/>
    <w:rsid w:val="003C0A98"/>
    <w:rsid w:val="003C36AC"/>
    <w:rsid w:val="003D3B28"/>
    <w:rsid w:val="003E4A63"/>
    <w:rsid w:val="003E5999"/>
    <w:rsid w:val="003F1A29"/>
    <w:rsid w:val="004063EF"/>
    <w:rsid w:val="0041192E"/>
    <w:rsid w:val="00425375"/>
    <w:rsid w:val="0044241D"/>
    <w:rsid w:val="004430BB"/>
    <w:rsid w:val="00445B35"/>
    <w:rsid w:val="00447753"/>
    <w:rsid w:val="004511A7"/>
    <w:rsid w:val="004519B2"/>
    <w:rsid w:val="004571FA"/>
    <w:rsid w:val="00461997"/>
    <w:rsid w:val="0046287E"/>
    <w:rsid w:val="00464288"/>
    <w:rsid w:val="00470E94"/>
    <w:rsid w:val="004768A7"/>
    <w:rsid w:val="004820E9"/>
    <w:rsid w:val="0048361F"/>
    <w:rsid w:val="00483B65"/>
    <w:rsid w:val="00484FE9"/>
    <w:rsid w:val="00485B88"/>
    <w:rsid w:val="00490AAB"/>
    <w:rsid w:val="004914C0"/>
    <w:rsid w:val="004934A4"/>
    <w:rsid w:val="004B299C"/>
    <w:rsid w:val="004B4705"/>
    <w:rsid w:val="004B514C"/>
    <w:rsid w:val="004D2CD4"/>
    <w:rsid w:val="004E67C5"/>
    <w:rsid w:val="00503454"/>
    <w:rsid w:val="00503E32"/>
    <w:rsid w:val="0050534C"/>
    <w:rsid w:val="00506C67"/>
    <w:rsid w:val="00507210"/>
    <w:rsid w:val="005140C3"/>
    <w:rsid w:val="005164AD"/>
    <w:rsid w:val="00521E3A"/>
    <w:rsid w:val="00524EF3"/>
    <w:rsid w:val="00524F25"/>
    <w:rsid w:val="00526C07"/>
    <w:rsid w:val="00526CD6"/>
    <w:rsid w:val="005313C3"/>
    <w:rsid w:val="0053387C"/>
    <w:rsid w:val="00536EBD"/>
    <w:rsid w:val="005411C4"/>
    <w:rsid w:val="00543C48"/>
    <w:rsid w:val="00545EE0"/>
    <w:rsid w:val="00550A91"/>
    <w:rsid w:val="005548B4"/>
    <w:rsid w:val="005614AA"/>
    <w:rsid w:val="00562674"/>
    <w:rsid w:val="0056B3AF"/>
    <w:rsid w:val="00571155"/>
    <w:rsid w:val="00575D7F"/>
    <w:rsid w:val="005838D1"/>
    <w:rsid w:val="005859DD"/>
    <w:rsid w:val="00585C71"/>
    <w:rsid w:val="005860F4"/>
    <w:rsid w:val="005866B1"/>
    <w:rsid w:val="005A5147"/>
    <w:rsid w:val="005A5E10"/>
    <w:rsid w:val="005A6C11"/>
    <w:rsid w:val="005C051F"/>
    <w:rsid w:val="005C4285"/>
    <w:rsid w:val="005C6116"/>
    <w:rsid w:val="005C762E"/>
    <w:rsid w:val="005D040A"/>
    <w:rsid w:val="005D098C"/>
    <w:rsid w:val="005D1859"/>
    <w:rsid w:val="005D2870"/>
    <w:rsid w:val="005D51EA"/>
    <w:rsid w:val="005D569B"/>
    <w:rsid w:val="005E15BB"/>
    <w:rsid w:val="005E5F4C"/>
    <w:rsid w:val="005F106E"/>
    <w:rsid w:val="005F6C3E"/>
    <w:rsid w:val="005F7A4B"/>
    <w:rsid w:val="00603E56"/>
    <w:rsid w:val="0060498D"/>
    <w:rsid w:val="0060523F"/>
    <w:rsid w:val="006062C0"/>
    <w:rsid w:val="0060662A"/>
    <w:rsid w:val="00610E2F"/>
    <w:rsid w:val="006116CB"/>
    <w:rsid w:val="00613B9C"/>
    <w:rsid w:val="00613E0B"/>
    <w:rsid w:val="00614BDA"/>
    <w:rsid w:val="00614FA5"/>
    <w:rsid w:val="00617519"/>
    <w:rsid w:val="006312D5"/>
    <w:rsid w:val="00632CCD"/>
    <w:rsid w:val="006331B4"/>
    <w:rsid w:val="006333B9"/>
    <w:rsid w:val="006343F3"/>
    <w:rsid w:val="00635474"/>
    <w:rsid w:val="00642906"/>
    <w:rsid w:val="006571D4"/>
    <w:rsid w:val="006602BB"/>
    <w:rsid w:val="006626EE"/>
    <w:rsid w:val="0066388C"/>
    <w:rsid w:val="00663E57"/>
    <w:rsid w:val="00673ABF"/>
    <w:rsid w:val="00676FC8"/>
    <w:rsid w:val="00680B94"/>
    <w:rsid w:val="006815D2"/>
    <w:rsid w:val="00683EB6"/>
    <w:rsid w:val="00694F58"/>
    <w:rsid w:val="00695B56"/>
    <w:rsid w:val="006A1800"/>
    <w:rsid w:val="006A38E3"/>
    <w:rsid w:val="006A4737"/>
    <w:rsid w:val="006A721F"/>
    <w:rsid w:val="006A7E66"/>
    <w:rsid w:val="006B0B61"/>
    <w:rsid w:val="006B2A3E"/>
    <w:rsid w:val="006C0D5D"/>
    <w:rsid w:val="006C5029"/>
    <w:rsid w:val="006C705B"/>
    <w:rsid w:val="006D00EF"/>
    <w:rsid w:val="006D712F"/>
    <w:rsid w:val="006D73F1"/>
    <w:rsid w:val="006E0E52"/>
    <w:rsid w:val="006E0F0C"/>
    <w:rsid w:val="006E5618"/>
    <w:rsid w:val="006E59BC"/>
    <w:rsid w:val="006E73AA"/>
    <w:rsid w:val="006E76B7"/>
    <w:rsid w:val="006F3797"/>
    <w:rsid w:val="00700287"/>
    <w:rsid w:val="00700B9B"/>
    <w:rsid w:val="00700CA9"/>
    <w:rsid w:val="007020EA"/>
    <w:rsid w:val="00705330"/>
    <w:rsid w:val="00706480"/>
    <w:rsid w:val="0071537D"/>
    <w:rsid w:val="00715D7B"/>
    <w:rsid w:val="00720CC5"/>
    <w:rsid w:val="007277C3"/>
    <w:rsid w:val="007317B7"/>
    <w:rsid w:val="00732519"/>
    <w:rsid w:val="00736AD0"/>
    <w:rsid w:val="00736D63"/>
    <w:rsid w:val="00737C97"/>
    <w:rsid w:val="00737F9C"/>
    <w:rsid w:val="007403AA"/>
    <w:rsid w:val="00741C4C"/>
    <w:rsid w:val="0074502E"/>
    <w:rsid w:val="00753819"/>
    <w:rsid w:val="00765449"/>
    <w:rsid w:val="007734A5"/>
    <w:rsid w:val="00780097"/>
    <w:rsid w:val="00782B43"/>
    <w:rsid w:val="00796246"/>
    <w:rsid w:val="007A08D9"/>
    <w:rsid w:val="007A174B"/>
    <w:rsid w:val="007A23E4"/>
    <w:rsid w:val="007A29A4"/>
    <w:rsid w:val="007A3BD9"/>
    <w:rsid w:val="007A4EEE"/>
    <w:rsid w:val="007A5D19"/>
    <w:rsid w:val="007B5BCA"/>
    <w:rsid w:val="007C24B5"/>
    <w:rsid w:val="007C6154"/>
    <w:rsid w:val="007D36CC"/>
    <w:rsid w:val="007D459A"/>
    <w:rsid w:val="007E4CF5"/>
    <w:rsid w:val="007F3B92"/>
    <w:rsid w:val="007F5779"/>
    <w:rsid w:val="008036B7"/>
    <w:rsid w:val="008043CA"/>
    <w:rsid w:val="00804BC4"/>
    <w:rsid w:val="00805A7F"/>
    <w:rsid w:val="00806A36"/>
    <w:rsid w:val="00806C22"/>
    <w:rsid w:val="0080735A"/>
    <w:rsid w:val="0081404B"/>
    <w:rsid w:val="008150F6"/>
    <w:rsid w:val="0082132F"/>
    <w:rsid w:val="00821F8E"/>
    <w:rsid w:val="00822578"/>
    <w:rsid w:val="00826382"/>
    <w:rsid w:val="008310FF"/>
    <w:rsid w:val="00832F1E"/>
    <w:rsid w:val="00836972"/>
    <w:rsid w:val="00844CFD"/>
    <w:rsid w:val="0084607C"/>
    <w:rsid w:val="008505C3"/>
    <w:rsid w:val="0085060B"/>
    <w:rsid w:val="00860ABA"/>
    <w:rsid w:val="00862C0C"/>
    <w:rsid w:val="0086540A"/>
    <w:rsid w:val="00875449"/>
    <w:rsid w:val="008853CB"/>
    <w:rsid w:val="0088665B"/>
    <w:rsid w:val="00887563"/>
    <w:rsid w:val="00887DCA"/>
    <w:rsid w:val="00891768"/>
    <w:rsid w:val="00894200"/>
    <w:rsid w:val="008972FC"/>
    <w:rsid w:val="008A1F75"/>
    <w:rsid w:val="008A3419"/>
    <w:rsid w:val="008A3CB5"/>
    <w:rsid w:val="008A6557"/>
    <w:rsid w:val="008B24C4"/>
    <w:rsid w:val="008C5CE9"/>
    <w:rsid w:val="008C782E"/>
    <w:rsid w:val="008D4672"/>
    <w:rsid w:val="008D51F6"/>
    <w:rsid w:val="008D6069"/>
    <w:rsid w:val="008E293B"/>
    <w:rsid w:val="008E53C1"/>
    <w:rsid w:val="008E68CB"/>
    <w:rsid w:val="008E6C39"/>
    <w:rsid w:val="008E7585"/>
    <w:rsid w:val="008F11ED"/>
    <w:rsid w:val="008F77B2"/>
    <w:rsid w:val="008F7C2D"/>
    <w:rsid w:val="00904A87"/>
    <w:rsid w:val="009119D0"/>
    <w:rsid w:val="00913117"/>
    <w:rsid w:val="009157D5"/>
    <w:rsid w:val="00915E14"/>
    <w:rsid w:val="00921354"/>
    <w:rsid w:val="00922695"/>
    <w:rsid w:val="00931AA6"/>
    <w:rsid w:val="0094366C"/>
    <w:rsid w:val="00952E21"/>
    <w:rsid w:val="00953ADF"/>
    <w:rsid w:val="009555A7"/>
    <w:rsid w:val="009577B5"/>
    <w:rsid w:val="00966702"/>
    <w:rsid w:val="00970729"/>
    <w:rsid w:val="00971131"/>
    <w:rsid w:val="00972105"/>
    <w:rsid w:val="009815BD"/>
    <w:rsid w:val="00982EBC"/>
    <w:rsid w:val="00985F10"/>
    <w:rsid w:val="0098636D"/>
    <w:rsid w:val="009871F3"/>
    <w:rsid w:val="009A0289"/>
    <w:rsid w:val="009A093F"/>
    <w:rsid w:val="009A5DE4"/>
    <w:rsid w:val="009B060F"/>
    <w:rsid w:val="009B1A87"/>
    <w:rsid w:val="009B1D56"/>
    <w:rsid w:val="009B34B0"/>
    <w:rsid w:val="009B5CB8"/>
    <w:rsid w:val="009B621A"/>
    <w:rsid w:val="009C45D9"/>
    <w:rsid w:val="009C6E2D"/>
    <w:rsid w:val="009D2784"/>
    <w:rsid w:val="009D3170"/>
    <w:rsid w:val="009D54CF"/>
    <w:rsid w:val="009D583B"/>
    <w:rsid w:val="009D5F06"/>
    <w:rsid w:val="009D64B7"/>
    <w:rsid w:val="009D6557"/>
    <w:rsid w:val="009E3942"/>
    <w:rsid w:val="009F0C3C"/>
    <w:rsid w:val="009F1707"/>
    <w:rsid w:val="009F6748"/>
    <w:rsid w:val="009F71F1"/>
    <w:rsid w:val="009F7F65"/>
    <w:rsid w:val="00A02F9C"/>
    <w:rsid w:val="00A04288"/>
    <w:rsid w:val="00A04294"/>
    <w:rsid w:val="00A054B6"/>
    <w:rsid w:val="00A06657"/>
    <w:rsid w:val="00A15FCA"/>
    <w:rsid w:val="00A2112E"/>
    <w:rsid w:val="00A22BE4"/>
    <w:rsid w:val="00A22E2D"/>
    <w:rsid w:val="00A237DB"/>
    <w:rsid w:val="00A24C1C"/>
    <w:rsid w:val="00A32162"/>
    <w:rsid w:val="00A34683"/>
    <w:rsid w:val="00A36575"/>
    <w:rsid w:val="00A40FB8"/>
    <w:rsid w:val="00A4691D"/>
    <w:rsid w:val="00A63D06"/>
    <w:rsid w:val="00A721B4"/>
    <w:rsid w:val="00A72323"/>
    <w:rsid w:val="00A73141"/>
    <w:rsid w:val="00A819DF"/>
    <w:rsid w:val="00A820E1"/>
    <w:rsid w:val="00A86D3D"/>
    <w:rsid w:val="00A87377"/>
    <w:rsid w:val="00A924C1"/>
    <w:rsid w:val="00A956DE"/>
    <w:rsid w:val="00AA68D5"/>
    <w:rsid w:val="00AA6FA2"/>
    <w:rsid w:val="00AB2948"/>
    <w:rsid w:val="00AB31A5"/>
    <w:rsid w:val="00AB39FA"/>
    <w:rsid w:val="00AC494C"/>
    <w:rsid w:val="00AC623D"/>
    <w:rsid w:val="00AD41BB"/>
    <w:rsid w:val="00AD5CB7"/>
    <w:rsid w:val="00AD5E0B"/>
    <w:rsid w:val="00AD6933"/>
    <w:rsid w:val="00AD6A0A"/>
    <w:rsid w:val="00AD6B7B"/>
    <w:rsid w:val="00AE2AF7"/>
    <w:rsid w:val="00AE4319"/>
    <w:rsid w:val="00AE4F05"/>
    <w:rsid w:val="00AE5DC7"/>
    <w:rsid w:val="00AE6DD6"/>
    <w:rsid w:val="00AE72B2"/>
    <w:rsid w:val="00AF3000"/>
    <w:rsid w:val="00AF4165"/>
    <w:rsid w:val="00AF4B44"/>
    <w:rsid w:val="00AF588F"/>
    <w:rsid w:val="00B0161C"/>
    <w:rsid w:val="00B02A07"/>
    <w:rsid w:val="00B0463B"/>
    <w:rsid w:val="00B15262"/>
    <w:rsid w:val="00B1736E"/>
    <w:rsid w:val="00B21225"/>
    <w:rsid w:val="00B26198"/>
    <w:rsid w:val="00B27192"/>
    <w:rsid w:val="00B30D9C"/>
    <w:rsid w:val="00B36CF5"/>
    <w:rsid w:val="00B41CB5"/>
    <w:rsid w:val="00B442A9"/>
    <w:rsid w:val="00B5180E"/>
    <w:rsid w:val="00B52142"/>
    <w:rsid w:val="00B60D70"/>
    <w:rsid w:val="00B616FF"/>
    <w:rsid w:val="00B740DE"/>
    <w:rsid w:val="00B83C7C"/>
    <w:rsid w:val="00B84BC1"/>
    <w:rsid w:val="00B86A42"/>
    <w:rsid w:val="00B92040"/>
    <w:rsid w:val="00B9565A"/>
    <w:rsid w:val="00B97813"/>
    <w:rsid w:val="00BA0179"/>
    <w:rsid w:val="00BA3A97"/>
    <w:rsid w:val="00BA51EA"/>
    <w:rsid w:val="00BA589F"/>
    <w:rsid w:val="00BB047B"/>
    <w:rsid w:val="00BB0CA6"/>
    <w:rsid w:val="00BB10A4"/>
    <w:rsid w:val="00BB1532"/>
    <w:rsid w:val="00BB2271"/>
    <w:rsid w:val="00BB6398"/>
    <w:rsid w:val="00BC04D6"/>
    <w:rsid w:val="00BC0E86"/>
    <w:rsid w:val="00BC1E75"/>
    <w:rsid w:val="00BC60F0"/>
    <w:rsid w:val="00BD0372"/>
    <w:rsid w:val="00BD246E"/>
    <w:rsid w:val="00BD7890"/>
    <w:rsid w:val="00BE077C"/>
    <w:rsid w:val="00BE1F6E"/>
    <w:rsid w:val="00BE4307"/>
    <w:rsid w:val="00BE7CB8"/>
    <w:rsid w:val="00BF4768"/>
    <w:rsid w:val="00BF6573"/>
    <w:rsid w:val="00BF6BBD"/>
    <w:rsid w:val="00C060D9"/>
    <w:rsid w:val="00C06DCA"/>
    <w:rsid w:val="00C139CA"/>
    <w:rsid w:val="00C15562"/>
    <w:rsid w:val="00C20A29"/>
    <w:rsid w:val="00C3209A"/>
    <w:rsid w:val="00C34189"/>
    <w:rsid w:val="00C363B1"/>
    <w:rsid w:val="00C3684B"/>
    <w:rsid w:val="00C3789E"/>
    <w:rsid w:val="00C40825"/>
    <w:rsid w:val="00C433C5"/>
    <w:rsid w:val="00C434FE"/>
    <w:rsid w:val="00C51429"/>
    <w:rsid w:val="00C6376A"/>
    <w:rsid w:val="00C64874"/>
    <w:rsid w:val="00C65D04"/>
    <w:rsid w:val="00C72514"/>
    <w:rsid w:val="00C80229"/>
    <w:rsid w:val="00C8236A"/>
    <w:rsid w:val="00C87391"/>
    <w:rsid w:val="00C90883"/>
    <w:rsid w:val="00C9238F"/>
    <w:rsid w:val="00CA3397"/>
    <w:rsid w:val="00CA33E1"/>
    <w:rsid w:val="00CB5189"/>
    <w:rsid w:val="00CB6AD1"/>
    <w:rsid w:val="00CB6BEB"/>
    <w:rsid w:val="00CB6C57"/>
    <w:rsid w:val="00CB6F91"/>
    <w:rsid w:val="00CC1A2F"/>
    <w:rsid w:val="00CC2099"/>
    <w:rsid w:val="00CC2405"/>
    <w:rsid w:val="00CC3BC4"/>
    <w:rsid w:val="00CC57F4"/>
    <w:rsid w:val="00CD3D61"/>
    <w:rsid w:val="00CD7C4B"/>
    <w:rsid w:val="00CE0181"/>
    <w:rsid w:val="00CE4101"/>
    <w:rsid w:val="00CE4E16"/>
    <w:rsid w:val="00CE7855"/>
    <w:rsid w:val="00CE7FA7"/>
    <w:rsid w:val="00D04A67"/>
    <w:rsid w:val="00D066D5"/>
    <w:rsid w:val="00D06E9F"/>
    <w:rsid w:val="00D10621"/>
    <w:rsid w:val="00D11E2F"/>
    <w:rsid w:val="00D124F6"/>
    <w:rsid w:val="00D31782"/>
    <w:rsid w:val="00D3612A"/>
    <w:rsid w:val="00D37703"/>
    <w:rsid w:val="00D37F25"/>
    <w:rsid w:val="00D453F6"/>
    <w:rsid w:val="00D53B12"/>
    <w:rsid w:val="00D5410B"/>
    <w:rsid w:val="00D5517A"/>
    <w:rsid w:val="00D60396"/>
    <w:rsid w:val="00D60D8D"/>
    <w:rsid w:val="00D6170E"/>
    <w:rsid w:val="00D67D47"/>
    <w:rsid w:val="00D71C6D"/>
    <w:rsid w:val="00D73C98"/>
    <w:rsid w:val="00D74662"/>
    <w:rsid w:val="00D77339"/>
    <w:rsid w:val="00D80B9A"/>
    <w:rsid w:val="00D8128C"/>
    <w:rsid w:val="00D910D5"/>
    <w:rsid w:val="00DA06E5"/>
    <w:rsid w:val="00DA0EC9"/>
    <w:rsid w:val="00DA11DD"/>
    <w:rsid w:val="00DA52BB"/>
    <w:rsid w:val="00DB0308"/>
    <w:rsid w:val="00DB07D3"/>
    <w:rsid w:val="00DC0120"/>
    <w:rsid w:val="00DC3C0B"/>
    <w:rsid w:val="00DD0109"/>
    <w:rsid w:val="00DD3653"/>
    <w:rsid w:val="00DD532E"/>
    <w:rsid w:val="00DD759C"/>
    <w:rsid w:val="00DD75CD"/>
    <w:rsid w:val="00DE643F"/>
    <w:rsid w:val="00DE66DF"/>
    <w:rsid w:val="00DF71E7"/>
    <w:rsid w:val="00E10F41"/>
    <w:rsid w:val="00E14B9E"/>
    <w:rsid w:val="00E14CC7"/>
    <w:rsid w:val="00E168D3"/>
    <w:rsid w:val="00E2509B"/>
    <w:rsid w:val="00E32D65"/>
    <w:rsid w:val="00E33803"/>
    <w:rsid w:val="00E355B6"/>
    <w:rsid w:val="00E371BC"/>
    <w:rsid w:val="00E41259"/>
    <w:rsid w:val="00E42C62"/>
    <w:rsid w:val="00E453F8"/>
    <w:rsid w:val="00E4622C"/>
    <w:rsid w:val="00E46571"/>
    <w:rsid w:val="00E5058F"/>
    <w:rsid w:val="00E514F4"/>
    <w:rsid w:val="00E51FFB"/>
    <w:rsid w:val="00E543F6"/>
    <w:rsid w:val="00E5593A"/>
    <w:rsid w:val="00E63855"/>
    <w:rsid w:val="00E73B79"/>
    <w:rsid w:val="00E82CEB"/>
    <w:rsid w:val="00E863BE"/>
    <w:rsid w:val="00E917A5"/>
    <w:rsid w:val="00E95993"/>
    <w:rsid w:val="00E961A4"/>
    <w:rsid w:val="00E9683C"/>
    <w:rsid w:val="00EA3ECF"/>
    <w:rsid w:val="00EA5802"/>
    <w:rsid w:val="00EB03BB"/>
    <w:rsid w:val="00EB043F"/>
    <w:rsid w:val="00EB19BB"/>
    <w:rsid w:val="00EB1C36"/>
    <w:rsid w:val="00EB410E"/>
    <w:rsid w:val="00ED21AF"/>
    <w:rsid w:val="00EE2EB2"/>
    <w:rsid w:val="00EE406C"/>
    <w:rsid w:val="00EF1E12"/>
    <w:rsid w:val="00F07534"/>
    <w:rsid w:val="00F12030"/>
    <w:rsid w:val="00F14456"/>
    <w:rsid w:val="00F14C23"/>
    <w:rsid w:val="00F14F0A"/>
    <w:rsid w:val="00F203D4"/>
    <w:rsid w:val="00F26A9F"/>
    <w:rsid w:val="00F26E68"/>
    <w:rsid w:val="00F318D9"/>
    <w:rsid w:val="00F33119"/>
    <w:rsid w:val="00F34103"/>
    <w:rsid w:val="00F53C86"/>
    <w:rsid w:val="00F5460E"/>
    <w:rsid w:val="00F64F49"/>
    <w:rsid w:val="00F66CF5"/>
    <w:rsid w:val="00F739F4"/>
    <w:rsid w:val="00F73C47"/>
    <w:rsid w:val="00F758C4"/>
    <w:rsid w:val="00F76E32"/>
    <w:rsid w:val="00F81F2C"/>
    <w:rsid w:val="00F90E63"/>
    <w:rsid w:val="00F9109E"/>
    <w:rsid w:val="00F94C89"/>
    <w:rsid w:val="00F9514F"/>
    <w:rsid w:val="00FA3228"/>
    <w:rsid w:val="00FA66A6"/>
    <w:rsid w:val="00FA6A3F"/>
    <w:rsid w:val="00FA6EE7"/>
    <w:rsid w:val="00FB47DD"/>
    <w:rsid w:val="00FB73D3"/>
    <w:rsid w:val="00FC081E"/>
    <w:rsid w:val="00FC28B6"/>
    <w:rsid w:val="00FC6A7B"/>
    <w:rsid w:val="00FD4756"/>
    <w:rsid w:val="00FE2F77"/>
    <w:rsid w:val="00FE2FF9"/>
    <w:rsid w:val="00FE4982"/>
    <w:rsid w:val="00FE7C86"/>
    <w:rsid w:val="00FE7D94"/>
    <w:rsid w:val="00FF479D"/>
    <w:rsid w:val="00FF61F9"/>
    <w:rsid w:val="01175AED"/>
    <w:rsid w:val="016E1EBF"/>
    <w:rsid w:val="0181397A"/>
    <w:rsid w:val="02AC1189"/>
    <w:rsid w:val="037A9947"/>
    <w:rsid w:val="06B23A09"/>
    <w:rsid w:val="07489D45"/>
    <w:rsid w:val="07F144A8"/>
    <w:rsid w:val="091D53DE"/>
    <w:rsid w:val="09802110"/>
    <w:rsid w:val="09ADBD18"/>
    <w:rsid w:val="09FED2E2"/>
    <w:rsid w:val="0CC92718"/>
    <w:rsid w:val="0E32AA31"/>
    <w:rsid w:val="0E469425"/>
    <w:rsid w:val="12861E91"/>
    <w:rsid w:val="12CBF03D"/>
    <w:rsid w:val="1336DA0A"/>
    <w:rsid w:val="13889F77"/>
    <w:rsid w:val="1390B37A"/>
    <w:rsid w:val="146CAA3A"/>
    <w:rsid w:val="14D620A4"/>
    <w:rsid w:val="14F1B11D"/>
    <w:rsid w:val="154DA45F"/>
    <w:rsid w:val="1585BC2E"/>
    <w:rsid w:val="16C04039"/>
    <w:rsid w:val="16E974C0"/>
    <w:rsid w:val="1747A587"/>
    <w:rsid w:val="185C109A"/>
    <w:rsid w:val="19F7E0FB"/>
    <w:rsid w:val="1AC500F9"/>
    <w:rsid w:val="1BBCE5E3"/>
    <w:rsid w:val="1C2DAC1C"/>
    <w:rsid w:val="1E88540C"/>
    <w:rsid w:val="1EDB5D3E"/>
    <w:rsid w:val="1F17A712"/>
    <w:rsid w:val="1F6BA615"/>
    <w:rsid w:val="1F860E2E"/>
    <w:rsid w:val="204C3C3D"/>
    <w:rsid w:val="2067EC6C"/>
    <w:rsid w:val="21B70BC8"/>
    <w:rsid w:val="21C3EA62"/>
    <w:rsid w:val="22BF6E29"/>
    <w:rsid w:val="22FE3B59"/>
    <w:rsid w:val="234D4C83"/>
    <w:rsid w:val="23646892"/>
    <w:rsid w:val="2433F848"/>
    <w:rsid w:val="24EEAC8A"/>
    <w:rsid w:val="26DE5189"/>
    <w:rsid w:val="27F62AAC"/>
    <w:rsid w:val="2A15F24B"/>
    <w:rsid w:val="2CC115BC"/>
    <w:rsid w:val="2ED9BC71"/>
    <w:rsid w:val="2F6469BA"/>
    <w:rsid w:val="30138509"/>
    <w:rsid w:val="31899A21"/>
    <w:rsid w:val="3305B660"/>
    <w:rsid w:val="3370ED79"/>
    <w:rsid w:val="33AA1303"/>
    <w:rsid w:val="349AE6A9"/>
    <w:rsid w:val="3511E5D9"/>
    <w:rsid w:val="357C86F9"/>
    <w:rsid w:val="35F42709"/>
    <w:rsid w:val="363E7D51"/>
    <w:rsid w:val="364992C3"/>
    <w:rsid w:val="3A85B6B6"/>
    <w:rsid w:val="3A973823"/>
    <w:rsid w:val="3AB1DDE9"/>
    <w:rsid w:val="3CF03D0E"/>
    <w:rsid w:val="3CF954E2"/>
    <w:rsid w:val="3E18DC12"/>
    <w:rsid w:val="3EE728C8"/>
    <w:rsid w:val="40411571"/>
    <w:rsid w:val="4067694F"/>
    <w:rsid w:val="40933C21"/>
    <w:rsid w:val="4098607F"/>
    <w:rsid w:val="409F6A69"/>
    <w:rsid w:val="4124B0D4"/>
    <w:rsid w:val="424463DD"/>
    <w:rsid w:val="43BD15AA"/>
    <w:rsid w:val="4521FB9A"/>
    <w:rsid w:val="4648FAA2"/>
    <w:rsid w:val="467297D9"/>
    <w:rsid w:val="47802B85"/>
    <w:rsid w:val="47D3F8DC"/>
    <w:rsid w:val="480E683A"/>
    <w:rsid w:val="48BC0FA3"/>
    <w:rsid w:val="49496F15"/>
    <w:rsid w:val="49E223B4"/>
    <w:rsid w:val="4A2C9E52"/>
    <w:rsid w:val="4AD6155C"/>
    <w:rsid w:val="4B03DF2C"/>
    <w:rsid w:val="4B3BBBF0"/>
    <w:rsid w:val="4B72A1D7"/>
    <w:rsid w:val="4B960DB1"/>
    <w:rsid w:val="506FE94E"/>
    <w:rsid w:val="50C6D300"/>
    <w:rsid w:val="54320032"/>
    <w:rsid w:val="54F8CECE"/>
    <w:rsid w:val="56032BDA"/>
    <w:rsid w:val="58002614"/>
    <w:rsid w:val="5B3A1B7C"/>
    <w:rsid w:val="5B59A482"/>
    <w:rsid w:val="5CA65EE8"/>
    <w:rsid w:val="5D4BA98C"/>
    <w:rsid w:val="5F5A6A3F"/>
    <w:rsid w:val="605DA2DA"/>
    <w:rsid w:val="61913200"/>
    <w:rsid w:val="61B71840"/>
    <w:rsid w:val="628ED979"/>
    <w:rsid w:val="62B27835"/>
    <w:rsid w:val="634B21F1"/>
    <w:rsid w:val="651EC83F"/>
    <w:rsid w:val="6520A274"/>
    <w:rsid w:val="65ADB666"/>
    <w:rsid w:val="6613CDEF"/>
    <w:rsid w:val="67194D3F"/>
    <w:rsid w:val="67FA347C"/>
    <w:rsid w:val="688CED02"/>
    <w:rsid w:val="694AD739"/>
    <w:rsid w:val="69EB635C"/>
    <w:rsid w:val="6A3BFF26"/>
    <w:rsid w:val="6C1A9962"/>
    <w:rsid w:val="6C1EBEB4"/>
    <w:rsid w:val="6E094EEB"/>
    <w:rsid w:val="6E205A32"/>
    <w:rsid w:val="6ED53A35"/>
    <w:rsid w:val="6F8C796E"/>
    <w:rsid w:val="6FDC29C4"/>
    <w:rsid w:val="6FE282FB"/>
    <w:rsid w:val="71174FC1"/>
    <w:rsid w:val="71938A42"/>
    <w:rsid w:val="729A7CF9"/>
    <w:rsid w:val="73B8A671"/>
    <w:rsid w:val="7400D66D"/>
    <w:rsid w:val="74CD5613"/>
    <w:rsid w:val="752A8D67"/>
    <w:rsid w:val="757BFCDE"/>
    <w:rsid w:val="75B4B780"/>
    <w:rsid w:val="773CE829"/>
    <w:rsid w:val="774F41D7"/>
    <w:rsid w:val="7845AAF4"/>
    <w:rsid w:val="78BE4015"/>
    <w:rsid w:val="79605E93"/>
    <w:rsid w:val="7A0E8D7F"/>
    <w:rsid w:val="7A5F3875"/>
    <w:rsid w:val="7B00436C"/>
    <w:rsid w:val="7BA92F51"/>
    <w:rsid w:val="7C2CCE72"/>
    <w:rsid w:val="7D7620BF"/>
    <w:rsid w:val="7EBEF17C"/>
    <w:rsid w:val="7FC45B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006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uiPriority="99"/>
    <w:lsdException w:name="header" w:locked="0" w:uiPriority="99"/>
    <w:lsdException w:name="footer" w:locked="0"/>
    <w:lsdException w:name="caption" w:locked="0" w:semiHidden="1" w:unhideWhenUsed="1" w:qFormat="1"/>
    <w:lsdException w:name="annotation reference" w:locked="0" w:uiPriority="99"/>
    <w:lsdException w:name="page number" w:locked="0"/>
    <w:lsdException w:name="Title" w:locked="0" w:qFormat="1"/>
    <w:lsdException w:name="Default Paragraph Font" w:locked="0"/>
    <w:lsdException w:name="Subtitle" w:qFormat="1"/>
    <w:lsdException w:name="Body Text 3" w:locked="0"/>
    <w:lsdException w:name="Hyperlink" w:locked="0" w:uiPriority="99"/>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iPriority w:val="99"/>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99"/>
    <w:qFormat/>
    <w:locked/>
    <w:rsid w:val="009B1D56"/>
    <w:pPr>
      <w:numPr>
        <w:numId w:val="25"/>
      </w:numPr>
      <w:tabs>
        <w:tab w:val="left" w:pos="426"/>
      </w:tabs>
      <w:ind w:left="360"/>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ind w:left="502"/>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uiPriority w:val="99"/>
    <w:rsid w:val="00377E36"/>
    <w:rPr>
      <w:sz w:val="16"/>
      <w:szCs w:val="16"/>
    </w:rPr>
  </w:style>
  <w:style w:type="paragraph" w:styleId="CommentText">
    <w:name w:val="annotation text"/>
    <w:basedOn w:val="Normal"/>
    <w:link w:val="CommentTextChar"/>
    <w:uiPriority w:val="99"/>
    <w:rsid w:val="00377E36"/>
    <w:rPr>
      <w:sz w:val="20"/>
      <w:szCs w:val="20"/>
      <w:lang w:eastAsia="en-GB"/>
    </w:rPr>
  </w:style>
  <w:style w:type="character" w:customStyle="1" w:styleId="CommentTextChar">
    <w:name w:val="Comment Text Char"/>
    <w:basedOn w:val="DefaultParagraphFont"/>
    <w:link w:val="CommentText"/>
    <w:uiPriority w:val="99"/>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CommentSubject">
    <w:name w:val="annotation subject"/>
    <w:basedOn w:val="CommentText"/>
    <w:next w:val="CommentText"/>
    <w:link w:val="CommentSubjectChar"/>
    <w:rsid w:val="00483B65"/>
    <w:rPr>
      <w:b/>
      <w:bCs/>
      <w:lang w:eastAsia="en-US"/>
    </w:rPr>
  </w:style>
  <w:style w:type="character" w:customStyle="1" w:styleId="CommentSubjectChar">
    <w:name w:val="Comment Subject Char"/>
    <w:basedOn w:val="CommentTextChar"/>
    <w:link w:val="CommentSubject"/>
    <w:rsid w:val="00483B65"/>
    <w:rPr>
      <w:b/>
      <w:bCs/>
      <w:lang w:eastAsia="en-US"/>
    </w:rPr>
  </w:style>
  <w:style w:type="paragraph" w:styleId="Revision">
    <w:name w:val="Revision"/>
    <w:hidden/>
    <w:uiPriority w:val="99"/>
    <w:semiHidden/>
    <w:rsid w:val="00145132"/>
    <w:rPr>
      <w:sz w:val="24"/>
      <w:szCs w:val="24"/>
      <w:lang w:eastAsia="en-US"/>
    </w:rPr>
  </w:style>
  <w:style w:type="character" w:styleId="Mention">
    <w:name w:val="Mention"/>
    <w:basedOn w:val="DefaultParagraphFont"/>
    <w:uiPriority w:val="99"/>
    <w:unhideWhenUsed/>
    <w:rPr>
      <w:color w:val="2B579A"/>
      <w:shd w:val="clear" w:color="auto" w:fill="E6E6E6"/>
    </w:rPr>
  </w:style>
  <w:style w:type="table" w:styleId="TableGridLight">
    <w:name w:val="Grid Table Light"/>
    <w:basedOn w:val="TableNormal"/>
    <w:uiPriority w:val="40"/>
    <w:locked/>
    <w:rsid w:val="009F17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rsid w:val="006815D2"/>
    <w:rPr>
      <w:color w:val="954F72" w:themeColor="followedHyperlink"/>
      <w:u w:val="single"/>
    </w:rPr>
  </w:style>
  <w:style w:type="paragraph" w:customStyle="1" w:styleId="pf0">
    <w:name w:val="pf0"/>
    <w:basedOn w:val="Normal"/>
    <w:rsid w:val="0024722D"/>
    <w:pPr>
      <w:spacing w:before="100" w:beforeAutospacing="1" w:after="100" w:afterAutospacing="1"/>
    </w:pPr>
    <w:rPr>
      <w:lang w:eastAsia="en-GB"/>
    </w:rPr>
  </w:style>
  <w:style w:type="character" w:customStyle="1" w:styleId="cf01">
    <w:name w:val="cf01"/>
    <w:basedOn w:val="DefaultParagraphFont"/>
    <w:rsid w:val="0024722D"/>
    <w:rPr>
      <w:rFonts w:ascii="Segoe UI" w:hAnsi="Segoe UI" w:cs="Segoe UI" w:hint="default"/>
      <w:sz w:val="18"/>
      <w:szCs w:val="18"/>
    </w:rPr>
  </w:style>
  <w:style w:type="paragraph" w:customStyle="1" w:styleId="xmsolistparagraph">
    <w:name w:val="x_msolistparagraph"/>
    <w:basedOn w:val="Normal"/>
    <w:rsid w:val="0024722D"/>
    <w:pPr>
      <w:ind w:left="720"/>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441774">
      <w:bodyDiv w:val="1"/>
      <w:marLeft w:val="0"/>
      <w:marRight w:val="0"/>
      <w:marTop w:val="0"/>
      <w:marBottom w:val="0"/>
      <w:divBdr>
        <w:top w:val="none" w:sz="0" w:space="0" w:color="auto"/>
        <w:left w:val="none" w:sz="0" w:space="0" w:color="auto"/>
        <w:bottom w:val="none" w:sz="0" w:space="0" w:color="auto"/>
        <w:right w:val="none" w:sz="0" w:space="0" w:color="auto"/>
      </w:divBdr>
    </w:div>
    <w:div w:id="912008729">
      <w:bodyDiv w:val="1"/>
      <w:marLeft w:val="0"/>
      <w:marRight w:val="0"/>
      <w:marTop w:val="0"/>
      <w:marBottom w:val="0"/>
      <w:divBdr>
        <w:top w:val="none" w:sz="0" w:space="0" w:color="auto"/>
        <w:left w:val="none" w:sz="0" w:space="0" w:color="auto"/>
        <w:bottom w:val="none" w:sz="0" w:space="0" w:color="auto"/>
        <w:right w:val="none" w:sz="0" w:space="0" w:color="auto"/>
      </w:divBdr>
    </w:div>
    <w:div w:id="175566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36/resources/nice-health-technology-evaluations-the-manual-pdf-7228677924474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terms-and-condition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875EC-AE1E-4BD2-9828-2AC9E10B0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2510</Words>
  <Characters>14527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2023-03-15T20:00:00Z</dcterms:created>
  <dcterms:modified xsi:type="dcterms:W3CDTF">2023-03-17T09:48:00Z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2023-03-15T20:00:12Z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714e7daf-c6f6-4596-a2ed-8b4d7459bc64</vt:lpwstr>
  </property>
  <property fmtid="{D5CDD505-2E9C-101B-9397-08002B2CF9AE}" pid="8" name="MSIP_Label_c69d85d5-6d9e-4305-a294-1f636ec0f2d6_ContentBits">
    <vt:lpwstr>0</vt:lpwstr>
  </property>
</Properties>
</file>