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A051D0" w14:textId="63216897" w:rsidR="00057044" w:rsidRPr="007945BA" w:rsidRDefault="00057044" w:rsidP="003D3B28">
      <w:pPr>
        <w:pStyle w:val="Title1"/>
      </w:pPr>
      <w:r w:rsidRPr="007945BA">
        <w:t xml:space="preserve">Board </w:t>
      </w:r>
      <w:proofErr w:type="gramStart"/>
      <w:r w:rsidRPr="007945BA">
        <w:t>meeting</w:t>
      </w:r>
      <w:proofErr w:type="gramEnd"/>
    </w:p>
    <w:p w14:paraId="316F856F" w14:textId="453326F1" w:rsidR="004B4705" w:rsidRPr="007945BA" w:rsidRDefault="0076279C" w:rsidP="003D3B28">
      <w:pPr>
        <w:pStyle w:val="Title20"/>
      </w:pPr>
      <w:r w:rsidRPr="007945BA">
        <w:t>1</w:t>
      </w:r>
      <w:r w:rsidR="00046645" w:rsidRPr="007945BA">
        <w:t>5</w:t>
      </w:r>
      <w:r w:rsidRPr="007945BA">
        <w:t xml:space="preserve"> May 202</w:t>
      </w:r>
      <w:r w:rsidR="00046645" w:rsidRPr="007945BA">
        <w:t>4</w:t>
      </w:r>
    </w:p>
    <w:p w14:paraId="1E5ECA3E" w14:textId="1E4ED90E" w:rsidR="00094B5D" w:rsidRPr="007945BA" w:rsidRDefault="008A33B6" w:rsidP="003D3B28">
      <w:pPr>
        <w:pStyle w:val="Title1"/>
      </w:pPr>
      <w:r w:rsidRPr="007945BA">
        <w:t>A</w:t>
      </w:r>
      <w:r w:rsidR="007B70B2">
        <w:t>udit and Risk Committee a</w:t>
      </w:r>
      <w:r w:rsidRPr="007945BA">
        <w:t>nnual report to Board 202</w:t>
      </w:r>
      <w:r w:rsidR="00046645" w:rsidRPr="007945BA">
        <w:t>3</w:t>
      </w:r>
      <w:r w:rsidRPr="007945BA">
        <w:t>/2</w:t>
      </w:r>
      <w:r w:rsidR="00046645" w:rsidRPr="007945BA">
        <w:t>4</w:t>
      </w:r>
    </w:p>
    <w:p w14:paraId="35817AF9" w14:textId="3DBF64D2" w:rsidR="009B1D56" w:rsidRPr="007945BA" w:rsidRDefault="009B1D56" w:rsidP="003D3B28">
      <w:pPr>
        <w:pStyle w:val="Heading1boardreport"/>
      </w:pPr>
      <w:r w:rsidRPr="007945BA">
        <w:t>Purpose of paper</w:t>
      </w:r>
    </w:p>
    <w:p w14:paraId="698ED880" w14:textId="7E59CFFF" w:rsidR="008A33B6" w:rsidRPr="007945BA" w:rsidRDefault="008A33B6" w:rsidP="008A33B6">
      <w:pPr>
        <w:pStyle w:val="NICEnormal"/>
      </w:pPr>
      <w:r w:rsidRPr="007945BA">
        <w:t>For assurance</w:t>
      </w:r>
      <w:r w:rsidR="00873F9E" w:rsidRPr="00862AC9">
        <w:t xml:space="preserve"> and decision</w:t>
      </w:r>
      <w:r w:rsidRPr="007945BA">
        <w:t>.</w:t>
      </w:r>
    </w:p>
    <w:p w14:paraId="0F4DD584" w14:textId="77777777" w:rsidR="009B1D56" w:rsidRPr="007945BA" w:rsidRDefault="009B1D56" w:rsidP="003D3B28">
      <w:pPr>
        <w:pStyle w:val="Heading1boardreport"/>
      </w:pPr>
      <w:r w:rsidRPr="007945BA">
        <w:t xml:space="preserve">Board action </w:t>
      </w:r>
      <w:proofErr w:type="gramStart"/>
      <w:r w:rsidRPr="007945BA">
        <w:t>required</w:t>
      </w:r>
      <w:proofErr w:type="gramEnd"/>
    </w:p>
    <w:p w14:paraId="76F87DC4" w14:textId="77777777" w:rsidR="002A02AE" w:rsidRPr="007945BA" w:rsidRDefault="008A33B6" w:rsidP="003830CE">
      <w:pPr>
        <w:pStyle w:val="NICEnormal"/>
      </w:pPr>
      <w:r w:rsidRPr="007945BA">
        <w:t>The Board is asked to</w:t>
      </w:r>
      <w:r w:rsidR="002A02AE" w:rsidRPr="007945BA">
        <w:t>:</w:t>
      </w:r>
    </w:p>
    <w:p w14:paraId="14B81D04" w14:textId="4499397B" w:rsidR="0040615D" w:rsidRPr="00850606" w:rsidRDefault="00EA1F2E" w:rsidP="0040615D">
      <w:pPr>
        <w:pStyle w:val="NICEnormalnumbered"/>
        <w:numPr>
          <w:ilvl w:val="1"/>
          <w:numId w:val="25"/>
        </w:numPr>
        <w:rPr>
          <w:noProof w:val="0"/>
        </w:rPr>
      </w:pPr>
      <w:r w:rsidRPr="00850606">
        <w:rPr>
          <w:noProof w:val="0"/>
        </w:rPr>
        <w:t>r</w:t>
      </w:r>
      <w:r w:rsidR="0040615D" w:rsidRPr="00850606">
        <w:rPr>
          <w:noProof w:val="0"/>
        </w:rPr>
        <w:t xml:space="preserve">eceive the report and take assurance from the </w:t>
      </w:r>
      <w:r w:rsidR="007B70B2">
        <w:rPr>
          <w:noProof w:val="0"/>
        </w:rPr>
        <w:t xml:space="preserve">audit and risk </w:t>
      </w:r>
      <w:r w:rsidR="0040615D" w:rsidRPr="00850606">
        <w:rPr>
          <w:noProof w:val="0"/>
        </w:rPr>
        <w:t xml:space="preserve">committee’s work in </w:t>
      </w:r>
      <w:proofErr w:type="gramStart"/>
      <w:r w:rsidR="0040615D" w:rsidRPr="00850606">
        <w:rPr>
          <w:noProof w:val="0"/>
        </w:rPr>
        <w:t>202</w:t>
      </w:r>
      <w:r w:rsidR="00046645" w:rsidRPr="00850606">
        <w:rPr>
          <w:noProof w:val="0"/>
        </w:rPr>
        <w:t>3/24</w:t>
      </w:r>
      <w:proofErr w:type="gramEnd"/>
    </w:p>
    <w:p w14:paraId="763DE85C" w14:textId="6445C6EB" w:rsidR="0040615D" w:rsidRPr="00850606" w:rsidRDefault="00EA1F2E" w:rsidP="0040615D">
      <w:pPr>
        <w:pStyle w:val="NICEnormalnumbered"/>
        <w:numPr>
          <w:ilvl w:val="1"/>
          <w:numId w:val="25"/>
        </w:numPr>
        <w:rPr>
          <w:noProof w:val="0"/>
        </w:rPr>
      </w:pPr>
      <w:r w:rsidRPr="00850606">
        <w:rPr>
          <w:noProof w:val="0"/>
        </w:rPr>
        <w:t>a</w:t>
      </w:r>
      <w:r w:rsidR="0040615D" w:rsidRPr="00850606">
        <w:rPr>
          <w:noProof w:val="0"/>
        </w:rPr>
        <w:t xml:space="preserve">pprove the </w:t>
      </w:r>
      <w:r w:rsidR="007B70B2">
        <w:rPr>
          <w:noProof w:val="0"/>
        </w:rPr>
        <w:t xml:space="preserve">proposed </w:t>
      </w:r>
      <w:r w:rsidR="0040615D" w:rsidRPr="00850606">
        <w:rPr>
          <w:noProof w:val="0"/>
        </w:rPr>
        <w:t>amendments to the committee’s terms of reference</w:t>
      </w:r>
      <w:r w:rsidR="001C5ED5" w:rsidRPr="00850606">
        <w:rPr>
          <w:noProof w:val="0"/>
        </w:rPr>
        <w:t>.</w:t>
      </w:r>
    </w:p>
    <w:p w14:paraId="2EC28B8A" w14:textId="77777777" w:rsidR="009B1D56" w:rsidRPr="007945BA" w:rsidRDefault="009B1D56" w:rsidP="003D3B28">
      <w:pPr>
        <w:pStyle w:val="Heading1boardreport"/>
      </w:pPr>
      <w:proofErr w:type="gramStart"/>
      <w:r w:rsidRPr="007945BA">
        <w:t>Brief summary</w:t>
      </w:r>
      <w:proofErr w:type="gramEnd"/>
    </w:p>
    <w:p w14:paraId="786FEB52" w14:textId="6AA44064" w:rsidR="009B1D56" w:rsidRPr="007945BA" w:rsidRDefault="002A02AE" w:rsidP="003830CE">
      <w:pPr>
        <w:pStyle w:val="NICEnormal"/>
        <w:rPr>
          <w:highlight w:val="lightGray"/>
        </w:rPr>
      </w:pPr>
      <w:r w:rsidRPr="007945BA">
        <w:t>In addition to the updates provided after each committee meeting, t</w:t>
      </w:r>
      <w:r w:rsidR="008A33B6" w:rsidRPr="007945BA">
        <w:t xml:space="preserve">he audit and risk committee </w:t>
      </w:r>
      <w:r w:rsidRPr="007945BA">
        <w:t xml:space="preserve">formally </w:t>
      </w:r>
      <w:r w:rsidR="008A33B6" w:rsidRPr="007945BA">
        <w:t>reports to the board annually to provide assurance on the effectiveness of NICE’s governance, risk management, financial and internal control arrangements.</w:t>
      </w:r>
    </w:p>
    <w:p w14:paraId="78A39FD9" w14:textId="77777777" w:rsidR="009B1D56" w:rsidRPr="007945BA" w:rsidRDefault="009B1D56" w:rsidP="003D3B28">
      <w:pPr>
        <w:pStyle w:val="Heading1boardreport"/>
      </w:pPr>
      <w:r w:rsidRPr="007945BA">
        <w:t xml:space="preserve">Board </w:t>
      </w:r>
      <w:proofErr w:type="gramStart"/>
      <w:r w:rsidRPr="007945BA">
        <w:t>sponsor</w:t>
      </w:r>
      <w:proofErr w:type="gramEnd"/>
    </w:p>
    <w:p w14:paraId="6986F8BB" w14:textId="7F32210C" w:rsidR="008A33B6" w:rsidRPr="007945BA" w:rsidRDefault="008A33B6" w:rsidP="008A33B6">
      <w:pPr>
        <w:pStyle w:val="NICEnormal"/>
      </w:pPr>
      <w:r w:rsidRPr="007945BA">
        <w:t xml:space="preserve">Alina Lourie, Chair of the audit and risk committee </w:t>
      </w:r>
    </w:p>
    <w:p w14:paraId="383839CC" w14:textId="75D5E414" w:rsidR="009B1D56" w:rsidRPr="007945BA" w:rsidRDefault="009B1D56" w:rsidP="003830CE">
      <w:pPr>
        <w:pStyle w:val="NICEnormal"/>
        <w:rPr>
          <w:highlight w:val="lightGray"/>
        </w:rPr>
      </w:pPr>
    </w:p>
    <w:p w14:paraId="600E2B96" w14:textId="77777777" w:rsidR="004B4705" w:rsidRPr="007945BA" w:rsidRDefault="004B4705" w:rsidP="004511A7">
      <w:pPr>
        <w:pStyle w:val="NICEnormal"/>
      </w:pPr>
      <w:r w:rsidRPr="007945BA">
        <w:br w:type="page"/>
      </w:r>
    </w:p>
    <w:p w14:paraId="1AAB0996" w14:textId="77777777" w:rsidR="004B4705" w:rsidRPr="007945BA" w:rsidRDefault="004B4705" w:rsidP="003D3B28">
      <w:pPr>
        <w:pStyle w:val="Heading1boardreport"/>
      </w:pPr>
      <w:r w:rsidRPr="007945BA">
        <w:lastRenderedPageBreak/>
        <w:t xml:space="preserve">Introduction </w:t>
      </w:r>
    </w:p>
    <w:p w14:paraId="607B1FB1" w14:textId="582581DF" w:rsidR="00046645" w:rsidRPr="00850606" w:rsidRDefault="00046645" w:rsidP="00046645">
      <w:pPr>
        <w:pStyle w:val="NICEnormalnumbered"/>
        <w:numPr>
          <w:ilvl w:val="0"/>
          <w:numId w:val="35"/>
        </w:numPr>
        <w:tabs>
          <w:tab w:val="clear" w:pos="426"/>
        </w:tabs>
        <w:ind w:left="284" w:hanging="284"/>
        <w:rPr>
          <w:noProof w:val="0"/>
        </w:rPr>
      </w:pPr>
      <w:r w:rsidRPr="00850606">
        <w:rPr>
          <w:noProof w:val="0"/>
        </w:rPr>
        <w:t xml:space="preserve">The </w:t>
      </w:r>
      <w:r w:rsidRPr="00850606">
        <w:rPr>
          <w:rFonts w:cs="Arial"/>
          <w:noProof w:val="0"/>
        </w:rPr>
        <w:t>committee’s primary function is to provide the board with an independent view of the adequacy and effectiveness of NICE’s governance arrangements, including the system of internal controls, risk management and use of resources</w:t>
      </w:r>
      <w:r w:rsidR="009F60C4" w:rsidRPr="00850606">
        <w:rPr>
          <w:rFonts w:cs="Arial"/>
          <w:noProof w:val="0"/>
        </w:rPr>
        <w:t xml:space="preserve">, </w:t>
      </w:r>
      <w:r w:rsidR="00EA58C4" w:rsidRPr="00850606">
        <w:rPr>
          <w:rFonts w:cs="Arial"/>
          <w:noProof w:val="0"/>
        </w:rPr>
        <w:t xml:space="preserve">and </w:t>
      </w:r>
      <w:r w:rsidR="009F60C4" w:rsidRPr="00850606">
        <w:rPr>
          <w:rFonts w:cs="Arial"/>
          <w:noProof w:val="0"/>
        </w:rPr>
        <w:t>to make sure they remain effective and fit for purpose, whilst also ensuring there is a robust system of assurance to evidence it.</w:t>
      </w:r>
    </w:p>
    <w:p w14:paraId="20CF3524" w14:textId="242D3E0B" w:rsidR="004B4705" w:rsidRPr="00850606" w:rsidRDefault="00575A7A" w:rsidP="00850606">
      <w:pPr>
        <w:pStyle w:val="NICEnormalnumbered"/>
        <w:tabs>
          <w:tab w:val="clear" w:pos="426"/>
        </w:tabs>
        <w:ind w:left="284" w:hanging="284"/>
        <w:rPr>
          <w:noProof w:val="0"/>
        </w:rPr>
      </w:pPr>
      <w:proofErr w:type="gramStart"/>
      <w:r w:rsidRPr="00850606">
        <w:rPr>
          <w:rFonts w:cs="Arial"/>
          <w:noProof w:val="0"/>
        </w:rPr>
        <w:t>In order to</w:t>
      </w:r>
      <w:proofErr w:type="gramEnd"/>
      <w:r w:rsidRPr="00850606">
        <w:rPr>
          <w:rFonts w:cs="Arial"/>
          <w:noProof w:val="0"/>
        </w:rPr>
        <w:t xml:space="preserve"> discharge this function, the audit and risk committee prepares an annual report for the board and Accounting Officer. This report includes information provided by internal audit, external </w:t>
      </w:r>
      <w:proofErr w:type="gramStart"/>
      <w:r w:rsidRPr="00850606">
        <w:rPr>
          <w:rFonts w:cs="Arial"/>
          <w:noProof w:val="0"/>
        </w:rPr>
        <w:t>audit</w:t>
      </w:r>
      <w:proofErr w:type="gramEnd"/>
      <w:r w:rsidRPr="00850606">
        <w:rPr>
          <w:rFonts w:cs="Arial"/>
          <w:noProof w:val="0"/>
        </w:rPr>
        <w:t xml:space="preserve"> and other sources of assurance, </w:t>
      </w:r>
      <w:r w:rsidR="00FF338A" w:rsidRPr="00850606">
        <w:rPr>
          <w:rFonts w:cs="Arial"/>
          <w:noProof w:val="0"/>
        </w:rPr>
        <w:t>including</w:t>
      </w:r>
      <w:r w:rsidRPr="00850606">
        <w:rPr>
          <w:rFonts w:cs="Arial"/>
          <w:noProof w:val="0"/>
        </w:rPr>
        <w:t xml:space="preserve"> reports from management</w:t>
      </w:r>
      <w:r w:rsidR="00FF338A" w:rsidRPr="00850606">
        <w:rPr>
          <w:rFonts w:cs="Arial"/>
          <w:noProof w:val="0"/>
        </w:rPr>
        <w:t xml:space="preserve"> and external consultants.</w:t>
      </w:r>
    </w:p>
    <w:p w14:paraId="4836707B" w14:textId="2E8C3AA8" w:rsidR="004B4705" w:rsidRPr="007945BA" w:rsidRDefault="002033A7" w:rsidP="003D3B28">
      <w:pPr>
        <w:pStyle w:val="Heading1boardreport"/>
      </w:pPr>
      <w:r w:rsidRPr="007945BA">
        <w:t>Key issues</w:t>
      </w:r>
    </w:p>
    <w:p w14:paraId="1E75C97F" w14:textId="4695FED8" w:rsidR="004B4705" w:rsidRPr="007945BA" w:rsidRDefault="002033A7" w:rsidP="00F232B7">
      <w:pPr>
        <w:pStyle w:val="Heading2"/>
      </w:pPr>
      <w:r w:rsidRPr="007945BA">
        <w:t>Committee membership</w:t>
      </w:r>
    </w:p>
    <w:p w14:paraId="4B6440A2" w14:textId="40EAF7AE" w:rsidR="00FF338A" w:rsidRPr="003B5AC6" w:rsidRDefault="00FF338A" w:rsidP="00C54E9A">
      <w:pPr>
        <w:pStyle w:val="NICEnormalnumbered"/>
        <w:rPr>
          <w:noProof w:val="0"/>
        </w:rPr>
      </w:pPr>
      <w:r w:rsidRPr="003B5AC6">
        <w:rPr>
          <w:noProof w:val="0"/>
        </w:rPr>
        <w:t>The</w:t>
      </w:r>
      <w:r w:rsidR="0096097E">
        <w:rPr>
          <w:noProof w:val="0"/>
        </w:rPr>
        <w:t xml:space="preserve"> committee membership remained stable </w:t>
      </w:r>
      <w:r w:rsidR="007B1D88">
        <w:rPr>
          <w:noProof w:val="0"/>
        </w:rPr>
        <w:t xml:space="preserve">and there was a high level of attendance during the year. </w:t>
      </w:r>
    </w:p>
    <w:p w14:paraId="6F97D7C5" w14:textId="0DF5B99B" w:rsidR="004B4705" w:rsidRPr="003B5AC6" w:rsidRDefault="00FF338A" w:rsidP="00C54E9A">
      <w:pPr>
        <w:pStyle w:val="NICEnormalnumbered"/>
        <w:rPr>
          <w:noProof w:val="0"/>
        </w:rPr>
      </w:pPr>
      <w:r w:rsidRPr="003B5AC6">
        <w:rPr>
          <w:noProof w:val="0"/>
        </w:rPr>
        <w:t xml:space="preserve">The external member, Amanda Gibbon, was re-appointed in January 2024 for a further </w:t>
      </w:r>
      <w:proofErr w:type="gramStart"/>
      <w:r w:rsidRPr="003B5AC6">
        <w:rPr>
          <w:noProof w:val="0"/>
        </w:rPr>
        <w:t>three year</w:t>
      </w:r>
      <w:proofErr w:type="gramEnd"/>
      <w:r w:rsidRPr="003B5AC6">
        <w:rPr>
          <w:noProof w:val="0"/>
        </w:rPr>
        <w:t xml:space="preserve"> term</w:t>
      </w:r>
      <w:r w:rsidR="007B1D88">
        <w:rPr>
          <w:noProof w:val="0"/>
        </w:rPr>
        <w:t xml:space="preserve"> in recognition of her input and expertise</w:t>
      </w:r>
      <w:r w:rsidRPr="003B5AC6">
        <w:rPr>
          <w:noProof w:val="0"/>
        </w:rPr>
        <w:t>.</w:t>
      </w:r>
      <w:r w:rsidR="004B4705" w:rsidRPr="003B5AC6">
        <w:rPr>
          <w:noProof w:val="0"/>
        </w:rPr>
        <w:t xml:space="preserve"> </w:t>
      </w:r>
    </w:p>
    <w:p w14:paraId="21560A26" w14:textId="23EDE021" w:rsidR="00F232B7" w:rsidRPr="003B5AC6" w:rsidRDefault="00F232B7" w:rsidP="00C54E9A">
      <w:pPr>
        <w:pStyle w:val="NICEnormalnumbered"/>
        <w:rPr>
          <w:noProof w:val="0"/>
        </w:rPr>
      </w:pPr>
      <w:r w:rsidRPr="003B5AC6">
        <w:rPr>
          <w:noProof w:val="0"/>
        </w:rPr>
        <w:t xml:space="preserve">In line with best practice, the Accounting Officer (the chief executive) and the finance director routinely attended the committee’s meetings, as well as the </w:t>
      </w:r>
      <w:r w:rsidR="005677E8" w:rsidRPr="003B5AC6">
        <w:rPr>
          <w:noProof w:val="0"/>
        </w:rPr>
        <w:t>head of internal audit</w:t>
      </w:r>
      <w:r w:rsidR="001A2DDE" w:rsidRPr="003B5AC6">
        <w:rPr>
          <w:noProof w:val="0"/>
        </w:rPr>
        <w:t xml:space="preserve"> </w:t>
      </w:r>
      <w:r w:rsidRPr="003B5AC6">
        <w:rPr>
          <w:noProof w:val="0"/>
        </w:rPr>
        <w:t>from the Government Internal Audit Agency and representatives of the external auditor</w:t>
      </w:r>
      <w:r w:rsidR="003F5FD0">
        <w:rPr>
          <w:noProof w:val="0"/>
        </w:rPr>
        <w:t xml:space="preserve"> (</w:t>
      </w:r>
      <w:r w:rsidRPr="003B5AC6">
        <w:rPr>
          <w:noProof w:val="0"/>
        </w:rPr>
        <w:t>the National Audit Office</w:t>
      </w:r>
      <w:r w:rsidR="00E46B0A" w:rsidRPr="003B5AC6">
        <w:rPr>
          <w:noProof w:val="0"/>
        </w:rPr>
        <w:t xml:space="preserve"> and KPMG</w:t>
      </w:r>
      <w:r w:rsidR="003F5FD0">
        <w:rPr>
          <w:noProof w:val="0"/>
        </w:rPr>
        <w:t>)</w:t>
      </w:r>
      <w:r w:rsidRPr="003B5AC6">
        <w:rPr>
          <w:noProof w:val="0"/>
        </w:rPr>
        <w:t>.  The committee also continued to have close links with the Department of Health &amp; Social Care (DHSC), with the head of the NICE sponsor team regularly attending its meetings</w:t>
      </w:r>
      <w:r w:rsidR="00ED7F95" w:rsidRPr="003B5AC6">
        <w:rPr>
          <w:noProof w:val="0"/>
        </w:rPr>
        <w:t>.</w:t>
      </w:r>
    </w:p>
    <w:p w14:paraId="292F94D4" w14:textId="77777777" w:rsidR="00F232B7" w:rsidRPr="007945BA" w:rsidRDefault="00F232B7" w:rsidP="00F232B7">
      <w:pPr>
        <w:pStyle w:val="Heading2"/>
      </w:pPr>
      <w:r w:rsidRPr="007945BA">
        <w:t xml:space="preserve">Audit &amp; risk committee’s </w:t>
      </w:r>
      <w:proofErr w:type="gramStart"/>
      <w:r w:rsidRPr="007945BA">
        <w:t>assessment</w:t>
      </w:r>
      <w:proofErr w:type="gramEnd"/>
    </w:p>
    <w:p w14:paraId="0891E465" w14:textId="27CEC49F" w:rsidR="00F232B7" w:rsidRPr="00C93791" w:rsidRDefault="00F232B7" w:rsidP="00F232B7">
      <w:pPr>
        <w:pStyle w:val="NICEnormalnumbered"/>
        <w:rPr>
          <w:noProof w:val="0"/>
        </w:rPr>
      </w:pPr>
      <w:r w:rsidRPr="00C93791">
        <w:rPr>
          <w:rFonts w:cs="Arial"/>
          <w:noProof w:val="0"/>
        </w:rPr>
        <w:t xml:space="preserve">The assessment of the committee, </w:t>
      </w:r>
      <w:r w:rsidRPr="00C93791">
        <w:rPr>
          <w:noProof w:val="0"/>
          <w:color w:val="000000"/>
        </w:rPr>
        <w:t xml:space="preserve">based on the totality of the work presented to it, including but not exclusively the internal and external audit work, </w:t>
      </w:r>
      <w:r w:rsidRPr="00C93791">
        <w:rPr>
          <w:rFonts w:cs="Arial"/>
          <w:noProof w:val="0"/>
        </w:rPr>
        <w:t xml:space="preserve">is that financial reporting, internal </w:t>
      </w:r>
      <w:proofErr w:type="gramStart"/>
      <w:r w:rsidRPr="00C93791">
        <w:rPr>
          <w:rFonts w:cs="Arial"/>
          <w:noProof w:val="0"/>
        </w:rPr>
        <w:t>control</w:t>
      </w:r>
      <w:proofErr w:type="gramEnd"/>
      <w:r w:rsidRPr="00C93791">
        <w:rPr>
          <w:rFonts w:cs="Arial"/>
          <w:noProof w:val="0"/>
        </w:rPr>
        <w:t xml:space="preserve"> and governance processes are well designed, </w:t>
      </w:r>
      <w:r w:rsidR="009933CF" w:rsidRPr="00C93791">
        <w:rPr>
          <w:rFonts w:cs="Arial"/>
          <w:noProof w:val="0"/>
        </w:rPr>
        <w:lastRenderedPageBreak/>
        <w:t xml:space="preserve">and notwithstanding paragraph </w:t>
      </w:r>
      <w:r w:rsidR="00A110F2" w:rsidRPr="00C93791">
        <w:rPr>
          <w:rFonts w:cs="Arial"/>
          <w:noProof w:val="0"/>
        </w:rPr>
        <w:t>8</w:t>
      </w:r>
      <w:r w:rsidR="009B478B" w:rsidRPr="00C93791">
        <w:rPr>
          <w:rFonts w:cs="Arial"/>
          <w:noProof w:val="0"/>
        </w:rPr>
        <w:t xml:space="preserve"> below</w:t>
      </w:r>
      <w:r w:rsidR="009933CF" w:rsidRPr="00C93791">
        <w:rPr>
          <w:rFonts w:cs="Arial"/>
          <w:noProof w:val="0"/>
        </w:rPr>
        <w:t xml:space="preserve">, are generally </w:t>
      </w:r>
      <w:r w:rsidRPr="00C93791">
        <w:rPr>
          <w:rFonts w:cs="Arial"/>
          <w:noProof w:val="0"/>
        </w:rPr>
        <w:t>well managed and effective.</w:t>
      </w:r>
    </w:p>
    <w:p w14:paraId="008844E4" w14:textId="65A71580" w:rsidR="009B748A" w:rsidRPr="007945BA" w:rsidRDefault="009B748A" w:rsidP="009B748A">
      <w:pPr>
        <w:pStyle w:val="Heading2"/>
      </w:pPr>
      <w:r w:rsidRPr="007945BA">
        <w:t xml:space="preserve">Information supporting the committee’s </w:t>
      </w:r>
      <w:proofErr w:type="gramStart"/>
      <w:r w:rsidRPr="007945BA">
        <w:t>opinion</w:t>
      </w:r>
      <w:proofErr w:type="gramEnd"/>
    </w:p>
    <w:p w14:paraId="37D4E802" w14:textId="62439604" w:rsidR="009B748A" w:rsidRPr="00E004E7" w:rsidRDefault="009B748A" w:rsidP="00F232B7">
      <w:pPr>
        <w:pStyle w:val="NICEnormalnumbered"/>
        <w:rPr>
          <w:noProof w:val="0"/>
        </w:rPr>
      </w:pPr>
      <w:r w:rsidRPr="00E004E7">
        <w:rPr>
          <w:rFonts w:cs="Arial"/>
          <w:noProof w:val="0"/>
        </w:rPr>
        <w:t>Summarised below are the key sources of assurance that the committee has relied upon when formulating this opinion.</w:t>
      </w:r>
    </w:p>
    <w:p w14:paraId="4527DC8D" w14:textId="6512567D" w:rsidR="00AC0665" w:rsidRPr="007945BA" w:rsidRDefault="00DF41A4" w:rsidP="00E24E43">
      <w:pPr>
        <w:pStyle w:val="Heading2boardreport"/>
        <w:rPr>
          <w:rFonts w:cs="Times New Roman"/>
          <w:sz w:val="26"/>
          <w:szCs w:val="26"/>
        </w:rPr>
      </w:pPr>
      <w:r w:rsidRPr="007945BA">
        <w:rPr>
          <w:sz w:val="26"/>
          <w:szCs w:val="26"/>
        </w:rPr>
        <w:t>Internal controls</w:t>
      </w:r>
    </w:p>
    <w:p w14:paraId="326B4598" w14:textId="0362367C" w:rsidR="00472561" w:rsidRPr="00E004E7" w:rsidRDefault="00E24E43" w:rsidP="00B6608C">
      <w:pPr>
        <w:pStyle w:val="NICEnormalnumbered"/>
        <w:rPr>
          <w:noProof w:val="0"/>
        </w:rPr>
      </w:pPr>
      <w:r w:rsidRPr="00E004E7">
        <w:rPr>
          <w:rFonts w:cs="Arial"/>
          <w:noProof w:val="0"/>
        </w:rPr>
        <w:t>The committee advise</w:t>
      </w:r>
      <w:r w:rsidR="00472561" w:rsidRPr="00E004E7">
        <w:rPr>
          <w:rFonts w:cs="Arial"/>
          <w:noProof w:val="0"/>
        </w:rPr>
        <w:t xml:space="preserve">d </w:t>
      </w:r>
      <w:r w:rsidRPr="00E004E7">
        <w:rPr>
          <w:rFonts w:cs="Arial"/>
          <w:noProof w:val="0"/>
        </w:rPr>
        <w:t>the board</w:t>
      </w:r>
      <w:r w:rsidR="00472561" w:rsidRPr="00E004E7">
        <w:rPr>
          <w:rFonts w:cs="Arial"/>
          <w:noProof w:val="0"/>
        </w:rPr>
        <w:t>, via its chair’s report</w:t>
      </w:r>
      <w:r w:rsidR="00814380" w:rsidRPr="00E004E7">
        <w:rPr>
          <w:rFonts w:cs="Arial"/>
          <w:noProof w:val="0"/>
        </w:rPr>
        <w:t xml:space="preserve"> in December 2023</w:t>
      </w:r>
      <w:r w:rsidR="00472561" w:rsidRPr="00E004E7">
        <w:rPr>
          <w:rFonts w:cs="Arial"/>
          <w:noProof w:val="0"/>
        </w:rPr>
        <w:t xml:space="preserve">, </w:t>
      </w:r>
      <w:r w:rsidRPr="00E004E7">
        <w:rPr>
          <w:rFonts w:cs="Arial"/>
          <w:noProof w:val="0"/>
        </w:rPr>
        <w:t xml:space="preserve">that three control </w:t>
      </w:r>
      <w:r w:rsidR="00B6608C" w:rsidRPr="00E004E7">
        <w:rPr>
          <w:rFonts w:cs="Arial"/>
          <w:noProof w:val="0"/>
        </w:rPr>
        <w:t xml:space="preserve">issues </w:t>
      </w:r>
      <w:r w:rsidRPr="00E004E7">
        <w:rPr>
          <w:rFonts w:cs="Arial"/>
          <w:noProof w:val="0"/>
        </w:rPr>
        <w:t xml:space="preserve">were identified during the year.  </w:t>
      </w:r>
      <w:r w:rsidR="00472561" w:rsidRPr="00E004E7">
        <w:rPr>
          <w:rFonts w:cs="Arial"/>
          <w:noProof w:val="0"/>
        </w:rPr>
        <w:t xml:space="preserve">The three issues related to </w:t>
      </w:r>
      <w:r w:rsidR="00472561" w:rsidRPr="00E004E7">
        <w:rPr>
          <w:noProof w:val="0"/>
        </w:rPr>
        <w:t>- the secondment of two senior members of NICE staff to NHS organisations</w:t>
      </w:r>
      <w:r w:rsidR="00D9468F">
        <w:rPr>
          <w:noProof w:val="0"/>
        </w:rPr>
        <w:t>, which did not receive prior HMT approvals</w:t>
      </w:r>
      <w:r w:rsidR="00BF27D3">
        <w:rPr>
          <w:noProof w:val="0"/>
        </w:rPr>
        <w:t xml:space="preserve"> as novel arrangements</w:t>
      </w:r>
      <w:r w:rsidR="00472561" w:rsidRPr="00E004E7">
        <w:rPr>
          <w:noProof w:val="0"/>
        </w:rPr>
        <w:t xml:space="preserve">; the write off of £21k following a failure to commission the balance of a consultancy contract within the timeframe approved in the business case to DHSC; and the income shortfall versus target </w:t>
      </w:r>
      <w:r w:rsidR="002F01CA" w:rsidRPr="00E004E7">
        <w:rPr>
          <w:noProof w:val="0"/>
        </w:rPr>
        <w:t xml:space="preserve">in </w:t>
      </w:r>
      <w:r w:rsidR="00472561" w:rsidRPr="00E004E7">
        <w:rPr>
          <w:noProof w:val="0"/>
        </w:rPr>
        <w:t>the 2023/24 financial forecast, primarily due to technology appraisal/highly specialised technologies income being unexpectedly below plan</w:t>
      </w:r>
      <w:r w:rsidR="001B00D8" w:rsidRPr="00E004E7">
        <w:rPr>
          <w:noProof w:val="0"/>
        </w:rPr>
        <w:t>.</w:t>
      </w:r>
    </w:p>
    <w:p w14:paraId="7525F86D" w14:textId="18BF4AB4" w:rsidR="00DF41A4" w:rsidRPr="007B3897" w:rsidRDefault="00E24E43" w:rsidP="000725AC">
      <w:pPr>
        <w:pStyle w:val="NICEnormalnumbered"/>
        <w:rPr>
          <w:noProof w:val="0"/>
        </w:rPr>
      </w:pPr>
      <w:r w:rsidRPr="0071267F">
        <w:rPr>
          <w:rFonts w:cs="Arial"/>
          <w:noProof w:val="0"/>
        </w:rPr>
        <w:t xml:space="preserve">The </w:t>
      </w:r>
      <w:r w:rsidR="001B00D8" w:rsidRPr="0071267F">
        <w:rPr>
          <w:rFonts w:cs="Arial"/>
          <w:noProof w:val="0"/>
        </w:rPr>
        <w:t xml:space="preserve">committee initially discussed these issues in </w:t>
      </w:r>
      <w:r w:rsidRPr="0071267F">
        <w:rPr>
          <w:rFonts w:cs="Arial"/>
          <w:noProof w:val="0"/>
        </w:rPr>
        <w:t>September 2023</w:t>
      </w:r>
      <w:r w:rsidR="001B00D8" w:rsidRPr="0071267F">
        <w:rPr>
          <w:rFonts w:cs="Arial"/>
          <w:noProof w:val="0"/>
        </w:rPr>
        <w:t xml:space="preserve"> </w:t>
      </w:r>
      <w:r w:rsidR="000725AC" w:rsidRPr="0071267F">
        <w:rPr>
          <w:rFonts w:cs="Arial"/>
          <w:noProof w:val="0"/>
        </w:rPr>
        <w:t xml:space="preserve">and requested a report on the </w:t>
      </w:r>
      <w:r w:rsidRPr="0071267F">
        <w:rPr>
          <w:rFonts w:cs="Arial"/>
          <w:noProof w:val="0"/>
        </w:rPr>
        <w:t>lessons learn</w:t>
      </w:r>
      <w:r w:rsidR="00ED5842">
        <w:rPr>
          <w:rFonts w:cs="Arial"/>
          <w:noProof w:val="0"/>
        </w:rPr>
        <w:t>t</w:t>
      </w:r>
      <w:r w:rsidR="00BD3248">
        <w:rPr>
          <w:rFonts w:cs="Arial"/>
          <w:noProof w:val="0"/>
        </w:rPr>
        <w:t>,</w:t>
      </w:r>
      <w:r w:rsidRPr="0071267F">
        <w:rPr>
          <w:rFonts w:cs="Arial"/>
          <w:noProof w:val="0"/>
        </w:rPr>
        <w:t xml:space="preserve"> </w:t>
      </w:r>
      <w:r w:rsidR="000725AC" w:rsidRPr="0071267F">
        <w:rPr>
          <w:rFonts w:cs="Arial"/>
          <w:noProof w:val="0"/>
        </w:rPr>
        <w:t>along</w:t>
      </w:r>
      <w:r w:rsidR="00BD3248">
        <w:rPr>
          <w:rFonts w:cs="Arial"/>
          <w:noProof w:val="0"/>
        </w:rPr>
        <w:t>side</w:t>
      </w:r>
      <w:r w:rsidR="000725AC" w:rsidRPr="0071267F">
        <w:rPr>
          <w:rFonts w:cs="Arial"/>
          <w:noProof w:val="0"/>
        </w:rPr>
        <w:t xml:space="preserve"> an </w:t>
      </w:r>
      <w:r w:rsidRPr="0071267F">
        <w:rPr>
          <w:rFonts w:cs="Arial"/>
          <w:noProof w:val="0"/>
        </w:rPr>
        <w:t>improvement plan</w:t>
      </w:r>
      <w:r w:rsidR="00ED5842">
        <w:rPr>
          <w:rFonts w:cs="Arial"/>
          <w:noProof w:val="0"/>
        </w:rPr>
        <w:t xml:space="preserve"> to prevent any recurrences in the future</w:t>
      </w:r>
      <w:r w:rsidR="00BD3248">
        <w:rPr>
          <w:rFonts w:cs="Arial"/>
          <w:noProof w:val="0"/>
        </w:rPr>
        <w:t>. These</w:t>
      </w:r>
      <w:r w:rsidR="00D3330D" w:rsidRPr="0071267F">
        <w:rPr>
          <w:rFonts w:cs="Arial"/>
          <w:noProof w:val="0"/>
        </w:rPr>
        <w:t xml:space="preserve"> were reviewed</w:t>
      </w:r>
      <w:r w:rsidR="00BD3248">
        <w:rPr>
          <w:rFonts w:cs="Arial"/>
          <w:noProof w:val="0"/>
        </w:rPr>
        <w:t xml:space="preserve"> and approved</w:t>
      </w:r>
      <w:r w:rsidR="00D3330D" w:rsidRPr="0071267F">
        <w:rPr>
          <w:rFonts w:cs="Arial"/>
          <w:noProof w:val="0"/>
        </w:rPr>
        <w:t xml:space="preserve"> at the committee’s subsequent meeting in November 2023. </w:t>
      </w:r>
      <w:r w:rsidR="00983E48" w:rsidRPr="0071267F">
        <w:rPr>
          <w:rFonts w:cs="Arial"/>
          <w:noProof w:val="0"/>
        </w:rPr>
        <w:t xml:space="preserve">The committee </w:t>
      </w:r>
      <w:r w:rsidR="00DD12F5">
        <w:rPr>
          <w:rFonts w:cs="Arial"/>
          <w:noProof w:val="0"/>
        </w:rPr>
        <w:t xml:space="preserve">then </w:t>
      </w:r>
      <w:r w:rsidR="00BD3248">
        <w:rPr>
          <w:rFonts w:cs="Arial"/>
          <w:noProof w:val="0"/>
        </w:rPr>
        <w:t xml:space="preserve">commissioned </w:t>
      </w:r>
      <w:r w:rsidR="00B3677A">
        <w:rPr>
          <w:rFonts w:cs="Arial"/>
          <w:noProof w:val="0"/>
        </w:rPr>
        <w:t xml:space="preserve">the </w:t>
      </w:r>
      <w:r w:rsidR="00B3677A" w:rsidRPr="00C93791">
        <w:rPr>
          <w:rFonts w:cs="Arial"/>
          <w:noProof w:val="0"/>
        </w:rPr>
        <w:t>Government Internal Audit Agency</w:t>
      </w:r>
      <w:r w:rsidR="00BD3248">
        <w:rPr>
          <w:rFonts w:cs="Arial"/>
          <w:noProof w:val="0"/>
        </w:rPr>
        <w:t xml:space="preserve"> </w:t>
      </w:r>
      <w:r w:rsidR="00B3677A">
        <w:rPr>
          <w:rFonts w:cs="Arial"/>
          <w:noProof w:val="0"/>
        </w:rPr>
        <w:t>(</w:t>
      </w:r>
      <w:r w:rsidR="00BD3248">
        <w:rPr>
          <w:rFonts w:cs="Arial"/>
          <w:noProof w:val="0"/>
        </w:rPr>
        <w:t>GIAA</w:t>
      </w:r>
      <w:r w:rsidR="00B3677A">
        <w:rPr>
          <w:rFonts w:cs="Arial"/>
          <w:noProof w:val="0"/>
        </w:rPr>
        <w:t>)</w:t>
      </w:r>
      <w:r w:rsidR="00415973" w:rsidRPr="0071267F">
        <w:rPr>
          <w:rFonts w:cs="Arial"/>
          <w:noProof w:val="0"/>
        </w:rPr>
        <w:t xml:space="preserve"> </w:t>
      </w:r>
      <w:r w:rsidR="00BD3248">
        <w:rPr>
          <w:rFonts w:cs="Arial"/>
          <w:noProof w:val="0"/>
        </w:rPr>
        <w:t xml:space="preserve">to undertake </w:t>
      </w:r>
      <w:r w:rsidR="00F60D4A" w:rsidRPr="0071267F">
        <w:rPr>
          <w:rFonts w:cs="Arial"/>
          <w:noProof w:val="0"/>
        </w:rPr>
        <w:t>an audit o</w:t>
      </w:r>
      <w:r w:rsidR="00D746FA">
        <w:rPr>
          <w:rFonts w:cs="Arial"/>
          <w:noProof w:val="0"/>
        </w:rPr>
        <w:t>n</w:t>
      </w:r>
      <w:r w:rsidR="00F60D4A" w:rsidRPr="00562B3B">
        <w:rPr>
          <w:rFonts w:cs="Arial"/>
          <w:noProof w:val="0"/>
        </w:rPr>
        <w:t xml:space="preserve"> </w:t>
      </w:r>
      <w:r w:rsidR="007945BA" w:rsidRPr="00562B3B">
        <w:rPr>
          <w:rFonts w:cs="Arial"/>
          <w:noProof w:val="0"/>
        </w:rPr>
        <w:t>NICE’s control framework</w:t>
      </w:r>
      <w:r w:rsidR="00D746FA">
        <w:rPr>
          <w:rFonts w:cs="Arial"/>
          <w:noProof w:val="0"/>
        </w:rPr>
        <w:t xml:space="preserve"> and provide assurance on the action</w:t>
      </w:r>
      <w:r w:rsidR="00C95574">
        <w:rPr>
          <w:rFonts w:cs="Arial"/>
          <w:noProof w:val="0"/>
        </w:rPr>
        <w:t>s</w:t>
      </w:r>
      <w:r w:rsidR="00D746FA">
        <w:rPr>
          <w:rFonts w:cs="Arial"/>
          <w:noProof w:val="0"/>
        </w:rPr>
        <w:t xml:space="preserve"> taken to stren</w:t>
      </w:r>
      <w:r w:rsidR="008C379B">
        <w:rPr>
          <w:rFonts w:cs="Arial"/>
          <w:noProof w:val="0"/>
        </w:rPr>
        <w:t>gthen internal controls</w:t>
      </w:r>
      <w:r w:rsidR="007945BA" w:rsidRPr="00562B3B">
        <w:rPr>
          <w:rFonts w:cs="Arial"/>
          <w:noProof w:val="0"/>
        </w:rPr>
        <w:t>.</w:t>
      </w:r>
    </w:p>
    <w:p w14:paraId="7EBFADC6" w14:textId="2EF45C56" w:rsidR="007B3897" w:rsidRPr="00562B3B" w:rsidRDefault="00D9699E" w:rsidP="003A0045">
      <w:pPr>
        <w:pStyle w:val="NICEnormalnumbered"/>
      </w:pPr>
      <w:r>
        <w:t>The internal controls audit report received a ‘limited’ assurance rating</w:t>
      </w:r>
      <w:r w:rsidR="00CC0987">
        <w:t>.  It was reviewed by the committee in May</w:t>
      </w:r>
      <w:r w:rsidR="006D3E38">
        <w:t xml:space="preserve"> 2024 and highlighted </w:t>
      </w:r>
      <w:r w:rsidR="003A0045">
        <w:t xml:space="preserve">that </w:t>
      </w:r>
      <w:r w:rsidR="006B6D72">
        <w:t>a</w:t>
      </w:r>
      <w:proofErr w:type="spellStart"/>
      <w:r w:rsidR="003A0045" w:rsidRPr="003A0045">
        <w:rPr>
          <w:noProof w:val="0"/>
        </w:rPr>
        <w:t>rran</w:t>
      </w:r>
      <w:r w:rsidR="006B6D72">
        <w:rPr>
          <w:noProof w:val="0"/>
        </w:rPr>
        <w:t>g</w:t>
      </w:r>
      <w:r w:rsidR="003A0045" w:rsidRPr="003A0045">
        <w:rPr>
          <w:noProof w:val="0"/>
        </w:rPr>
        <w:t>ements</w:t>
      </w:r>
      <w:proofErr w:type="spellEnd"/>
      <w:r w:rsidR="003A0045" w:rsidRPr="003A0045">
        <w:rPr>
          <w:noProof w:val="0"/>
        </w:rPr>
        <w:t xml:space="preserve"> for ET members providing the Accounting Officer with confidence that controls are operating as intended</w:t>
      </w:r>
      <w:r w:rsidR="005108D8" w:rsidRPr="005108D8">
        <w:rPr>
          <w:noProof w:val="0"/>
        </w:rPr>
        <w:t xml:space="preserve"> </w:t>
      </w:r>
      <w:r w:rsidR="005108D8" w:rsidRPr="003A0045">
        <w:rPr>
          <w:noProof w:val="0"/>
        </w:rPr>
        <w:t>could be strengthened</w:t>
      </w:r>
      <w:r w:rsidR="00EE7680">
        <w:t xml:space="preserve">. </w:t>
      </w:r>
      <w:r w:rsidR="0023188B">
        <w:t xml:space="preserve"> The action plan made eight recommendations for improvement which management </w:t>
      </w:r>
      <w:r w:rsidR="000F2B4F">
        <w:t>have agreed to implement.</w:t>
      </w:r>
      <w:r w:rsidR="0023188B">
        <w:t xml:space="preserve"> </w:t>
      </w:r>
      <w:r w:rsidR="00C7509C">
        <w:t xml:space="preserve"> </w:t>
      </w:r>
    </w:p>
    <w:p w14:paraId="6908EBCE" w14:textId="3E2D6036" w:rsidR="009B748A" w:rsidRPr="007945BA" w:rsidRDefault="009B748A" w:rsidP="009B748A">
      <w:pPr>
        <w:pStyle w:val="Heading3boardreport"/>
      </w:pPr>
      <w:r w:rsidRPr="007945BA">
        <w:lastRenderedPageBreak/>
        <w:t>Internal Audit</w:t>
      </w:r>
    </w:p>
    <w:p w14:paraId="69E8B962" w14:textId="4A920FBD" w:rsidR="009B748A" w:rsidRPr="00C93791" w:rsidRDefault="00CC1E8F" w:rsidP="00F232B7">
      <w:pPr>
        <w:pStyle w:val="NICEnormalnumbered"/>
        <w:rPr>
          <w:noProof w:val="0"/>
        </w:rPr>
      </w:pPr>
      <w:r w:rsidRPr="00C93791">
        <w:rPr>
          <w:rFonts w:cs="Arial"/>
          <w:noProof w:val="0"/>
        </w:rPr>
        <w:t xml:space="preserve">NICE’s internal audit service is provided by the Government Internal Audit Agency (GIAA), with the ability </w:t>
      </w:r>
      <w:r w:rsidRPr="00D81A40">
        <w:rPr>
          <w:rFonts w:cs="Arial"/>
          <w:noProof w:val="0"/>
        </w:rPr>
        <w:t>to commission additional specialist work if required for specific audits. NICE’s</w:t>
      </w:r>
      <w:r w:rsidR="009C079C" w:rsidRPr="00D81A40">
        <w:rPr>
          <w:rFonts w:cs="Arial"/>
          <w:noProof w:val="0"/>
        </w:rPr>
        <w:t xml:space="preserve"> </w:t>
      </w:r>
      <w:r w:rsidR="00F43B0B" w:rsidRPr="00D81A40">
        <w:rPr>
          <w:rFonts w:cs="Arial"/>
          <w:noProof w:val="0"/>
        </w:rPr>
        <w:t xml:space="preserve">head of internal audit continued to be </w:t>
      </w:r>
      <w:r w:rsidRPr="00D81A40">
        <w:rPr>
          <w:rFonts w:cs="Arial"/>
          <w:noProof w:val="0"/>
        </w:rPr>
        <w:t xml:space="preserve">Niki Parker.  The committee agreed an annual work programme for internal audit </w:t>
      </w:r>
      <w:r w:rsidRPr="00C93791">
        <w:rPr>
          <w:rFonts w:cs="Arial"/>
          <w:noProof w:val="0"/>
        </w:rPr>
        <w:t xml:space="preserve">at the start of the year which included </w:t>
      </w:r>
      <w:r w:rsidR="00583E79" w:rsidRPr="00C93791">
        <w:rPr>
          <w:rFonts w:cs="Arial"/>
          <w:noProof w:val="0"/>
        </w:rPr>
        <w:t>five</w:t>
      </w:r>
      <w:r w:rsidRPr="00C93791">
        <w:rPr>
          <w:rFonts w:cs="Arial"/>
          <w:noProof w:val="0"/>
        </w:rPr>
        <w:t xml:space="preserve"> business areas to be reviewed.  </w:t>
      </w:r>
      <w:r w:rsidR="00700736" w:rsidRPr="00C93791">
        <w:rPr>
          <w:rFonts w:cs="Arial"/>
          <w:noProof w:val="0"/>
        </w:rPr>
        <w:t xml:space="preserve">In addition, GIAA were engaged to undertake </w:t>
      </w:r>
      <w:r w:rsidRPr="00C93791">
        <w:rPr>
          <w:rFonts w:cs="Arial"/>
          <w:noProof w:val="0"/>
        </w:rPr>
        <w:t xml:space="preserve">an audit of NICE’s Data Security and Protection Toolkit (DPST) submission </w:t>
      </w:r>
      <w:r w:rsidR="00700736" w:rsidRPr="00C93791">
        <w:rPr>
          <w:rFonts w:cs="Arial"/>
          <w:noProof w:val="0"/>
        </w:rPr>
        <w:t xml:space="preserve">in line with </w:t>
      </w:r>
      <w:r w:rsidR="00700736" w:rsidRPr="00D81A40">
        <w:rPr>
          <w:rFonts w:cs="Arial"/>
          <w:noProof w:val="0"/>
        </w:rPr>
        <w:t xml:space="preserve">NHS </w:t>
      </w:r>
      <w:r w:rsidR="00F43B0B" w:rsidRPr="00D81A40">
        <w:rPr>
          <w:rFonts w:cs="Arial"/>
          <w:noProof w:val="0"/>
        </w:rPr>
        <w:t xml:space="preserve">England </w:t>
      </w:r>
      <w:r w:rsidR="00700736" w:rsidRPr="00C93791">
        <w:rPr>
          <w:rFonts w:cs="Arial"/>
          <w:noProof w:val="0"/>
        </w:rPr>
        <w:t xml:space="preserve">requirements. </w:t>
      </w:r>
    </w:p>
    <w:p w14:paraId="7767B38E" w14:textId="46231059" w:rsidR="003C054C" w:rsidRPr="00C93791" w:rsidRDefault="00AA5FD8" w:rsidP="005B53B0">
      <w:pPr>
        <w:pStyle w:val="NICEnormalnumbered"/>
        <w:ind w:left="357" w:hanging="357"/>
        <w:rPr>
          <w:rFonts w:cs="Arial"/>
          <w:noProof w:val="0"/>
        </w:rPr>
      </w:pPr>
      <w:r w:rsidRPr="00C93791">
        <w:rPr>
          <w:rFonts w:cs="Arial"/>
          <w:noProof w:val="0"/>
        </w:rPr>
        <w:t>The head of internal audit will issue her annual opinion of assurance in June when the committee reviews the final version of the annual report and accounts for 202</w:t>
      </w:r>
      <w:r w:rsidR="0051590F" w:rsidRPr="00C93791">
        <w:rPr>
          <w:rFonts w:cs="Arial"/>
          <w:noProof w:val="0"/>
        </w:rPr>
        <w:t>3/24</w:t>
      </w:r>
      <w:r w:rsidRPr="00C93791">
        <w:rPr>
          <w:rFonts w:cs="Arial"/>
          <w:noProof w:val="0"/>
        </w:rPr>
        <w:t>.</w:t>
      </w:r>
    </w:p>
    <w:p w14:paraId="50A81BB0" w14:textId="79751673" w:rsidR="00AA5FD8" w:rsidRPr="00C93791" w:rsidRDefault="00AA5FD8" w:rsidP="00F32D1E">
      <w:pPr>
        <w:pStyle w:val="NICEnormalnumbered"/>
        <w:spacing w:after="120"/>
        <w:ind w:left="357" w:hanging="357"/>
        <w:rPr>
          <w:noProof w:val="0"/>
        </w:rPr>
      </w:pPr>
      <w:r w:rsidRPr="00C93791">
        <w:rPr>
          <w:rFonts w:cs="Arial"/>
          <w:noProof w:val="0"/>
        </w:rPr>
        <w:t xml:space="preserve">The table below </w:t>
      </w:r>
      <w:r w:rsidR="006D79A6" w:rsidRPr="00C93791">
        <w:rPr>
          <w:rFonts w:cs="Arial"/>
          <w:noProof w:val="0"/>
        </w:rPr>
        <w:t>summarises the</w:t>
      </w:r>
      <w:r w:rsidRPr="00C93791">
        <w:rPr>
          <w:rFonts w:cs="Arial"/>
          <w:noProof w:val="0"/>
        </w:rPr>
        <w:t xml:space="preserve"> </w:t>
      </w:r>
      <w:r w:rsidR="006D79A6" w:rsidRPr="00C93791">
        <w:rPr>
          <w:rFonts w:cs="Arial"/>
          <w:noProof w:val="0"/>
        </w:rPr>
        <w:t xml:space="preserve">internal </w:t>
      </w:r>
      <w:r w:rsidRPr="00C93791">
        <w:rPr>
          <w:rFonts w:cs="Arial"/>
          <w:noProof w:val="0"/>
        </w:rPr>
        <w:t xml:space="preserve">audit work </w:t>
      </w:r>
      <w:r w:rsidR="006D79A6" w:rsidRPr="00C93791">
        <w:rPr>
          <w:rFonts w:cs="Arial"/>
          <w:noProof w:val="0"/>
        </w:rPr>
        <w:t xml:space="preserve">and outcomes </w:t>
      </w:r>
      <w:r w:rsidRPr="00C93791">
        <w:rPr>
          <w:rFonts w:cs="Arial"/>
          <w:noProof w:val="0"/>
        </w:rPr>
        <w:t xml:space="preserve">in </w:t>
      </w:r>
      <w:r w:rsidR="00983E48" w:rsidRPr="00C93791">
        <w:rPr>
          <w:rFonts w:cs="Arial"/>
          <w:noProof w:val="0"/>
        </w:rPr>
        <w:t>2023/24</w:t>
      </w:r>
      <w:r w:rsidR="00F32D1E" w:rsidRPr="00C93791">
        <w:rPr>
          <w:rFonts w:cs="Arial"/>
          <w:noProof w:val="0"/>
        </w:rPr>
        <w:t>:</w:t>
      </w:r>
    </w:p>
    <w:p w14:paraId="512CE9F2" w14:textId="77777777" w:rsidR="00BB78BA" w:rsidRPr="007945BA" w:rsidRDefault="00BB78BA" w:rsidP="00F32836">
      <w:pPr>
        <w:pStyle w:val="BodyTextIndent3"/>
        <w:keepNext/>
        <w:spacing w:after="120"/>
        <w:ind w:left="0" w:firstLine="425"/>
        <w:jc w:val="both"/>
        <w:rPr>
          <w:rFonts w:cs="Arial"/>
          <w:b/>
          <w:sz w:val="22"/>
          <w:szCs w:val="22"/>
          <w:u w:val="none"/>
        </w:rPr>
      </w:pPr>
      <w:r w:rsidRPr="007945BA">
        <w:rPr>
          <w:rFonts w:cs="Arial"/>
          <w:b/>
          <w:sz w:val="22"/>
          <w:szCs w:val="22"/>
          <w:u w:val="none"/>
        </w:rPr>
        <w:t>Table 1 – Internal audit reviews</w:t>
      </w:r>
    </w:p>
    <w:tbl>
      <w:tblPr>
        <w:tblStyle w:val="TableGridLight"/>
        <w:tblW w:w="8505" w:type="dxa"/>
        <w:tblInd w:w="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1560"/>
        <w:gridCol w:w="992"/>
        <w:gridCol w:w="992"/>
        <w:gridCol w:w="992"/>
      </w:tblGrid>
      <w:tr w:rsidR="003C054C" w:rsidRPr="007945BA" w14:paraId="5F258471" w14:textId="77777777" w:rsidTr="001714A5">
        <w:tc>
          <w:tcPr>
            <w:tcW w:w="3969" w:type="dxa"/>
            <w:shd w:val="clear" w:color="auto" w:fill="B4C6E7" w:themeFill="accent1" w:themeFillTint="66"/>
            <w:hideMark/>
          </w:tcPr>
          <w:p w14:paraId="319742FA" w14:textId="77777777" w:rsidR="003C054C" w:rsidRPr="00C93791" w:rsidRDefault="003C054C" w:rsidP="00BB78BA">
            <w:pPr>
              <w:pStyle w:val="Paragraph"/>
              <w:numPr>
                <w:ilvl w:val="0"/>
                <w:numId w:val="0"/>
              </w:numPr>
              <w:spacing w:after="0" w:line="240" w:lineRule="auto"/>
              <w:ind w:left="68"/>
              <w:rPr>
                <w:b/>
                <w:bCs/>
                <w:noProof w:val="0"/>
              </w:rPr>
            </w:pPr>
            <w:r w:rsidRPr="00C93791">
              <w:rPr>
                <w:b/>
                <w:bCs/>
                <w:noProof w:val="0"/>
              </w:rPr>
              <w:t>Business area</w:t>
            </w:r>
          </w:p>
        </w:tc>
        <w:tc>
          <w:tcPr>
            <w:tcW w:w="1560" w:type="dxa"/>
            <w:shd w:val="clear" w:color="auto" w:fill="B4C6E7" w:themeFill="accent1" w:themeFillTint="66"/>
            <w:hideMark/>
          </w:tcPr>
          <w:p w14:paraId="12F12DF7" w14:textId="77777777" w:rsidR="003C054C" w:rsidRPr="00C93791" w:rsidRDefault="003C054C" w:rsidP="00BB78BA">
            <w:pPr>
              <w:pStyle w:val="Paragraph"/>
              <w:numPr>
                <w:ilvl w:val="0"/>
                <w:numId w:val="0"/>
              </w:numPr>
              <w:spacing w:after="0" w:line="240" w:lineRule="auto"/>
              <w:ind w:left="68"/>
              <w:rPr>
                <w:b/>
                <w:bCs/>
                <w:noProof w:val="0"/>
              </w:rPr>
            </w:pPr>
            <w:r w:rsidRPr="00C93791">
              <w:rPr>
                <w:b/>
                <w:bCs/>
                <w:noProof w:val="0"/>
              </w:rPr>
              <w:t xml:space="preserve">Assurance rating </w:t>
            </w:r>
          </w:p>
        </w:tc>
        <w:tc>
          <w:tcPr>
            <w:tcW w:w="2976" w:type="dxa"/>
            <w:gridSpan w:val="3"/>
            <w:shd w:val="clear" w:color="auto" w:fill="B4C6E7" w:themeFill="accent1" w:themeFillTint="66"/>
            <w:hideMark/>
          </w:tcPr>
          <w:p w14:paraId="497D1899" w14:textId="77777777" w:rsidR="003C054C" w:rsidRPr="00C93791" w:rsidRDefault="003C054C" w:rsidP="00BB78BA">
            <w:pPr>
              <w:pStyle w:val="Paragraph"/>
              <w:numPr>
                <w:ilvl w:val="0"/>
                <w:numId w:val="0"/>
              </w:numPr>
              <w:spacing w:after="0" w:line="240" w:lineRule="auto"/>
              <w:ind w:left="68"/>
              <w:rPr>
                <w:b/>
                <w:bCs/>
                <w:noProof w:val="0"/>
              </w:rPr>
            </w:pPr>
            <w:r w:rsidRPr="00C93791">
              <w:rPr>
                <w:b/>
                <w:bCs/>
                <w:noProof w:val="0"/>
              </w:rPr>
              <w:t>Recommendations made</w:t>
            </w:r>
          </w:p>
        </w:tc>
      </w:tr>
      <w:tr w:rsidR="003C054C" w:rsidRPr="007945BA" w14:paraId="679443E1" w14:textId="77777777" w:rsidTr="001714A5">
        <w:tc>
          <w:tcPr>
            <w:tcW w:w="3969" w:type="dxa"/>
          </w:tcPr>
          <w:p w14:paraId="3D56BB3E" w14:textId="77777777" w:rsidR="003C054C" w:rsidRPr="00C93791" w:rsidRDefault="003C054C">
            <w:pPr>
              <w:pStyle w:val="Paragraph"/>
              <w:numPr>
                <w:ilvl w:val="0"/>
                <w:numId w:val="0"/>
              </w:numPr>
              <w:spacing w:before="60" w:after="60" w:line="240" w:lineRule="auto"/>
              <w:ind w:left="68"/>
              <w:rPr>
                <w:b/>
                <w:bCs/>
                <w:noProof w:val="0"/>
              </w:rPr>
            </w:pPr>
          </w:p>
        </w:tc>
        <w:tc>
          <w:tcPr>
            <w:tcW w:w="1560" w:type="dxa"/>
          </w:tcPr>
          <w:p w14:paraId="435A0B58" w14:textId="77777777" w:rsidR="003C054C" w:rsidRPr="00C93791" w:rsidRDefault="003C054C">
            <w:pPr>
              <w:pStyle w:val="Paragraph"/>
              <w:numPr>
                <w:ilvl w:val="0"/>
                <w:numId w:val="0"/>
              </w:numPr>
              <w:spacing w:before="60" w:after="60" w:line="240" w:lineRule="auto"/>
              <w:ind w:left="68"/>
              <w:rPr>
                <w:b/>
                <w:bCs/>
                <w:noProof w:val="0"/>
              </w:rPr>
            </w:pPr>
          </w:p>
        </w:tc>
        <w:tc>
          <w:tcPr>
            <w:tcW w:w="992" w:type="dxa"/>
            <w:hideMark/>
          </w:tcPr>
          <w:p w14:paraId="7072164B" w14:textId="77777777" w:rsidR="003C054C" w:rsidRPr="00C93791" w:rsidRDefault="003C054C">
            <w:pPr>
              <w:pStyle w:val="Paragraph"/>
              <w:numPr>
                <w:ilvl w:val="0"/>
                <w:numId w:val="0"/>
              </w:numPr>
              <w:spacing w:before="60" w:after="60" w:line="240" w:lineRule="auto"/>
              <w:ind w:left="68"/>
              <w:jc w:val="center"/>
              <w:rPr>
                <w:b/>
                <w:bCs/>
                <w:noProof w:val="0"/>
              </w:rPr>
            </w:pPr>
            <w:r w:rsidRPr="00C93791">
              <w:rPr>
                <w:b/>
                <w:bCs/>
                <w:noProof w:val="0"/>
              </w:rPr>
              <w:t>High</w:t>
            </w:r>
          </w:p>
        </w:tc>
        <w:tc>
          <w:tcPr>
            <w:tcW w:w="992" w:type="dxa"/>
            <w:hideMark/>
          </w:tcPr>
          <w:p w14:paraId="63CE2797" w14:textId="77777777" w:rsidR="003C054C" w:rsidRPr="00C93791" w:rsidRDefault="003C054C">
            <w:pPr>
              <w:pStyle w:val="Paragraph"/>
              <w:numPr>
                <w:ilvl w:val="0"/>
                <w:numId w:val="0"/>
              </w:numPr>
              <w:spacing w:before="60" w:after="60" w:line="240" w:lineRule="auto"/>
              <w:ind w:left="68"/>
              <w:jc w:val="center"/>
              <w:rPr>
                <w:b/>
                <w:bCs/>
                <w:noProof w:val="0"/>
              </w:rPr>
            </w:pPr>
            <w:r w:rsidRPr="00C93791">
              <w:rPr>
                <w:b/>
                <w:bCs/>
                <w:noProof w:val="0"/>
              </w:rPr>
              <w:t>Med</w:t>
            </w:r>
          </w:p>
        </w:tc>
        <w:tc>
          <w:tcPr>
            <w:tcW w:w="992" w:type="dxa"/>
            <w:hideMark/>
          </w:tcPr>
          <w:p w14:paraId="76D1BEDE" w14:textId="77777777" w:rsidR="003C054C" w:rsidRPr="00C93791" w:rsidRDefault="003C054C">
            <w:pPr>
              <w:pStyle w:val="Paragraph"/>
              <w:numPr>
                <w:ilvl w:val="0"/>
                <w:numId w:val="0"/>
              </w:numPr>
              <w:spacing w:before="60" w:after="60" w:line="240" w:lineRule="auto"/>
              <w:ind w:left="68"/>
              <w:jc w:val="center"/>
              <w:rPr>
                <w:b/>
                <w:bCs/>
                <w:noProof w:val="0"/>
              </w:rPr>
            </w:pPr>
            <w:r w:rsidRPr="00C93791">
              <w:rPr>
                <w:b/>
                <w:bCs/>
                <w:noProof w:val="0"/>
              </w:rPr>
              <w:t>Low</w:t>
            </w:r>
          </w:p>
        </w:tc>
      </w:tr>
      <w:tr w:rsidR="003C054C" w:rsidRPr="007945BA" w14:paraId="3BA42EFC" w14:textId="77777777" w:rsidTr="001714A5">
        <w:tc>
          <w:tcPr>
            <w:tcW w:w="3969" w:type="dxa"/>
            <w:hideMark/>
          </w:tcPr>
          <w:p w14:paraId="3DFD0B0B" w14:textId="35BC9437" w:rsidR="003C054C" w:rsidRPr="00C93791" w:rsidRDefault="00365F2F">
            <w:pPr>
              <w:pStyle w:val="Paragraph"/>
              <w:numPr>
                <w:ilvl w:val="0"/>
                <w:numId w:val="0"/>
              </w:numPr>
              <w:spacing w:before="60" w:after="60" w:line="240" w:lineRule="auto"/>
              <w:ind w:left="68"/>
              <w:rPr>
                <w:noProof w:val="0"/>
                <w:sz w:val="22"/>
                <w:szCs w:val="22"/>
              </w:rPr>
            </w:pPr>
            <w:r w:rsidRPr="00C93791">
              <w:rPr>
                <w:noProof w:val="0"/>
                <w:sz w:val="22"/>
                <w:szCs w:val="22"/>
              </w:rPr>
              <w:t>Technology appraisals</w:t>
            </w:r>
          </w:p>
        </w:tc>
        <w:tc>
          <w:tcPr>
            <w:tcW w:w="1560" w:type="dxa"/>
            <w:hideMark/>
          </w:tcPr>
          <w:p w14:paraId="2F9D8BF3" w14:textId="77777777" w:rsidR="003C054C" w:rsidRPr="00C93791" w:rsidRDefault="003C054C">
            <w:pPr>
              <w:pStyle w:val="Paragraph"/>
              <w:numPr>
                <w:ilvl w:val="0"/>
                <w:numId w:val="0"/>
              </w:numPr>
              <w:spacing w:before="60" w:after="60" w:line="240" w:lineRule="auto"/>
              <w:ind w:left="68"/>
              <w:rPr>
                <w:noProof w:val="0"/>
                <w:sz w:val="22"/>
                <w:szCs w:val="22"/>
              </w:rPr>
            </w:pPr>
            <w:r w:rsidRPr="00C93791">
              <w:rPr>
                <w:noProof w:val="0"/>
                <w:sz w:val="22"/>
                <w:szCs w:val="22"/>
              </w:rPr>
              <w:t>Moderate</w:t>
            </w:r>
          </w:p>
        </w:tc>
        <w:tc>
          <w:tcPr>
            <w:tcW w:w="992" w:type="dxa"/>
          </w:tcPr>
          <w:p w14:paraId="4A0EB2C8" w14:textId="2F5BB737" w:rsidR="003C054C" w:rsidRPr="00C93791" w:rsidRDefault="007F4A80">
            <w:pPr>
              <w:pStyle w:val="Paragraph"/>
              <w:numPr>
                <w:ilvl w:val="0"/>
                <w:numId w:val="0"/>
              </w:numPr>
              <w:spacing w:before="60" w:after="60" w:line="240" w:lineRule="auto"/>
              <w:ind w:left="68"/>
              <w:jc w:val="center"/>
              <w:rPr>
                <w:noProof w:val="0"/>
                <w:sz w:val="22"/>
                <w:szCs w:val="22"/>
              </w:rPr>
            </w:pPr>
            <w:r w:rsidRPr="00C93791">
              <w:rPr>
                <w:noProof w:val="0"/>
                <w:sz w:val="22"/>
                <w:szCs w:val="22"/>
              </w:rPr>
              <w:t>-</w:t>
            </w:r>
          </w:p>
        </w:tc>
        <w:tc>
          <w:tcPr>
            <w:tcW w:w="992" w:type="dxa"/>
          </w:tcPr>
          <w:p w14:paraId="30ED83C4" w14:textId="45C1DB5C" w:rsidR="003C054C" w:rsidRPr="00C93791" w:rsidRDefault="007F4A80">
            <w:pPr>
              <w:pStyle w:val="Paragraph"/>
              <w:numPr>
                <w:ilvl w:val="0"/>
                <w:numId w:val="0"/>
              </w:numPr>
              <w:spacing w:before="60" w:after="60" w:line="240" w:lineRule="auto"/>
              <w:ind w:left="68"/>
              <w:jc w:val="center"/>
              <w:rPr>
                <w:noProof w:val="0"/>
                <w:sz w:val="22"/>
                <w:szCs w:val="22"/>
              </w:rPr>
            </w:pPr>
            <w:r w:rsidRPr="00C93791">
              <w:rPr>
                <w:noProof w:val="0"/>
                <w:sz w:val="22"/>
                <w:szCs w:val="22"/>
              </w:rPr>
              <w:t>6</w:t>
            </w:r>
          </w:p>
        </w:tc>
        <w:tc>
          <w:tcPr>
            <w:tcW w:w="992" w:type="dxa"/>
          </w:tcPr>
          <w:p w14:paraId="22E4B944" w14:textId="3909284C" w:rsidR="003C054C" w:rsidRPr="00C93791" w:rsidRDefault="007F4A80">
            <w:pPr>
              <w:pStyle w:val="Paragraph"/>
              <w:numPr>
                <w:ilvl w:val="0"/>
                <w:numId w:val="0"/>
              </w:numPr>
              <w:spacing w:before="60" w:after="60" w:line="240" w:lineRule="auto"/>
              <w:ind w:left="68"/>
              <w:jc w:val="center"/>
              <w:rPr>
                <w:noProof w:val="0"/>
                <w:sz w:val="22"/>
                <w:szCs w:val="22"/>
              </w:rPr>
            </w:pPr>
            <w:r w:rsidRPr="00C93791">
              <w:rPr>
                <w:noProof w:val="0"/>
                <w:sz w:val="22"/>
                <w:szCs w:val="22"/>
              </w:rPr>
              <w:t>3</w:t>
            </w:r>
          </w:p>
        </w:tc>
      </w:tr>
      <w:tr w:rsidR="003C054C" w:rsidRPr="007945BA" w14:paraId="78CB4AC2" w14:textId="77777777" w:rsidTr="001714A5">
        <w:tc>
          <w:tcPr>
            <w:tcW w:w="3969" w:type="dxa"/>
            <w:hideMark/>
          </w:tcPr>
          <w:p w14:paraId="24AB45C0" w14:textId="0E2718E6" w:rsidR="003C054C" w:rsidRPr="00C93791" w:rsidRDefault="00365F2F">
            <w:pPr>
              <w:pStyle w:val="Paragraph"/>
              <w:numPr>
                <w:ilvl w:val="0"/>
                <w:numId w:val="0"/>
              </w:numPr>
              <w:spacing w:before="60" w:after="60" w:line="240" w:lineRule="auto"/>
              <w:ind w:left="68"/>
              <w:rPr>
                <w:noProof w:val="0"/>
                <w:sz w:val="22"/>
                <w:szCs w:val="22"/>
              </w:rPr>
            </w:pPr>
            <w:r w:rsidRPr="00C93791">
              <w:rPr>
                <w:noProof w:val="0"/>
                <w:sz w:val="22"/>
                <w:szCs w:val="22"/>
              </w:rPr>
              <w:t xml:space="preserve">Payroll, </w:t>
            </w:r>
            <w:proofErr w:type="gramStart"/>
            <w:r w:rsidRPr="00C93791">
              <w:rPr>
                <w:noProof w:val="0"/>
                <w:sz w:val="22"/>
                <w:szCs w:val="22"/>
              </w:rPr>
              <w:t>expenses</w:t>
            </w:r>
            <w:proofErr w:type="gramEnd"/>
            <w:r w:rsidR="00DC5770" w:rsidRPr="00C93791">
              <w:rPr>
                <w:noProof w:val="0"/>
                <w:sz w:val="22"/>
                <w:szCs w:val="22"/>
              </w:rPr>
              <w:t xml:space="preserve"> and staff benefits</w:t>
            </w:r>
          </w:p>
        </w:tc>
        <w:tc>
          <w:tcPr>
            <w:tcW w:w="1560" w:type="dxa"/>
            <w:hideMark/>
          </w:tcPr>
          <w:p w14:paraId="599FA62C" w14:textId="77777777" w:rsidR="003C054C" w:rsidRPr="00C93791" w:rsidRDefault="003C054C">
            <w:pPr>
              <w:pStyle w:val="Paragraph"/>
              <w:numPr>
                <w:ilvl w:val="0"/>
                <w:numId w:val="0"/>
              </w:numPr>
              <w:spacing w:before="60" w:after="60" w:line="240" w:lineRule="auto"/>
              <w:ind w:left="68"/>
              <w:rPr>
                <w:noProof w:val="0"/>
                <w:sz w:val="22"/>
                <w:szCs w:val="22"/>
              </w:rPr>
            </w:pPr>
            <w:r w:rsidRPr="00C93791">
              <w:rPr>
                <w:noProof w:val="0"/>
                <w:sz w:val="22"/>
                <w:szCs w:val="22"/>
              </w:rPr>
              <w:t>Moderate</w:t>
            </w:r>
          </w:p>
        </w:tc>
        <w:tc>
          <w:tcPr>
            <w:tcW w:w="992" w:type="dxa"/>
          </w:tcPr>
          <w:p w14:paraId="5CB6D481" w14:textId="491017D3" w:rsidR="003C054C" w:rsidRPr="00C93791" w:rsidRDefault="00F0156E">
            <w:pPr>
              <w:pStyle w:val="Paragraph"/>
              <w:numPr>
                <w:ilvl w:val="0"/>
                <w:numId w:val="0"/>
              </w:numPr>
              <w:spacing w:before="60" w:after="60" w:line="240" w:lineRule="auto"/>
              <w:ind w:left="68"/>
              <w:jc w:val="center"/>
              <w:rPr>
                <w:noProof w:val="0"/>
                <w:sz w:val="22"/>
                <w:szCs w:val="22"/>
              </w:rPr>
            </w:pPr>
            <w:r w:rsidRPr="00C93791">
              <w:rPr>
                <w:noProof w:val="0"/>
                <w:sz w:val="22"/>
                <w:szCs w:val="22"/>
              </w:rPr>
              <w:t>-</w:t>
            </w:r>
          </w:p>
        </w:tc>
        <w:tc>
          <w:tcPr>
            <w:tcW w:w="992" w:type="dxa"/>
          </w:tcPr>
          <w:p w14:paraId="6D032FA1" w14:textId="58867F27" w:rsidR="003C054C" w:rsidRPr="00C93791" w:rsidRDefault="00F0156E">
            <w:pPr>
              <w:pStyle w:val="Paragraph"/>
              <w:numPr>
                <w:ilvl w:val="0"/>
                <w:numId w:val="0"/>
              </w:numPr>
              <w:spacing w:before="60" w:after="60" w:line="240" w:lineRule="auto"/>
              <w:ind w:left="68"/>
              <w:jc w:val="center"/>
              <w:rPr>
                <w:noProof w:val="0"/>
                <w:sz w:val="22"/>
                <w:szCs w:val="22"/>
              </w:rPr>
            </w:pPr>
            <w:r w:rsidRPr="00C93791">
              <w:rPr>
                <w:noProof w:val="0"/>
                <w:sz w:val="22"/>
                <w:szCs w:val="22"/>
              </w:rPr>
              <w:t>4</w:t>
            </w:r>
          </w:p>
        </w:tc>
        <w:tc>
          <w:tcPr>
            <w:tcW w:w="992" w:type="dxa"/>
          </w:tcPr>
          <w:p w14:paraId="2E471A5E" w14:textId="3AC8EBF0" w:rsidR="003C054C" w:rsidRPr="00C93791" w:rsidRDefault="00F0156E">
            <w:pPr>
              <w:pStyle w:val="Paragraph"/>
              <w:numPr>
                <w:ilvl w:val="0"/>
                <w:numId w:val="0"/>
              </w:numPr>
              <w:spacing w:before="60" w:after="60" w:line="240" w:lineRule="auto"/>
              <w:ind w:left="68"/>
              <w:jc w:val="center"/>
              <w:rPr>
                <w:noProof w:val="0"/>
                <w:sz w:val="22"/>
                <w:szCs w:val="22"/>
              </w:rPr>
            </w:pPr>
            <w:r w:rsidRPr="00C93791">
              <w:rPr>
                <w:noProof w:val="0"/>
                <w:sz w:val="22"/>
                <w:szCs w:val="22"/>
              </w:rPr>
              <w:t>6</w:t>
            </w:r>
          </w:p>
        </w:tc>
      </w:tr>
      <w:tr w:rsidR="003C054C" w:rsidRPr="007945BA" w14:paraId="309D7A13" w14:textId="77777777" w:rsidTr="001714A5">
        <w:tc>
          <w:tcPr>
            <w:tcW w:w="3969" w:type="dxa"/>
            <w:hideMark/>
          </w:tcPr>
          <w:p w14:paraId="29FFE0AD" w14:textId="778F0EBC" w:rsidR="003C054C" w:rsidRPr="00C93791" w:rsidRDefault="00365F2F">
            <w:pPr>
              <w:pStyle w:val="Paragraph"/>
              <w:numPr>
                <w:ilvl w:val="0"/>
                <w:numId w:val="0"/>
              </w:numPr>
              <w:spacing w:before="60" w:after="60" w:line="240" w:lineRule="auto"/>
              <w:ind w:left="68"/>
              <w:rPr>
                <w:noProof w:val="0"/>
                <w:sz w:val="22"/>
                <w:szCs w:val="22"/>
              </w:rPr>
            </w:pPr>
            <w:r w:rsidRPr="00C93791">
              <w:rPr>
                <w:noProof w:val="0"/>
                <w:sz w:val="22"/>
                <w:szCs w:val="22"/>
              </w:rPr>
              <w:t>Training</w:t>
            </w:r>
            <w:r w:rsidR="003D0C7D" w:rsidRPr="00C93791">
              <w:rPr>
                <w:noProof w:val="0"/>
                <w:sz w:val="22"/>
                <w:szCs w:val="22"/>
              </w:rPr>
              <w:t xml:space="preserve"> – learning and development</w:t>
            </w:r>
          </w:p>
        </w:tc>
        <w:tc>
          <w:tcPr>
            <w:tcW w:w="1560" w:type="dxa"/>
            <w:hideMark/>
          </w:tcPr>
          <w:p w14:paraId="585B0B69" w14:textId="77777777" w:rsidR="003C054C" w:rsidRPr="00C93791" w:rsidRDefault="003C054C">
            <w:pPr>
              <w:pStyle w:val="Paragraph"/>
              <w:numPr>
                <w:ilvl w:val="0"/>
                <w:numId w:val="0"/>
              </w:numPr>
              <w:spacing w:before="60" w:after="60" w:line="240" w:lineRule="auto"/>
              <w:ind w:left="68"/>
              <w:rPr>
                <w:noProof w:val="0"/>
                <w:sz w:val="22"/>
                <w:szCs w:val="22"/>
              </w:rPr>
            </w:pPr>
            <w:r w:rsidRPr="00C93791">
              <w:rPr>
                <w:noProof w:val="0"/>
                <w:sz w:val="22"/>
                <w:szCs w:val="22"/>
              </w:rPr>
              <w:t>Limited</w:t>
            </w:r>
          </w:p>
        </w:tc>
        <w:tc>
          <w:tcPr>
            <w:tcW w:w="992" w:type="dxa"/>
          </w:tcPr>
          <w:p w14:paraId="37D1AEAF" w14:textId="6015E1A8" w:rsidR="003C054C" w:rsidRPr="00C93791" w:rsidRDefault="00BC0325">
            <w:pPr>
              <w:pStyle w:val="Paragraph"/>
              <w:numPr>
                <w:ilvl w:val="0"/>
                <w:numId w:val="0"/>
              </w:numPr>
              <w:spacing w:before="60" w:after="60" w:line="240" w:lineRule="auto"/>
              <w:ind w:left="68"/>
              <w:jc w:val="center"/>
              <w:rPr>
                <w:noProof w:val="0"/>
                <w:sz w:val="22"/>
                <w:szCs w:val="22"/>
              </w:rPr>
            </w:pPr>
            <w:r w:rsidRPr="00C93791">
              <w:rPr>
                <w:noProof w:val="0"/>
                <w:sz w:val="22"/>
                <w:szCs w:val="22"/>
              </w:rPr>
              <w:t>1</w:t>
            </w:r>
          </w:p>
        </w:tc>
        <w:tc>
          <w:tcPr>
            <w:tcW w:w="992" w:type="dxa"/>
          </w:tcPr>
          <w:p w14:paraId="02274CDD" w14:textId="427EC72B" w:rsidR="003C054C" w:rsidRPr="00C93791" w:rsidRDefault="00BC0325">
            <w:pPr>
              <w:pStyle w:val="Paragraph"/>
              <w:numPr>
                <w:ilvl w:val="0"/>
                <w:numId w:val="0"/>
              </w:numPr>
              <w:spacing w:before="60" w:after="60" w:line="240" w:lineRule="auto"/>
              <w:ind w:left="68"/>
              <w:jc w:val="center"/>
              <w:rPr>
                <w:noProof w:val="0"/>
                <w:sz w:val="22"/>
                <w:szCs w:val="22"/>
              </w:rPr>
            </w:pPr>
            <w:r w:rsidRPr="00C93791">
              <w:rPr>
                <w:noProof w:val="0"/>
                <w:sz w:val="22"/>
                <w:szCs w:val="22"/>
              </w:rPr>
              <w:t>3</w:t>
            </w:r>
          </w:p>
        </w:tc>
        <w:tc>
          <w:tcPr>
            <w:tcW w:w="992" w:type="dxa"/>
          </w:tcPr>
          <w:p w14:paraId="38BC733B" w14:textId="14ABA500" w:rsidR="003C054C" w:rsidRPr="00C93791" w:rsidRDefault="00BC0325">
            <w:pPr>
              <w:pStyle w:val="Paragraph"/>
              <w:numPr>
                <w:ilvl w:val="0"/>
                <w:numId w:val="0"/>
              </w:numPr>
              <w:spacing w:before="60" w:after="60" w:line="240" w:lineRule="auto"/>
              <w:ind w:left="68"/>
              <w:jc w:val="center"/>
              <w:rPr>
                <w:noProof w:val="0"/>
                <w:sz w:val="22"/>
                <w:szCs w:val="22"/>
              </w:rPr>
            </w:pPr>
            <w:r w:rsidRPr="00C93791">
              <w:rPr>
                <w:noProof w:val="0"/>
                <w:sz w:val="22"/>
                <w:szCs w:val="22"/>
              </w:rPr>
              <w:t>1</w:t>
            </w:r>
          </w:p>
        </w:tc>
      </w:tr>
      <w:tr w:rsidR="003C054C" w:rsidRPr="007945BA" w14:paraId="7DDEE723" w14:textId="77777777" w:rsidTr="001714A5">
        <w:tc>
          <w:tcPr>
            <w:tcW w:w="3969" w:type="dxa"/>
            <w:hideMark/>
          </w:tcPr>
          <w:p w14:paraId="2460FB01" w14:textId="2A7457C7" w:rsidR="003C054C" w:rsidRPr="00C93791" w:rsidRDefault="00636D0F">
            <w:pPr>
              <w:pStyle w:val="Paragraph"/>
              <w:numPr>
                <w:ilvl w:val="0"/>
                <w:numId w:val="0"/>
              </w:numPr>
              <w:spacing w:before="60" w:after="60" w:line="240" w:lineRule="auto"/>
              <w:ind w:left="68"/>
              <w:rPr>
                <w:noProof w:val="0"/>
                <w:sz w:val="22"/>
                <w:szCs w:val="22"/>
                <w:highlight w:val="yellow"/>
              </w:rPr>
            </w:pPr>
            <w:r w:rsidRPr="008329B3">
              <w:rPr>
                <w:noProof w:val="0"/>
                <w:sz w:val="22"/>
                <w:szCs w:val="22"/>
              </w:rPr>
              <w:t>S</w:t>
            </w:r>
            <w:r w:rsidR="00365F2F" w:rsidRPr="008329B3">
              <w:rPr>
                <w:noProof w:val="0"/>
                <w:sz w:val="22"/>
                <w:szCs w:val="22"/>
              </w:rPr>
              <w:t>peak</w:t>
            </w:r>
            <w:r w:rsidRPr="008329B3">
              <w:rPr>
                <w:noProof w:val="0"/>
                <w:sz w:val="22"/>
                <w:szCs w:val="22"/>
              </w:rPr>
              <w:t>ing</w:t>
            </w:r>
            <w:r w:rsidR="00365F2F" w:rsidRPr="008329B3">
              <w:rPr>
                <w:noProof w:val="0"/>
                <w:sz w:val="22"/>
                <w:szCs w:val="22"/>
              </w:rPr>
              <w:t xml:space="preserve"> up</w:t>
            </w:r>
          </w:p>
        </w:tc>
        <w:tc>
          <w:tcPr>
            <w:tcW w:w="1560" w:type="dxa"/>
          </w:tcPr>
          <w:p w14:paraId="378A0F82" w14:textId="3037558A" w:rsidR="003C054C" w:rsidRPr="00C93791" w:rsidRDefault="00EA43E9">
            <w:pPr>
              <w:pStyle w:val="Paragraph"/>
              <w:numPr>
                <w:ilvl w:val="0"/>
                <w:numId w:val="0"/>
              </w:numPr>
              <w:spacing w:before="60" w:after="60" w:line="240" w:lineRule="auto"/>
              <w:ind w:left="68"/>
              <w:rPr>
                <w:noProof w:val="0"/>
                <w:sz w:val="22"/>
                <w:szCs w:val="22"/>
              </w:rPr>
            </w:pPr>
            <w:r>
              <w:rPr>
                <w:noProof w:val="0"/>
                <w:sz w:val="22"/>
                <w:szCs w:val="22"/>
              </w:rPr>
              <w:t>Moderate</w:t>
            </w:r>
          </w:p>
        </w:tc>
        <w:tc>
          <w:tcPr>
            <w:tcW w:w="992" w:type="dxa"/>
          </w:tcPr>
          <w:p w14:paraId="4681C644" w14:textId="39D3709C" w:rsidR="003C054C" w:rsidRPr="00C93791" w:rsidRDefault="00782FD4">
            <w:pPr>
              <w:pStyle w:val="Paragraph"/>
              <w:numPr>
                <w:ilvl w:val="0"/>
                <w:numId w:val="0"/>
              </w:numPr>
              <w:spacing w:before="60" w:after="60" w:line="240" w:lineRule="auto"/>
              <w:ind w:left="68"/>
              <w:jc w:val="center"/>
              <w:rPr>
                <w:noProof w:val="0"/>
                <w:sz w:val="22"/>
                <w:szCs w:val="22"/>
              </w:rPr>
            </w:pPr>
            <w:r>
              <w:rPr>
                <w:noProof w:val="0"/>
                <w:sz w:val="22"/>
                <w:szCs w:val="22"/>
              </w:rPr>
              <w:t>1</w:t>
            </w:r>
          </w:p>
        </w:tc>
        <w:tc>
          <w:tcPr>
            <w:tcW w:w="992" w:type="dxa"/>
          </w:tcPr>
          <w:p w14:paraId="7BA008F3" w14:textId="4E94B43D" w:rsidR="003C054C" w:rsidRPr="00C93791" w:rsidRDefault="00782FD4">
            <w:pPr>
              <w:pStyle w:val="Paragraph"/>
              <w:numPr>
                <w:ilvl w:val="0"/>
                <w:numId w:val="0"/>
              </w:numPr>
              <w:spacing w:before="60" w:after="60" w:line="240" w:lineRule="auto"/>
              <w:ind w:left="68"/>
              <w:jc w:val="center"/>
              <w:rPr>
                <w:noProof w:val="0"/>
                <w:sz w:val="22"/>
                <w:szCs w:val="22"/>
              </w:rPr>
            </w:pPr>
            <w:r>
              <w:rPr>
                <w:noProof w:val="0"/>
                <w:sz w:val="22"/>
                <w:szCs w:val="22"/>
              </w:rPr>
              <w:t>6</w:t>
            </w:r>
          </w:p>
        </w:tc>
        <w:tc>
          <w:tcPr>
            <w:tcW w:w="992" w:type="dxa"/>
          </w:tcPr>
          <w:p w14:paraId="458441D8" w14:textId="7F93F273" w:rsidR="003C054C" w:rsidRPr="00C93791" w:rsidRDefault="00782FD4">
            <w:pPr>
              <w:pStyle w:val="Paragraph"/>
              <w:numPr>
                <w:ilvl w:val="0"/>
                <w:numId w:val="0"/>
              </w:numPr>
              <w:spacing w:before="60" w:after="60" w:line="240" w:lineRule="auto"/>
              <w:ind w:left="68"/>
              <w:jc w:val="center"/>
              <w:rPr>
                <w:noProof w:val="0"/>
                <w:sz w:val="22"/>
                <w:szCs w:val="22"/>
              </w:rPr>
            </w:pPr>
            <w:r>
              <w:rPr>
                <w:noProof w:val="0"/>
                <w:sz w:val="22"/>
                <w:szCs w:val="22"/>
              </w:rPr>
              <w:t>2</w:t>
            </w:r>
          </w:p>
        </w:tc>
      </w:tr>
      <w:tr w:rsidR="001F772F" w:rsidRPr="007945BA" w14:paraId="2510CB5C" w14:textId="77777777" w:rsidTr="001714A5">
        <w:tc>
          <w:tcPr>
            <w:tcW w:w="3969" w:type="dxa"/>
          </w:tcPr>
          <w:p w14:paraId="0DFD8719" w14:textId="56F852FC" w:rsidR="001F772F" w:rsidRPr="00C93791" w:rsidRDefault="001F772F">
            <w:pPr>
              <w:pStyle w:val="Paragraph"/>
              <w:numPr>
                <w:ilvl w:val="0"/>
                <w:numId w:val="0"/>
              </w:numPr>
              <w:spacing w:before="60" w:after="60" w:line="240" w:lineRule="auto"/>
              <w:ind w:left="68"/>
              <w:rPr>
                <w:noProof w:val="0"/>
                <w:sz w:val="22"/>
                <w:szCs w:val="22"/>
                <w:highlight w:val="yellow"/>
              </w:rPr>
            </w:pPr>
            <w:r w:rsidRPr="00E2160A">
              <w:rPr>
                <w:noProof w:val="0"/>
                <w:sz w:val="22"/>
                <w:szCs w:val="22"/>
              </w:rPr>
              <w:t>Controls framework</w:t>
            </w:r>
          </w:p>
        </w:tc>
        <w:tc>
          <w:tcPr>
            <w:tcW w:w="1560" w:type="dxa"/>
          </w:tcPr>
          <w:p w14:paraId="5234802E" w14:textId="632AF842" w:rsidR="001F772F" w:rsidRPr="00C93791" w:rsidRDefault="00EA43E9">
            <w:pPr>
              <w:pStyle w:val="Paragraph"/>
              <w:numPr>
                <w:ilvl w:val="0"/>
                <w:numId w:val="0"/>
              </w:numPr>
              <w:spacing w:before="60" w:after="60" w:line="240" w:lineRule="auto"/>
              <w:ind w:left="68"/>
              <w:rPr>
                <w:noProof w:val="0"/>
                <w:sz w:val="22"/>
                <w:szCs w:val="22"/>
              </w:rPr>
            </w:pPr>
            <w:r>
              <w:rPr>
                <w:noProof w:val="0"/>
                <w:sz w:val="22"/>
                <w:szCs w:val="22"/>
              </w:rPr>
              <w:t>Limited</w:t>
            </w:r>
          </w:p>
        </w:tc>
        <w:tc>
          <w:tcPr>
            <w:tcW w:w="992" w:type="dxa"/>
          </w:tcPr>
          <w:p w14:paraId="43264418" w14:textId="012C589B" w:rsidR="001F772F" w:rsidRPr="00C93791" w:rsidRDefault="00316898">
            <w:pPr>
              <w:pStyle w:val="Paragraph"/>
              <w:numPr>
                <w:ilvl w:val="0"/>
                <w:numId w:val="0"/>
              </w:numPr>
              <w:spacing w:before="60" w:after="60" w:line="240" w:lineRule="auto"/>
              <w:ind w:left="68"/>
              <w:jc w:val="center"/>
              <w:rPr>
                <w:noProof w:val="0"/>
                <w:sz w:val="22"/>
                <w:szCs w:val="22"/>
              </w:rPr>
            </w:pPr>
            <w:r>
              <w:rPr>
                <w:noProof w:val="0"/>
                <w:sz w:val="22"/>
                <w:szCs w:val="22"/>
              </w:rPr>
              <w:t>2</w:t>
            </w:r>
          </w:p>
        </w:tc>
        <w:tc>
          <w:tcPr>
            <w:tcW w:w="992" w:type="dxa"/>
          </w:tcPr>
          <w:p w14:paraId="2E0F2F53" w14:textId="1E5FD3FD" w:rsidR="001F772F" w:rsidRPr="00C93791" w:rsidRDefault="00316898">
            <w:pPr>
              <w:pStyle w:val="Paragraph"/>
              <w:numPr>
                <w:ilvl w:val="0"/>
                <w:numId w:val="0"/>
              </w:numPr>
              <w:spacing w:before="60" w:after="60" w:line="240" w:lineRule="auto"/>
              <w:ind w:left="68"/>
              <w:jc w:val="center"/>
              <w:rPr>
                <w:noProof w:val="0"/>
                <w:sz w:val="22"/>
                <w:szCs w:val="22"/>
              </w:rPr>
            </w:pPr>
            <w:r>
              <w:rPr>
                <w:noProof w:val="0"/>
                <w:sz w:val="22"/>
                <w:szCs w:val="22"/>
              </w:rPr>
              <w:t>5</w:t>
            </w:r>
          </w:p>
        </w:tc>
        <w:tc>
          <w:tcPr>
            <w:tcW w:w="992" w:type="dxa"/>
          </w:tcPr>
          <w:p w14:paraId="17975E7E" w14:textId="043F322C" w:rsidR="001F772F" w:rsidRPr="00C93791" w:rsidRDefault="00316898">
            <w:pPr>
              <w:pStyle w:val="Paragraph"/>
              <w:numPr>
                <w:ilvl w:val="0"/>
                <w:numId w:val="0"/>
              </w:numPr>
              <w:spacing w:before="60" w:after="60" w:line="240" w:lineRule="auto"/>
              <w:ind w:left="68"/>
              <w:jc w:val="center"/>
              <w:rPr>
                <w:noProof w:val="0"/>
                <w:sz w:val="22"/>
                <w:szCs w:val="22"/>
              </w:rPr>
            </w:pPr>
            <w:r>
              <w:rPr>
                <w:noProof w:val="0"/>
                <w:sz w:val="22"/>
                <w:szCs w:val="22"/>
              </w:rPr>
              <w:t>1</w:t>
            </w:r>
          </w:p>
        </w:tc>
      </w:tr>
      <w:tr w:rsidR="00F54A7D" w:rsidRPr="007945BA" w14:paraId="3A8DC1BE" w14:textId="77777777" w:rsidTr="00746BEB">
        <w:tc>
          <w:tcPr>
            <w:tcW w:w="3969" w:type="dxa"/>
          </w:tcPr>
          <w:p w14:paraId="6B562A97" w14:textId="64EC7004" w:rsidR="00F54A7D" w:rsidRPr="00C93791" w:rsidRDefault="00F54A7D">
            <w:pPr>
              <w:pStyle w:val="Paragraph"/>
              <w:numPr>
                <w:ilvl w:val="0"/>
                <w:numId w:val="0"/>
              </w:numPr>
              <w:spacing w:before="60" w:after="60" w:line="240" w:lineRule="auto"/>
              <w:ind w:left="68"/>
              <w:rPr>
                <w:noProof w:val="0"/>
                <w:sz w:val="22"/>
                <w:szCs w:val="22"/>
                <w:highlight w:val="yellow"/>
              </w:rPr>
            </w:pPr>
            <w:r w:rsidRPr="00F54A7D">
              <w:rPr>
                <w:noProof w:val="0"/>
                <w:sz w:val="22"/>
                <w:szCs w:val="22"/>
              </w:rPr>
              <w:t>DSPT</w:t>
            </w:r>
          </w:p>
        </w:tc>
        <w:tc>
          <w:tcPr>
            <w:tcW w:w="4536" w:type="dxa"/>
            <w:gridSpan w:val="4"/>
          </w:tcPr>
          <w:p w14:paraId="3F245154" w14:textId="77777777" w:rsidR="00F54A7D" w:rsidRDefault="0065188F" w:rsidP="0065188F">
            <w:pPr>
              <w:pStyle w:val="Paragraph"/>
              <w:numPr>
                <w:ilvl w:val="0"/>
                <w:numId w:val="0"/>
              </w:numPr>
              <w:spacing w:before="60" w:after="60" w:line="240" w:lineRule="auto"/>
              <w:ind w:left="68"/>
              <w:jc w:val="both"/>
              <w:rPr>
                <w:noProof w:val="0"/>
                <w:sz w:val="22"/>
                <w:szCs w:val="22"/>
              </w:rPr>
            </w:pPr>
            <w:r>
              <w:rPr>
                <w:noProof w:val="0"/>
                <w:sz w:val="22"/>
                <w:szCs w:val="22"/>
              </w:rPr>
              <w:t xml:space="preserve">Risk assessment: </w:t>
            </w:r>
            <w:proofErr w:type="gramStart"/>
            <w:r>
              <w:rPr>
                <w:noProof w:val="0"/>
                <w:sz w:val="22"/>
                <w:szCs w:val="22"/>
              </w:rPr>
              <w:t>Moderate</w:t>
            </w:r>
            <w:proofErr w:type="gramEnd"/>
          </w:p>
          <w:p w14:paraId="515810EA" w14:textId="58116965" w:rsidR="0065188F" w:rsidRPr="00C93791" w:rsidRDefault="0065188F" w:rsidP="0065188F">
            <w:pPr>
              <w:pStyle w:val="Paragraph"/>
              <w:numPr>
                <w:ilvl w:val="0"/>
                <w:numId w:val="0"/>
              </w:numPr>
              <w:spacing w:before="60" w:after="60" w:line="240" w:lineRule="auto"/>
              <w:ind w:left="68"/>
              <w:jc w:val="both"/>
              <w:rPr>
                <w:noProof w:val="0"/>
                <w:sz w:val="22"/>
                <w:szCs w:val="22"/>
              </w:rPr>
            </w:pPr>
            <w:r>
              <w:rPr>
                <w:noProof w:val="0"/>
                <w:sz w:val="22"/>
                <w:szCs w:val="22"/>
              </w:rPr>
              <w:t>Confidence level</w:t>
            </w:r>
            <w:r w:rsidR="00304027">
              <w:rPr>
                <w:noProof w:val="0"/>
                <w:sz w:val="22"/>
                <w:szCs w:val="22"/>
              </w:rPr>
              <w:t xml:space="preserve">: </w:t>
            </w:r>
            <w:r>
              <w:rPr>
                <w:noProof w:val="0"/>
                <w:sz w:val="22"/>
                <w:szCs w:val="22"/>
              </w:rPr>
              <w:t>High</w:t>
            </w:r>
          </w:p>
        </w:tc>
      </w:tr>
      <w:tr w:rsidR="003C054C" w:rsidRPr="007945BA" w14:paraId="406CC19B" w14:textId="77777777" w:rsidTr="001714A5">
        <w:tc>
          <w:tcPr>
            <w:tcW w:w="5529" w:type="dxa"/>
            <w:gridSpan w:val="2"/>
            <w:hideMark/>
          </w:tcPr>
          <w:p w14:paraId="11FF5460" w14:textId="06DD75EE" w:rsidR="003C054C" w:rsidRPr="00C93791" w:rsidRDefault="003C054C">
            <w:pPr>
              <w:pStyle w:val="Paragraph"/>
              <w:numPr>
                <w:ilvl w:val="0"/>
                <w:numId w:val="0"/>
              </w:numPr>
              <w:spacing w:before="60" w:after="60" w:line="240" w:lineRule="auto"/>
              <w:ind w:left="68"/>
              <w:jc w:val="right"/>
              <w:rPr>
                <w:noProof w:val="0"/>
              </w:rPr>
            </w:pPr>
            <w:r w:rsidRPr="00C93791">
              <w:rPr>
                <w:b/>
                <w:bCs/>
                <w:noProof w:val="0"/>
              </w:rPr>
              <w:t>Total recommendations =</w:t>
            </w:r>
            <w:r w:rsidR="00BC0325" w:rsidRPr="00C93791">
              <w:rPr>
                <w:b/>
                <w:bCs/>
                <w:noProof w:val="0"/>
              </w:rPr>
              <w:t xml:space="preserve"> </w:t>
            </w:r>
            <w:r w:rsidR="005B34BB">
              <w:rPr>
                <w:b/>
                <w:bCs/>
                <w:noProof w:val="0"/>
              </w:rPr>
              <w:t>4</w:t>
            </w:r>
            <w:r w:rsidR="005E0336">
              <w:rPr>
                <w:b/>
                <w:bCs/>
                <w:noProof w:val="0"/>
              </w:rPr>
              <w:t>1</w:t>
            </w:r>
            <w:r w:rsidRPr="00C93791">
              <w:rPr>
                <w:b/>
                <w:bCs/>
                <w:noProof w:val="0"/>
              </w:rPr>
              <w:t xml:space="preserve">  </w:t>
            </w:r>
          </w:p>
        </w:tc>
        <w:tc>
          <w:tcPr>
            <w:tcW w:w="992" w:type="dxa"/>
          </w:tcPr>
          <w:p w14:paraId="0B54A119" w14:textId="60E82C48" w:rsidR="003C054C" w:rsidRPr="00277107" w:rsidRDefault="0016391E" w:rsidP="003F4D50">
            <w:pPr>
              <w:pStyle w:val="Paragraph"/>
              <w:numPr>
                <w:ilvl w:val="0"/>
                <w:numId w:val="0"/>
              </w:numPr>
              <w:spacing w:before="60" w:after="60" w:line="240" w:lineRule="auto"/>
              <w:ind w:left="68"/>
              <w:jc w:val="center"/>
              <w:rPr>
                <w:b/>
                <w:bCs/>
                <w:noProof w:val="0"/>
              </w:rPr>
            </w:pPr>
            <w:r>
              <w:rPr>
                <w:b/>
                <w:bCs/>
                <w:noProof w:val="0"/>
              </w:rPr>
              <w:t>4</w:t>
            </w:r>
          </w:p>
        </w:tc>
        <w:tc>
          <w:tcPr>
            <w:tcW w:w="992" w:type="dxa"/>
          </w:tcPr>
          <w:p w14:paraId="48B4F4BA" w14:textId="48B90030" w:rsidR="003C054C" w:rsidRPr="00277107" w:rsidRDefault="00D67268" w:rsidP="003F4D50">
            <w:pPr>
              <w:pStyle w:val="Paragraph"/>
              <w:numPr>
                <w:ilvl w:val="0"/>
                <w:numId w:val="0"/>
              </w:numPr>
              <w:spacing w:before="60" w:after="60" w:line="240" w:lineRule="auto"/>
              <w:ind w:left="68"/>
              <w:jc w:val="center"/>
              <w:rPr>
                <w:b/>
                <w:bCs/>
                <w:noProof w:val="0"/>
              </w:rPr>
            </w:pPr>
            <w:r w:rsidRPr="00277107">
              <w:rPr>
                <w:b/>
                <w:bCs/>
                <w:noProof w:val="0"/>
              </w:rPr>
              <w:t>2</w:t>
            </w:r>
            <w:r w:rsidR="0016391E">
              <w:rPr>
                <w:b/>
                <w:bCs/>
                <w:noProof w:val="0"/>
              </w:rPr>
              <w:t>4</w:t>
            </w:r>
          </w:p>
        </w:tc>
        <w:tc>
          <w:tcPr>
            <w:tcW w:w="992" w:type="dxa"/>
          </w:tcPr>
          <w:p w14:paraId="611D69B2" w14:textId="17D28505" w:rsidR="003C054C" w:rsidRPr="00277107" w:rsidRDefault="00D67268" w:rsidP="003F4D50">
            <w:pPr>
              <w:pStyle w:val="Paragraph"/>
              <w:numPr>
                <w:ilvl w:val="0"/>
                <w:numId w:val="0"/>
              </w:numPr>
              <w:spacing w:before="60" w:after="60" w:line="240" w:lineRule="auto"/>
              <w:ind w:left="68"/>
              <w:jc w:val="center"/>
              <w:rPr>
                <w:b/>
                <w:bCs/>
                <w:noProof w:val="0"/>
              </w:rPr>
            </w:pPr>
            <w:r w:rsidRPr="00277107">
              <w:rPr>
                <w:b/>
                <w:bCs/>
                <w:noProof w:val="0"/>
              </w:rPr>
              <w:t>1</w:t>
            </w:r>
            <w:r w:rsidR="0016391E">
              <w:rPr>
                <w:b/>
                <w:bCs/>
                <w:noProof w:val="0"/>
              </w:rPr>
              <w:t>3</w:t>
            </w:r>
          </w:p>
        </w:tc>
      </w:tr>
      <w:tr w:rsidR="003C054C" w:rsidRPr="007945BA" w14:paraId="106E90D5" w14:textId="77777777" w:rsidTr="001714A5">
        <w:tc>
          <w:tcPr>
            <w:tcW w:w="5529" w:type="dxa"/>
            <w:gridSpan w:val="2"/>
          </w:tcPr>
          <w:p w14:paraId="274C3F63" w14:textId="457A2E9C" w:rsidR="003C054C" w:rsidRPr="00C93791" w:rsidRDefault="003C054C">
            <w:pPr>
              <w:pStyle w:val="Paragraph"/>
              <w:numPr>
                <w:ilvl w:val="0"/>
                <w:numId w:val="0"/>
              </w:numPr>
              <w:spacing w:before="60" w:after="60" w:line="240" w:lineRule="auto"/>
              <w:ind w:left="68"/>
              <w:jc w:val="right"/>
              <w:rPr>
                <w:noProof w:val="0"/>
              </w:rPr>
            </w:pPr>
            <w:r w:rsidRPr="00C93791">
              <w:rPr>
                <w:noProof w:val="0"/>
              </w:rPr>
              <w:t xml:space="preserve"> (202</w:t>
            </w:r>
            <w:r w:rsidR="005E7B23" w:rsidRPr="00C93791">
              <w:rPr>
                <w:noProof w:val="0"/>
              </w:rPr>
              <w:t>2</w:t>
            </w:r>
            <w:r w:rsidRPr="00C93791">
              <w:rPr>
                <w:noProof w:val="0"/>
              </w:rPr>
              <w:t>/2</w:t>
            </w:r>
            <w:r w:rsidR="005E7B23" w:rsidRPr="00C93791">
              <w:rPr>
                <w:noProof w:val="0"/>
              </w:rPr>
              <w:t>3</w:t>
            </w:r>
            <w:r w:rsidRPr="00C93791">
              <w:rPr>
                <w:noProof w:val="0"/>
              </w:rPr>
              <w:t xml:space="preserve"> = 3</w:t>
            </w:r>
            <w:r w:rsidR="00277DDD">
              <w:rPr>
                <w:noProof w:val="0"/>
              </w:rPr>
              <w:t>9</w:t>
            </w:r>
            <w:r w:rsidRPr="00C93791">
              <w:rPr>
                <w:noProof w:val="0"/>
              </w:rPr>
              <w:t xml:space="preserve">) </w:t>
            </w:r>
          </w:p>
        </w:tc>
        <w:tc>
          <w:tcPr>
            <w:tcW w:w="992" w:type="dxa"/>
          </w:tcPr>
          <w:p w14:paraId="332877E8" w14:textId="02D06475" w:rsidR="003C054C" w:rsidRPr="00C93791" w:rsidRDefault="003F4D50" w:rsidP="003F4D50">
            <w:pPr>
              <w:pStyle w:val="Paragraph"/>
              <w:numPr>
                <w:ilvl w:val="0"/>
                <w:numId w:val="0"/>
              </w:numPr>
              <w:spacing w:before="60" w:after="60" w:line="240" w:lineRule="auto"/>
              <w:ind w:left="68"/>
              <w:jc w:val="center"/>
              <w:rPr>
                <w:noProof w:val="0"/>
              </w:rPr>
            </w:pPr>
            <w:r>
              <w:rPr>
                <w:noProof w:val="0"/>
              </w:rPr>
              <w:t>6</w:t>
            </w:r>
          </w:p>
        </w:tc>
        <w:tc>
          <w:tcPr>
            <w:tcW w:w="992" w:type="dxa"/>
          </w:tcPr>
          <w:p w14:paraId="328CC8F0" w14:textId="1DCF9CF2" w:rsidR="003C054C" w:rsidRPr="00C93791" w:rsidRDefault="003F4D50" w:rsidP="003F4D50">
            <w:pPr>
              <w:pStyle w:val="Paragraph"/>
              <w:numPr>
                <w:ilvl w:val="0"/>
                <w:numId w:val="0"/>
              </w:numPr>
              <w:spacing w:before="60" w:after="60" w:line="240" w:lineRule="auto"/>
              <w:ind w:left="68"/>
              <w:jc w:val="center"/>
              <w:rPr>
                <w:noProof w:val="0"/>
              </w:rPr>
            </w:pPr>
            <w:r>
              <w:rPr>
                <w:noProof w:val="0"/>
              </w:rPr>
              <w:t>19</w:t>
            </w:r>
          </w:p>
        </w:tc>
        <w:tc>
          <w:tcPr>
            <w:tcW w:w="992" w:type="dxa"/>
          </w:tcPr>
          <w:p w14:paraId="5E0567DE" w14:textId="55A58381" w:rsidR="003C054C" w:rsidRPr="00C93791" w:rsidRDefault="003F4D50" w:rsidP="003F4D50">
            <w:pPr>
              <w:pStyle w:val="Paragraph"/>
              <w:numPr>
                <w:ilvl w:val="0"/>
                <w:numId w:val="0"/>
              </w:numPr>
              <w:spacing w:before="60" w:after="60" w:line="240" w:lineRule="auto"/>
              <w:ind w:left="68"/>
              <w:jc w:val="center"/>
              <w:rPr>
                <w:noProof w:val="0"/>
              </w:rPr>
            </w:pPr>
            <w:r>
              <w:rPr>
                <w:noProof w:val="0"/>
              </w:rPr>
              <w:t>14</w:t>
            </w:r>
          </w:p>
        </w:tc>
      </w:tr>
    </w:tbl>
    <w:p w14:paraId="24BB5464" w14:textId="19340BC1" w:rsidR="006C5285" w:rsidRDefault="006C5285" w:rsidP="003B02C4">
      <w:pPr>
        <w:pStyle w:val="NICEnormalnumbered"/>
        <w:spacing w:before="480"/>
        <w:ind w:left="357" w:hanging="357"/>
        <w:rPr>
          <w:noProof w:val="0"/>
        </w:rPr>
      </w:pPr>
      <w:r>
        <w:rPr>
          <w:noProof w:val="0"/>
        </w:rPr>
        <w:t xml:space="preserve">Throughout the year, </w:t>
      </w:r>
      <w:r>
        <w:t xml:space="preserve">recommended actions arising from internals audit reports are monitored to ensure robust follow- up. At the time of writing these actions are taking place with </w:t>
      </w:r>
      <w:r w:rsidR="00BA1B5E">
        <w:t>[GIAA to confirm]</w:t>
      </w:r>
      <w:r w:rsidR="003D2A90">
        <w:t xml:space="preserve"> outstanding.</w:t>
      </w:r>
    </w:p>
    <w:p w14:paraId="4D568EBF" w14:textId="77777777" w:rsidR="00F95C3C" w:rsidRPr="007945BA" w:rsidRDefault="00F95C3C" w:rsidP="00F95C3C">
      <w:pPr>
        <w:pStyle w:val="Heading3"/>
      </w:pPr>
      <w:r w:rsidRPr="007945BA">
        <w:t>External audit</w:t>
      </w:r>
    </w:p>
    <w:p w14:paraId="4F141AE6" w14:textId="035310E2" w:rsidR="003C054C" w:rsidRPr="00C93791" w:rsidRDefault="003C054C" w:rsidP="00F232B7">
      <w:pPr>
        <w:pStyle w:val="NICEnormalnumbered"/>
        <w:rPr>
          <w:noProof w:val="0"/>
        </w:rPr>
      </w:pPr>
      <w:r w:rsidRPr="00C93791">
        <w:rPr>
          <w:rFonts w:cs="Arial"/>
          <w:noProof w:val="0"/>
        </w:rPr>
        <w:t xml:space="preserve">The National Audit Office (NAO) are NICE’s external auditors. The NAO </w:t>
      </w:r>
      <w:r w:rsidR="003C650E">
        <w:rPr>
          <w:rFonts w:cs="Arial"/>
          <w:noProof w:val="0"/>
        </w:rPr>
        <w:t xml:space="preserve">continue to </w:t>
      </w:r>
      <w:r w:rsidRPr="00C93791">
        <w:rPr>
          <w:rFonts w:cs="Arial"/>
          <w:noProof w:val="0"/>
        </w:rPr>
        <w:t xml:space="preserve">contract KPMG to undertake </w:t>
      </w:r>
      <w:r w:rsidRPr="00C93791">
        <w:rPr>
          <w:noProof w:val="0"/>
        </w:rPr>
        <w:t xml:space="preserve">the audit of NICE’s annual report and accounts </w:t>
      </w:r>
      <w:r w:rsidRPr="00C93791">
        <w:rPr>
          <w:noProof w:val="0"/>
        </w:rPr>
        <w:lastRenderedPageBreak/>
        <w:t xml:space="preserve">but retain </w:t>
      </w:r>
      <w:r w:rsidRPr="00C93791">
        <w:rPr>
          <w:rFonts w:cs="Arial"/>
          <w:noProof w:val="0"/>
        </w:rPr>
        <w:t xml:space="preserve">responsibility for recommending the audit opinion to the Comptroller and Auditor General (C&amp;AG).  The NAO give an opinion on whether the accounts are a true and fair view of the financial affairs </w:t>
      </w:r>
      <w:proofErr w:type="gramStart"/>
      <w:r w:rsidRPr="00C93791">
        <w:rPr>
          <w:rFonts w:cs="Arial"/>
          <w:noProof w:val="0"/>
        </w:rPr>
        <w:t>and also</w:t>
      </w:r>
      <w:proofErr w:type="gramEnd"/>
      <w:r w:rsidRPr="00C93791">
        <w:rPr>
          <w:rFonts w:cs="Arial"/>
          <w:noProof w:val="0"/>
        </w:rPr>
        <w:t xml:space="preserve"> whether </w:t>
      </w:r>
      <w:r w:rsidR="00F024B1">
        <w:rPr>
          <w:rFonts w:cs="Arial"/>
          <w:noProof w:val="0"/>
        </w:rPr>
        <w:t xml:space="preserve">NICE’s </w:t>
      </w:r>
      <w:r w:rsidRPr="00C93791">
        <w:rPr>
          <w:rFonts w:cs="Arial"/>
          <w:noProof w:val="0"/>
        </w:rPr>
        <w:t xml:space="preserve">funds have been applied to the purposes intended by Parliament. This opinion will follow their audit </w:t>
      </w:r>
      <w:r w:rsidR="008C379B">
        <w:rPr>
          <w:rFonts w:cs="Arial"/>
          <w:noProof w:val="0"/>
        </w:rPr>
        <w:t xml:space="preserve">that is due to </w:t>
      </w:r>
      <w:r w:rsidRPr="00C93791">
        <w:rPr>
          <w:rFonts w:cs="Arial"/>
          <w:noProof w:val="0"/>
        </w:rPr>
        <w:t xml:space="preserve">start </w:t>
      </w:r>
      <w:r w:rsidR="00A039B1" w:rsidRPr="008E4B93">
        <w:rPr>
          <w:rFonts w:cs="Arial"/>
          <w:noProof w:val="0"/>
        </w:rPr>
        <w:t xml:space="preserve">in </w:t>
      </w:r>
      <w:r w:rsidRPr="008E4B93">
        <w:rPr>
          <w:rFonts w:cs="Arial"/>
          <w:noProof w:val="0"/>
        </w:rPr>
        <w:t>May</w:t>
      </w:r>
      <w:r w:rsidRPr="00C93791">
        <w:rPr>
          <w:rFonts w:cs="Arial"/>
          <w:noProof w:val="0"/>
        </w:rPr>
        <w:t xml:space="preserve"> </w:t>
      </w:r>
      <w:r w:rsidR="00F024B1" w:rsidRPr="00C93791">
        <w:rPr>
          <w:rFonts w:cs="Arial"/>
          <w:noProof w:val="0"/>
        </w:rPr>
        <w:t>202</w:t>
      </w:r>
      <w:r w:rsidR="00F024B1">
        <w:rPr>
          <w:rFonts w:cs="Arial"/>
          <w:noProof w:val="0"/>
        </w:rPr>
        <w:t xml:space="preserve">4. </w:t>
      </w:r>
    </w:p>
    <w:p w14:paraId="1B69D18A" w14:textId="52FBBCFF" w:rsidR="003C054C" w:rsidRPr="00C93791" w:rsidRDefault="003C054C" w:rsidP="00F232B7">
      <w:pPr>
        <w:pStyle w:val="NICEnormalnumbered"/>
        <w:rPr>
          <w:noProof w:val="0"/>
        </w:rPr>
      </w:pPr>
      <w:r w:rsidRPr="00C93791">
        <w:rPr>
          <w:noProof w:val="0"/>
        </w:rPr>
        <w:t xml:space="preserve">The NAO’s Engagement Director </w:t>
      </w:r>
      <w:r w:rsidR="00A039B1" w:rsidRPr="00C93791">
        <w:rPr>
          <w:noProof w:val="0"/>
        </w:rPr>
        <w:t>Stephen Ferris</w:t>
      </w:r>
      <w:r w:rsidR="00E46B0A" w:rsidRPr="00C93791">
        <w:rPr>
          <w:noProof w:val="0"/>
        </w:rPr>
        <w:t xml:space="preserve"> </w:t>
      </w:r>
      <w:r w:rsidRPr="00C93791">
        <w:rPr>
          <w:noProof w:val="0"/>
        </w:rPr>
        <w:t>and Engagement Manager</w:t>
      </w:r>
      <w:r w:rsidR="00E46B0A" w:rsidRPr="00C93791">
        <w:rPr>
          <w:noProof w:val="0"/>
        </w:rPr>
        <w:t xml:space="preserve"> </w:t>
      </w:r>
      <w:r w:rsidR="00A039B1" w:rsidRPr="00C93791">
        <w:rPr>
          <w:noProof w:val="0"/>
        </w:rPr>
        <w:t>Laura Wright</w:t>
      </w:r>
      <w:r w:rsidR="00E46B0A" w:rsidRPr="00C93791">
        <w:rPr>
          <w:noProof w:val="0"/>
        </w:rPr>
        <w:t>,</w:t>
      </w:r>
      <w:r w:rsidRPr="00C93791">
        <w:rPr>
          <w:noProof w:val="0"/>
        </w:rPr>
        <w:t xml:space="preserve"> </w:t>
      </w:r>
      <w:r w:rsidR="00FF5C47" w:rsidRPr="00C93791">
        <w:rPr>
          <w:noProof w:val="0"/>
        </w:rPr>
        <w:t xml:space="preserve">provided </w:t>
      </w:r>
      <w:r w:rsidRPr="00C93791">
        <w:rPr>
          <w:noProof w:val="0"/>
        </w:rPr>
        <w:t xml:space="preserve">support </w:t>
      </w:r>
      <w:r w:rsidR="00FF5C47" w:rsidRPr="00C93791">
        <w:rPr>
          <w:noProof w:val="0"/>
        </w:rPr>
        <w:t xml:space="preserve">to </w:t>
      </w:r>
      <w:r w:rsidRPr="00C93791">
        <w:rPr>
          <w:noProof w:val="0"/>
        </w:rPr>
        <w:t>the committee and attended meeting</w:t>
      </w:r>
      <w:r w:rsidR="00FF5C47" w:rsidRPr="00C93791">
        <w:rPr>
          <w:noProof w:val="0"/>
        </w:rPr>
        <w:t>s</w:t>
      </w:r>
      <w:r w:rsidRPr="00C93791">
        <w:rPr>
          <w:noProof w:val="0"/>
        </w:rPr>
        <w:t xml:space="preserve"> during the year, in addition to</w:t>
      </w:r>
      <w:r w:rsidR="001458A4" w:rsidRPr="00C93791">
        <w:rPr>
          <w:noProof w:val="0"/>
        </w:rPr>
        <w:t xml:space="preserve"> Richard Lee</w:t>
      </w:r>
      <w:r w:rsidR="007D3FA0" w:rsidRPr="00C93791">
        <w:rPr>
          <w:noProof w:val="0"/>
        </w:rPr>
        <w:t>, partner, and Katie Henry,</w:t>
      </w:r>
      <w:r w:rsidRPr="00C93791">
        <w:rPr>
          <w:noProof w:val="0"/>
        </w:rPr>
        <w:t xml:space="preserve"> senior audit manager from KPMG.</w:t>
      </w:r>
      <w:r w:rsidR="00D354EA">
        <w:rPr>
          <w:noProof w:val="0"/>
        </w:rPr>
        <w:t xml:space="preserve">  Richard Lee</w:t>
      </w:r>
      <w:r w:rsidR="00B068CD">
        <w:rPr>
          <w:noProof w:val="0"/>
        </w:rPr>
        <w:t xml:space="preserve"> </w:t>
      </w:r>
      <w:r w:rsidR="001F2118">
        <w:rPr>
          <w:noProof w:val="0"/>
        </w:rPr>
        <w:t>did not attend the meeting</w:t>
      </w:r>
      <w:r w:rsidR="00203CCF">
        <w:rPr>
          <w:noProof w:val="0"/>
        </w:rPr>
        <w:t xml:space="preserve"> in January 2024</w:t>
      </w:r>
      <w:r w:rsidR="001F2118">
        <w:rPr>
          <w:noProof w:val="0"/>
        </w:rPr>
        <w:t>,</w:t>
      </w:r>
      <w:r w:rsidR="00203CCF">
        <w:rPr>
          <w:noProof w:val="0"/>
        </w:rPr>
        <w:t xml:space="preserve"> </w:t>
      </w:r>
      <w:r w:rsidR="001F2118">
        <w:rPr>
          <w:noProof w:val="0"/>
        </w:rPr>
        <w:t xml:space="preserve">advising </w:t>
      </w:r>
      <w:r w:rsidR="00203CCF">
        <w:rPr>
          <w:noProof w:val="0"/>
        </w:rPr>
        <w:t xml:space="preserve">that </w:t>
      </w:r>
      <w:r w:rsidR="0020167E">
        <w:rPr>
          <w:noProof w:val="0"/>
        </w:rPr>
        <w:t xml:space="preserve">Katie Henry would be taking over as </w:t>
      </w:r>
      <w:r w:rsidR="00DA13D3">
        <w:rPr>
          <w:noProof w:val="0"/>
        </w:rPr>
        <w:t>engagement director</w:t>
      </w:r>
      <w:r w:rsidR="00203CCF">
        <w:rPr>
          <w:noProof w:val="0"/>
        </w:rPr>
        <w:t>.</w:t>
      </w:r>
      <w:r w:rsidR="00B3520B">
        <w:rPr>
          <w:noProof w:val="0"/>
        </w:rPr>
        <w:t xml:space="preserve">  Laura Wright (NAO) has also been replaced by Jacob Horner</w:t>
      </w:r>
      <w:r w:rsidR="005847AA">
        <w:rPr>
          <w:noProof w:val="0"/>
        </w:rPr>
        <w:t xml:space="preserve"> as the NAO’s engagement manager</w:t>
      </w:r>
      <w:r w:rsidR="00B3520B">
        <w:rPr>
          <w:noProof w:val="0"/>
        </w:rPr>
        <w:t>.</w:t>
      </w:r>
    </w:p>
    <w:p w14:paraId="4327909D" w14:textId="6B6CA4C7" w:rsidR="003C054C" w:rsidRPr="007945BA" w:rsidRDefault="00E5439F" w:rsidP="00503ED1">
      <w:pPr>
        <w:pStyle w:val="Heading2boardreport"/>
      </w:pPr>
      <w:r w:rsidRPr="007945BA">
        <w:t xml:space="preserve">Risk </w:t>
      </w:r>
      <w:proofErr w:type="gramStart"/>
      <w:r w:rsidRPr="007945BA">
        <w:t>management</w:t>
      </w:r>
      <w:proofErr w:type="gramEnd"/>
    </w:p>
    <w:p w14:paraId="37BA2DBB" w14:textId="09CB6CF8" w:rsidR="00E5439F" w:rsidRPr="00C93791" w:rsidRDefault="00E5439F" w:rsidP="00F232B7">
      <w:pPr>
        <w:pStyle w:val="NICEnormalnumbered"/>
        <w:rPr>
          <w:noProof w:val="0"/>
        </w:rPr>
      </w:pPr>
      <w:r w:rsidRPr="00C93791">
        <w:rPr>
          <w:rFonts w:cs="Arial"/>
          <w:bCs/>
          <w:noProof w:val="0"/>
        </w:rPr>
        <w:t xml:space="preserve">The </w:t>
      </w:r>
      <w:r w:rsidRPr="00C93791">
        <w:rPr>
          <w:rFonts w:cs="Arial"/>
          <w:noProof w:val="0"/>
        </w:rPr>
        <w:t xml:space="preserve">risk management </w:t>
      </w:r>
      <w:r w:rsidRPr="00C93791">
        <w:rPr>
          <w:noProof w:val="0"/>
        </w:rPr>
        <w:t xml:space="preserve">policy </w:t>
      </w:r>
      <w:r w:rsidRPr="00C93791">
        <w:rPr>
          <w:rFonts w:cs="Arial"/>
          <w:noProof w:val="0"/>
        </w:rPr>
        <w:t>sets out NICE’s approach to risk management</w:t>
      </w:r>
      <w:r w:rsidR="008C379B">
        <w:rPr>
          <w:rFonts w:cs="Arial"/>
          <w:noProof w:val="0"/>
        </w:rPr>
        <w:t xml:space="preserve">, including roles and responsibilities, </w:t>
      </w:r>
      <w:r w:rsidR="008C379B" w:rsidRPr="0003303D">
        <w:rPr>
          <w:rFonts w:cs="Arial"/>
          <w:noProof w:val="0"/>
        </w:rPr>
        <w:t xml:space="preserve">how risks are categorised, </w:t>
      </w:r>
      <w:proofErr w:type="gramStart"/>
      <w:r w:rsidR="008C379B" w:rsidRPr="0003303D">
        <w:rPr>
          <w:rFonts w:cs="Arial"/>
          <w:noProof w:val="0"/>
        </w:rPr>
        <w:t>assessed</w:t>
      </w:r>
      <w:proofErr w:type="gramEnd"/>
      <w:r w:rsidR="008C379B" w:rsidRPr="0003303D">
        <w:rPr>
          <w:rFonts w:cs="Arial"/>
          <w:noProof w:val="0"/>
        </w:rPr>
        <w:t xml:space="preserve"> and escalated</w:t>
      </w:r>
      <w:r w:rsidR="00B82A50">
        <w:rPr>
          <w:rFonts w:cs="Arial"/>
          <w:noProof w:val="0"/>
        </w:rPr>
        <w:t>, and outlines NICE’s</w:t>
      </w:r>
      <w:r w:rsidRPr="00C93791">
        <w:rPr>
          <w:rFonts w:cs="Arial"/>
          <w:noProof w:val="0"/>
        </w:rPr>
        <w:t xml:space="preserve"> risk appetite</w:t>
      </w:r>
      <w:r w:rsidR="00B82A50">
        <w:rPr>
          <w:rFonts w:cs="Arial"/>
          <w:noProof w:val="0"/>
        </w:rPr>
        <w:t xml:space="preserve">. </w:t>
      </w:r>
    </w:p>
    <w:p w14:paraId="3F46705A" w14:textId="742A2B6D" w:rsidR="00B270A5" w:rsidRPr="007945BA" w:rsidRDefault="00B270A5" w:rsidP="00503ED1">
      <w:pPr>
        <w:pStyle w:val="Heading3boardreport"/>
      </w:pPr>
      <w:r w:rsidRPr="007945BA">
        <w:t xml:space="preserve">Risk </w:t>
      </w:r>
      <w:proofErr w:type="gramStart"/>
      <w:r w:rsidRPr="007945BA">
        <w:t>appetite</w:t>
      </w:r>
      <w:proofErr w:type="gramEnd"/>
    </w:p>
    <w:p w14:paraId="34F8CBFD" w14:textId="4B679E93" w:rsidR="006025B7" w:rsidRPr="00C93791" w:rsidRDefault="00F52E96" w:rsidP="00F232B7">
      <w:pPr>
        <w:pStyle w:val="NICEnormalnumbered"/>
        <w:rPr>
          <w:noProof w:val="0"/>
        </w:rPr>
      </w:pPr>
      <w:r w:rsidRPr="00C93791">
        <w:rPr>
          <w:rFonts w:cs="Arial"/>
          <w:noProof w:val="0"/>
        </w:rPr>
        <w:t xml:space="preserve">The committee reviewed the risk management policy </w:t>
      </w:r>
      <w:r w:rsidR="00993DBB" w:rsidRPr="00C93791">
        <w:rPr>
          <w:rFonts w:cs="Arial"/>
          <w:noProof w:val="0"/>
        </w:rPr>
        <w:t xml:space="preserve">during the year, </w:t>
      </w:r>
      <w:r w:rsidRPr="00C93791">
        <w:rPr>
          <w:rFonts w:cs="Arial"/>
          <w:noProof w:val="0"/>
        </w:rPr>
        <w:t xml:space="preserve">and recommended </w:t>
      </w:r>
      <w:proofErr w:type="gramStart"/>
      <w:r w:rsidRPr="00C93791">
        <w:rPr>
          <w:rFonts w:cs="Arial"/>
          <w:noProof w:val="0"/>
        </w:rPr>
        <w:t>a number of</w:t>
      </w:r>
      <w:proofErr w:type="gramEnd"/>
      <w:r w:rsidRPr="00C93791">
        <w:rPr>
          <w:rFonts w:cs="Arial"/>
          <w:noProof w:val="0"/>
        </w:rPr>
        <w:t xml:space="preserve"> updates </w:t>
      </w:r>
      <w:r w:rsidR="00993DBB" w:rsidRPr="00C93791">
        <w:rPr>
          <w:rFonts w:cs="Arial"/>
          <w:noProof w:val="0"/>
        </w:rPr>
        <w:t>which were approved by</w:t>
      </w:r>
      <w:r w:rsidRPr="00C93791">
        <w:rPr>
          <w:rFonts w:cs="Arial"/>
          <w:noProof w:val="0"/>
        </w:rPr>
        <w:t xml:space="preserve"> the board</w:t>
      </w:r>
      <w:r w:rsidR="00993DBB" w:rsidRPr="00C93791">
        <w:rPr>
          <w:rFonts w:cs="Arial"/>
          <w:noProof w:val="0"/>
        </w:rPr>
        <w:t xml:space="preserve">.  </w:t>
      </w:r>
      <w:r w:rsidR="005F2644">
        <w:rPr>
          <w:rFonts w:cs="Arial"/>
          <w:noProof w:val="0"/>
        </w:rPr>
        <w:t>In line with a recommendation from the board effectiveness review, a</w:t>
      </w:r>
      <w:r w:rsidR="00B82A50">
        <w:rPr>
          <w:rFonts w:cs="Arial"/>
          <w:noProof w:val="0"/>
        </w:rPr>
        <w:t xml:space="preserve"> key change was to </w:t>
      </w:r>
      <w:r w:rsidR="00216ECB">
        <w:rPr>
          <w:rFonts w:cs="Arial"/>
          <w:noProof w:val="0"/>
        </w:rPr>
        <w:t xml:space="preserve">update the </w:t>
      </w:r>
      <w:r w:rsidR="006D6CBB" w:rsidRPr="00C93791">
        <w:rPr>
          <w:rFonts w:cs="Arial"/>
          <w:noProof w:val="0"/>
        </w:rPr>
        <w:t xml:space="preserve">risk appetite </w:t>
      </w:r>
      <w:r w:rsidR="00F12A9C" w:rsidRPr="00C93791">
        <w:rPr>
          <w:rFonts w:cs="Arial"/>
          <w:noProof w:val="0"/>
        </w:rPr>
        <w:t xml:space="preserve">statement </w:t>
      </w:r>
      <w:r w:rsidR="00F12A9C" w:rsidRPr="00C93791">
        <w:rPr>
          <w:noProof w:val="0"/>
        </w:rPr>
        <w:t>by introducing a delineated risk appetite for each category of activity</w:t>
      </w:r>
      <w:r w:rsidR="006D6CBB" w:rsidRPr="00C93791">
        <w:rPr>
          <w:rFonts w:cs="Arial"/>
          <w:noProof w:val="0"/>
        </w:rPr>
        <w:t>.</w:t>
      </w:r>
      <w:r w:rsidR="00A9780B" w:rsidRPr="00C93791">
        <w:rPr>
          <w:rFonts w:cs="Arial"/>
          <w:noProof w:val="0"/>
        </w:rPr>
        <w:t xml:space="preserve">  Th</w:t>
      </w:r>
      <w:r w:rsidR="0076403B" w:rsidRPr="00C93791">
        <w:rPr>
          <w:rFonts w:cs="Arial"/>
          <w:noProof w:val="0"/>
        </w:rPr>
        <w:t xml:space="preserve">e purpose of which was to show where NICE </w:t>
      </w:r>
      <w:r w:rsidR="00AC3EB5" w:rsidRPr="00C93791">
        <w:rPr>
          <w:rFonts w:cs="Arial"/>
          <w:noProof w:val="0"/>
        </w:rPr>
        <w:t>wa</w:t>
      </w:r>
      <w:r w:rsidR="0094624D" w:rsidRPr="00C93791">
        <w:rPr>
          <w:rFonts w:cs="Arial"/>
          <w:noProof w:val="0"/>
        </w:rPr>
        <w:t>s willing to tolerate known risks, in return for the benefits expected.</w:t>
      </w:r>
      <w:r w:rsidR="007A393E" w:rsidRPr="00C93791">
        <w:rPr>
          <w:rFonts w:cs="Arial"/>
          <w:noProof w:val="0"/>
        </w:rPr>
        <w:t xml:space="preserve">  </w:t>
      </w:r>
      <w:proofErr w:type="gramStart"/>
      <w:r w:rsidR="007A393E" w:rsidRPr="00C93791">
        <w:rPr>
          <w:rFonts w:cs="Arial"/>
          <w:noProof w:val="0"/>
        </w:rPr>
        <w:t>In light of</w:t>
      </w:r>
      <w:proofErr w:type="gramEnd"/>
      <w:r w:rsidR="007A393E" w:rsidRPr="00C93791">
        <w:rPr>
          <w:rFonts w:cs="Arial"/>
          <w:noProof w:val="0"/>
        </w:rPr>
        <w:t xml:space="preserve"> the changing health and care system, NICE </w:t>
      </w:r>
      <w:r w:rsidR="00EA7FD7" w:rsidRPr="00C93791">
        <w:rPr>
          <w:rFonts w:cs="Arial"/>
          <w:noProof w:val="0"/>
        </w:rPr>
        <w:t xml:space="preserve">has adopted a more nuanced risk appetite </w:t>
      </w:r>
      <w:r w:rsidR="00F51DF3" w:rsidRPr="00C93791">
        <w:rPr>
          <w:rFonts w:cs="Arial"/>
          <w:noProof w:val="0"/>
        </w:rPr>
        <w:t xml:space="preserve">in which it seeks a wider degree of risk, for example around </w:t>
      </w:r>
      <w:r w:rsidR="000C10AD" w:rsidRPr="00C93791">
        <w:rPr>
          <w:rFonts w:cs="Arial"/>
          <w:noProof w:val="0"/>
        </w:rPr>
        <w:t>organisatio</w:t>
      </w:r>
      <w:r w:rsidR="00F51DF3" w:rsidRPr="00C93791">
        <w:rPr>
          <w:rFonts w:cs="Arial"/>
          <w:noProof w:val="0"/>
        </w:rPr>
        <w:t>nal transformation, while remaining committed to robust methods, processes, and internal governance.</w:t>
      </w:r>
    </w:p>
    <w:p w14:paraId="02437AE4" w14:textId="29A86245" w:rsidR="00503ED1" w:rsidRPr="007945BA" w:rsidRDefault="00503ED1" w:rsidP="00503ED1">
      <w:pPr>
        <w:pStyle w:val="Heading3boardreport"/>
      </w:pPr>
      <w:r w:rsidRPr="007945BA">
        <w:t>Strategic risk register</w:t>
      </w:r>
    </w:p>
    <w:p w14:paraId="7D967E39" w14:textId="3AB8E57D" w:rsidR="0094761E" w:rsidRPr="00C93791" w:rsidRDefault="006A1A7C" w:rsidP="00F232B7">
      <w:pPr>
        <w:pStyle w:val="NICEnormalnumbered"/>
        <w:rPr>
          <w:noProof w:val="0"/>
        </w:rPr>
      </w:pPr>
      <w:r w:rsidRPr="00C93791">
        <w:rPr>
          <w:noProof w:val="0"/>
        </w:rPr>
        <w:t>T</w:t>
      </w:r>
      <w:r w:rsidR="0094761E" w:rsidRPr="00C93791">
        <w:rPr>
          <w:noProof w:val="0"/>
        </w:rPr>
        <w:t xml:space="preserve">he </w:t>
      </w:r>
      <w:r w:rsidRPr="00C93791">
        <w:rPr>
          <w:noProof w:val="0"/>
        </w:rPr>
        <w:t>committee also recommende</w:t>
      </w:r>
      <w:r w:rsidR="00053B9D" w:rsidRPr="00C93791">
        <w:rPr>
          <w:noProof w:val="0"/>
        </w:rPr>
        <w:t>d</w:t>
      </w:r>
      <w:r w:rsidRPr="00C93791">
        <w:rPr>
          <w:noProof w:val="0"/>
        </w:rPr>
        <w:t xml:space="preserve"> to the </w:t>
      </w:r>
      <w:r w:rsidR="0094761E" w:rsidRPr="00C93791">
        <w:rPr>
          <w:noProof w:val="0"/>
        </w:rPr>
        <w:t xml:space="preserve">board </w:t>
      </w:r>
      <w:r w:rsidRPr="00C93791">
        <w:rPr>
          <w:noProof w:val="0"/>
        </w:rPr>
        <w:t>a revised</w:t>
      </w:r>
      <w:r w:rsidR="0094761E" w:rsidRPr="00C93791">
        <w:rPr>
          <w:noProof w:val="0"/>
        </w:rPr>
        <w:t xml:space="preserve"> risk register format </w:t>
      </w:r>
      <w:r w:rsidR="00752F5C" w:rsidRPr="00C93791">
        <w:rPr>
          <w:noProof w:val="0"/>
        </w:rPr>
        <w:t>which now</w:t>
      </w:r>
      <w:r w:rsidR="0094761E" w:rsidRPr="00C93791">
        <w:rPr>
          <w:noProof w:val="0"/>
        </w:rPr>
        <w:t xml:space="preserve"> </w:t>
      </w:r>
      <w:r w:rsidR="0010663C">
        <w:rPr>
          <w:noProof w:val="0"/>
        </w:rPr>
        <w:t xml:space="preserve">better distinguishes between the actions being taken to manage the </w:t>
      </w:r>
      <w:r w:rsidR="0010663C">
        <w:rPr>
          <w:noProof w:val="0"/>
        </w:rPr>
        <w:lastRenderedPageBreak/>
        <w:t>risk (the controls) and the assurance these controls are effective</w:t>
      </w:r>
      <w:r w:rsidR="003C45C9">
        <w:rPr>
          <w:noProof w:val="0"/>
        </w:rPr>
        <w:t xml:space="preserve"> (</w:t>
      </w:r>
      <w:r w:rsidR="0094761E" w:rsidRPr="00C93791">
        <w:rPr>
          <w:noProof w:val="0"/>
        </w:rPr>
        <w:t xml:space="preserve">based on the </w:t>
      </w:r>
      <w:r w:rsidR="000C10AD" w:rsidRPr="00C93791">
        <w:rPr>
          <w:noProof w:val="0"/>
        </w:rPr>
        <w:t>‘</w:t>
      </w:r>
      <w:r w:rsidR="0094761E" w:rsidRPr="00C93791">
        <w:rPr>
          <w:noProof w:val="0"/>
        </w:rPr>
        <w:t>three lines</w:t>
      </w:r>
      <w:r w:rsidR="003C45C9">
        <w:rPr>
          <w:noProof w:val="0"/>
        </w:rPr>
        <w:t xml:space="preserve"> of defence</w:t>
      </w:r>
      <w:r w:rsidR="000C10AD" w:rsidRPr="00C93791">
        <w:rPr>
          <w:noProof w:val="0"/>
        </w:rPr>
        <w:t>’</w:t>
      </w:r>
      <w:r w:rsidR="0094761E" w:rsidRPr="00C93791">
        <w:rPr>
          <w:noProof w:val="0"/>
        </w:rPr>
        <w:t xml:space="preserve"> model</w:t>
      </w:r>
      <w:r w:rsidR="003C45C9">
        <w:rPr>
          <w:noProof w:val="0"/>
        </w:rPr>
        <w:t>)</w:t>
      </w:r>
      <w:r w:rsidR="00871A5E" w:rsidRPr="00C93791">
        <w:rPr>
          <w:noProof w:val="0"/>
        </w:rPr>
        <w:t>.</w:t>
      </w:r>
      <w:r w:rsidR="0094761E" w:rsidRPr="00C93791">
        <w:rPr>
          <w:noProof w:val="0"/>
        </w:rPr>
        <w:t xml:space="preserve">  This work was in line with guidance in HM Treasury’s ‘orange book on risk management’</w:t>
      </w:r>
      <w:r w:rsidR="00752F5C" w:rsidRPr="00C93791">
        <w:rPr>
          <w:noProof w:val="0"/>
        </w:rPr>
        <w:t>.</w:t>
      </w:r>
    </w:p>
    <w:p w14:paraId="11DA7B1B" w14:textId="2B9A4DDB" w:rsidR="00B84A6C" w:rsidRPr="00C93791" w:rsidRDefault="00C909DF" w:rsidP="00B84A6C">
      <w:pPr>
        <w:pStyle w:val="NICEnormalnumbered"/>
        <w:rPr>
          <w:noProof w:val="0"/>
        </w:rPr>
      </w:pPr>
      <w:r w:rsidRPr="00C93791">
        <w:rPr>
          <w:noProof w:val="0"/>
        </w:rPr>
        <w:t>The committee reviews the strategic risks at each of its quarterly meetings and ensures it sets aside sufficient time to discuss the highest scoring risks and to consider any new emerging risks.</w:t>
      </w:r>
      <w:r w:rsidR="00634357" w:rsidRPr="00C93791">
        <w:rPr>
          <w:noProof w:val="0"/>
        </w:rPr>
        <w:t xml:space="preserve">  </w:t>
      </w:r>
      <w:r w:rsidR="000E5553">
        <w:rPr>
          <w:noProof w:val="0"/>
        </w:rPr>
        <w:t xml:space="preserve">The next steps for further improvement are to </w:t>
      </w:r>
      <w:r w:rsidR="005D3CB8">
        <w:rPr>
          <w:noProof w:val="0"/>
        </w:rPr>
        <w:t xml:space="preserve">clarify in the risk register which actions are the key priority for strengthening controls and </w:t>
      </w:r>
      <w:r w:rsidR="00B84A6C" w:rsidRPr="00C93791">
        <w:rPr>
          <w:noProof w:val="0"/>
        </w:rPr>
        <w:t>align</w:t>
      </w:r>
      <w:r w:rsidR="007B5571">
        <w:rPr>
          <w:noProof w:val="0"/>
        </w:rPr>
        <w:t>ing</w:t>
      </w:r>
      <w:r w:rsidR="00B84A6C" w:rsidRPr="00C93791">
        <w:rPr>
          <w:noProof w:val="0"/>
        </w:rPr>
        <w:t xml:space="preserve"> the </w:t>
      </w:r>
      <w:r w:rsidR="007B5571">
        <w:rPr>
          <w:noProof w:val="0"/>
        </w:rPr>
        <w:t xml:space="preserve">target </w:t>
      </w:r>
      <w:r w:rsidR="00B84A6C" w:rsidRPr="00C93791">
        <w:rPr>
          <w:noProof w:val="0"/>
        </w:rPr>
        <w:t>risk scores to the risk appetite statement.</w:t>
      </w:r>
    </w:p>
    <w:p w14:paraId="66EFB1DC" w14:textId="269B711D" w:rsidR="009A143F" w:rsidRPr="00C93791" w:rsidRDefault="002F7D02" w:rsidP="007B5571">
      <w:pPr>
        <w:pStyle w:val="NICEnormalnumbered"/>
        <w:rPr>
          <w:noProof w:val="0"/>
        </w:rPr>
      </w:pPr>
      <w:r>
        <w:rPr>
          <w:noProof w:val="0"/>
        </w:rPr>
        <w:t>The committee</w:t>
      </w:r>
      <w:r w:rsidR="00634357" w:rsidRPr="00C93791">
        <w:rPr>
          <w:noProof w:val="0"/>
        </w:rPr>
        <w:t xml:space="preserve"> also </w:t>
      </w:r>
      <w:r>
        <w:rPr>
          <w:noProof w:val="0"/>
        </w:rPr>
        <w:t xml:space="preserve">undertake </w:t>
      </w:r>
      <w:r w:rsidR="00E3740C" w:rsidRPr="00C93791">
        <w:rPr>
          <w:noProof w:val="0"/>
        </w:rPr>
        <w:t xml:space="preserve">a </w:t>
      </w:r>
      <w:r>
        <w:rPr>
          <w:noProof w:val="0"/>
        </w:rPr>
        <w:t>‘</w:t>
      </w:r>
      <w:r w:rsidR="00E3740C" w:rsidRPr="00C93791">
        <w:rPr>
          <w:noProof w:val="0"/>
        </w:rPr>
        <w:t>deep dive</w:t>
      </w:r>
      <w:r>
        <w:rPr>
          <w:noProof w:val="0"/>
        </w:rPr>
        <w:t>’</w:t>
      </w:r>
      <w:r w:rsidR="00634357" w:rsidRPr="00C93791">
        <w:rPr>
          <w:noProof w:val="0"/>
        </w:rPr>
        <w:t xml:space="preserve"> discussion </w:t>
      </w:r>
      <w:r w:rsidR="00D87690" w:rsidRPr="00C93791">
        <w:rPr>
          <w:noProof w:val="0"/>
        </w:rPr>
        <w:t>in the format of</w:t>
      </w:r>
      <w:r w:rsidR="00634357" w:rsidRPr="00C93791">
        <w:rPr>
          <w:noProof w:val="0"/>
        </w:rPr>
        <w:t xml:space="preserve"> a risk ‘bow tie’ which</w:t>
      </w:r>
      <w:r w:rsidR="0018610D" w:rsidRPr="00C93791">
        <w:rPr>
          <w:noProof w:val="0"/>
        </w:rPr>
        <w:t xml:space="preserve"> looks in detail at one of the highest rated risks by exploring the </w:t>
      </w:r>
      <w:r w:rsidR="00CF5BED" w:rsidRPr="00C93791">
        <w:rPr>
          <w:noProof w:val="0"/>
        </w:rPr>
        <w:t xml:space="preserve">causes and consequences of the risk.  </w:t>
      </w:r>
      <w:r w:rsidR="007B5571">
        <w:rPr>
          <w:noProof w:val="0"/>
        </w:rPr>
        <w:t xml:space="preserve">The use of the ‘bow tie’ tool and other improvements were informed by a board risk management session facilitated by </w:t>
      </w:r>
      <w:r w:rsidR="007B5571">
        <w:rPr>
          <w:rFonts w:cs="Arial"/>
          <w:noProof w:val="0"/>
        </w:rPr>
        <w:t xml:space="preserve">the </w:t>
      </w:r>
      <w:r w:rsidR="009A143F" w:rsidRPr="00C93791">
        <w:rPr>
          <w:rFonts w:cs="Arial"/>
          <w:noProof w:val="0"/>
        </w:rPr>
        <w:t>Chief Risk Officer at the M</w:t>
      </w:r>
      <w:r w:rsidR="007B5571">
        <w:rPr>
          <w:rFonts w:cs="Arial"/>
          <w:noProof w:val="0"/>
        </w:rPr>
        <w:t>inistry of Justice</w:t>
      </w:r>
      <w:r w:rsidR="00CA1C61">
        <w:rPr>
          <w:rFonts w:cs="Arial"/>
          <w:noProof w:val="0"/>
        </w:rPr>
        <w:t xml:space="preserve">, who will facilitate a </w:t>
      </w:r>
      <w:r w:rsidR="007B5571">
        <w:rPr>
          <w:rFonts w:cs="Arial"/>
          <w:noProof w:val="0"/>
        </w:rPr>
        <w:t xml:space="preserve">follow-up session in May 2024. </w:t>
      </w:r>
      <w:r w:rsidR="009A143F" w:rsidRPr="00C93791">
        <w:rPr>
          <w:rFonts w:cs="Arial"/>
          <w:noProof w:val="0"/>
        </w:rPr>
        <w:t xml:space="preserve"> </w:t>
      </w:r>
    </w:p>
    <w:p w14:paraId="5A53F809" w14:textId="388F1BB6" w:rsidR="00C50C3F" w:rsidRPr="007945BA" w:rsidRDefault="00C50C3F" w:rsidP="00C50C3F">
      <w:pPr>
        <w:pStyle w:val="Heading3"/>
      </w:pPr>
      <w:r w:rsidRPr="007945BA">
        <w:t>Declarations of interest</w:t>
      </w:r>
    </w:p>
    <w:p w14:paraId="227026DB" w14:textId="193AFFB7" w:rsidR="00C909DF" w:rsidRPr="00C93791" w:rsidRDefault="00C50C3F" w:rsidP="00F232B7">
      <w:pPr>
        <w:pStyle w:val="NICEnormalnumbered"/>
        <w:rPr>
          <w:noProof w:val="0"/>
        </w:rPr>
      </w:pPr>
      <w:r w:rsidRPr="00C93791">
        <w:rPr>
          <w:noProof w:val="0"/>
        </w:rPr>
        <w:t>NICE has two policies regarding declaring and managing interests</w:t>
      </w:r>
      <w:r w:rsidR="00595BB9">
        <w:rPr>
          <w:noProof w:val="0"/>
        </w:rPr>
        <w:t xml:space="preserve"> -</w:t>
      </w:r>
      <w:r w:rsidR="00BF31C5">
        <w:rPr>
          <w:noProof w:val="0"/>
        </w:rPr>
        <w:t xml:space="preserve"> </w:t>
      </w:r>
      <w:r w:rsidR="00601DEA">
        <w:rPr>
          <w:noProof w:val="0"/>
        </w:rPr>
        <w:t>o</w:t>
      </w:r>
      <w:r w:rsidRPr="00C93791">
        <w:rPr>
          <w:noProof w:val="0"/>
        </w:rPr>
        <w:t>ne for board members and employees, and one for the advisory committees. Both are reviewed every 3 years, with the scope for earlier reviews if necessary.</w:t>
      </w:r>
      <w:r w:rsidR="00E60B48" w:rsidRPr="00C93791">
        <w:rPr>
          <w:noProof w:val="0"/>
        </w:rPr>
        <w:t xml:space="preserve">  The latter is currently </w:t>
      </w:r>
      <w:r w:rsidR="00222C4D" w:rsidRPr="00222C4D">
        <w:rPr>
          <w:noProof w:val="0"/>
        </w:rPr>
        <w:t>under</w:t>
      </w:r>
      <w:r w:rsidR="00E60B48" w:rsidRPr="00C93791">
        <w:rPr>
          <w:noProof w:val="0"/>
        </w:rPr>
        <w:t xml:space="preserve"> review</w:t>
      </w:r>
      <w:r w:rsidR="00420835" w:rsidRPr="00C93791">
        <w:rPr>
          <w:noProof w:val="0"/>
        </w:rPr>
        <w:t>.</w:t>
      </w:r>
    </w:p>
    <w:p w14:paraId="344479A3" w14:textId="3460CEBA" w:rsidR="00C50C3F" w:rsidRPr="00C93791" w:rsidRDefault="00C50C3F" w:rsidP="00F232B7">
      <w:pPr>
        <w:pStyle w:val="NICEnormalnumbered"/>
        <w:rPr>
          <w:noProof w:val="0"/>
        </w:rPr>
      </w:pPr>
      <w:r w:rsidRPr="00C93791">
        <w:rPr>
          <w:noProof w:val="0"/>
          <w:color w:val="000000" w:themeColor="text1"/>
        </w:rPr>
        <w:t>The</w:t>
      </w:r>
      <w:r w:rsidR="0066672F" w:rsidRPr="00C93791">
        <w:rPr>
          <w:noProof w:val="0"/>
          <w:color w:val="000000" w:themeColor="text1"/>
        </w:rPr>
        <w:t xml:space="preserve"> committee was advised </w:t>
      </w:r>
      <w:r w:rsidR="00222C4D">
        <w:rPr>
          <w:noProof w:val="0"/>
          <w:color w:val="000000" w:themeColor="text1"/>
        </w:rPr>
        <w:t>that no</w:t>
      </w:r>
      <w:r w:rsidRPr="00C93791">
        <w:rPr>
          <w:noProof w:val="0"/>
          <w:color w:val="000000" w:themeColor="text1"/>
        </w:rPr>
        <w:t xml:space="preserve"> breach</w:t>
      </w:r>
      <w:r w:rsidR="00041FE6" w:rsidRPr="00C93791">
        <w:rPr>
          <w:noProof w:val="0"/>
          <w:color w:val="000000" w:themeColor="text1"/>
        </w:rPr>
        <w:t>es</w:t>
      </w:r>
      <w:r w:rsidRPr="00C93791">
        <w:rPr>
          <w:noProof w:val="0"/>
          <w:color w:val="000000" w:themeColor="text1"/>
        </w:rPr>
        <w:t xml:space="preserve"> of the polic</w:t>
      </w:r>
      <w:r w:rsidR="00041FE6" w:rsidRPr="00C93791">
        <w:rPr>
          <w:noProof w:val="0"/>
          <w:color w:val="000000" w:themeColor="text1"/>
        </w:rPr>
        <w:t>ies</w:t>
      </w:r>
      <w:r w:rsidRPr="00C93791">
        <w:rPr>
          <w:noProof w:val="0"/>
          <w:color w:val="000000" w:themeColor="text1"/>
        </w:rPr>
        <w:t xml:space="preserve"> </w:t>
      </w:r>
      <w:r w:rsidR="00222C4D">
        <w:rPr>
          <w:noProof w:val="0"/>
          <w:color w:val="000000" w:themeColor="text1"/>
        </w:rPr>
        <w:t xml:space="preserve">had been </w:t>
      </w:r>
      <w:r w:rsidRPr="00C93791">
        <w:rPr>
          <w:noProof w:val="0"/>
          <w:color w:val="000000" w:themeColor="text1"/>
        </w:rPr>
        <w:t>identified during the year.</w:t>
      </w:r>
    </w:p>
    <w:p w14:paraId="0577A5EF" w14:textId="19AD38A9" w:rsidR="00C50C3F" w:rsidRPr="007945BA" w:rsidRDefault="00C50C3F" w:rsidP="00C50C3F">
      <w:pPr>
        <w:pStyle w:val="Heading3"/>
      </w:pPr>
      <w:r w:rsidRPr="007945BA">
        <w:t>Government functional standards</w:t>
      </w:r>
    </w:p>
    <w:p w14:paraId="2EC31751" w14:textId="0B713BAF" w:rsidR="006045AC" w:rsidRPr="00B10D28" w:rsidRDefault="003B1504" w:rsidP="006045AC">
      <w:pPr>
        <w:pStyle w:val="NICEnormalnumbered"/>
        <w:rPr>
          <w:noProof w:val="0"/>
        </w:rPr>
      </w:pPr>
      <w:r w:rsidRPr="00C93791">
        <w:rPr>
          <w:noProof w:val="0"/>
        </w:rPr>
        <w:t>A</w:t>
      </w:r>
      <w:r w:rsidR="00B3386C" w:rsidRPr="00C93791">
        <w:rPr>
          <w:noProof w:val="0"/>
        </w:rPr>
        <w:t xml:space="preserve">ll </w:t>
      </w:r>
      <w:r w:rsidR="00222C4D" w:rsidRPr="00222C4D">
        <w:rPr>
          <w:noProof w:val="0"/>
        </w:rPr>
        <w:t>government</w:t>
      </w:r>
      <w:r w:rsidR="00F67F0B" w:rsidRPr="00C93791">
        <w:rPr>
          <w:noProof w:val="0"/>
        </w:rPr>
        <w:t xml:space="preserve"> departments and their ALBs </w:t>
      </w:r>
      <w:r w:rsidR="006045AC">
        <w:rPr>
          <w:noProof w:val="0"/>
        </w:rPr>
        <w:t xml:space="preserve">were </w:t>
      </w:r>
      <w:r w:rsidR="00CA1C61">
        <w:rPr>
          <w:noProof w:val="0"/>
        </w:rPr>
        <w:t xml:space="preserve">previously </w:t>
      </w:r>
      <w:r w:rsidRPr="00C93791">
        <w:rPr>
          <w:noProof w:val="0"/>
        </w:rPr>
        <w:t>instr</w:t>
      </w:r>
      <w:r w:rsidR="005B7F96" w:rsidRPr="00C93791">
        <w:rPr>
          <w:noProof w:val="0"/>
        </w:rPr>
        <w:t xml:space="preserve">ucted that they </w:t>
      </w:r>
      <w:r w:rsidR="00F67F0B" w:rsidRPr="00C93791">
        <w:rPr>
          <w:noProof w:val="0"/>
        </w:rPr>
        <w:t>sh</w:t>
      </w:r>
      <w:r w:rsidR="00B3386C" w:rsidRPr="00C93791">
        <w:rPr>
          <w:noProof w:val="0"/>
        </w:rPr>
        <w:t xml:space="preserve">ould at least meet the mandatory (‘shall’) elements of each </w:t>
      </w:r>
      <w:r w:rsidR="00A77FD9" w:rsidRPr="00C93791">
        <w:rPr>
          <w:noProof w:val="0"/>
        </w:rPr>
        <w:t xml:space="preserve">functional </w:t>
      </w:r>
      <w:r w:rsidR="00B3386C" w:rsidRPr="00C93791">
        <w:rPr>
          <w:noProof w:val="0"/>
        </w:rPr>
        <w:t>standard</w:t>
      </w:r>
      <w:r w:rsidR="00A77FD9" w:rsidRPr="00C93791">
        <w:rPr>
          <w:noProof w:val="0"/>
        </w:rPr>
        <w:t xml:space="preserve"> (FS)</w:t>
      </w:r>
      <w:r w:rsidR="00B3386C" w:rsidRPr="00C93791">
        <w:rPr>
          <w:noProof w:val="0"/>
        </w:rPr>
        <w:t xml:space="preserve"> </w:t>
      </w:r>
      <w:r w:rsidR="006E4DC0" w:rsidRPr="00C93791">
        <w:rPr>
          <w:noProof w:val="0"/>
        </w:rPr>
        <w:t>and be working towards the advisory (‘should’) standards</w:t>
      </w:r>
      <w:r w:rsidR="00B3386C" w:rsidRPr="00C93791">
        <w:rPr>
          <w:noProof w:val="0"/>
        </w:rPr>
        <w:t xml:space="preserve">.  </w:t>
      </w:r>
      <w:r w:rsidR="006045AC">
        <w:rPr>
          <w:noProof w:val="0"/>
        </w:rPr>
        <w:t xml:space="preserve">Subsequently we were advised by the DHSC sponsor team that </w:t>
      </w:r>
      <w:r w:rsidR="006045AC" w:rsidRPr="00B10D28">
        <w:rPr>
          <w:noProof w:val="0"/>
        </w:rPr>
        <w:t xml:space="preserve">NICE </w:t>
      </w:r>
      <w:r w:rsidR="006045AC" w:rsidRPr="00B10D28">
        <w:rPr>
          <w:bCs/>
          <w:noProof w:val="0"/>
        </w:rPr>
        <w:t xml:space="preserve">should give due regard to the relevant functional standards as appropriate, </w:t>
      </w:r>
      <w:proofErr w:type="gramStart"/>
      <w:r w:rsidR="006045AC" w:rsidRPr="00B10D28">
        <w:rPr>
          <w:bCs/>
          <w:noProof w:val="0"/>
        </w:rPr>
        <w:t>in particular</w:t>
      </w:r>
      <w:proofErr w:type="gramEnd"/>
      <w:r w:rsidR="006045AC" w:rsidRPr="00B10D28">
        <w:rPr>
          <w:bCs/>
          <w:noProof w:val="0"/>
        </w:rPr>
        <w:t xml:space="preserve"> those relating to finance, commercial and counter fraud.</w:t>
      </w:r>
    </w:p>
    <w:p w14:paraId="06D258F9" w14:textId="7308024C" w:rsidR="00C50C3F" w:rsidRPr="00C93791" w:rsidRDefault="00F67F0B" w:rsidP="00F232B7">
      <w:pPr>
        <w:pStyle w:val="NICEnormalnumbered"/>
        <w:rPr>
          <w:noProof w:val="0"/>
        </w:rPr>
      </w:pPr>
      <w:r w:rsidRPr="00C93791">
        <w:rPr>
          <w:noProof w:val="0"/>
        </w:rPr>
        <w:t xml:space="preserve">NICE has a nominated director and senior lead responsible for ensuring compliance with the standards, </w:t>
      </w:r>
      <w:r w:rsidR="00A77FD9" w:rsidRPr="00C93791">
        <w:rPr>
          <w:noProof w:val="0"/>
        </w:rPr>
        <w:t xml:space="preserve">and that this is proportionate to NICE’s size and </w:t>
      </w:r>
      <w:r w:rsidR="00F259A1" w:rsidRPr="00C93791">
        <w:rPr>
          <w:noProof w:val="0"/>
        </w:rPr>
        <w:lastRenderedPageBreak/>
        <w:t>remit and</w:t>
      </w:r>
      <w:r w:rsidR="00A77FD9" w:rsidRPr="00C93791">
        <w:rPr>
          <w:noProof w:val="0"/>
        </w:rPr>
        <w:t xml:space="preserve"> used to drive continuous improvement over time.  Self-assessments have been completed against </w:t>
      </w:r>
      <w:r w:rsidR="002D41FB" w:rsidRPr="00C93791">
        <w:rPr>
          <w:noProof w:val="0"/>
        </w:rPr>
        <w:t>11</w:t>
      </w:r>
      <w:r w:rsidR="00A77FD9" w:rsidRPr="00C93791">
        <w:rPr>
          <w:noProof w:val="0"/>
        </w:rPr>
        <w:t xml:space="preserve"> of the </w:t>
      </w:r>
      <w:r w:rsidR="002D41FB" w:rsidRPr="00C93791">
        <w:rPr>
          <w:noProof w:val="0"/>
        </w:rPr>
        <w:t>1</w:t>
      </w:r>
      <w:r w:rsidR="00761641">
        <w:rPr>
          <w:noProof w:val="0"/>
        </w:rPr>
        <w:t>3</w:t>
      </w:r>
      <w:r w:rsidR="002D41FB" w:rsidRPr="00C93791">
        <w:rPr>
          <w:noProof w:val="0"/>
        </w:rPr>
        <w:t xml:space="preserve"> </w:t>
      </w:r>
      <w:r w:rsidR="00A77FD9" w:rsidRPr="00C93791">
        <w:rPr>
          <w:noProof w:val="0"/>
        </w:rPr>
        <w:t>applicable standards.  As of 31 March 202</w:t>
      </w:r>
      <w:r w:rsidR="002D41FB" w:rsidRPr="00C93791">
        <w:rPr>
          <w:noProof w:val="0"/>
        </w:rPr>
        <w:t>4</w:t>
      </w:r>
      <w:r w:rsidR="00A77FD9" w:rsidRPr="00C93791">
        <w:rPr>
          <w:noProof w:val="0"/>
        </w:rPr>
        <w:t xml:space="preserve">, </w:t>
      </w:r>
      <w:r w:rsidR="00A37032">
        <w:rPr>
          <w:noProof w:val="0"/>
        </w:rPr>
        <w:t>two</w:t>
      </w:r>
      <w:r w:rsidR="001D485D" w:rsidRPr="00C93791">
        <w:rPr>
          <w:noProof w:val="0"/>
        </w:rPr>
        <w:t xml:space="preserve"> self-assessment</w:t>
      </w:r>
      <w:r w:rsidR="00697BEF">
        <w:rPr>
          <w:noProof w:val="0"/>
        </w:rPr>
        <w:t>s</w:t>
      </w:r>
      <w:r w:rsidR="001D485D" w:rsidRPr="00C93791">
        <w:rPr>
          <w:noProof w:val="0"/>
        </w:rPr>
        <w:t xml:space="preserve"> </w:t>
      </w:r>
      <w:r w:rsidR="00A37032">
        <w:rPr>
          <w:noProof w:val="0"/>
        </w:rPr>
        <w:t>are</w:t>
      </w:r>
      <w:r w:rsidR="001D485D" w:rsidRPr="00C93791">
        <w:rPr>
          <w:noProof w:val="0"/>
        </w:rPr>
        <w:t xml:space="preserve"> still to be completed</w:t>
      </w:r>
      <w:r w:rsidR="00252AD1">
        <w:rPr>
          <w:noProof w:val="0"/>
        </w:rPr>
        <w:t xml:space="preserve">, </w:t>
      </w:r>
      <w:r w:rsidR="000660F5">
        <w:rPr>
          <w:noProof w:val="0"/>
        </w:rPr>
        <w:t>‘h</w:t>
      </w:r>
      <w:r w:rsidR="00252AD1">
        <w:rPr>
          <w:noProof w:val="0"/>
        </w:rPr>
        <w:t xml:space="preserve">uman </w:t>
      </w:r>
      <w:r w:rsidR="000660F5">
        <w:rPr>
          <w:noProof w:val="0"/>
        </w:rPr>
        <w:t>r</w:t>
      </w:r>
      <w:r w:rsidR="00252AD1">
        <w:rPr>
          <w:noProof w:val="0"/>
        </w:rPr>
        <w:t>esources</w:t>
      </w:r>
      <w:r w:rsidR="000660F5">
        <w:rPr>
          <w:noProof w:val="0"/>
        </w:rPr>
        <w:t>’</w:t>
      </w:r>
      <w:r w:rsidR="00252AD1">
        <w:rPr>
          <w:noProof w:val="0"/>
        </w:rPr>
        <w:t xml:space="preserve"> and </w:t>
      </w:r>
      <w:r w:rsidR="000660F5">
        <w:rPr>
          <w:noProof w:val="0"/>
        </w:rPr>
        <w:t>‘</w:t>
      </w:r>
      <w:proofErr w:type="gramStart"/>
      <w:r w:rsidR="000660F5">
        <w:rPr>
          <w:noProof w:val="0"/>
        </w:rPr>
        <w:t>d</w:t>
      </w:r>
      <w:r w:rsidR="00252AD1">
        <w:rPr>
          <w:noProof w:val="0"/>
        </w:rPr>
        <w:t>ebts</w:t>
      </w:r>
      <w:r w:rsidR="000660F5">
        <w:rPr>
          <w:noProof w:val="0"/>
        </w:rPr>
        <w:t>’</w:t>
      </w:r>
      <w:proofErr w:type="gramEnd"/>
      <w:r w:rsidR="00252AD1">
        <w:rPr>
          <w:noProof w:val="0"/>
        </w:rPr>
        <w:t xml:space="preserve">.  The </w:t>
      </w:r>
      <w:r w:rsidR="000660F5">
        <w:rPr>
          <w:noProof w:val="0"/>
        </w:rPr>
        <w:t xml:space="preserve">‘grants’ </w:t>
      </w:r>
      <w:r w:rsidR="00252AD1">
        <w:rPr>
          <w:noProof w:val="0"/>
        </w:rPr>
        <w:t>standard is</w:t>
      </w:r>
      <w:r w:rsidR="00C64148" w:rsidRPr="00C93791">
        <w:rPr>
          <w:noProof w:val="0"/>
        </w:rPr>
        <w:t xml:space="preserve"> not applicable </w:t>
      </w:r>
      <w:r w:rsidR="000660F5">
        <w:rPr>
          <w:noProof w:val="0"/>
        </w:rPr>
        <w:t>to NICE.</w:t>
      </w:r>
    </w:p>
    <w:p w14:paraId="1548DB8C" w14:textId="120B6019" w:rsidR="006B7413" w:rsidRPr="00C93791" w:rsidRDefault="006B7413" w:rsidP="00F232B7">
      <w:pPr>
        <w:pStyle w:val="NICEnormalnumbered"/>
        <w:rPr>
          <w:noProof w:val="0"/>
        </w:rPr>
      </w:pPr>
      <w:r w:rsidRPr="00C93791">
        <w:rPr>
          <w:noProof w:val="0"/>
        </w:rPr>
        <w:t>A f</w:t>
      </w:r>
      <w:r w:rsidR="00A77FD9" w:rsidRPr="00C93791">
        <w:rPr>
          <w:noProof w:val="0"/>
        </w:rPr>
        <w:t>ormal</w:t>
      </w:r>
      <w:r w:rsidRPr="00C93791">
        <w:rPr>
          <w:noProof w:val="0"/>
        </w:rPr>
        <w:t xml:space="preserve"> </w:t>
      </w:r>
      <w:r w:rsidR="00A77FD9" w:rsidRPr="00C93791">
        <w:rPr>
          <w:noProof w:val="0"/>
        </w:rPr>
        <w:t xml:space="preserve">external assessment of NICE’s compliance with </w:t>
      </w:r>
      <w:r w:rsidR="007A41B3" w:rsidRPr="00C93791">
        <w:rPr>
          <w:noProof w:val="0"/>
        </w:rPr>
        <w:t xml:space="preserve">the counter fraud </w:t>
      </w:r>
      <w:r w:rsidR="00A77FD9" w:rsidRPr="00C93791">
        <w:rPr>
          <w:noProof w:val="0"/>
        </w:rPr>
        <w:t xml:space="preserve">standard </w:t>
      </w:r>
      <w:r w:rsidR="007A41B3" w:rsidRPr="00C93791">
        <w:rPr>
          <w:noProof w:val="0"/>
        </w:rPr>
        <w:t>was undertaken by the DHSC and a peer group of ALB rep</w:t>
      </w:r>
      <w:r w:rsidR="00AB0936">
        <w:rPr>
          <w:noProof w:val="0"/>
        </w:rPr>
        <w:t>resentatives</w:t>
      </w:r>
      <w:r w:rsidRPr="00C93791">
        <w:rPr>
          <w:noProof w:val="0"/>
        </w:rPr>
        <w:t xml:space="preserve"> in November 2023</w:t>
      </w:r>
      <w:r w:rsidR="00AD0F6C" w:rsidRPr="00C93791">
        <w:rPr>
          <w:noProof w:val="0"/>
        </w:rPr>
        <w:t>.  The outcome</w:t>
      </w:r>
      <w:r w:rsidRPr="00C93791">
        <w:rPr>
          <w:noProof w:val="0"/>
        </w:rPr>
        <w:t xml:space="preserve"> confirmed that NICE was complia</w:t>
      </w:r>
      <w:r w:rsidR="00AD0F6C" w:rsidRPr="00C93791">
        <w:rPr>
          <w:noProof w:val="0"/>
        </w:rPr>
        <w:t>n</w:t>
      </w:r>
      <w:r w:rsidRPr="00C93791">
        <w:rPr>
          <w:noProof w:val="0"/>
        </w:rPr>
        <w:t xml:space="preserve">t against all 12 </w:t>
      </w:r>
      <w:r w:rsidR="0092569F" w:rsidRPr="00C93791">
        <w:rPr>
          <w:noProof w:val="0"/>
        </w:rPr>
        <w:t xml:space="preserve">mandatory </w:t>
      </w:r>
      <w:r w:rsidRPr="00C93791">
        <w:rPr>
          <w:noProof w:val="0"/>
        </w:rPr>
        <w:t>principles</w:t>
      </w:r>
      <w:r w:rsidR="007A41B3" w:rsidRPr="00C93791">
        <w:rPr>
          <w:noProof w:val="0"/>
        </w:rPr>
        <w:t xml:space="preserve">.  </w:t>
      </w:r>
    </w:p>
    <w:p w14:paraId="07D2E70C" w14:textId="7D3B6772" w:rsidR="00C50C3F" w:rsidRPr="00C93791" w:rsidRDefault="00A77FD9" w:rsidP="00F232B7">
      <w:pPr>
        <w:pStyle w:val="NICEnormalnumbered"/>
        <w:rPr>
          <w:noProof w:val="0"/>
        </w:rPr>
      </w:pPr>
      <w:r w:rsidRPr="00C93791">
        <w:rPr>
          <w:noProof w:val="0"/>
        </w:rPr>
        <w:t xml:space="preserve">The committee will continue to </w:t>
      </w:r>
      <w:r w:rsidR="00DF215A">
        <w:rPr>
          <w:noProof w:val="0"/>
        </w:rPr>
        <w:t>review compliance with</w:t>
      </w:r>
      <w:r w:rsidRPr="00C93791">
        <w:rPr>
          <w:noProof w:val="0"/>
        </w:rPr>
        <w:t xml:space="preserve"> the function</w:t>
      </w:r>
      <w:r w:rsidR="004979E5" w:rsidRPr="00C93791">
        <w:rPr>
          <w:noProof w:val="0"/>
        </w:rPr>
        <w:t>al</w:t>
      </w:r>
      <w:r w:rsidRPr="00C93791">
        <w:rPr>
          <w:noProof w:val="0"/>
        </w:rPr>
        <w:t xml:space="preserve"> standards</w:t>
      </w:r>
      <w:r w:rsidR="00254083" w:rsidRPr="00C93791">
        <w:rPr>
          <w:noProof w:val="0"/>
        </w:rPr>
        <w:t>, particularly finance, commercial and counter</w:t>
      </w:r>
      <w:r w:rsidR="00DF215A">
        <w:rPr>
          <w:noProof w:val="0"/>
        </w:rPr>
        <w:t xml:space="preserve"> </w:t>
      </w:r>
      <w:r w:rsidR="00254083" w:rsidRPr="00C93791">
        <w:rPr>
          <w:noProof w:val="0"/>
        </w:rPr>
        <w:t xml:space="preserve">fraud, </w:t>
      </w:r>
      <w:proofErr w:type="gramStart"/>
      <w:r w:rsidR="00254083" w:rsidRPr="00C93791">
        <w:rPr>
          <w:noProof w:val="0"/>
        </w:rPr>
        <w:t>and also</w:t>
      </w:r>
      <w:proofErr w:type="gramEnd"/>
      <w:r w:rsidR="00254083" w:rsidRPr="00C93791">
        <w:rPr>
          <w:noProof w:val="0"/>
        </w:rPr>
        <w:t xml:space="preserve"> be advised of any significant developments in this area</w:t>
      </w:r>
      <w:r w:rsidR="00DF215A">
        <w:rPr>
          <w:noProof w:val="0"/>
        </w:rPr>
        <w:t xml:space="preserve">. </w:t>
      </w:r>
    </w:p>
    <w:p w14:paraId="62B2D980" w14:textId="4CEC496F" w:rsidR="00C50C3F" w:rsidRPr="007945BA" w:rsidRDefault="00B332FC" w:rsidP="00B332FC">
      <w:pPr>
        <w:pStyle w:val="Heading3"/>
      </w:pPr>
      <w:r w:rsidRPr="007945BA">
        <w:t xml:space="preserve">Counter fraud, bribery and </w:t>
      </w:r>
      <w:proofErr w:type="gramStart"/>
      <w:r w:rsidRPr="007945BA">
        <w:t>corruption</w:t>
      </w:r>
      <w:proofErr w:type="gramEnd"/>
    </w:p>
    <w:p w14:paraId="191CF2D3" w14:textId="786CD8C9" w:rsidR="007B7208" w:rsidRPr="00C93791" w:rsidRDefault="009B003D" w:rsidP="00F232B7">
      <w:pPr>
        <w:pStyle w:val="NICEnormalnumbered"/>
        <w:rPr>
          <w:noProof w:val="0"/>
        </w:rPr>
      </w:pPr>
      <w:r w:rsidRPr="00C93791">
        <w:rPr>
          <w:noProof w:val="0"/>
        </w:rPr>
        <w:t>NICE has a counter fraud, bribery and corruption strategy and response plan which is aligned to the counter fraud functional standard and a mandatory fraud awareness staff training course</w:t>
      </w:r>
      <w:r w:rsidR="00FA69F6" w:rsidRPr="00C93791">
        <w:rPr>
          <w:noProof w:val="0"/>
        </w:rPr>
        <w:t xml:space="preserve"> (with approx</w:t>
      </w:r>
      <w:r w:rsidR="00DF215A">
        <w:rPr>
          <w:noProof w:val="0"/>
        </w:rPr>
        <w:t>imately</w:t>
      </w:r>
      <w:r w:rsidR="00FA69F6" w:rsidRPr="00C93791">
        <w:rPr>
          <w:noProof w:val="0"/>
        </w:rPr>
        <w:t xml:space="preserve"> 90</w:t>
      </w:r>
      <w:r w:rsidR="00413858" w:rsidRPr="00C93791">
        <w:rPr>
          <w:noProof w:val="0"/>
        </w:rPr>
        <w:t>% completion rate throughout the year)</w:t>
      </w:r>
      <w:r w:rsidRPr="00C93791">
        <w:rPr>
          <w:noProof w:val="0"/>
        </w:rPr>
        <w:t xml:space="preserve">.  </w:t>
      </w:r>
      <w:r w:rsidR="007B7208" w:rsidRPr="00C93791">
        <w:rPr>
          <w:rFonts w:cs="Arial"/>
          <w:noProof w:val="0"/>
        </w:rPr>
        <w:t>There were no incidents of fraud, bribery or corruption detected during the 202</w:t>
      </w:r>
      <w:r w:rsidR="00FF22AA" w:rsidRPr="00C93791">
        <w:rPr>
          <w:rFonts w:cs="Arial"/>
          <w:noProof w:val="0"/>
        </w:rPr>
        <w:t>3</w:t>
      </w:r>
      <w:r w:rsidR="007B7208" w:rsidRPr="00C93791">
        <w:rPr>
          <w:rFonts w:cs="Arial"/>
          <w:noProof w:val="0"/>
        </w:rPr>
        <w:t>/2</w:t>
      </w:r>
      <w:r w:rsidR="00FF22AA" w:rsidRPr="00C93791">
        <w:rPr>
          <w:rFonts w:cs="Arial"/>
          <w:noProof w:val="0"/>
        </w:rPr>
        <w:t>4</w:t>
      </w:r>
      <w:r w:rsidR="007B7208" w:rsidRPr="00C93791">
        <w:rPr>
          <w:rFonts w:cs="Arial"/>
          <w:noProof w:val="0"/>
        </w:rPr>
        <w:t xml:space="preserve"> financial year.</w:t>
      </w:r>
    </w:p>
    <w:p w14:paraId="6A5EA8A6" w14:textId="7AEA1736" w:rsidR="00B332FC" w:rsidRPr="00C93791" w:rsidRDefault="00FF22AA" w:rsidP="00F232B7">
      <w:pPr>
        <w:pStyle w:val="NICEnormalnumbered"/>
        <w:rPr>
          <w:noProof w:val="0"/>
        </w:rPr>
      </w:pPr>
      <w:r w:rsidRPr="00C93791">
        <w:rPr>
          <w:noProof w:val="0"/>
        </w:rPr>
        <w:t>As mentioned above,</w:t>
      </w:r>
      <w:r w:rsidR="009B003D" w:rsidRPr="00C93791">
        <w:rPr>
          <w:noProof w:val="0"/>
        </w:rPr>
        <w:t xml:space="preserve"> a DHSC </w:t>
      </w:r>
      <w:r w:rsidRPr="00C93791">
        <w:rPr>
          <w:noProof w:val="0"/>
        </w:rPr>
        <w:t xml:space="preserve">and ALB </w:t>
      </w:r>
      <w:r w:rsidR="009B003D" w:rsidRPr="00C93791">
        <w:rPr>
          <w:noProof w:val="0"/>
        </w:rPr>
        <w:t xml:space="preserve">peer </w:t>
      </w:r>
      <w:r w:rsidRPr="00C93791">
        <w:rPr>
          <w:noProof w:val="0"/>
        </w:rPr>
        <w:t xml:space="preserve">group </w:t>
      </w:r>
      <w:r w:rsidR="009B003D" w:rsidRPr="00C93791">
        <w:rPr>
          <w:noProof w:val="0"/>
        </w:rPr>
        <w:t xml:space="preserve">review </w:t>
      </w:r>
      <w:r w:rsidR="00FE17D4" w:rsidRPr="00C93791">
        <w:rPr>
          <w:noProof w:val="0"/>
        </w:rPr>
        <w:t xml:space="preserve">assessed </w:t>
      </w:r>
      <w:r w:rsidR="009B003D" w:rsidRPr="00C93791">
        <w:rPr>
          <w:noProof w:val="0"/>
        </w:rPr>
        <w:t>NICE</w:t>
      </w:r>
      <w:r w:rsidR="00FE17D4" w:rsidRPr="00C93791">
        <w:rPr>
          <w:noProof w:val="0"/>
        </w:rPr>
        <w:t xml:space="preserve"> as</w:t>
      </w:r>
      <w:r w:rsidR="009B003D" w:rsidRPr="00C93791">
        <w:rPr>
          <w:noProof w:val="0"/>
        </w:rPr>
        <w:t xml:space="preserve"> complian</w:t>
      </w:r>
      <w:r w:rsidR="00FE17D4" w:rsidRPr="00C93791">
        <w:rPr>
          <w:noProof w:val="0"/>
        </w:rPr>
        <w:t>t</w:t>
      </w:r>
      <w:r w:rsidR="009B003D" w:rsidRPr="00C93791">
        <w:rPr>
          <w:noProof w:val="0"/>
        </w:rPr>
        <w:t xml:space="preserve"> with the </w:t>
      </w:r>
      <w:r w:rsidR="00FE17D4" w:rsidRPr="00C93791">
        <w:rPr>
          <w:noProof w:val="0"/>
        </w:rPr>
        <w:t xml:space="preserve">mandatory elements of the </w:t>
      </w:r>
      <w:r w:rsidR="009B003D" w:rsidRPr="00C93791">
        <w:rPr>
          <w:noProof w:val="0"/>
        </w:rPr>
        <w:t>functional standard</w:t>
      </w:r>
      <w:r w:rsidR="00FE17D4" w:rsidRPr="00C93791">
        <w:rPr>
          <w:noProof w:val="0"/>
        </w:rPr>
        <w:t xml:space="preserve">.  The </w:t>
      </w:r>
      <w:r w:rsidR="00880A47" w:rsidRPr="00C93791">
        <w:rPr>
          <w:noProof w:val="0"/>
        </w:rPr>
        <w:t xml:space="preserve">Cabinet Office has developed a continuous improvement assessment framework </w:t>
      </w:r>
      <w:r w:rsidR="005A4778" w:rsidRPr="00C93791">
        <w:rPr>
          <w:noProof w:val="0"/>
        </w:rPr>
        <w:t xml:space="preserve">(CIAF) </w:t>
      </w:r>
      <w:r w:rsidR="00880A47" w:rsidRPr="00C93791">
        <w:rPr>
          <w:noProof w:val="0"/>
        </w:rPr>
        <w:t xml:space="preserve">for organisations to self-assess against the </w:t>
      </w:r>
      <w:r w:rsidR="003A353C" w:rsidRPr="00C93791">
        <w:rPr>
          <w:noProof w:val="0"/>
        </w:rPr>
        <w:t>advisory elements, but this has not yet been published</w:t>
      </w:r>
      <w:r w:rsidR="007B415D" w:rsidRPr="00C93791">
        <w:rPr>
          <w:noProof w:val="0"/>
        </w:rPr>
        <w:t xml:space="preserve">.  It </w:t>
      </w:r>
      <w:r w:rsidR="002B4C00" w:rsidRPr="00C93791">
        <w:rPr>
          <w:noProof w:val="0"/>
        </w:rPr>
        <w:t>was</w:t>
      </w:r>
      <w:r w:rsidR="007B415D" w:rsidRPr="00C93791">
        <w:rPr>
          <w:noProof w:val="0"/>
        </w:rPr>
        <w:t xml:space="preserve"> being trialled with some Government departments</w:t>
      </w:r>
      <w:r w:rsidR="002B4C00" w:rsidRPr="00C93791">
        <w:rPr>
          <w:noProof w:val="0"/>
        </w:rPr>
        <w:t xml:space="preserve"> last year and is expected to be</w:t>
      </w:r>
      <w:r w:rsidR="00E676EF" w:rsidRPr="00C93791">
        <w:rPr>
          <w:noProof w:val="0"/>
        </w:rPr>
        <w:t xml:space="preserve"> rolled out in 2024/25.</w:t>
      </w:r>
    </w:p>
    <w:p w14:paraId="76001449" w14:textId="60915722" w:rsidR="004707FD" w:rsidRPr="00C93791" w:rsidRDefault="00F02AD7" w:rsidP="00F232B7">
      <w:pPr>
        <w:pStyle w:val="NICEnormalnumbered"/>
        <w:rPr>
          <w:noProof w:val="0"/>
        </w:rPr>
      </w:pPr>
      <w:r w:rsidRPr="00C93791">
        <w:rPr>
          <w:noProof w:val="0"/>
        </w:rPr>
        <w:t>N</w:t>
      </w:r>
      <w:r w:rsidR="004707FD" w:rsidRPr="00C93791">
        <w:rPr>
          <w:noProof w:val="0"/>
        </w:rPr>
        <w:t>ICE t</w:t>
      </w:r>
      <w:r w:rsidRPr="00C93791">
        <w:rPr>
          <w:noProof w:val="0"/>
        </w:rPr>
        <w:t>a</w:t>
      </w:r>
      <w:r w:rsidR="004707FD" w:rsidRPr="00C93791">
        <w:rPr>
          <w:noProof w:val="0"/>
        </w:rPr>
        <w:t>k</w:t>
      </w:r>
      <w:r w:rsidRPr="00C93791">
        <w:rPr>
          <w:noProof w:val="0"/>
        </w:rPr>
        <w:t>es</w:t>
      </w:r>
      <w:r w:rsidR="004707FD" w:rsidRPr="00C93791">
        <w:rPr>
          <w:noProof w:val="0"/>
        </w:rPr>
        <w:t xml:space="preserve"> part </w:t>
      </w:r>
      <w:r w:rsidRPr="00C93791">
        <w:rPr>
          <w:noProof w:val="0"/>
        </w:rPr>
        <w:t>in</w:t>
      </w:r>
      <w:r w:rsidR="004707FD" w:rsidRPr="00C93791">
        <w:rPr>
          <w:noProof w:val="0"/>
        </w:rPr>
        <w:t xml:space="preserve"> the Government’s National Fraud Initiative as part of the action plan to improve the detection and reporting of fraud.  </w:t>
      </w:r>
      <w:r w:rsidR="00DF215A">
        <w:rPr>
          <w:noProof w:val="0"/>
        </w:rPr>
        <w:t xml:space="preserve">No issues of </w:t>
      </w:r>
      <w:r w:rsidR="00B715CA">
        <w:rPr>
          <w:noProof w:val="0"/>
        </w:rPr>
        <w:t xml:space="preserve">concern were identified following the exercise. </w:t>
      </w:r>
      <w:r w:rsidR="00047CF4" w:rsidRPr="00C93791">
        <w:rPr>
          <w:noProof w:val="0"/>
        </w:rPr>
        <w:t>The NFI is carried out every two years</w:t>
      </w:r>
      <w:r w:rsidR="00B715CA">
        <w:rPr>
          <w:noProof w:val="0"/>
        </w:rPr>
        <w:t xml:space="preserve"> and t</w:t>
      </w:r>
      <w:r w:rsidR="00047CF4" w:rsidRPr="00C93791">
        <w:rPr>
          <w:noProof w:val="0"/>
        </w:rPr>
        <w:t>he next data submission is in September 2024.</w:t>
      </w:r>
    </w:p>
    <w:p w14:paraId="52BA9DE2" w14:textId="62FF3B41" w:rsidR="00B332FC" w:rsidRPr="007945BA" w:rsidRDefault="00B332FC" w:rsidP="00B332FC">
      <w:pPr>
        <w:pStyle w:val="Heading3"/>
      </w:pPr>
      <w:r w:rsidRPr="007945BA">
        <w:t>Management reporting</w:t>
      </w:r>
    </w:p>
    <w:p w14:paraId="6BFC6F29" w14:textId="2EF1E831" w:rsidR="00B332FC" w:rsidRPr="00C93791" w:rsidRDefault="007B7208" w:rsidP="00F232B7">
      <w:pPr>
        <w:pStyle w:val="NICEnormalnumbered"/>
        <w:rPr>
          <w:noProof w:val="0"/>
        </w:rPr>
      </w:pPr>
      <w:r w:rsidRPr="00C93791">
        <w:rPr>
          <w:rFonts w:cs="Arial"/>
          <w:noProof w:val="0"/>
        </w:rPr>
        <w:t>The committee received a range of assurance reports from management throughout the year. These are summarised in the table</w:t>
      </w:r>
      <w:r w:rsidR="0078501F" w:rsidRPr="00C93791">
        <w:rPr>
          <w:rFonts w:cs="Arial"/>
          <w:noProof w:val="0"/>
        </w:rPr>
        <w:t xml:space="preserve"> </w:t>
      </w:r>
      <w:r w:rsidR="003920D3">
        <w:rPr>
          <w:rFonts w:cs="Arial"/>
          <w:noProof w:val="0"/>
        </w:rPr>
        <w:t>over page</w:t>
      </w:r>
      <w:r w:rsidRPr="00C93791">
        <w:rPr>
          <w:rFonts w:cs="Arial"/>
          <w:noProof w:val="0"/>
        </w:rPr>
        <w:t>:</w:t>
      </w:r>
    </w:p>
    <w:p w14:paraId="0BE61AE3" w14:textId="4A520579" w:rsidR="007B7208" w:rsidRPr="007945BA" w:rsidRDefault="007B7208" w:rsidP="007B7208">
      <w:pPr>
        <w:pStyle w:val="BodyTextIndent3"/>
        <w:keepNext/>
        <w:spacing w:after="120"/>
        <w:ind w:left="0" w:firstLine="357"/>
        <w:jc w:val="both"/>
        <w:rPr>
          <w:rFonts w:cs="Arial"/>
          <w:b/>
          <w:u w:val="none"/>
        </w:rPr>
      </w:pPr>
      <w:r w:rsidRPr="007945BA">
        <w:rPr>
          <w:rFonts w:cs="Arial"/>
          <w:b/>
          <w:u w:val="none"/>
        </w:rPr>
        <w:lastRenderedPageBreak/>
        <w:t>Table 2 – summary of sources of management assurance</w:t>
      </w:r>
    </w:p>
    <w:tbl>
      <w:tblPr>
        <w:tblW w:w="9072" w:type="dxa"/>
        <w:tblInd w:w="132" w:type="dxa"/>
        <w:tblBorders>
          <w:top w:val="single" w:sz="8" w:space="0" w:color="ACB9CA" w:themeColor="text2" w:themeTint="66"/>
          <w:left w:val="single" w:sz="8" w:space="0" w:color="ACB9CA" w:themeColor="text2" w:themeTint="66"/>
          <w:bottom w:val="single" w:sz="8" w:space="0" w:color="ACB9CA" w:themeColor="text2" w:themeTint="66"/>
          <w:right w:val="single" w:sz="8" w:space="0" w:color="ACB9CA" w:themeColor="text2" w:themeTint="66"/>
          <w:insideH w:val="single" w:sz="6" w:space="0" w:color="ACB9CA" w:themeColor="text2" w:themeTint="66"/>
          <w:insideV w:val="single" w:sz="6" w:space="0" w:color="ACB9CA" w:themeColor="text2" w:themeTint="66"/>
        </w:tblBorders>
        <w:tblLook w:val="04A0" w:firstRow="1" w:lastRow="0" w:firstColumn="1" w:lastColumn="0" w:noHBand="0" w:noVBand="1"/>
      </w:tblPr>
      <w:tblGrid>
        <w:gridCol w:w="2624"/>
        <w:gridCol w:w="6448"/>
      </w:tblGrid>
      <w:tr w:rsidR="007B7208" w:rsidRPr="007945BA" w14:paraId="4ACCD85D" w14:textId="77777777">
        <w:trPr>
          <w:trHeight w:val="645"/>
        </w:trPr>
        <w:tc>
          <w:tcPr>
            <w:tcW w:w="2624" w:type="dxa"/>
            <w:shd w:val="clear" w:color="000000" w:fill="588CA6"/>
            <w:vAlign w:val="center"/>
            <w:hideMark/>
          </w:tcPr>
          <w:p w14:paraId="0DB2075C" w14:textId="77777777" w:rsidR="007B7208" w:rsidRPr="00A0503F" w:rsidRDefault="007B7208">
            <w:pPr>
              <w:jc w:val="both"/>
              <w:rPr>
                <w:rFonts w:ascii="Arial" w:hAnsi="Arial" w:cs="Arial"/>
                <w:b/>
                <w:bCs/>
                <w:color w:val="000000" w:themeColor="text1"/>
              </w:rPr>
            </w:pPr>
            <w:r w:rsidRPr="00A0503F">
              <w:rPr>
                <w:rFonts w:ascii="Arial" w:hAnsi="Arial" w:cs="Arial"/>
                <w:b/>
                <w:bCs/>
                <w:color w:val="000000" w:themeColor="text1"/>
              </w:rPr>
              <w:t>Management assurance</w:t>
            </w:r>
          </w:p>
        </w:tc>
        <w:tc>
          <w:tcPr>
            <w:tcW w:w="6448" w:type="dxa"/>
            <w:shd w:val="clear" w:color="000000" w:fill="588CA6"/>
            <w:vAlign w:val="center"/>
            <w:hideMark/>
          </w:tcPr>
          <w:p w14:paraId="01D10581" w14:textId="77777777" w:rsidR="007B7208" w:rsidRPr="00A0503F" w:rsidRDefault="007B7208">
            <w:pPr>
              <w:jc w:val="both"/>
              <w:rPr>
                <w:rFonts w:ascii="Arial" w:hAnsi="Arial" w:cs="Arial"/>
                <w:b/>
                <w:bCs/>
              </w:rPr>
            </w:pPr>
            <w:r w:rsidRPr="00A0503F">
              <w:rPr>
                <w:rFonts w:ascii="Arial" w:hAnsi="Arial" w:cs="Arial"/>
                <w:b/>
                <w:bCs/>
              </w:rPr>
              <w:t xml:space="preserve">Description </w:t>
            </w:r>
          </w:p>
        </w:tc>
      </w:tr>
      <w:tr w:rsidR="00D052F9" w:rsidRPr="007945BA" w14:paraId="28B8F588" w14:textId="77777777" w:rsidTr="00D12F41">
        <w:trPr>
          <w:trHeight w:val="836"/>
        </w:trPr>
        <w:tc>
          <w:tcPr>
            <w:tcW w:w="2624" w:type="dxa"/>
            <w:shd w:val="clear" w:color="auto" w:fill="auto"/>
            <w:vAlign w:val="center"/>
            <w:hideMark/>
          </w:tcPr>
          <w:p w14:paraId="77D58CCD" w14:textId="77777777" w:rsidR="00D052F9" w:rsidRPr="007945BA" w:rsidRDefault="00D052F9">
            <w:pPr>
              <w:rPr>
                <w:rFonts w:ascii="Arial" w:hAnsi="Arial" w:cs="Arial"/>
                <w:b/>
                <w:bCs/>
                <w:color w:val="000000"/>
                <w:sz w:val="20"/>
                <w:szCs w:val="20"/>
              </w:rPr>
            </w:pPr>
            <w:r w:rsidRPr="007945BA">
              <w:rPr>
                <w:rFonts w:ascii="Arial" w:hAnsi="Arial" w:cs="Arial"/>
                <w:b/>
                <w:bCs/>
                <w:color w:val="000000"/>
                <w:sz w:val="20"/>
                <w:szCs w:val="20"/>
              </w:rPr>
              <w:t>Specific incident reports</w:t>
            </w:r>
          </w:p>
        </w:tc>
        <w:tc>
          <w:tcPr>
            <w:tcW w:w="6448" w:type="dxa"/>
            <w:shd w:val="clear" w:color="auto" w:fill="auto"/>
            <w:vAlign w:val="center"/>
            <w:hideMark/>
          </w:tcPr>
          <w:p w14:paraId="568789A9" w14:textId="3F77146D" w:rsidR="00883667" w:rsidRPr="007945BA" w:rsidRDefault="00D052F9" w:rsidP="00C53FB9">
            <w:pPr>
              <w:spacing w:after="60" w:line="360" w:lineRule="auto"/>
              <w:rPr>
                <w:rFonts w:ascii="Arial" w:hAnsi="Arial" w:cs="Arial"/>
                <w:color w:val="000000"/>
                <w:sz w:val="20"/>
                <w:szCs w:val="20"/>
              </w:rPr>
            </w:pPr>
            <w:r w:rsidRPr="007945BA">
              <w:rPr>
                <w:rFonts w:ascii="Arial" w:hAnsi="Arial" w:cs="Arial"/>
                <w:color w:val="000000"/>
                <w:sz w:val="20"/>
                <w:szCs w:val="20"/>
              </w:rPr>
              <w:t>Where there is an incident particularly relating to a loss suffered by NICE, the committee receives a report as part of its risk management duties.  There</w:t>
            </w:r>
            <w:r w:rsidR="00C53FB9" w:rsidRPr="007945BA">
              <w:rPr>
                <w:rFonts w:ascii="Arial" w:hAnsi="Arial" w:cs="Arial"/>
                <w:color w:val="000000"/>
                <w:sz w:val="20"/>
                <w:szCs w:val="20"/>
              </w:rPr>
              <w:t xml:space="preserve"> was one loss reported in the year related to the </w:t>
            </w:r>
            <w:r w:rsidR="001A07AE" w:rsidRPr="007945BA">
              <w:rPr>
                <w:rFonts w:ascii="Arial" w:hAnsi="Arial" w:cs="Arial"/>
                <w:color w:val="000000"/>
                <w:sz w:val="20"/>
                <w:szCs w:val="20"/>
              </w:rPr>
              <w:t>non-completion of a</w:t>
            </w:r>
            <w:r w:rsidR="003D6A4E" w:rsidRPr="007945BA">
              <w:rPr>
                <w:rFonts w:ascii="Arial" w:hAnsi="Arial" w:cs="Arial"/>
                <w:color w:val="000000"/>
                <w:sz w:val="20"/>
                <w:szCs w:val="20"/>
              </w:rPr>
              <w:t xml:space="preserve">n organisational development </w:t>
            </w:r>
            <w:r w:rsidR="00BB5E8F" w:rsidRPr="007945BA">
              <w:rPr>
                <w:rFonts w:ascii="Arial" w:hAnsi="Arial" w:cs="Arial"/>
                <w:color w:val="000000"/>
                <w:sz w:val="20"/>
                <w:szCs w:val="20"/>
              </w:rPr>
              <w:t>training contract</w:t>
            </w:r>
            <w:r w:rsidR="00BA4CA0">
              <w:rPr>
                <w:rFonts w:ascii="Arial" w:hAnsi="Arial" w:cs="Arial"/>
                <w:color w:val="000000"/>
                <w:sz w:val="20"/>
                <w:szCs w:val="20"/>
              </w:rPr>
              <w:t xml:space="preserve"> (noted earlier in this report as one of the control issues)</w:t>
            </w:r>
            <w:r w:rsidR="00BB5E8F" w:rsidRPr="007945BA">
              <w:rPr>
                <w:rFonts w:ascii="Arial" w:hAnsi="Arial" w:cs="Arial"/>
                <w:color w:val="000000"/>
                <w:sz w:val="20"/>
                <w:szCs w:val="20"/>
              </w:rPr>
              <w:t>.</w:t>
            </w:r>
            <w:r w:rsidRPr="007945BA">
              <w:rPr>
                <w:rFonts w:ascii="Arial" w:hAnsi="Arial" w:cs="Arial"/>
                <w:color w:val="000000"/>
                <w:sz w:val="20"/>
                <w:szCs w:val="20"/>
              </w:rPr>
              <w:t xml:space="preserve"> </w:t>
            </w:r>
          </w:p>
        </w:tc>
      </w:tr>
      <w:tr w:rsidR="00F66CB6" w:rsidRPr="007945BA" w14:paraId="2411D704" w14:textId="77777777">
        <w:trPr>
          <w:trHeight w:val="1815"/>
        </w:trPr>
        <w:tc>
          <w:tcPr>
            <w:tcW w:w="2624" w:type="dxa"/>
            <w:shd w:val="clear" w:color="auto" w:fill="auto"/>
            <w:vAlign w:val="center"/>
            <w:hideMark/>
          </w:tcPr>
          <w:p w14:paraId="2F9551F6" w14:textId="77777777" w:rsidR="00F66CB6" w:rsidRPr="007945BA" w:rsidRDefault="00F66CB6" w:rsidP="00F66CB6">
            <w:pPr>
              <w:rPr>
                <w:rFonts w:ascii="Arial" w:hAnsi="Arial" w:cs="Arial"/>
                <w:b/>
                <w:bCs/>
                <w:color w:val="000000"/>
                <w:sz w:val="20"/>
                <w:szCs w:val="20"/>
              </w:rPr>
            </w:pPr>
            <w:r w:rsidRPr="007945BA">
              <w:rPr>
                <w:rFonts w:ascii="Arial" w:hAnsi="Arial" w:cs="Arial"/>
                <w:b/>
                <w:bCs/>
                <w:color w:val="000000"/>
                <w:sz w:val="20"/>
                <w:szCs w:val="20"/>
              </w:rPr>
              <w:t>Losses and compensation register</w:t>
            </w:r>
          </w:p>
        </w:tc>
        <w:tc>
          <w:tcPr>
            <w:tcW w:w="6448" w:type="dxa"/>
            <w:shd w:val="clear" w:color="000000" w:fill="FFFFFF"/>
            <w:vAlign w:val="center"/>
            <w:hideMark/>
          </w:tcPr>
          <w:p w14:paraId="4329915D" w14:textId="1021BED3" w:rsidR="00F66CB6" w:rsidRPr="00F21793" w:rsidRDefault="00F66CB6" w:rsidP="00F66CB6">
            <w:pPr>
              <w:spacing w:after="60" w:line="360" w:lineRule="auto"/>
              <w:rPr>
                <w:rFonts w:ascii="Arial" w:hAnsi="Arial" w:cs="Arial"/>
                <w:sz w:val="20"/>
                <w:szCs w:val="20"/>
              </w:rPr>
            </w:pPr>
            <w:r w:rsidRPr="00F21793">
              <w:rPr>
                <w:rFonts w:ascii="Arial" w:hAnsi="Arial" w:cs="Arial"/>
                <w:color w:val="000000"/>
                <w:sz w:val="20"/>
                <w:szCs w:val="20"/>
              </w:rPr>
              <w:t xml:space="preserve">As required by HM Treasury (and within the SFIs), NICE maintains a register of losses and special payments which is reported at </w:t>
            </w:r>
            <w:r w:rsidRPr="00F21793">
              <w:rPr>
                <w:rFonts w:ascii="Arial" w:hAnsi="Arial" w:cs="Arial"/>
                <w:sz w:val="20"/>
                <w:szCs w:val="20"/>
              </w:rPr>
              <w:t>each audit and risk committee. For 202</w:t>
            </w:r>
            <w:r w:rsidR="00492C86" w:rsidRPr="00F21793">
              <w:rPr>
                <w:rFonts w:ascii="Arial" w:hAnsi="Arial" w:cs="Arial"/>
                <w:sz w:val="20"/>
                <w:szCs w:val="20"/>
              </w:rPr>
              <w:t>3</w:t>
            </w:r>
            <w:r w:rsidRPr="00F21793">
              <w:rPr>
                <w:rFonts w:ascii="Arial" w:hAnsi="Arial" w:cs="Arial"/>
                <w:sz w:val="20"/>
                <w:szCs w:val="20"/>
              </w:rPr>
              <w:t>/2</w:t>
            </w:r>
            <w:r w:rsidR="00492C86" w:rsidRPr="00F21793">
              <w:rPr>
                <w:rFonts w:ascii="Arial" w:hAnsi="Arial" w:cs="Arial"/>
                <w:sz w:val="20"/>
                <w:szCs w:val="20"/>
              </w:rPr>
              <w:t>4</w:t>
            </w:r>
            <w:r w:rsidRPr="00F21793">
              <w:rPr>
                <w:rFonts w:ascii="Arial" w:hAnsi="Arial" w:cs="Arial"/>
                <w:sz w:val="20"/>
                <w:szCs w:val="20"/>
              </w:rPr>
              <w:t xml:space="preserve"> the total value of these was £</w:t>
            </w:r>
            <w:r w:rsidR="00B45288">
              <w:rPr>
                <w:rFonts w:ascii="Arial" w:hAnsi="Arial" w:cs="Arial"/>
                <w:sz w:val="20"/>
                <w:szCs w:val="20"/>
              </w:rPr>
              <w:t>31,034</w:t>
            </w:r>
            <w:r w:rsidRPr="00F21793">
              <w:rPr>
                <w:rFonts w:ascii="Arial" w:hAnsi="Arial" w:cs="Arial"/>
                <w:sz w:val="20"/>
                <w:szCs w:val="20"/>
              </w:rPr>
              <w:t xml:space="preserve"> (£1</w:t>
            </w:r>
            <w:r w:rsidR="00492C86" w:rsidRPr="00F21793">
              <w:rPr>
                <w:rFonts w:ascii="Arial" w:hAnsi="Arial" w:cs="Arial"/>
                <w:sz w:val="20"/>
                <w:szCs w:val="20"/>
              </w:rPr>
              <w:t>3,633</w:t>
            </w:r>
            <w:r w:rsidRPr="00F21793">
              <w:rPr>
                <w:rFonts w:ascii="Arial" w:hAnsi="Arial" w:cs="Arial"/>
                <w:sz w:val="20"/>
                <w:szCs w:val="20"/>
              </w:rPr>
              <w:t xml:space="preserve"> in 202</w:t>
            </w:r>
            <w:r w:rsidR="00492C86" w:rsidRPr="00F21793">
              <w:rPr>
                <w:rFonts w:ascii="Arial" w:hAnsi="Arial" w:cs="Arial"/>
                <w:sz w:val="20"/>
                <w:szCs w:val="20"/>
              </w:rPr>
              <w:t>2</w:t>
            </w:r>
            <w:r w:rsidRPr="00F21793">
              <w:rPr>
                <w:rFonts w:ascii="Arial" w:hAnsi="Arial" w:cs="Arial"/>
                <w:sz w:val="20"/>
                <w:szCs w:val="20"/>
              </w:rPr>
              <w:t>/2</w:t>
            </w:r>
            <w:r w:rsidR="00492C86" w:rsidRPr="00F21793">
              <w:rPr>
                <w:rFonts w:ascii="Arial" w:hAnsi="Arial" w:cs="Arial"/>
                <w:sz w:val="20"/>
                <w:szCs w:val="20"/>
              </w:rPr>
              <w:t>3</w:t>
            </w:r>
            <w:r w:rsidRPr="00F21793">
              <w:rPr>
                <w:rFonts w:ascii="Arial" w:hAnsi="Arial" w:cs="Arial"/>
                <w:sz w:val="20"/>
                <w:szCs w:val="20"/>
              </w:rPr>
              <w:t xml:space="preserve">). </w:t>
            </w:r>
          </w:p>
          <w:p w14:paraId="6ECA1AFF" w14:textId="74263E82" w:rsidR="0096526D" w:rsidRPr="00F21793" w:rsidRDefault="00F66CB6" w:rsidP="00C90B3E">
            <w:pPr>
              <w:spacing w:after="60"/>
              <w:rPr>
                <w:rFonts w:ascii="Arial" w:hAnsi="Arial" w:cs="Arial"/>
                <w:sz w:val="20"/>
                <w:szCs w:val="20"/>
              </w:rPr>
            </w:pPr>
            <w:r w:rsidRPr="00F21793">
              <w:rPr>
                <w:rFonts w:ascii="Arial" w:hAnsi="Arial" w:cs="Arial"/>
                <w:sz w:val="20"/>
                <w:szCs w:val="20"/>
              </w:rPr>
              <w:t>Th</w:t>
            </w:r>
            <w:r w:rsidR="00D07109" w:rsidRPr="00F21793">
              <w:rPr>
                <w:rFonts w:ascii="Arial" w:hAnsi="Arial" w:cs="Arial"/>
                <w:sz w:val="20"/>
                <w:szCs w:val="20"/>
              </w:rPr>
              <w:t>e losses</w:t>
            </w:r>
            <w:r w:rsidRPr="00F21793">
              <w:rPr>
                <w:rFonts w:ascii="Arial" w:hAnsi="Arial" w:cs="Arial"/>
                <w:sz w:val="20"/>
                <w:szCs w:val="20"/>
              </w:rPr>
              <w:t xml:space="preserve"> relate</w:t>
            </w:r>
            <w:r w:rsidR="00A23468" w:rsidRPr="00F21793">
              <w:rPr>
                <w:rFonts w:ascii="Arial" w:hAnsi="Arial" w:cs="Arial"/>
                <w:sz w:val="20"/>
                <w:szCs w:val="20"/>
              </w:rPr>
              <w:t xml:space="preserve">d </w:t>
            </w:r>
            <w:r w:rsidRPr="00F21793">
              <w:rPr>
                <w:rFonts w:ascii="Arial" w:hAnsi="Arial" w:cs="Arial"/>
                <w:sz w:val="20"/>
                <w:szCs w:val="20"/>
              </w:rPr>
              <w:t>to</w:t>
            </w:r>
            <w:r w:rsidR="0096526D" w:rsidRPr="00F21793">
              <w:rPr>
                <w:rFonts w:ascii="Arial" w:hAnsi="Arial" w:cs="Arial"/>
                <w:sz w:val="20"/>
                <w:szCs w:val="20"/>
              </w:rPr>
              <w:t>:</w:t>
            </w:r>
          </w:p>
          <w:p w14:paraId="6D01589D" w14:textId="5CB54ED9" w:rsidR="00F73620" w:rsidRPr="00F21793" w:rsidRDefault="00F66CB6" w:rsidP="0096526D">
            <w:pPr>
              <w:pStyle w:val="ListParagraph"/>
              <w:numPr>
                <w:ilvl w:val="0"/>
                <w:numId w:val="36"/>
              </w:numPr>
              <w:spacing w:after="60" w:line="360" w:lineRule="auto"/>
              <w:rPr>
                <w:rFonts w:ascii="Arial" w:hAnsi="Arial" w:cs="Arial"/>
                <w:sz w:val="20"/>
                <w:szCs w:val="20"/>
              </w:rPr>
            </w:pPr>
            <w:r w:rsidRPr="00F21793">
              <w:rPr>
                <w:rFonts w:ascii="Arial" w:hAnsi="Arial" w:cs="Arial"/>
                <w:sz w:val="20"/>
                <w:szCs w:val="20"/>
              </w:rPr>
              <w:t>£</w:t>
            </w:r>
            <w:r w:rsidR="0047644B" w:rsidRPr="00F21793">
              <w:rPr>
                <w:rFonts w:ascii="Arial" w:hAnsi="Arial" w:cs="Arial"/>
                <w:sz w:val="20"/>
                <w:szCs w:val="20"/>
              </w:rPr>
              <w:t>9,330</w:t>
            </w:r>
            <w:r w:rsidRPr="00F21793">
              <w:rPr>
                <w:rFonts w:ascii="Arial" w:hAnsi="Arial" w:cs="Arial"/>
                <w:sz w:val="20"/>
                <w:szCs w:val="20"/>
              </w:rPr>
              <w:t xml:space="preserve"> in train cancellation or amendment fees</w:t>
            </w:r>
            <w:r w:rsidR="00266566" w:rsidRPr="00F21793">
              <w:rPr>
                <w:rFonts w:ascii="Arial" w:hAnsi="Arial" w:cs="Arial"/>
                <w:sz w:val="20"/>
                <w:szCs w:val="20"/>
              </w:rPr>
              <w:t xml:space="preserve"> (201 tickets).</w:t>
            </w:r>
          </w:p>
          <w:p w14:paraId="15F6D83F" w14:textId="2418AA33" w:rsidR="00F73620" w:rsidRPr="00F21793" w:rsidRDefault="00F66CB6" w:rsidP="0096526D">
            <w:pPr>
              <w:pStyle w:val="ListParagraph"/>
              <w:numPr>
                <w:ilvl w:val="0"/>
                <w:numId w:val="36"/>
              </w:numPr>
              <w:spacing w:after="60" w:line="360" w:lineRule="auto"/>
              <w:rPr>
                <w:rFonts w:ascii="Arial" w:hAnsi="Arial" w:cs="Arial"/>
                <w:sz w:val="20"/>
                <w:szCs w:val="20"/>
              </w:rPr>
            </w:pPr>
            <w:r w:rsidRPr="00F21793">
              <w:rPr>
                <w:rFonts w:ascii="Arial" w:hAnsi="Arial" w:cs="Arial"/>
                <w:sz w:val="20"/>
                <w:szCs w:val="20"/>
              </w:rPr>
              <w:t>£</w:t>
            </w:r>
            <w:r w:rsidR="00650DB9" w:rsidRPr="00F21793">
              <w:rPr>
                <w:rFonts w:ascii="Arial" w:hAnsi="Arial" w:cs="Arial"/>
                <w:sz w:val="20"/>
                <w:szCs w:val="20"/>
              </w:rPr>
              <w:t>254</w:t>
            </w:r>
            <w:r w:rsidRPr="00F21793">
              <w:rPr>
                <w:rFonts w:ascii="Arial" w:hAnsi="Arial" w:cs="Arial"/>
                <w:sz w:val="20"/>
                <w:szCs w:val="20"/>
              </w:rPr>
              <w:t xml:space="preserve"> </w:t>
            </w:r>
            <w:r w:rsidR="00F21793" w:rsidRPr="00F21793">
              <w:rPr>
                <w:rFonts w:ascii="Arial" w:hAnsi="Arial" w:cs="Arial"/>
                <w:sz w:val="20"/>
                <w:szCs w:val="20"/>
              </w:rPr>
              <w:t>for</w:t>
            </w:r>
            <w:r w:rsidRPr="00F21793">
              <w:rPr>
                <w:rFonts w:ascii="Arial" w:hAnsi="Arial" w:cs="Arial"/>
                <w:sz w:val="20"/>
                <w:szCs w:val="20"/>
              </w:rPr>
              <w:t xml:space="preserve"> </w:t>
            </w:r>
            <w:r w:rsidR="003E5C9A" w:rsidRPr="00F21793">
              <w:rPr>
                <w:rFonts w:ascii="Arial" w:hAnsi="Arial" w:cs="Arial"/>
                <w:sz w:val="20"/>
                <w:szCs w:val="20"/>
              </w:rPr>
              <w:t xml:space="preserve">2 </w:t>
            </w:r>
            <w:r w:rsidRPr="00F21793">
              <w:rPr>
                <w:rFonts w:ascii="Arial" w:hAnsi="Arial" w:cs="Arial"/>
                <w:sz w:val="20"/>
                <w:szCs w:val="20"/>
              </w:rPr>
              <w:t>flight cancellation</w:t>
            </w:r>
            <w:r w:rsidR="00DF7DD7" w:rsidRPr="00F21793">
              <w:rPr>
                <w:rFonts w:ascii="Arial" w:hAnsi="Arial" w:cs="Arial"/>
                <w:sz w:val="20"/>
                <w:szCs w:val="20"/>
              </w:rPr>
              <w:t>s</w:t>
            </w:r>
            <w:r w:rsidR="00A66F3E" w:rsidRPr="00F21793">
              <w:rPr>
                <w:rFonts w:ascii="Arial" w:hAnsi="Arial" w:cs="Arial"/>
                <w:sz w:val="20"/>
                <w:szCs w:val="20"/>
              </w:rPr>
              <w:t>.</w:t>
            </w:r>
          </w:p>
          <w:p w14:paraId="03A9CC5E" w14:textId="0146B4EE" w:rsidR="00F73620" w:rsidRPr="00BE3277" w:rsidRDefault="00F66CB6" w:rsidP="00BE3277">
            <w:pPr>
              <w:pStyle w:val="ListParagraph"/>
              <w:numPr>
                <w:ilvl w:val="0"/>
                <w:numId w:val="36"/>
              </w:numPr>
              <w:spacing w:after="60" w:line="360" w:lineRule="auto"/>
              <w:rPr>
                <w:rFonts w:ascii="Arial" w:hAnsi="Arial" w:cs="Arial"/>
                <w:sz w:val="20"/>
                <w:szCs w:val="20"/>
              </w:rPr>
            </w:pPr>
            <w:r w:rsidRPr="00F21793">
              <w:rPr>
                <w:rFonts w:ascii="Arial" w:hAnsi="Arial" w:cs="Arial"/>
                <w:sz w:val="20"/>
                <w:szCs w:val="20"/>
              </w:rPr>
              <w:t>£</w:t>
            </w:r>
            <w:r w:rsidR="00E37207" w:rsidRPr="00F21793">
              <w:rPr>
                <w:rFonts w:ascii="Arial" w:hAnsi="Arial" w:cs="Arial"/>
                <w:sz w:val="20"/>
                <w:szCs w:val="20"/>
              </w:rPr>
              <w:t>21,450</w:t>
            </w:r>
            <w:r w:rsidRPr="00F21793">
              <w:rPr>
                <w:rFonts w:ascii="Arial" w:hAnsi="Arial" w:cs="Arial"/>
                <w:sz w:val="20"/>
                <w:szCs w:val="20"/>
              </w:rPr>
              <w:t xml:space="preserve"> </w:t>
            </w:r>
            <w:r w:rsidR="001A2A1B" w:rsidRPr="00F21793">
              <w:rPr>
                <w:rFonts w:ascii="Arial" w:hAnsi="Arial" w:cs="Arial"/>
                <w:sz w:val="20"/>
                <w:szCs w:val="20"/>
              </w:rPr>
              <w:t xml:space="preserve">due to </w:t>
            </w:r>
            <w:r w:rsidR="00884171" w:rsidRPr="00F21793">
              <w:rPr>
                <w:rFonts w:ascii="Arial" w:hAnsi="Arial" w:cs="Arial"/>
                <w:sz w:val="20"/>
                <w:szCs w:val="20"/>
              </w:rPr>
              <w:t xml:space="preserve">the </w:t>
            </w:r>
            <w:r w:rsidR="001A2A1B" w:rsidRPr="00F21793">
              <w:rPr>
                <w:rFonts w:ascii="Arial" w:hAnsi="Arial" w:cs="Arial"/>
                <w:sz w:val="20"/>
                <w:szCs w:val="20"/>
              </w:rPr>
              <w:t xml:space="preserve">non-completion </w:t>
            </w:r>
            <w:r w:rsidR="005947C3" w:rsidRPr="00F21793">
              <w:rPr>
                <w:rFonts w:ascii="Arial" w:hAnsi="Arial" w:cs="Arial"/>
                <w:sz w:val="20"/>
                <w:szCs w:val="20"/>
              </w:rPr>
              <w:t xml:space="preserve">of a </w:t>
            </w:r>
            <w:r w:rsidR="00033DA1" w:rsidRPr="00F21793">
              <w:rPr>
                <w:rFonts w:ascii="Arial" w:hAnsi="Arial" w:cs="Arial"/>
                <w:sz w:val="20"/>
                <w:szCs w:val="20"/>
              </w:rPr>
              <w:t xml:space="preserve">training </w:t>
            </w:r>
            <w:r w:rsidR="005947C3" w:rsidRPr="00F21793">
              <w:rPr>
                <w:rFonts w:ascii="Arial" w:hAnsi="Arial" w:cs="Arial"/>
                <w:sz w:val="20"/>
                <w:szCs w:val="20"/>
              </w:rPr>
              <w:t>supplier contract</w:t>
            </w:r>
            <w:r w:rsidR="00F73620" w:rsidRPr="00F21793">
              <w:rPr>
                <w:rFonts w:ascii="Arial" w:hAnsi="Arial" w:cs="Arial"/>
                <w:sz w:val="20"/>
                <w:szCs w:val="20"/>
              </w:rPr>
              <w:t>.</w:t>
            </w:r>
          </w:p>
        </w:tc>
      </w:tr>
      <w:tr w:rsidR="007B7208" w:rsidRPr="007945BA" w14:paraId="45AAA030" w14:textId="77777777">
        <w:trPr>
          <w:trHeight w:val="684"/>
        </w:trPr>
        <w:tc>
          <w:tcPr>
            <w:tcW w:w="2624" w:type="dxa"/>
            <w:shd w:val="clear" w:color="auto" w:fill="auto"/>
            <w:vAlign w:val="center"/>
            <w:hideMark/>
          </w:tcPr>
          <w:p w14:paraId="5B727604" w14:textId="77777777" w:rsidR="007B7208" w:rsidRPr="007945BA" w:rsidRDefault="007B7208">
            <w:pPr>
              <w:rPr>
                <w:rFonts w:ascii="Arial" w:hAnsi="Arial" w:cs="Arial"/>
                <w:b/>
                <w:bCs/>
                <w:color w:val="000000"/>
                <w:sz w:val="20"/>
                <w:szCs w:val="20"/>
              </w:rPr>
            </w:pPr>
            <w:r w:rsidRPr="007945BA">
              <w:rPr>
                <w:rFonts w:ascii="Arial" w:hAnsi="Arial" w:cs="Arial"/>
                <w:b/>
                <w:bCs/>
                <w:color w:val="000000"/>
                <w:sz w:val="20"/>
                <w:szCs w:val="20"/>
              </w:rPr>
              <w:t>Contract waiver report</w:t>
            </w:r>
          </w:p>
        </w:tc>
        <w:tc>
          <w:tcPr>
            <w:tcW w:w="6448" w:type="dxa"/>
            <w:shd w:val="clear" w:color="auto" w:fill="auto"/>
            <w:vAlign w:val="center"/>
            <w:hideMark/>
          </w:tcPr>
          <w:p w14:paraId="611AAD6A" w14:textId="1359F1C6" w:rsidR="005A5F61" w:rsidRPr="007945BA" w:rsidRDefault="007B7208" w:rsidP="00E27BDD">
            <w:pPr>
              <w:spacing w:before="120" w:after="60" w:line="360" w:lineRule="auto"/>
              <w:rPr>
                <w:rFonts w:ascii="Arial" w:hAnsi="Arial" w:cs="Arial"/>
                <w:color w:val="000000"/>
                <w:sz w:val="20"/>
                <w:szCs w:val="20"/>
              </w:rPr>
            </w:pPr>
            <w:r w:rsidRPr="007945BA">
              <w:rPr>
                <w:rFonts w:ascii="Arial" w:hAnsi="Arial" w:cs="Arial"/>
                <w:color w:val="000000"/>
                <w:sz w:val="20"/>
                <w:szCs w:val="20"/>
              </w:rPr>
              <w:t xml:space="preserve">The committee receives a report at every meeting of the tender waivers that have been authorised. Details are provided of the reason for the waiver, the value and the person that authorised it. The committee also receives an annual summary of all waivers granted during the year. </w:t>
            </w:r>
          </w:p>
          <w:p w14:paraId="51264ED2" w14:textId="029FCB03" w:rsidR="007B7208" w:rsidRPr="007945BA" w:rsidRDefault="007B7208" w:rsidP="00182A1F">
            <w:pPr>
              <w:spacing w:after="60" w:line="360" w:lineRule="auto"/>
              <w:rPr>
                <w:rFonts w:ascii="Arial" w:hAnsi="Arial" w:cs="Arial"/>
                <w:color w:val="000000"/>
                <w:sz w:val="20"/>
                <w:szCs w:val="20"/>
              </w:rPr>
            </w:pPr>
            <w:r w:rsidRPr="000E6806">
              <w:rPr>
                <w:rFonts w:ascii="Arial" w:hAnsi="Arial" w:cs="Arial"/>
                <w:color w:val="000000"/>
                <w:sz w:val="20"/>
                <w:szCs w:val="20"/>
              </w:rPr>
              <w:t>In 202</w:t>
            </w:r>
            <w:r w:rsidR="00B32F3A" w:rsidRPr="000E6806">
              <w:rPr>
                <w:rFonts w:ascii="Arial" w:hAnsi="Arial" w:cs="Arial"/>
                <w:color w:val="000000"/>
                <w:sz w:val="20"/>
                <w:szCs w:val="20"/>
              </w:rPr>
              <w:t>3</w:t>
            </w:r>
            <w:r w:rsidRPr="000E6806">
              <w:rPr>
                <w:rFonts w:ascii="Arial" w:hAnsi="Arial" w:cs="Arial"/>
                <w:color w:val="000000"/>
                <w:sz w:val="20"/>
                <w:szCs w:val="20"/>
              </w:rPr>
              <w:t>/2</w:t>
            </w:r>
            <w:r w:rsidR="00B32F3A" w:rsidRPr="000E6806">
              <w:rPr>
                <w:rFonts w:ascii="Arial" w:hAnsi="Arial" w:cs="Arial"/>
                <w:color w:val="000000"/>
                <w:sz w:val="20"/>
                <w:szCs w:val="20"/>
              </w:rPr>
              <w:t>4</w:t>
            </w:r>
            <w:r w:rsidRPr="000E6806">
              <w:rPr>
                <w:rFonts w:ascii="Arial" w:hAnsi="Arial" w:cs="Arial"/>
                <w:color w:val="000000"/>
                <w:sz w:val="20"/>
                <w:szCs w:val="20"/>
              </w:rPr>
              <w:t xml:space="preserve"> there were a total of 16</w:t>
            </w:r>
            <w:r w:rsidR="003E12E4" w:rsidRPr="000E6806">
              <w:rPr>
                <w:rFonts w:ascii="Arial" w:hAnsi="Arial" w:cs="Arial"/>
                <w:color w:val="000000"/>
                <w:sz w:val="20"/>
                <w:szCs w:val="20"/>
              </w:rPr>
              <w:t>0</w:t>
            </w:r>
            <w:r w:rsidRPr="000E6806">
              <w:rPr>
                <w:rFonts w:ascii="Arial" w:hAnsi="Arial" w:cs="Arial"/>
                <w:color w:val="000000"/>
                <w:sz w:val="20"/>
                <w:szCs w:val="20"/>
              </w:rPr>
              <w:t xml:space="preserve"> contracts awarded of which 3</w:t>
            </w:r>
            <w:r w:rsidR="003E12E4" w:rsidRPr="000E6806">
              <w:rPr>
                <w:rFonts w:ascii="Arial" w:hAnsi="Arial" w:cs="Arial"/>
                <w:color w:val="000000"/>
                <w:sz w:val="20"/>
                <w:szCs w:val="20"/>
              </w:rPr>
              <w:t>7</w:t>
            </w:r>
            <w:r w:rsidR="00883667" w:rsidRPr="007945BA">
              <w:rPr>
                <w:rFonts w:ascii="Arial" w:hAnsi="Arial" w:cs="Arial"/>
                <w:color w:val="000000"/>
                <w:sz w:val="20"/>
                <w:szCs w:val="20"/>
              </w:rPr>
              <w:t xml:space="preserve"> </w:t>
            </w:r>
            <w:r w:rsidRPr="007945BA">
              <w:rPr>
                <w:rFonts w:ascii="Arial" w:hAnsi="Arial" w:cs="Arial"/>
                <w:color w:val="000000"/>
                <w:sz w:val="20"/>
                <w:szCs w:val="20"/>
              </w:rPr>
              <w:t xml:space="preserve">were subject to waivers, with a total value of </w:t>
            </w:r>
            <w:r w:rsidR="00883667" w:rsidRPr="007945BA">
              <w:rPr>
                <w:rFonts w:ascii="Arial" w:hAnsi="Arial" w:cs="Arial"/>
                <w:sz w:val="20"/>
                <w:szCs w:val="20"/>
              </w:rPr>
              <w:t>£</w:t>
            </w:r>
            <w:r w:rsidR="000E6806" w:rsidRPr="000E6806">
              <w:rPr>
                <w:rStyle w:val="Strong"/>
                <w:rFonts w:ascii="Arial" w:hAnsi="Arial" w:cs="Arial"/>
                <w:b w:val="0"/>
                <w:bCs w:val="0"/>
                <w:sz w:val="20"/>
                <w:szCs w:val="20"/>
              </w:rPr>
              <w:t>2,375,345</w:t>
            </w:r>
            <w:r w:rsidR="000E6806">
              <w:rPr>
                <w:rFonts w:ascii="Arial" w:hAnsi="Arial" w:cs="Arial"/>
                <w:sz w:val="20"/>
                <w:szCs w:val="20"/>
              </w:rPr>
              <w:t xml:space="preserve"> </w:t>
            </w:r>
            <w:r w:rsidR="007C2BD3">
              <w:rPr>
                <w:rFonts w:ascii="Arial" w:hAnsi="Arial" w:cs="Arial"/>
                <w:sz w:val="20"/>
                <w:szCs w:val="20"/>
              </w:rPr>
              <w:t>(</w:t>
            </w:r>
            <w:r w:rsidR="005A5F61" w:rsidRPr="007945BA">
              <w:rPr>
                <w:rFonts w:ascii="Arial" w:hAnsi="Arial" w:cs="Arial"/>
                <w:color w:val="000000"/>
                <w:sz w:val="20"/>
                <w:szCs w:val="20"/>
              </w:rPr>
              <w:t>£</w:t>
            </w:r>
            <w:r w:rsidR="00B15A19" w:rsidRPr="007945BA">
              <w:rPr>
                <w:rFonts w:ascii="Arial" w:hAnsi="Arial" w:cs="Arial"/>
                <w:color w:val="000000"/>
                <w:sz w:val="20"/>
                <w:szCs w:val="20"/>
              </w:rPr>
              <w:t>3,243,</w:t>
            </w:r>
            <w:r w:rsidR="00B32F3A" w:rsidRPr="007945BA">
              <w:rPr>
                <w:rFonts w:ascii="Arial" w:hAnsi="Arial" w:cs="Arial"/>
                <w:color w:val="000000"/>
                <w:sz w:val="20"/>
                <w:szCs w:val="20"/>
              </w:rPr>
              <w:t>388.00</w:t>
            </w:r>
            <w:r w:rsidR="007C2BD3">
              <w:rPr>
                <w:rFonts w:ascii="Arial" w:hAnsi="Arial" w:cs="Arial"/>
                <w:color w:val="000000"/>
                <w:sz w:val="20"/>
                <w:szCs w:val="20"/>
              </w:rPr>
              <w:t xml:space="preserve"> – 16</w:t>
            </w:r>
            <w:r w:rsidR="009261AD">
              <w:rPr>
                <w:rFonts w:ascii="Arial" w:hAnsi="Arial" w:cs="Arial"/>
                <w:color w:val="000000"/>
                <w:sz w:val="20"/>
                <w:szCs w:val="20"/>
              </w:rPr>
              <w:t>6</w:t>
            </w:r>
            <w:r w:rsidR="007C2BD3">
              <w:rPr>
                <w:rFonts w:ascii="Arial" w:hAnsi="Arial" w:cs="Arial"/>
                <w:color w:val="000000"/>
                <w:sz w:val="20"/>
                <w:szCs w:val="20"/>
              </w:rPr>
              <w:t xml:space="preserve"> contracts</w:t>
            </w:r>
            <w:r w:rsidR="005A5F61" w:rsidRPr="007945BA">
              <w:rPr>
                <w:rFonts w:ascii="Arial" w:hAnsi="Arial" w:cs="Arial"/>
                <w:sz w:val="20"/>
                <w:szCs w:val="20"/>
              </w:rPr>
              <w:t xml:space="preserve"> </w:t>
            </w:r>
            <w:r w:rsidRPr="007945BA">
              <w:rPr>
                <w:rFonts w:ascii="Arial" w:hAnsi="Arial" w:cs="Arial"/>
                <w:color w:val="000000"/>
                <w:sz w:val="20"/>
                <w:szCs w:val="20"/>
              </w:rPr>
              <w:t>in 202</w:t>
            </w:r>
            <w:r w:rsidR="00B15A19" w:rsidRPr="007945BA">
              <w:rPr>
                <w:rFonts w:ascii="Arial" w:hAnsi="Arial" w:cs="Arial"/>
                <w:color w:val="000000"/>
                <w:sz w:val="20"/>
                <w:szCs w:val="20"/>
              </w:rPr>
              <w:t>2</w:t>
            </w:r>
            <w:r w:rsidRPr="007945BA">
              <w:rPr>
                <w:rFonts w:ascii="Arial" w:hAnsi="Arial" w:cs="Arial"/>
                <w:color w:val="000000"/>
                <w:sz w:val="20"/>
                <w:szCs w:val="20"/>
              </w:rPr>
              <w:t>/2</w:t>
            </w:r>
            <w:r w:rsidR="00B15A19" w:rsidRPr="007945BA">
              <w:rPr>
                <w:rFonts w:ascii="Arial" w:hAnsi="Arial" w:cs="Arial"/>
                <w:color w:val="000000"/>
                <w:sz w:val="20"/>
                <w:szCs w:val="20"/>
              </w:rPr>
              <w:t>3</w:t>
            </w:r>
            <w:r w:rsidRPr="007945BA">
              <w:rPr>
                <w:rFonts w:ascii="Arial" w:hAnsi="Arial" w:cs="Arial"/>
                <w:color w:val="000000"/>
                <w:sz w:val="20"/>
                <w:szCs w:val="20"/>
              </w:rPr>
              <w:t xml:space="preserve">). The committee reviews waivers granted and </w:t>
            </w:r>
            <w:r w:rsidR="00BC7053">
              <w:rPr>
                <w:rFonts w:ascii="Arial" w:hAnsi="Arial" w:cs="Arial"/>
                <w:color w:val="000000"/>
                <w:sz w:val="20"/>
                <w:szCs w:val="20"/>
              </w:rPr>
              <w:t xml:space="preserve">if it had any concerns, </w:t>
            </w:r>
            <w:r w:rsidRPr="007945BA">
              <w:rPr>
                <w:rFonts w:ascii="Arial" w:hAnsi="Arial" w:cs="Arial"/>
                <w:color w:val="000000"/>
                <w:sz w:val="20"/>
                <w:szCs w:val="20"/>
              </w:rPr>
              <w:t>request</w:t>
            </w:r>
            <w:r w:rsidR="00BC7053">
              <w:rPr>
                <w:rFonts w:ascii="Arial" w:hAnsi="Arial" w:cs="Arial"/>
                <w:color w:val="000000"/>
                <w:sz w:val="20"/>
                <w:szCs w:val="20"/>
              </w:rPr>
              <w:t>ed</w:t>
            </w:r>
            <w:r w:rsidRPr="007945BA">
              <w:rPr>
                <w:rFonts w:ascii="Arial" w:hAnsi="Arial" w:cs="Arial"/>
                <w:color w:val="000000"/>
                <w:sz w:val="20"/>
                <w:szCs w:val="20"/>
              </w:rPr>
              <w:t xml:space="preserve"> assurance from management</w:t>
            </w:r>
            <w:r w:rsidR="008F675E">
              <w:rPr>
                <w:rFonts w:ascii="Arial" w:hAnsi="Arial" w:cs="Arial"/>
                <w:color w:val="000000"/>
                <w:sz w:val="20"/>
                <w:szCs w:val="20"/>
              </w:rPr>
              <w:t>.</w:t>
            </w:r>
          </w:p>
        </w:tc>
      </w:tr>
      <w:tr w:rsidR="00F66CB6" w:rsidRPr="007945BA" w14:paraId="477616C0" w14:textId="77777777">
        <w:trPr>
          <w:trHeight w:val="554"/>
        </w:trPr>
        <w:tc>
          <w:tcPr>
            <w:tcW w:w="2624" w:type="dxa"/>
            <w:shd w:val="clear" w:color="auto" w:fill="auto"/>
            <w:vAlign w:val="center"/>
            <w:hideMark/>
          </w:tcPr>
          <w:p w14:paraId="3DD0195E" w14:textId="77777777" w:rsidR="00F66CB6" w:rsidRPr="007945BA" w:rsidRDefault="00F66CB6" w:rsidP="00F66CB6">
            <w:pPr>
              <w:rPr>
                <w:rFonts w:ascii="Arial" w:hAnsi="Arial" w:cs="Arial"/>
                <w:b/>
                <w:bCs/>
                <w:color w:val="000000"/>
                <w:sz w:val="20"/>
                <w:szCs w:val="20"/>
              </w:rPr>
            </w:pPr>
            <w:r w:rsidRPr="007945BA">
              <w:rPr>
                <w:rFonts w:ascii="Arial" w:hAnsi="Arial" w:cs="Arial"/>
                <w:b/>
                <w:bCs/>
                <w:color w:val="000000"/>
                <w:sz w:val="20"/>
                <w:szCs w:val="20"/>
              </w:rPr>
              <w:t>Technical accounting issues</w:t>
            </w:r>
          </w:p>
        </w:tc>
        <w:tc>
          <w:tcPr>
            <w:tcW w:w="6448" w:type="dxa"/>
            <w:shd w:val="clear" w:color="auto" w:fill="auto"/>
            <w:vAlign w:val="center"/>
            <w:hideMark/>
          </w:tcPr>
          <w:p w14:paraId="736A135F" w14:textId="659EB191" w:rsidR="00F66CB6" w:rsidRPr="007945BA" w:rsidRDefault="00F8718E" w:rsidP="00F66CB6">
            <w:pPr>
              <w:spacing w:before="120" w:after="120" w:line="360" w:lineRule="auto"/>
              <w:rPr>
                <w:rFonts w:ascii="Arial" w:hAnsi="Arial" w:cs="Arial"/>
                <w:color w:val="000000"/>
                <w:sz w:val="20"/>
                <w:szCs w:val="20"/>
              </w:rPr>
            </w:pPr>
            <w:r w:rsidRPr="007945BA">
              <w:rPr>
                <w:rFonts w:ascii="Arial" w:hAnsi="Arial" w:cs="Arial"/>
                <w:color w:val="000000"/>
                <w:sz w:val="20"/>
                <w:szCs w:val="20"/>
              </w:rPr>
              <w:t>No</w:t>
            </w:r>
            <w:r w:rsidR="00F66CB6" w:rsidRPr="007945BA">
              <w:rPr>
                <w:rFonts w:ascii="Arial" w:hAnsi="Arial" w:cs="Arial"/>
                <w:color w:val="000000"/>
                <w:sz w:val="20"/>
                <w:szCs w:val="20"/>
              </w:rPr>
              <w:t xml:space="preserve"> significant changes to existing accounting policies or practices</w:t>
            </w:r>
            <w:r w:rsidR="00845F2B" w:rsidRPr="007945BA">
              <w:rPr>
                <w:rFonts w:ascii="Arial" w:hAnsi="Arial" w:cs="Arial"/>
                <w:color w:val="000000"/>
                <w:sz w:val="20"/>
                <w:szCs w:val="20"/>
              </w:rPr>
              <w:t xml:space="preserve"> </w:t>
            </w:r>
            <w:r w:rsidRPr="007945BA">
              <w:rPr>
                <w:rFonts w:ascii="Arial" w:hAnsi="Arial" w:cs="Arial"/>
                <w:color w:val="000000"/>
                <w:sz w:val="20"/>
                <w:szCs w:val="20"/>
              </w:rPr>
              <w:t>we</w:t>
            </w:r>
            <w:r w:rsidR="00845F2B" w:rsidRPr="007945BA">
              <w:rPr>
                <w:rFonts w:ascii="Arial" w:hAnsi="Arial" w:cs="Arial"/>
                <w:color w:val="000000"/>
                <w:sz w:val="20"/>
                <w:szCs w:val="20"/>
              </w:rPr>
              <w:t>re reported</w:t>
            </w:r>
            <w:r w:rsidR="00F66CB6" w:rsidRPr="007945BA">
              <w:rPr>
                <w:rFonts w:ascii="Arial" w:hAnsi="Arial" w:cs="Arial"/>
                <w:color w:val="000000"/>
                <w:sz w:val="20"/>
                <w:szCs w:val="20"/>
              </w:rPr>
              <w:t xml:space="preserve">.  </w:t>
            </w:r>
          </w:p>
        </w:tc>
      </w:tr>
      <w:tr w:rsidR="007B7208" w:rsidRPr="007945BA" w14:paraId="693AE035" w14:textId="77777777">
        <w:trPr>
          <w:trHeight w:val="828"/>
        </w:trPr>
        <w:tc>
          <w:tcPr>
            <w:tcW w:w="2624" w:type="dxa"/>
            <w:shd w:val="clear" w:color="auto" w:fill="auto"/>
            <w:vAlign w:val="center"/>
            <w:hideMark/>
          </w:tcPr>
          <w:p w14:paraId="066D2DAC" w14:textId="77777777" w:rsidR="007B7208" w:rsidRPr="00A0503F" w:rsidRDefault="007B7208">
            <w:pPr>
              <w:rPr>
                <w:rFonts w:ascii="Arial" w:hAnsi="Arial" w:cs="Arial"/>
                <w:b/>
                <w:bCs/>
                <w:sz w:val="20"/>
                <w:szCs w:val="20"/>
              </w:rPr>
            </w:pPr>
            <w:r w:rsidRPr="00A0503F">
              <w:rPr>
                <w:rFonts w:ascii="Arial" w:hAnsi="Arial" w:cs="Arial"/>
                <w:b/>
                <w:bCs/>
                <w:sz w:val="20"/>
                <w:szCs w:val="20"/>
              </w:rPr>
              <w:t>Annual assurance reports</w:t>
            </w:r>
          </w:p>
        </w:tc>
        <w:tc>
          <w:tcPr>
            <w:tcW w:w="6448" w:type="dxa"/>
            <w:shd w:val="clear" w:color="auto" w:fill="auto"/>
            <w:vAlign w:val="center"/>
            <w:hideMark/>
          </w:tcPr>
          <w:p w14:paraId="257DE159" w14:textId="6A1078D9" w:rsidR="007B7208" w:rsidRPr="00A0503F" w:rsidRDefault="00916AF7" w:rsidP="00182A1F">
            <w:pPr>
              <w:spacing w:before="120" w:after="120" w:line="360" w:lineRule="auto"/>
              <w:rPr>
                <w:rFonts w:ascii="Arial" w:hAnsi="Arial" w:cs="Arial"/>
                <w:sz w:val="20"/>
                <w:szCs w:val="20"/>
              </w:rPr>
            </w:pPr>
            <w:r w:rsidRPr="00A0503F">
              <w:rPr>
                <w:rFonts w:ascii="Arial" w:hAnsi="Arial" w:cs="Arial"/>
                <w:sz w:val="20"/>
                <w:szCs w:val="20"/>
              </w:rPr>
              <w:t>A</w:t>
            </w:r>
            <w:r w:rsidR="007B7208" w:rsidRPr="00A0503F">
              <w:rPr>
                <w:rFonts w:ascii="Arial" w:hAnsi="Arial" w:cs="Arial"/>
                <w:sz w:val="20"/>
                <w:szCs w:val="20"/>
              </w:rPr>
              <w:t xml:space="preserve"> range of </w:t>
            </w:r>
            <w:r w:rsidRPr="00A0503F">
              <w:rPr>
                <w:rFonts w:ascii="Arial" w:hAnsi="Arial" w:cs="Arial"/>
                <w:sz w:val="20"/>
                <w:szCs w:val="20"/>
              </w:rPr>
              <w:t xml:space="preserve">annual </w:t>
            </w:r>
            <w:r w:rsidR="007B7208" w:rsidRPr="00A0503F">
              <w:rPr>
                <w:rFonts w:ascii="Arial" w:hAnsi="Arial" w:cs="Arial"/>
                <w:sz w:val="20"/>
                <w:szCs w:val="20"/>
              </w:rPr>
              <w:t xml:space="preserve">reports </w:t>
            </w:r>
            <w:r w:rsidRPr="00A0503F">
              <w:rPr>
                <w:rFonts w:ascii="Arial" w:hAnsi="Arial" w:cs="Arial"/>
                <w:sz w:val="20"/>
                <w:szCs w:val="20"/>
              </w:rPr>
              <w:t>provide</w:t>
            </w:r>
            <w:r w:rsidR="007B7208" w:rsidRPr="00A0503F">
              <w:rPr>
                <w:rFonts w:ascii="Arial" w:hAnsi="Arial" w:cs="Arial"/>
                <w:sz w:val="20"/>
                <w:szCs w:val="20"/>
              </w:rPr>
              <w:t xml:space="preserve"> the committee </w:t>
            </w:r>
            <w:r w:rsidRPr="00A0503F">
              <w:rPr>
                <w:rFonts w:ascii="Arial" w:hAnsi="Arial" w:cs="Arial"/>
                <w:sz w:val="20"/>
                <w:szCs w:val="20"/>
              </w:rPr>
              <w:t>with</w:t>
            </w:r>
            <w:r w:rsidR="007B7208" w:rsidRPr="00A0503F">
              <w:rPr>
                <w:rFonts w:ascii="Arial" w:hAnsi="Arial" w:cs="Arial"/>
                <w:sz w:val="20"/>
                <w:szCs w:val="20"/>
              </w:rPr>
              <w:t xml:space="preserve"> additional assurance. During 202</w:t>
            </w:r>
            <w:r w:rsidR="00C56E60" w:rsidRPr="00A0503F">
              <w:rPr>
                <w:rFonts w:ascii="Arial" w:hAnsi="Arial" w:cs="Arial"/>
                <w:sz w:val="20"/>
                <w:szCs w:val="20"/>
              </w:rPr>
              <w:t>3/24</w:t>
            </w:r>
            <w:r w:rsidR="007B7208" w:rsidRPr="00A0503F">
              <w:rPr>
                <w:rFonts w:ascii="Arial" w:hAnsi="Arial" w:cs="Arial"/>
                <w:sz w:val="20"/>
                <w:szCs w:val="20"/>
              </w:rPr>
              <w:t xml:space="preserve"> the committee received reports on information governance and compliance with the Data Security &amp; Protection toolkit, cyber security and resilience, the management of complaints and compliance with the </w:t>
            </w:r>
            <w:r w:rsidR="00FF26C8" w:rsidRPr="00A0503F">
              <w:rPr>
                <w:rFonts w:ascii="Arial" w:hAnsi="Arial" w:cs="Arial"/>
                <w:sz w:val="20"/>
                <w:szCs w:val="20"/>
              </w:rPr>
              <w:t>f</w:t>
            </w:r>
            <w:r w:rsidR="007B7208" w:rsidRPr="00A0503F">
              <w:rPr>
                <w:rFonts w:ascii="Arial" w:hAnsi="Arial" w:cs="Arial"/>
                <w:sz w:val="20"/>
                <w:szCs w:val="20"/>
              </w:rPr>
              <w:t>unctional standard</w:t>
            </w:r>
            <w:r w:rsidR="00FF26C8" w:rsidRPr="00A0503F">
              <w:rPr>
                <w:rFonts w:ascii="Arial" w:hAnsi="Arial" w:cs="Arial"/>
                <w:sz w:val="20"/>
                <w:szCs w:val="20"/>
              </w:rPr>
              <w:t>s</w:t>
            </w:r>
            <w:r w:rsidR="007B7208" w:rsidRPr="00A0503F">
              <w:rPr>
                <w:rFonts w:ascii="Arial" w:hAnsi="Arial" w:cs="Arial"/>
                <w:sz w:val="20"/>
                <w:szCs w:val="20"/>
              </w:rPr>
              <w:t>.</w:t>
            </w:r>
          </w:p>
        </w:tc>
      </w:tr>
    </w:tbl>
    <w:p w14:paraId="5C82A77D" w14:textId="371A174E" w:rsidR="00B332FC" w:rsidRPr="00C93791" w:rsidRDefault="00E91F16" w:rsidP="009065B8">
      <w:pPr>
        <w:pStyle w:val="NICEnormalnumbered"/>
        <w:numPr>
          <w:ilvl w:val="0"/>
          <w:numId w:val="0"/>
        </w:numPr>
        <w:spacing w:after="120" w:line="240" w:lineRule="auto"/>
        <w:rPr>
          <w:noProof w:val="0"/>
        </w:rPr>
      </w:pPr>
      <w:r w:rsidRPr="00C93791">
        <w:rPr>
          <w:noProof w:val="0"/>
        </w:rPr>
        <w:tab/>
      </w:r>
    </w:p>
    <w:p w14:paraId="4379DD0C" w14:textId="1603C2B7" w:rsidR="00B332FC" w:rsidRPr="007945BA" w:rsidRDefault="00B332FC" w:rsidP="00B332FC">
      <w:pPr>
        <w:pStyle w:val="Heading2"/>
      </w:pPr>
      <w:r w:rsidRPr="007945BA">
        <w:lastRenderedPageBreak/>
        <w:t>Key messages from this year’s work</w:t>
      </w:r>
    </w:p>
    <w:p w14:paraId="204E1161" w14:textId="2B2DB0D2" w:rsidR="00B332FC" w:rsidRPr="00C93791" w:rsidRDefault="00B332FC" w:rsidP="00F232B7">
      <w:pPr>
        <w:pStyle w:val="NICEnormalnumbered"/>
        <w:rPr>
          <w:noProof w:val="0"/>
        </w:rPr>
      </w:pPr>
      <w:r w:rsidRPr="00C93791">
        <w:rPr>
          <w:rFonts w:cs="Arial"/>
          <w:noProof w:val="0"/>
          <w:color w:val="000000"/>
        </w:rPr>
        <w:t xml:space="preserve">From our work we wish to highlight </w:t>
      </w:r>
      <w:r w:rsidR="002B4951" w:rsidRPr="00C93791">
        <w:rPr>
          <w:rFonts w:cs="Arial"/>
          <w:noProof w:val="0"/>
          <w:color w:val="000000"/>
        </w:rPr>
        <w:t xml:space="preserve">the following </w:t>
      </w:r>
      <w:r w:rsidRPr="00C93791">
        <w:rPr>
          <w:rFonts w:cs="Arial"/>
          <w:noProof w:val="0"/>
          <w:color w:val="000000"/>
        </w:rPr>
        <w:t>to the board</w:t>
      </w:r>
      <w:r w:rsidR="00357846" w:rsidRPr="00C93791">
        <w:rPr>
          <w:rFonts w:cs="Arial"/>
          <w:noProof w:val="0"/>
          <w:color w:val="000000"/>
        </w:rPr>
        <w:t>:</w:t>
      </w:r>
    </w:p>
    <w:p w14:paraId="10994F1D" w14:textId="21617BD3" w:rsidR="00AF0837" w:rsidRPr="00C93791" w:rsidRDefault="006F0F57" w:rsidP="006F0F57">
      <w:pPr>
        <w:pStyle w:val="NICEnormalnumbered"/>
        <w:numPr>
          <w:ilvl w:val="0"/>
          <w:numId w:val="28"/>
        </w:numPr>
        <w:rPr>
          <w:noProof w:val="0"/>
        </w:rPr>
      </w:pPr>
      <w:r>
        <w:rPr>
          <w:rFonts w:cs="Arial"/>
          <w:noProof w:val="0"/>
        </w:rPr>
        <w:t>W</w:t>
      </w:r>
      <w:r w:rsidR="00E01481" w:rsidRPr="00C93791">
        <w:rPr>
          <w:rFonts w:cs="Arial"/>
          <w:noProof w:val="0"/>
        </w:rPr>
        <w:t xml:space="preserve">e continue to </w:t>
      </w:r>
      <w:r w:rsidR="0082543D" w:rsidRPr="00C93791">
        <w:rPr>
          <w:rFonts w:cs="Arial"/>
          <w:noProof w:val="0"/>
        </w:rPr>
        <w:t xml:space="preserve">mature </w:t>
      </w:r>
      <w:r w:rsidR="00493831" w:rsidRPr="00C93791">
        <w:rPr>
          <w:rFonts w:cs="Arial"/>
          <w:noProof w:val="0"/>
        </w:rPr>
        <w:t>the</w:t>
      </w:r>
      <w:r w:rsidR="0082543D" w:rsidRPr="00C93791">
        <w:rPr>
          <w:rFonts w:cs="Arial"/>
          <w:noProof w:val="0"/>
        </w:rPr>
        <w:t xml:space="preserve"> </w:t>
      </w:r>
      <w:r w:rsidR="00E01481" w:rsidRPr="00C93791">
        <w:rPr>
          <w:rFonts w:cs="Arial"/>
          <w:noProof w:val="0"/>
          <w:u w:val="single"/>
        </w:rPr>
        <w:t>risk management</w:t>
      </w:r>
      <w:r w:rsidR="00F60135" w:rsidRPr="00C93791">
        <w:rPr>
          <w:rFonts w:cs="Arial"/>
          <w:noProof w:val="0"/>
          <w:u w:val="single"/>
        </w:rPr>
        <w:t xml:space="preserve"> arrangements</w:t>
      </w:r>
      <w:r w:rsidR="00E01481" w:rsidRPr="00C93791">
        <w:rPr>
          <w:rFonts w:cs="Arial"/>
          <w:noProof w:val="0"/>
        </w:rPr>
        <w:t xml:space="preserve">. </w:t>
      </w:r>
      <w:r>
        <w:rPr>
          <w:rFonts w:cs="Arial"/>
          <w:noProof w:val="0"/>
        </w:rPr>
        <w:t xml:space="preserve">As noted earlier in the report </w:t>
      </w:r>
      <w:r w:rsidR="00AF0837" w:rsidRPr="00C93791">
        <w:rPr>
          <w:rFonts w:cs="Arial"/>
          <w:noProof w:val="0"/>
        </w:rPr>
        <w:t>we adopted the ‘</w:t>
      </w:r>
      <w:proofErr w:type="gramStart"/>
      <w:r w:rsidR="00AF0837" w:rsidRPr="00C93791">
        <w:rPr>
          <w:rFonts w:cs="Arial"/>
          <w:noProof w:val="0"/>
        </w:rPr>
        <w:t>bow-tie</w:t>
      </w:r>
      <w:proofErr w:type="gramEnd"/>
      <w:r w:rsidR="00AF0837" w:rsidRPr="00C93791">
        <w:rPr>
          <w:rFonts w:cs="Arial"/>
          <w:noProof w:val="0"/>
        </w:rPr>
        <w:t xml:space="preserve">’ approach to </w:t>
      </w:r>
      <w:r>
        <w:rPr>
          <w:rFonts w:cs="Arial"/>
          <w:noProof w:val="0"/>
        </w:rPr>
        <w:t xml:space="preserve">inform </w:t>
      </w:r>
      <w:r w:rsidR="001037D7" w:rsidRPr="00C93791">
        <w:rPr>
          <w:rFonts w:cs="Arial"/>
          <w:noProof w:val="0"/>
        </w:rPr>
        <w:t xml:space="preserve">our deep dive </w:t>
      </w:r>
      <w:r w:rsidR="00AF0837" w:rsidRPr="00C93791">
        <w:rPr>
          <w:rFonts w:cs="Arial"/>
          <w:noProof w:val="0"/>
        </w:rPr>
        <w:t xml:space="preserve">risk </w:t>
      </w:r>
      <w:r w:rsidR="001037D7" w:rsidRPr="00C93791">
        <w:rPr>
          <w:rFonts w:cs="Arial"/>
          <w:noProof w:val="0"/>
        </w:rPr>
        <w:t>discussions</w:t>
      </w:r>
      <w:r w:rsidR="00C16EDB">
        <w:rPr>
          <w:rFonts w:cs="Arial"/>
          <w:noProof w:val="0"/>
        </w:rPr>
        <w:t xml:space="preserve"> on </w:t>
      </w:r>
      <w:r w:rsidR="00AF0837" w:rsidRPr="00C93791">
        <w:rPr>
          <w:rFonts w:cs="Arial"/>
          <w:noProof w:val="0"/>
        </w:rPr>
        <w:t xml:space="preserve">the </w:t>
      </w:r>
      <w:r w:rsidR="00424492" w:rsidRPr="00C93791">
        <w:rPr>
          <w:noProof w:val="0"/>
        </w:rPr>
        <w:t>organisatio</w:t>
      </w:r>
      <w:r w:rsidR="001037D7" w:rsidRPr="00C93791">
        <w:rPr>
          <w:noProof w:val="0"/>
        </w:rPr>
        <w:t xml:space="preserve">nal transformation programme, topic selection and </w:t>
      </w:r>
      <w:r w:rsidR="005417C8" w:rsidRPr="005417C8">
        <w:rPr>
          <w:noProof w:val="0"/>
        </w:rPr>
        <w:t>prioritisation</w:t>
      </w:r>
      <w:r w:rsidR="001037D7" w:rsidRPr="00C93791">
        <w:rPr>
          <w:noProof w:val="0"/>
        </w:rPr>
        <w:t>; and the financial position and funding.</w:t>
      </w:r>
    </w:p>
    <w:p w14:paraId="4773514C" w14:textId="1F405F06" w:rsidR="003B54C2" w:rsidRPr="00B10D28" w:rsidRDefault="00754922" w:rsidP="003B54C2">
      <w:pPr>
        <w:pStyle w:val="NICEnormalnumbered"/>
        <w:numPr>
          <w:ilvl w:val="0"/>
          <w:numId w:val="28"/>
        </w:numPr>
        <w:rPr>
          <w:noProof w:val="0"/>
        </w:rPr>
      </w:pPr>
      <w:r>
        <w:rPr>
          <w:noProof w:val="0"/>
        </w:rPr>
        <w:t xml:space="preserve">A focus for 23/24 has been </w:t>
      </w:r>
      <w:r w:rsidR="003F1875" w:rsidRPr="00C93791">
        <w:rPr>
          <w:noProof w:val="0"/>
          <w:u w:val="single"/>
        </w:rPr>
        <w:t xml:space="preserve">cyber security </w:t>
      </w:r>
      <w:r w:rsidR="00C16EDB" w:rsidRPr="00C93791">
        <w:rPr>
          <w:noProof w:val="0"/>
          <w:u w:val="single"/>
        </w:rPr>
        <w:t>and resilience</w:t>
      </w:r>
      <w:r w:rsidR="00BF1FE4">
        <w:rPr>
          <w:noProof w:val="0"/>
        </w:rPr>
        <w:t>;</w:t>
      </w:r>
      <w:r w:rsidR="003F1875" w:rsidRPr="00C93791">
        <w:rPr>
          <w:noProof w:val="0"/>
        </w:rPr>
        <w:t xml:space="preserve"> the new Chief Information Officer </w:t>
      </w:r>
      <w:r w:rsidR="007F3227">
        <w:rPr>
          <w:noProof w:val="0"/>
        </w:rPr>
        <w:t xml:space="preserve">(CIO) </w:t>
      </w:r>
      <w:r>
        <w:rPr>
          <w:noProof w:val="0"/>
        </w:rPr>
        <w:t xml:space="preserve">was invited </w:t>
      </w:r>
      <w:r w:rsidR="003F1875" w:rsidRPr="00C93791">
        <w:rPr>
          <w:noProof w:val="0"/>
        </w:rPr>
        <w:t>to our January meeting</w:t>
      </w:r>
      <w:r w:rsidR="00BF1FE4">
        <w:rPr>
          <w:noProof w:val="0"/>
        </w:rPr>
        <w:t xml:space="preserve"> to update the committee</w:t>
      </w:r>
      <w:r w:rsidR="003F1875" w:rsidRPr="00C93791">
        <w:rPr>
          <w:noProof w:val="0"/>
        </w:rPr>
        <w:t>.  His</w:t>
      </w:r>
      <w:r w:rsidR="005F3A26" w:rsidRPr="00C93791">
        <w:rPr>
          <w:noProof w:val="0"/>
        </w:rPr>
        <w:t xml:space="preserve"> report </w:t>
      </w:r>
      <w:r w:rsidR="00681B37">
        <w:rPr>
          <w:noProof w:val="0"/>
        </w:rPr>
        <w:t xml:space="preserve">provided an assessment </w:t>
      </w:r>
      <w:r w:rsidR="00733D3D" w:rsidRPr="00C93791">
        <w:rPr>
          <w:noProof w:val="0"/>
        </w:rPr>
        <w:t xml:space="preserve">of NICE’s current cyber security arrangements compared against the </w:t>
      </w:r>
      <w:r w:rsidR="00733D3D" w:rsidRPr="00882DA5">
        <w:rPr>
          <w:noProof w:val="0"/>
          <w:u w:val="single"/>
        </w:rPr>
        <w:t>National Cyber Security Centre’s cyber assessment framework (CAF</w:t>
      </w:r>
      <w:r w:rsidR="00524F06" w:rsidRPr="00882DA5">
        <w:rPr>
          <w:noProof w:val="0"/>
          <w:u w:val="single"/>
        </w:rPr>
        <w:t>)</w:t>
      </w:r>
      <w:r>
        <w:rPr>
          <w:noProof w:val="0"/>
        </w:rPr>
        <w:t xml:space="preserve">. This </w:t>
      </w:r>
      <w:r w:rsidR="00733D3D" w:rsidRPr="00C93791">
        <w:rPr>
          <w:noProof w:val="0"/>
        </w:rPr>
        <w:t xml:space="preserve">highlighted the </w:t>
      </w:r>
      <w:r w:rsidR="0047188B">
        <w:rPr>
          <w:noProof w:val="0"/>
        </w:rPr>
        <w:t xml:space="preserve">priorities for </w:t>
      </w:r>
      <w:r w:rsidR="00733D3D" w:rsidRPr="00C93791">
        <w:rPr>
          <w:noProof w:val="0"/>
        </w:rPr>
        <w:t xml:space="preserve">improvement. </w:t>
      </w:r>
      <w:r>
        <w:rPr>
          <w:noProof w:val="0"/>
        </w:rPr>
        <w:t>(</w:t>
      </w:r>
      <w:r w:rsidR="00EE766D">
        <w:rPr>
          <w:noProof w:val="0"/>
        </w:rPr>
        <w:t xml:space="preserve">This discussion was informed by </w:t>
      </w:r>
      <w:r w:rsidR="003B54C2" w:rsidRPr="00B10D28">
        <w:rPr>
          <w:rFonts w:cs="Arial"/>
          <w:noProof w:val="0"/>
        </w:rPr>
        <w:t>a</w:t>
      </w:r>
      <w:r w:rsidR="00884297">
        <w:rPr>
          <w:rFonts w:cs="Arial"/>
          <w:noProof w:val="0"/>
        </w:rPr>
        <w:t>n earlier</w:t>
      </w:r>
      <w:r w:rsidR="003B54C2" w:rsidRPr="00B10D28">
        <w:rPr>
          <w:rFonts w:cs="Arial"/>
          <w:noProof w:val="0"/>
        </w:rPr>
        <w:t xml:space="preserve"> cyber </w:t>
      </w:r>
      <w:r w:rsidR="00EE766D" w:rsidRPr="00B10D28">
        <w:rPr>
          <w:rFonts w:cs="Arial"/>
          <w:noProof w:val="0"/>
        </w:rPr>
        <w:t>security</w:t>
      </w:r>
      <w:r w:rsidR="003B54C2" w:rsidRPr="00B10D28">
        <w:rPr>
          <w:rFonts w:cs="Arial"/>
          <w:noProof w:val="0"/>
        </w:rPr>
        <w:t xml:space="preserve"> training session externally facilitated by the NAO</w:t>
      </w:r>
      <w:r>
        <w:rPr>
          <w:rFonts w:cs="Arial"/>
          <w:noProof w:val="0"/>
        </w:rPr>
        <w:t xml:space="preserve">. This </w:t>
      </w:r>
      <w:r w:rsidR="003B54C2" w:rsidRPr="00B10D28">
        <w:rPr>
          <w:rFonts w:cs="Arial"/>
          <w:noProof w:val="0"/>
        </w:rPr>
        <w:t>look</w:t>
      </w:r>
      <w:r>
        <w:rPr>
          <w:rFonts w:cs="Arial"/>
          <w:noProof w:val="0"/>
        </w:rPr>
        <w:t>ed</w:t>
      </w:r>
      <w:r w:rsidR="003B54C2" w:rsidRPr="00B10D28">
        <w:rPr>
          <w:rFonts w:cs="Arial"/>
          <w:noProof w:val="0"/>
        </w:rPr>
        <w:t xml:space="preserve"> at the cyber security </w:t>
      </w:r>
      <w:r w:rsidR="003B54C2" w:rsidRPr="003B54C2">
        <w:rPr>
          <w:rFonts w:cs="Arial"/>
          <w:noProof w:val="0"/>
        </w:rPr>
        <w:t>landscape</w:t>
      </w:r>
      <w:r w:rsidR="003B54C2" w:rsidRPr="00B10D28">
        <w:rPr>
          <w:rFonts w:cs="Arial"/>
          <w:noProof w:val="0"/>
        </w:rPr>
        <w:t xml:space="preserve"> and </w:t>
      </w:r>
      <w:r w:rsidR="0047056B">
        <w:rPr>
          <w:rFonts w:cs="Arial"/>
          <w:noProof w:val="0"/>
        </w:rPr>
        <w:t>areas for audit and risk committees to consider</w:t>
      </w:r>
      <w:r w:rsidR="00E27BDD">
        <w:rPr>
          <w:rFonts w:cs="Arial"/>
          <w:noProof w:val="0"/>
        </w:rPr>
        <w:t>).</w:t>
      </w:r>
    </w:p>
    <w:p w14:paraId="07C5BEAB" w14:textId="7589FE04" w:rsidR="00E01481" w:rsidRPr="00C93791" w:rsidRDefault="00D6305E" w:rsidP="00E01481">
      <w:pPr>
        <w:pStyle w:val="NICEnormalnumbered"/>
        <w:numPr>
          <w:ilvl w:val="0"/>
          <w:numId w:val="28"/>
        </w:numPr>
        <w:rPr>
          <w:noProof w:val="0"/>
        </w:rPr>
      </w:pPr>
      <w:r w:rsidRPr="00C93791">
        <w:rPr>
          <w:rFonts w:cs="Arial"/>
          <w:noProof w:val="0"/>
        </w:rPr>
        <w:t xml:space="preserve">There have been </w:t>
      </w:r>
      <w:r w:rsidR="009F648C">
        <w:rPr>
          <w:rFonts w:cs="Arial"/>
          <w:noProof w:val="0"/>
          <w:u w:val="single"/>
        </w:rPr>
        <w:t xml:space="preserve">six </w:t>
      </w:r>
      <w:r w:rsidRPr="00C93791">
        <w:rPr>
          <w:rFonts w:cs="Arial"/>
          <w:noProof w:val="0"/>
          <w:u w:val="single"/>
        </w:rPr>
        <w:t>internal audit reports</w:t>
      </w:r>
      <w:r w:rsidRPr="00C93791">
        <w:rPr>
          <w:rFonts w:cs="Arial"/>
          <w:noProof w:val="0"/>
        </w:rPr>
        <w:t xml:space="preserve"> published (listed in table 1 above).</w:t>
      </w:r>
      <w:r w:rsidR="003E7C7B" w:rsidRPr="00C93791">
        <w:rPr>
          <w:rFonts w:cs="Arial"/>
          <w:noProof w:val="0"/>
        </w:rPr>
        <w:t xml:space="preserve"> </w:t>
      </w:r>
      <w:r w:rsidR="00754922">
        <w:rPr>
          <w:rFonts w:cs="Arial"/>
          <w:noProof w:val="0"/>
        </w:rPr>
        <w:t>T</w:t>
      </w:r>
      <w:r w:rsidR="00AD7BF9" w:rsidRPr="00C93791">
        <w:rPr>
          <w:rFonts w:cs="Arial"/>
          <w:noProof w:val="0"/>
        </w:rPr>
        <w:t>he</w:t>
      </w:r>
      <w:r w:rsidR="003E7C7B" w:rsidRPr="00C93791">
        <w:rPr>
          <w:rFonts w:cs="Arial"/>
          <w:noProof w:val="0"/>
        </w:rPr>
        <w:t xml:space="preserve"> executive sponsor</w:t>
      </w:r>
      <w:r w:rsidR="00AD7BF9" w:rsidRPr="00C93791">
        <w:rPr>
          <w:rFonts w:cs="Arial"/>
          <w:noProof w:val="0"/>
        </w:rPr>
        <w:t>s</w:t>
      </w:r>
      <w:r w:rsidR="00754922">
        <w:rPr>
          <w:rFonts w:cs="Arial"/>
          <w:noProof w:val="0"/>
        </w:rPr>
        <w:t xml:space="preserve"> for each area </w:t>
      </w:r>
      <w:r w:rsidR="003E7C7B" w:rsidRPr="00C93791">
        <w:rPr>
          <w:rFonts w:cs="Arial"/>
          <w:noProof w:val="0"/>
        </w:rPr>
        <w:t>attend</w:t>
      </w:r>
      <w:r w:rsidR="00754922">
        <w:rPr>
          <w:rFonts w:cs="Arial"/>
          <w:noProof w:val="0"/>
        </w:rPr>
        <w:t>ed</w:t>
      </w:r>
      <w:r w:rsidR="003E7C7B" w:rsidRPr="00C93791">
        <w:rPr>
          <w:rFonts w:cs="Arial"/>
          <w:noProof w:val="0"/>
        </w:rPr>
        <w:t xml:space="preserve"> </w:t>
      </w:r>
      <w:r w:rsidR="005F7EBC" w:rsidRPr="00C93791">
        <w:rPr>
          <w:rFonts w:cs="Arial"/>
          <w:noProof w:val="0"/>
        </w:rPr>
        <w:t xml:space="preserve">the committee meeting </w:t>
      </w:r>
      <w:r w:rsidR="003E7C7B" w:rsidRPr="00C93791">
        <w:rPr>
          <w:rFonts w:cs="Arial"/>
          <w:noProof w:val="0"/>
        </w:rPr>
        <w:t>for the presentation of</w:t>
      </w:r>
      <w:r w:rsidR="00754922">
        <w:rPr>
          <w:rFonts w:cs="Arial"/>
          <w:noProof w:val="0"/>
        </w:rPr>
        <w:t xml:space="preserve"> the</w:t>
      </w:r>
      <w:r w:rsidR="003E7C7B" w:rsidRPr="00C93791">
        <w:rPr>
          <w:rFonts w:cs="Arial"/>
          <w:noProof w:val="0"/>
        </w:rPr>
        <w:t xml:space="preserve"> audit reports to answer any queries</w:t>
      </w:r>
      <w:r w:rsidR="005F7EBC" w:rsidRPr="00C93791">
        <w:rPr>
          <w:rFonts w:cs="Arial"/>
          <w:noProof w:val="0"/>
        </w:rPr>
        <w:t xml:space="preserve"> </w:t>
      </w:r>
      <w:r w:rsidR="00367E4B" w:rsidRPr="00C93791">
        <w:rPr>
          <w:rFonts w:cs="Arial"/>
          <w:noProof w:val="0"/>
        </w:rPr>
        <w:t xml:space="preserve">on the report </w:t>
      </w:r>
      <w:r w:rsidR="00AD7BF9" w:rsidRPr="00C93791">
        <w:rPr>
          <w:rFonts w:cs="Arial"/>
          <w:noProof w:val="0"/>
        </w:rPr>
        <w:t>or</w:t>
      </w:r>
      <w:r w:rsidR="005F7EBC" w:rsidRPr="00C93791">
        <w:rPr>
          <w:rFonts w:cs="Arial"/>
          <w:noProof w:val="0"/>
        </w:rPr>
        <w:t xml:space="preserve"> </w:t>
      </w:r>
      <w:r w:rsidRPr="00C93791">
        <w:rPr>
          <w:rFonts w:cs="Arial"/>
          <w:noProof w:val="0"/>
        </w:rPr>
        <w:t>the management action plan</w:t>
      </w:r>
      <w:r w:rsidR="002A75D7" w:rsidRPr="00C93791">
        <w:rPr>
          <w:rFonts w:cs="Arial"/>
          <w:noProof w:val="0"/>
        </w:rPr>
        <w:t>.</w:t>
      </w:r>
      <w:r w:rsidRPr="00C93791">
        <w:rPr>
          <w:rFonts w:cs="Arial"/>
          <w:noProof w:val="0"/>
        </w:rPr>
        <w:t xml:space="preserve"> </w:t>
      </w:r>
      <w:r w:rsidR="002A75D7" w:rsidRPr="00C93791">
        <w:rPr>
          <w:rFonts w:cs="Arial"/>
          <w:noProof w:val="0"/>
        </w:rPr>
        <w:t xml:space="preserve">The committee has been satisfied with </w:t>
      </w:r>
      <w:r w:rsidR="00C0143A" w:rsidRPr="00C93791">
        <w:rPr>
          <w:rFonts w:cs="Arial"/>
          <w:noProof w:val="0"/>
        </w:rPr>
        <w:t xml:space="preserve">the implementation of actions </w:t>
      </w:r>
      <w:r w:rsidR="0047188B" w:rsidRPr="0047188B">
        <w:rPr>
          <w:rFonts w:cs="Arial"/>
          <w:noProof w:val="0"/>
        </w:rPr>
        <w:t>arising</w:t>
      </w:r>
      <w:r w:rsidR="00C0143A" w:rsidRPr="00C93791">
        <w:rPr>
          <w:rFonts w:cs="Arial"/>
          <w:noProof w:val="0"/>
        </w:rPr>
        <w:t xml:space="preserve"> from t</w:t>
      </w:r>
      <w:r w:rsidRPr="00C93791">
        <w:rPr>
          <w:rFonts w:cs="Arial"/>
          <w:noProof w:val="0"/>
        </w:rPr>
        <w:t>his year</w:t>
      </w:r>
      <w:r w:rsidR="0047188B">
        <w:rPr>
          <w:rFonts w:cs="Arial"/>
          <w:noProof w:val="0"/>
        </w:rPr>
        <w:t xml:space="preserve">’s audits </w:t>
      </w:r>
      <w:r w:rsidRPr="00C93791">
        <w:rPr>
          <w:rFonts w:cs="Arial"/>
          <w:noProof w:val="0"/>
        </w:rPr>
        <w:t xml:space="preserve">and </w:t>
      </w:r>
      <w:r w:rsidR="00320AA0" w:rsidRPr="00C93791">
        <w:rPr>
          <w:rFonts w:cs="Arial"/>
          <w:noProof w:val="0"/>
        </w:rPr>
        <w:t>th</w:t>
      </w:r>
      <w:r w:rsidR="0047188B">
        <w:rPr>
          <w:rFonts w:cs="Arial"/>
          <w:noProof w:val="0"/>
        </w:rPr>
        <w:t xml:space="preserve">ose from </w:t>
      </w:r>
      <w:r w:rsidR="003B54C2">
        <w:rPr>
          <w:rFonts w:cs="Arial"/>
          <w:noProof w:val="0"/>
        </w:rPr>
        <w:t xml:space="preserve">the </w:t>
      </w:r>
      <w:r w:rsidRPr="00C93791">
        <w:rPr>
          <w:rFonts w:cs="Arial"/>
          <w:noProof w:val="0"/>
        </w:rPr>
        <w:t>previous year’s audit plan</w:t>
      </w:r>
      <w:r w:rsidR="00320AA0" w:rsidRPr="00C93791">
        <w:rPr>
          <w:rFonts w:cs="Arial"/>
          <w:noProof w:val="0"/>
        </w:rPr>
        <w:t>.</w:t>
      </w:r>
    </w:p>
    <w:p w14:paraId="41E54803" w14:textId="23E92805" w:rsidR="00DA597B" w:rsidRPr="00C93791" w:rsidRDefault="00DA597B" w:rsidP="00E01481">
      <w:pPr>
        <w:pStyle w:val="NICEnormalnumbered"/>
        <w:numPr>
          <w:ilvl w:val="0"/>
          <w:numId w:val="28"/>
        </w:numPr>
        <w:rPr>
          <w:noProof w:val="0"/>
        </w:rPr>
      </w:pPr>
      <w:r w:rsidRPr="00C93791">
        <w:rPr>
          <w:rFonts w:cs="Arial"/>
          <w:noProof w:val="0"/>
        </w:rPr>
        <w:t xml:space="preserve">We reviewed </w:t>
      </w:r>
      <w:r w:rsidR="00A46DC7" w:rsidRPr="00C93791">
        <w:rPr>
          <w:rFonts w:cs="Arial"/>
          <w:noProof w:val="0"/>
        </w:rPr>
        <w:t xml:space="preserve">two corporate governance policies – </w:t>
      </w:r>
      <w:r w:rsidR="00A46DC7" w:rsidRPr="00882DA5">
        <w:rPr>
          <w:rFonts w:cs="Arial"/>
          <w:noProof w:val="0"/>
          <w:u w:val="single"/>
        </w:rPr>
        <w:t xml:space="preserve">risk management and the Standing Financial </w:t>
      </w:r>
      <w:r w:rsidR="00524F06" w:rsidRPr="00882DA5">
        <w:rPr>
          <w:rFonts w:cs="Arial"/>
          <w:noProof w:val="0"/>
          <w:u w:val="single"/>
        </w:rPr>
        <w:t>Instructions</w:t>
      </w:r>
      <w:r w:rsidR="00524F06" w:rsidRPr="00C93791">
        <w:rPr>
          <w:rFonts w:cs="Arial"/>
          <w:noProof w:val="0"/>
        </w:rPr>
        <w:t xml:space="preserve"> and</w:t>
      </w:r>
      <w:r w:rsidR="00A46DC7" w:rsidRPr="00C93791">
        <w:rPr>
          <w:rFonts w:cs="Arial"/>
          <w:noProof w:val="0"/>
        </w:rPr>
        <w:t xml:space="preserve"> recommended revised versions to the board.</w:t>
      </w:r>
    </w:p>
    <w:p w14:paraId="252C6AF7" w14:textId="6A5D96C5" w:rsidR="00320AA0" w:rsidRPr="007945BA" w:rsidRDefault="00320AA0" w:rsidP="005865B3">
      <w:pPr>
        <w:pStyle w:val="ListParagraph"/>
        <w:numPr>
          <w:ilvl w:val="0"/>
          <w:numId w:val="28"/>
        </w:numPr>
        <w:spacing w:after="120" w:line="360" w:lineRule="auto"/>
        <w:ind w:left="1077" w:hanging="357"/>
        <w:contextualSpacing w:val="0"/>
        <w:rPr>
          <w:rFonts w:ascii="Arial" w:hAnsi="Arial" w:cs="Arial"/>
          <w:color w:val="000000"/>
        </w:rPr>
      </w:pPr>
      <w:r w:rsidRPr="007945BA">
        <w:rPr>
          <w:rFonts w:ascii="Arial" w:hAnsi="Arial" w:cs="Arial"/>
        </w:rPr>
        <w:t xml:space="preserve">We were advised that there have been no </w:t>
      </w:r>
      <w:r w:rsidRPr="007945BA">
        <w:rPr>
          <w:rFonts w:ascii="Arial" w:hAnsi="Arial" w:cs="Arial"/>
          <w:u w:val="single"/>
        </w:rPr>
        <w:t>whistleblowing cases</w:t>
      </w:r>
      <w:r w:rsidRPr="007945BA">
        <w:rPr>
          <w:rFonts w:ascii="Arial" w:hAnsi="Arial" w:cs="Arial"/>
        </w:rPr>
        <w:t xml:space="preserve"> reported during the year</w:t>
      </w:r>
      <w:r w:rsidR="00275AE5" w:rsidRPr="007945BA">
        <w:rPr>
          <w:rFonts w:ascii="Arial" w:hAnsi="Arial" w:cs="Arial"/>
        </w:rPr>
        <w:t>. T</w:t>
      </w:r>
      <w:r w:rsidRPr="007945BA">
        <w:rPr>
          <w:rFonts w:ascii="Arial" w:hAnsi="Arial" w:cs="Arial"/>
        </w:rPr>
        <w:t xml:space="preserve">he </w:t>
      </w:r>
      <w:r w:rsidR="00AA4B89" w:rsidRPr="007945BA">
        <w:rPr>
          <w:rFonts w:ascii="Arial" w:hAnsi="Arial" w:cs="Arial"/>
        </w:rPr>
        <w:t xml:space="preserve">three </w:t>
      </w:r>
      <w:r w:rsidR="00087AC4" w:rsidRPr="007945BA">
        <w:rPr>
          <w:rFonts w:ascii="Arial" w:hAnsi="Arial" w:cs="Arial"/>
        </w:rPr>
        <w:t xml:space="preserve">Freedom to Speak Up </w:t>
      </w:r>
      <w:r w:rsidRPr="007945BA">
        <w:rPr>
          <w:rFonts w:ascii="Arial" w:hAnsi="Arial" w:cs="Arial"/>
        </w:rPr>
        <w:t>Guardians hold regular ‘drop-in’ sessions which are communicated to all staff via the NICE Space intranet, and they provide the executive team with updates on their work.</w:t>
      </w:r>
      <w:r w:rsidR="00EB5287" w:rsidRPr="007945BA">
        <w:rPr>
          <w:rFonts w:ascii="Arial" w:hAnsi="Arial" w:cs="Arial"/>
        </w:rPr>
        <w:t xml:space="preserve">  In 2023/24 this initiative was widened to include six </w:t>
      </w:r>
      <w:r w:rsidR="007953DC" w:rsidRPr="007945BA">
        <w:rPr>
          <w:rFonts w:ascii="Arial" w:hAnsi="Arial" w:cs="Arial"/>
        </w:rPr>
        <w:t>ambassadors who are also available for staff to speak to in confidence if they have any concerns.</w:t>
      </w:r>
      <w:r w:rsidR="004B1BC0" w:rsidRPr="007945BA">
        <w:rPr>
          <w:rFonts w:ascii="Arial" w:hAnsi="Arial" w:cs="Arial"/>
        </w:rPr>
        <w:t xml:space="preserve"> </w:t>
      </w:r>
    </w:p>
    <w:p w14:paraId="601A1373" w14:textId="697EE7FD" w:rsidR="00D81CD1" w:rsidRPr="00003416" w:rsidRDefault="00320AA0" w:rsidP="00882DA5">
      <w:pPr>
        <w:pStyle w:val="ListParagraph"/>
        <w:numPr>
          <w:ilvl w:val="0"/>
          <w:numId w:val="28"/>
        </w:numPr>
        <w:spacing w:after="120" w:line="360" w:lineRule="auto"/>
        <w:ind w:left="1077" w:hanging="357"/>
        <w:contextualSpacing w:val="0"/>
        <w:rPr>
          <w:rFonts w:ascii="Arial" w:hAnsi="Arial" w:cs="Arial"/>
        </w:rPr>
      </w:pPr>
      <w:r w:rsidRPr="00003416">
        <w:rPr>
          <w:rFonts w:ascii="Arial" w:hAnsi="Arial" w:cs="Arial"/>
        </w:rPr>
        <w:lastRenderedPageBreak/>
        <w:t xml:space="preserve">We reviewed the </w:t>
      </w:r>
      <w:r w:rsidRPr="00003416">
        <w:rPr>
          <w:rFonts w:ascii="Arial" w:hAnsi="Arial" w:cs="Arial"/>
          <w:u w:val="single"/>
        </w:rPr>
        <w:t>committee’s terms of reference</w:t>
      </w:r>
      <w:r w:rsidRPr="00003416">
        <w:rPr>
          <w:rFonts w:ascii="Arial" w:hAnsi="Arial" w:cs="Arial"/>
        </w:rPr>
        <w:t xml:space="preserve"> and recommended minor amendments</w:t>
      </w:r>
      <w:r w:rsidR="00397669" w:rsidRPr="00003416">
        <w:rPr>
          <w:rFonts w:ascii="Arial" w:hAnsi="Arial" w:cs="Arial"/>
        </w:rPr>
        <w:t>, including a revised name for the committee</w:t>
      </w:r>
      <w:r w:rsidRPr="00003416">
        <w:rPr>
          <w:rFonts w:ascii="Arial" w:hAnsi="Arial" w:cs="Arial"/>
        </w:rPr>
        <w:t xml:space="preserve"> </w:t>
      </w:r>
      <w:r w:rsidR="005636EA" w:rsidRPr="00003416">
        <w:rPr>
          <w:rFonts w:ascii="Arial" w:hAnsi="Arial" w:cs="Arial"/>
        </w:rPr>
        <w:t xml:space="preserve">from audit and risk committee to audit and risk </w:t>
      </w:r>
      <w:r w:rsidR="005636EA" w:rsidRPr="00003416">
        <w:rPr>
          <w:rFonts w:ascii="Arial" w:hAnsi="Arial" w:cs="Arial"/>
          <w:u w:val="single"/>
        </w:rPr>
        <w:t>assurance</w:t>
      </w:r>
      <w:r w:rsidR="005636EA" w:rsidRPr="00003416">
        <w:rPr>
          <w:rFonts w:ascii="Arial" w:hAnsi="Arial" w:cs="Arial"/>
        </w:rPr>
        <w:t xml:space="preserve"> committee </w:t>
      </w:r>
      <w:r w:rsidRPr="00003416">
        <w:rPr>
          <w:rFonts w:ascii="Arial" w:hAnsi="Arial" w:cs="Arial"/>
        </w:rPr>
        <w:t>(appendix C).</w:t>
      </w:r>
      <w:r w:rsidR="00EA504E" w:rsidRPr="00003416">
        <w:rPr>
          <w:rFonts w:ascii="Arial" w:hAnsi="Arial" w:cs="Arial"/>
        </w:rPr>
        <w:t xml:space="preserve">  </w:t>
      </w:r>
      <w:r w:rsidR="005636EA" w:rsidRPr="00003416">
        <w:rPr>
          <w:rFonts w:ascii="Arial" w:hAnsi="Arial" w:cs="Arial"/>
        </w:rPr>
        <w:t xml:space="preserve">The reason for this </w:t>
      </w:r>
      <w:r w:rsidR="002C3F2E" w:rsidRPr="00003416">
        <w:rPr>
          <w:rFonts w:ascii="Arial" w:hAnsi="Arial" w:cs="Arial"/>
        </w:rPr>
        <w:t xml:space="preserve">is stated in </w:t>
      </w:r>
      <w:r w:rsidR="00237B18">
        <w:rPr>
          <w:rFonts w:ascii="Arial" w:hAnsi="Arial" w:cs="Arial"/>
        </w:rPr>
        <w:t xml:space="preserve">both </w:t>
      </w:r>
      <w:r w:rsidR="002C3F2E" w:rsidRPr="00003416">
        <w:rPr>
          <w:rFonts w:ascii="Arial" w:hAnsi="Arial" w:cs="Arial"/>
        </w:rPr>
        <w:t>the</w:t>
      </w:r>
      <w:r w:rsidR="00876212">
        <w:rPr>
          <w:rFonts w:ascii="Arial" w:hAnsi="Arial" w:cs="Arial"/>
        </w:rPr>
        <w:t xml:space="preserve"> </w:t>
      </w:r>
      <w:hyperlink r:id="rId7" w:history="1">
        <w:r w:rsidR="00876212" w:rsidRPr="00876212">
          <w:rPr>
            <w:rStyle w:val="Hyperlink"/>
            <w:rFonts w:ascii="Arial" w:hAnsi="Arial" w:cs="Arial"/>
          </w:rPr>
          <w:t xml:space="preserve">HM Treasury's audit </w:t>
        </w:r>
        <w:r w:rsidR="00912165">
          <w:rPr>
            <w:rStyle w:val="Hyperlink"/>
            <w:rFonts w:ascii="Arial" w:hAnsi="Arial" w:cs="Arial"/>
          </w:rPr>
          <w:t xml:space="preserve">and risk assurance </w:t>
        </w:r>
        <w:r w:rsidR="00876212" w:rsidRPr="00876212">
          <w:rPr>
            <w:rStyle w:val="Hyperlink"/>
            <w:rFonts w:ascii="Arial" w:hAnsi="Arial" w:cs="Arial"/>
          </w:rPr>
          <w:t>committee handbook</w:t>
        </w:r>
      </w:hyperlink>
      <w:r w:rsidR="00876212">
        <w:rPr>
          <w:rFonts w:ascii="Arial" w:hAnsi="Arial" w:cs="Arial"/>
        </w:rPr>
        <w:t xml:space="preserve">  and the </w:t>
      </w:r>
      <w:hyperlink r:id="rId8" w:history="1">
        <w:r w:rsidR="00582371" w:rsidRPr="00003416">
          <w:rPr>
            <w:rStyle w:val="Hyperlink"/>
            <w:rFonts w:ascii="Arial" w:hAnsi="Arial" w:cs="Arial"/>
          </w:rPr>
          <w:t>NHS audit committee handbook</w:t>
        </w:r>
      </w:hyperlink>
      <w:r w:rsidR="00912165">
        <w:rPr>
          <w:rStyle w:val="Hyperlink"/>
          <w:rFonts w:ascii="Arial" w:hAnsi="Arial" w:cs="Arial"/>
        </w:rPr>
        <w:t>,</w:t>
      </w:r>
      <w:r w:rsidR="002A4B6C" w:rsidRPr="00003416">
        <w:rPr>
          <w:rFonts w:ascii="Arial" w:hAnsi="Arial" w:cs="Arial"/>
          <w:i/>
          <w:iCs/>
        </w:rPr>
        <w:t xml:space="preserve"> </w:t>
      </w:r>
      <w:r w:rsidR="00912165">
        <w:rPr>
          <w:rFonts w:ascii="Arial" w:hAnsi="Arial" w:cs="Arial"/>
        </w:rPr>
        <w:t xml:space="preserve">the latter </w:t>
      </w:r>
      <w:r w:rsidR="00AB311D">
        <w:rPr>
          <w:rFonts w:ascii="Arial" w:hAnsi="Arial" w:cs="Arial"/>
        </w:rPr>
        <w:t xml:space="preserve">of </w:t>
      </w:r>
      <w:r w:rsidR="001416CC">
        <w:rPr>
          <w:rFonts w:ascii="Arial" w:hAnsi="Arial" w:cs="Arial"/>
        </w:rPr>
        <w:t xml:space="preserve">which was </w:t>
      </w:r>
      <w:r w:rsidR="00AB311D">
        <w:rPr>
          <w:rFonts w:ascii="Arial" w:hAnsi="Arial" w:cs="Arial"/>
        </w:rPr>
        <w:t>re-</w:t>
      </w:r>
      <w:r w:rsidR="002A4B6C" w:rsidRPr="00003416">
        <w:rPr>
          <w:rFonts w:ascii="Arial" w:hAnsi="Arial" w:cs="Arial"/>
        </w:rPr>
        <w:t>issued in</w:t>
      </w:r>
      <w:r w:rsidR="002A4B6C" w:rsidRPr="00003416">
        <w:rPr>
          <w:rFonts w:ascii="Arial" w:hAnsi="Arial" w:cs="Arial"/>
          <w:i/>
          <w:iCs/>
        </w:rPr>
        <w:t xml:space="preserve"> </w:t>
      </w:r>
      <w:r w:rsidR="002A4B6C" w:rsidRPr="00003416">
        <w:rPr>
          <w:rFonts w:ascii="Arial" w:hAnsi="Arial" w:cs="Arial"/>
        </w:rPr>
        <w:t>March 2024</w:t>
      </w:r>
      <w:r w:rsidR="00D761E8" w:rsidRPr="00003416">
        <w:rPr>
          <w:rFonts w:ascii="Arial" w:hAnsi="Arial" w:cs="Arial"/>
          <w:i/>
          <w:iCs/>
        </w:rPr>
        <w:t xml:space="preserve"> </w:t>
      </w:r>
      <w:r w:rsidR="00D761E8" w:rsidRPr="00003416">
        <w:rPr>
          <w:rFonts w:ascii="Arial" w:hAnsi="Arial" w:cs="Arial"/>
        </w:rPr>
        <w:t>describ</w:t>
      </w:r>
      <w:r w:rsidR="00AB311D">
        <w:rPr>
          <w:rFonts w:ascii="Arial" w:hAnsi="Arial" w:cs="Arial"/>
        </w:rPr>
        <w:t>ing</w:t>
      </w:r>
      <w:r w:rsidR="00D761E8" w:rsidRPr="00003416">
        <w:rPr>
          <w:rFonts w:ascii="Arial" w:hAnsi="Arial" w:cs="Arial"/>
        </w:rPr>
        <w:t xml:space="preserve"> three </w:t>
      </w:r>
      <w:r w:rsidR="0032606E" w:rsidRPr="00003416">
        <w:rPr>
          <w:rFonts w:ascii="Arial" w:hAnsi="Arial" w:cs="Arial"/>
        </w:rPr>
        <w:t>types of committee</w:t>
      </w:r>
      <w:r w:rsidR="00D81CD1" w:rsidRPr="00003416">
        <w:rPr>
          <w:rFonts w:ascii="Arial" w:hAnsi="Arial" w:cs="Arial"/>
          <w:i/>
          <w:iCs/>
        </w:rPr>
        <w:t>.</w:t>
      </w:r>
      <w:r w:rsidR="00BF1FE4">
        <w:rPr>
          <w:rFonts w:ascii="Arial" w:hAnsi="Arial" w:cs="Arial"/>
          <w:i/>
          <w:iCs/>
        </w:rPr>
        <w:t xml:space="preserve"> </w:t>
      </w:r>
      <w:r w:rsidR="00BF1FE4">
        <w:rPr>
          <w:rFonts w:ascii="Arial" w:hAnsi="Arial" w:cs="Arial"/>
        </w:rPr>
        <w:t>(</w:t>
      </w:r>
      <w:r w:rsidR="00BF1FE4" w:rsidRPr="0080162F">
        <w:rPr>
          <w:rFonts w:ascii="Arial" w:hAnsi="Arial" w:cs="Arial"/>
        </w:rPr>
        <w:t>In essence</w:t>
      </w:r>
      <w:r w:rsidR="0080162F">
        <w:rPr>
          <w:rFonts w:ascii="Arial" w:hAnsi="Arial" w:cs="Arial"/>
        </w:rPr>
        <w:t>,</w:t>
      </w:r>
      <w:r w:rsidR="00D81CD1" w:rsidRPr="0080162F">
        <w:rPr>
          <w:rFonts w:ascii="Arial" w:hAnsi="Arial" w:cs="Arial"/>
        </w:rPr>
        <w:t xml:space="preserve"> </w:t>
      </w:r>
      <w:r w:rsidR="00BF1FE4">
        <w:rPr>
          <w:rFonts w:ascii="Arial" w:hAnsi="Arial" w:cs="Arial"/>
        </w:rPr>
        <w:t>a</w:t>
      </w:r>
      <w:r w:rsidR="00D81CD1" w:rsidRPr="00003416">
        <w:rPr>
          <w:rFonts w:ascii="Arial" w:hAnsi="Arial" w:cs="Arial"/>
        </w:rPr>
        <w:t xml:space="preserve">s audit committees have </w:t>
      </w:r>
      <w:r w:rsidR="00FC6662" w:rsidRPr="00003416">
        <w:rPr>
          <w:rFonts w:ascii="Arial" w:hAnsi="Arial" w:cs="Arial"/>
        </w:rPr>
        <w:t xml:space="preserve">developed, </w:t>
      </w:r>
      <w:r w:rsidR="00C17B55" w:rsidRPr="00003416">
        <w:rPr>
          <w:rFonts w:ascii="Arial" w:hAnsi="Arial" w:cs="Arial"/>
        </w:rPr>
        <w:t xml:space="preserve">they have </w:t>
      </w:r>
      <w:r w:rsidR="00012E7A" w:rsidRPr="00003416">
        <w:rPr>
          <w:rFonts w:ascii="Arial" w:hAnsi="Arial" w:cs="Arial"/>
        </w:rPr>
        <w:t xml:space="preserve">matured from </w:t>
      </w:r>
      <w:r w:rsidR="00FC1278" w:rsidRPr="00003416">
        <w:rPr>
          <w:rFonts w:ascii="Arial" w:hAnsi="Arial" w:cs="Arial"/>
        </w:rPr>
        <w:t xml:space="preserve">just </w:t>
      </w:r>
      <w:r w:rsidR="00012E7A" w:rsidRPr="00003416">
        <w:rPr>
          <w:rFonts w:ascii="Arial" w:hAnsi="Arial" w:cs="Arial"/>
        </w:rPr>
        <w:t>focussing on internal and external audit’s work</w:t>
      </w:r>
      <w:r w:rsidR="00FC1278" w:rsidRPr="00003416">
        <w:rPr>
          <w:rFonts w:ascii="Arial" w:hAnsi="Arial" w:cs="Arial"/>
        </w:rPr>
        <w:t xml:space="preserve">, to </w:t>
      </w:r>
      <w:r w:rsidR="0039732C" w:rsidRPr="00003416">
        <w:rPr>
          <w:rFonts w:ascii="Arial" w:hAnsi="Arial" w:cs="Arial"/>
        </w:rPr>
        <w:t>taking a more active oversight of risk management</w:t>
      </w:r>
      <w:r w:rsidR="00EE125E" w:rsidRPr="00003416">
        <w:rPr>
          <w:rFonts w:ascii="Arial" w:hAnsi="Arial" w:cs="Arial"/>
        </w:rPr>
        <w:t>.</w:t>
      </w:r>
      <w:r w:rsidR="00BF1FE4">
        <w:rPr>
          <w:rFonts w:ascii="Arial" w:hAnsi="Arial" w:cs="Arial"/>
        </w:rPr>
        <w:t>)</w:t>
      </w:r>
      <w:r w:rsidR="00EE125E" w:rsidRPr="00003416">
        <w:rPr>
          <w:rFonts w:ascii="Arial" w:hAnsi="Arial" w:cs="Arial"/>
        </w:rPr>
        <w:t xml:space="preserve"> </w:t>
      </w:r>
      <w:r w:rsidR="00003416" w:rsidRPr="00003416">
        <w:rPr>
          <w:rFonts w:ascii="Arial" w:hAnsi="Arial" w:cs="Arial"/>
        </w:rPr>
        <w:t xml:space="preserve">The </w:t>
      </w:r>
      <w:r w:rsidR="00003416">
        <w:rPr>
          <w:rFonts w:ascii="Arial" w:hAnsi="Arial" w:cs="Arial"/>
        </w:rPr>
        <w:t>NICE ARC</w:t>
      </w:r>
      <w:r w:rsidR="00003416" w:rsidRPr="00003416">
        <w:rPr>
          <w:rFonts w:ascii="Arial" w:hAnsi="Arial" w:cs="Arial"/>
        </w:rPr>
        <w:t xml:space="preserve"> is</w:t>
      </w:r>
      <w:r w:rsidR="00003416">
        <w:rPr>
          <w:rFonts w:ascii="Arial" w:hAnsi="Arial" w:cs="Arial"/>
        </w:rPr>
        <w:t xml:space="preserve"> thus</w:t>
      </w:r>
      <w:r w:rsidR="00003416" w:rsidRPr="00003416">
        <w:rPr>
          <w:rFonts w:ascii="Arial" w:hAnsi="Arial" w:cs="Arial"/>
        </w:rPr>
        <w:t xml:space="preserve"> following th</w:t>
      </w:r>
      <w:r w:rsidR="00606DBC">
        <w:rPr>
          <w:rFonts w:ascii="Arial" w:hAnsi="Arial" w:cs="Arial"/>
        </w:rPr>
        <w:t>e</w:t>
      </w:r>
      <w:r w:rsidR="00003416" w:rsidRPr="00003416">
        <w:rPr>
          <w:rFonts w:ascii="Arial" w:hAnsi="Arial" w:cs="Arial"/>
        </w:rPr>
        <w:t xml:space="preserve"> third more active approach</w:t>
      </w:r>
      <w:r w:rsidR="00003416">
        <w:rPr>
          <w:rFonts w:ascii="Arial" w:hAnsi="Arial" w:cs="Arial"/>
        </w:rPr>
        <w:t xml:space="preserve"> -</w:t>
      </w:r>
      <w:r w:rsidR="00507286" w:rsidRPr="00003416">
        <w:rPr>
          <w:rFonts w:ascii="Arial" w:hAnsi="Arial" w:cs="Arial"/>
        </w:rPr>
        <w:t xml:space="preserve"> looking at the management of individual risks, the effectiveness of controls </w:t>
      </w:r>
      <w:r w:rsidR="00507286" w:rsidRPr="00882DA5">
        <w:rPr>
          <w:rFonts w:ascii="Arial" w:hAnsi="Arial" w:cs="Arial"/>
          <w:b/>
          <w:bCs/>
        </w:rPr>
        <w:t>and the sources of assurance</w:t>
      </w:r>
      <w:r w:rsidR="00507286" w:rsidRPr="00003416">
        <w:rPr>
          <w:rFonts w:ascii="Arial" w:hAnsi="Arial" w:cs="Arial"/>
        </w:rPr>
        <w:t xml:space="preserve">.  </w:t>
      </w:r>
      <w:r w:rsidR="00003416">
        <w:rPr>
          <w:rFonts w:ascii="Arial" w:hAnsi="Arial" w:cs="Arial"/>
        </w:rPr>
        <w:t>As a result</w:t>
      </w:r>
      <w:r w:rsidR="00971B4C">
        <w:rPr>
          <w:rFonts w:ascii="Arial" w:hAnsi="Arial" w:cs="Arial"/>
        </w:rPr>
        <w:t>,</w:t>
      </w:r>
      <w:r w:rsidR="00003416">
        <w:rPr>
          <w:rFonts w:ascii="Arial" w:hAnsi="Arial" w:cs="Arial"/>
        </w:rPr>
        <w:t xml:space="preserve"> a name change has been recommended to better reflect the committee’s work.</w:t>
      </w:r>
    </w:p>
    <w:p w14:paraId="341D5F24" w14:textId="02C7F97C" w:rsidR="004B1BC0" w:rsidRPr="007945BA" w:rsidRDefault="00A56BBA" w:rsidP="005865B3">
      <w:pPr>
        <w:pStyle w:val="ListParagraph"/>
        <w:numPr>
          <w:ilvl w:val="0"/>
          <w:numId w:val="28"/>
        </w:numPr>
        <w:spacing w:after="120" w:line="360" w:lineRule="auto"/>
        <w:ind w:left="1077" w:hanging="357"/>
        <w:contextualSpacing w:val="0"/>
        <w:rPr>
          <w:rFonts w:ascii="Arial" w:hAnsi="Arial" w:cs="Arial"/>
        </w:rPr>
      </w:pPr>
      <w:r>
        <w:rPr>
          <w:rFonts w:ascii="Arial" w:hAnsi="Arial" w:cs="Arial"/>
        </w:rPr>
        <w:t xml:space="preserve">The need to gain external approval for a senior secondment </w:t>
      </w:r>
      <w:r w:rsidR="004B1BC0" w:rsidRPr="007945BA">
        <w:rPr>
          <w:rFonts w:ascii="Arial" w:hAnsi="Arial" w:cs="Arial"/>
        </w:rPr>
        <w:t xml:space="preserve">delayed approval of the </w:t>
      </w:r>
      <w:r>
        <w:rPr>
          <w:rFonts w:ascii="Arial" w:hAnsi="Arial" w:cs="Arial"/>
        </w:rPr>
        <w:t xml:space="preserve">2022/23 </w:t>
      </w:r>
      <w:r w:rsidR="004B1BC0" w:rsidRPr="007945BA">
        <w:rPr>
          <w:rFonts w:ascii="Arial" w:hAnsi="Arial" w:cs="Arial"/>
        </w:rPr>
        <w:t>annual report and accounts until January 2024</w:t>
      </w:r>
      <w:r w:rsidR="00E76D0A" w:rsidRPr="007945BA">
        <w:rPr>
          <w:rFonts w:ascii="Arial" w:hAnsi="Arial" w:cs="Arial"/>
        </w:rPr>
        <w:t>,</w:t>
      </w:r>
      <w:r w:rsidR="004B1BC0" w:rsidRPr="007945BA">
        <w:rPr>
          <w:rFonts w:ascii="Arial" w:hAnsi="Arial" w:cs="Arial"/>
        </w:rPr>
        <w:t xml:space="preserve"> but we were pleased to receive </w:t>
      </w:r>
      <w:r w:rsidR="004B1BC0" w:rsidRPr="00882DA5">
        <w:rPr>
          <w:rFonts w:ascii="Arial" w:hAnsi="Arial" w:cs="Arial"/>
          <w:u w:val="single"/>
        </w:rPr>
        <w:t xml:space="preserve">a clean set of </w:t>
      </w:r>
      <w:r w:rsidR="004B1BC0" w:rsidRPr="00003416">
        <w:rPr>
          <w:rFonts w:ascii="Arial" w:hAnsi="Arial" w:cs="Arial"/>
          <w:u w:val="single"/>
        </w:rPr>
        <w:t>accounts</w:t>
      </w:r>
      <w:r w:rsidR="004B1BC0" w:rsidRPr="00882DA5">
        <w:rPr>
          <w:rFonts w:ascii="Arial" w:hAnsi="Arial" w:cs="Arial"/>
          <w:u w:val="single"/>
        </w:rPr>
        <w:t xml:space="preserve"> for the financial year 2022/23 and a positive audit opinion</w:t>
      </w:r>
      <w:r w:rsidR="00CF0A14" w:rsidRPr="007945BA">
        <w:rPr>
          <w:rFonts w:ascii="Arial" w:hAnsi="Arial" w:cs="Arial"/>
        </w:rPr>
        <w:t>.</w:t>
      </w:r>
    </w:p>
    <w:p w14:paraId="1C30DA62" w14:textId="4A8DAD4A" w:rsidR="00E01481" w:rsidRPr="00C93791" w:rsidRDefault="00320AA0" w:rsidP="00320AA0">
      <w:pPr>
        <w:pStyle w:val="NICEnormalnumbered"/>
        <w:numPr>
          <w:ilvl w:val="0"/>
          <w:numId w:val="28"/>
        </w:numPr>
        <w:rPr>
          <w:noProof w:val="0"/>
        </w:rPr>
      </w:pPr>
      <w:r w:rsidRPr="00C93791">
        <w:rPr>
          <w:rFonts w:cs="Arial"/>
          <w:noProof w:val="0"/>
        </w:rPr>
        <w:t>The committee was able to review an early draft of the</w:t>
      </w:r>
      <w:r w:rsidRPr="00C93791">
        <w:rPr>
          <w:rFonts w:cs="Arial"/>
          <w:noProof w:val="0"/>
          <w:u w:val="single"/>
        </w:rPr>
        <w:t xml:space="preserve"> annual report and accounts for 202</w:t>
      </w:r>
      <w:r w:rsidR="004B1BC0" w:rsidRPr="00C93791">
        <w:rPr>
          <w:rFonts w:cs="Arial"/>
          <w:noProof w:val="0"/>
          <w:u w:val="single"/>
        </w:rPr>
        <w:t>3</w:t>
      </w:r>
      <w:r w:rsidRPr="00C93791">
        <w:rPr>
          <w:rFonts w:cs="Arial"/>
          <w:noProof w:val="0"/>
          <w:u w:val="single"/>
        </w:rPr>
        <w:t>/2</w:t>
      </w:r>
      <w:r w:rsidR="004B1BC0" w:rsidRPr="00C93791">
        <w:rPr>
          <w:rFonts w:cs="Arial"/>
          <w:noProof w:val="0"/>
          <w:u w:val="single"/>
        </w:rPr>
        <w:t>4</w:t>
      </w:r>
      <w:r w:rsidRPr="00C93791">
        <w:rPr>
          <w:rFonts w:cs="Arial"/>
          <w:noProof w:val="0"/>
          <w:u w:val="single"/>
        </w:rPr>
        <w:t xml:space="preserve"> </w:t>
      </w:r>
      <w:r w:rsidRPr="00C93791">
        <w:rPr>
          <w:rFonts w:cs="Arial"/>
          <w:noProof w:val="0"/>
        </w:rPr>
        <w:t>in May to provide an opportunity to comment on its content ahead of the approval in June 202</w:t>
      </w:r>
      <w:r w:rsidR="004B1BC0" w:rsidRPr="00C93791">
        <w:rPr>
          <w:rFonts w:cs="Arial"/>
          <w:noProof w:val="0"/>
        </w:rPr>
        <w:t>4</w:t>
      </w:r>
      <w:r w:rsidR="005865B3" w:rsidRPr="00C93791">
        <w:rPr>
          <w:rFonts w:cs="Arial"/>
          <w:noProof w:val="0"/>
        </w:rPr>
        <w:t>.</w:t>
      </w:r>
    </w:p>
    <w:p w14:paraId="7163618C" w14:textId="0E52049A" w:rsidR="002D7C56" w:rsidRPr="007945BA" w:rsidRDefault="002D7C56" w:rsidP="002D7C56">
      <w:pPr>
        <w:pStyle w:val="Heading2boardreport"/>
      </w:pPr>
      <w:r w:rsidRPr="007945BA">
        <w:t>Review of the committee’s effectiveness in 202</w:t>
      </w:r>
      <w:r w:rsidR="000C1C73" w:rsidRPr="007945BA">
        <w:t>3/24</w:t>
      </w:r>
    </w:p>
    <w:p w14:paraId="71229348" w14:textId="11EF2314" w:rsidR="002D7C56" w:rsidRPr="00C93791" w:rsidRDefault="002D7C56" w:rsidP="0098229E">
      <w:pPr>
        <w:pStyle w:val="NICEnormalnumbered"/>
        <w:ind w:left="357" w:hanging="357"/>
        <w:rPr>
          <w:noProof w:val="0"/>
        </w:rPr>
      </w:pPr>
      <w:r w:rsidRPr="00C93791">
        <w:rPr>
          <w:rFonts w:cs="Arial"/>
          <w:noProof w:val="0"/>
        </w:rPr>
        <w:t xml:space="preserve">The committee’s terms of reference require that periodically, the committee shall review its own effectiveness and report the results to the board.  This exercise took place in </w:t>
      </w:r>
      <w:r w:rsidR="00C60E9E" w:rsidRPr="00C93791">
        <w:rPr>
          <w:rFonts w:cs="Arial"/>
          <w:noProof w:val="0"/>
        </w:rPr>
        <w:t>April 2023</w:t>
      </w:r>
      <w:r w:rsidR="00E366A9" w:rsidRPr="00C93791">
        <w:rPr>
          <w:rFonts w:cs="Arial"/>
          <w:noProof w:val="0"/>
        </w:rPr>
        <w:t>.</w:t>
      </w:r>
    </w:p>
    <w:p w14:paraId="263FB787" w14:textId="39D248FD" w:rsidR="00E01481" w:rsidRPr="00C93791" w:rsidRDefault="00EF39B1" w:rsidP="0098229E">
      <w:pPr>
        <w:pStyle w:val="Paragraph"/>
        <w:spacing w:line="360" w:lineRule="auto"/>
        <w:ind w:left="357" w:hanging="357"/>
        <w:rPr>
          <w:noProof w:val="0"/>
        </w:rPr>
      </w:pPr>
      <w:r>
        <w:rPr>
          <w:noProof w:val="0"/>
        </w:rPr>
        <w:t>The non-executives completed a short survey which concluded overall that they were content that the committee was operating well in line with its terms of reference</w:t>
      </w:r>
      <w:r w:rsidR="00AB4B75">
        <w:rPr>
          <w:noProof w:val="0"/>
        </w:rPr>
        <w:t xml:space="preserve">.  They agreed the current members had a good range of skills but highlighted that additional cyber and digital skills </w:t>
      </w:r>
      <w:r w:rsidR="007A7A77">
        <w:rPr>
          <w:noProof w:val="0"/>
        </w:rPr>
        <w:t>would be helpful.</w:t>
      </w:r>
      <w:r w:rsidR="007258B5">
        <w:rPr>
          <w:noProof w:val="0"/>
        </w:rPr>
        <w:t xml:space="preserve">  However, </w:t>
      </w:r>
      <w:r w:rsidR="003F1437">
        <w:rPr>
          <w:noProof w:val="0"/>
        </w:rPr>
        <w:t xml:space="preserve">it was noted that the Digital Security and Protection Toolkit (DSPT) audit report was positive, and </w:t>
      </w:r>
      <w:r w:rsidR="00B6363D">
        <w:rPr>
          <w:noProof w:val="0"/>
        </w:rPr>
        <w:t xml:space="preserve">NICE </w:t>
      </w:r>
      <w:r w:rsidR="003F1437">
        <w:rPr>
          <w:noProof w:val="0"/>
        </w:rPr>
        <w:t>plans to</w:t>
      </w:r>
      <w:r w:rsidR="00B6363D">
        <w:rPr>
          <w:noProof w:val="0"/>
        </w:rPr>
        <w:t xml:space="preserve"> </w:t>
      </w:r>
      <w:r w:rsidR="00F2490B">
        <w:rPr>
          <w:noProof w:val="0"/>
        </w:rPr>
        <w:t>undertake cyber essentials accredita</w:t>
      </w:r>
      <w:r w:rsidR="0088441B">
        <w:rPr>
          <w:noProof w:val="0"/>
        </w:rPr>
        <w:t xml:space="preserve">tion, which will </w:t>
      </w:r>
      <w:r w:rsidR="00A82778">
        <w:rPr>
          <w:noProof w:val="0"/>
        </w:rPr>
        <w:t xml:space="preserve">further </w:t>
      </w:r>
      <w:r w:rsidR="0088441B">
        <w:rPr>
          <w:noProof w:val="0"/>
        </w:rPr>
        <w:t>strengthen arrangements.</w:t>
      </w:r>
    </w:p>
    <w:p w14:paraId="6EFFB586" w14:textId="64623038" w:rsidR="00D052F9" w:rsidRPr="007945BA" w:rsidRDefault="00D052F9" w:rsidP="00D052F9">
      <w:pPr>
        <w:pStyle w:val="Heading1"/>
        <w:spacing w:after="240"/>
        <w:rPr>
          <w:b w:val="0"/>
        </w:rPr>
      </w:pPr>
      <w:r w:rsidRPr="007945BA">
        <w:lastRenderedPageBreak/>
        <w:t>Challenges and risks for 202</w:t>
      </w:r>
      <w:r w:rsidR="00EF7C35" w:rsidRPr="007945BA">
        <w:t>4</w:t>
      </w:r>
      <w:r w:rsidRPr="007945BA">
        <w:t>/2</w:t>
      </w:r>
      <w:r w:rsidR="00EF7C35" w:rsidRPr="007945BA">
        <w:t>5</w:t>
      </w:r>
    </w:p>
    <w:p w14:paraId="73F228F4" w14:textId="4CBAAED6" w:rsidR="00CC465C" w:rsidRPr="00C93791" w:rsidRDefault="00CC465C" w:rsidP="00F232B7">
      <w:pPr>
        <w:pStyle w:val="NICEnormalnumbered"/>
        <w:rPr>
          <w:noProof w:val="0"/>
        </w:rPr>
      </w:pPr>
      <w:r w:rsidRPr="00C93791">
        <w:rPr>
          <w:rFonts w:cs="Arial"/>
          <w:noProof w:val="0"/>
        </w:rPr>
        <w:t>In the coming year we will continue to review the strategic risks facing NICE and analys</w:t>
      </w:r>
      <w:r w:rsidR="0040615D" w:rsidRPr="00C93791">
        <w:rPr>
          <w:rFonts w:cs="Arial"/>
          <w:noProof w:val="0"/>
        </w:rPr>
        <w:t>e</w:t>
      </w:r>
      <w:r w:rsidRPr="00C93791">
        <w:rPr>
          <w:rFonts w:cs="Arial"/>
          <w:noProof w:val="0"/>
        </w:rPr>
        <w:t xml:space="preserve"> them using the ‘bow tie’ approach to better understand the controls in place and assess their effectiveness</w:t>
      </w:r>
      <w:r w:rsidR="008361D2" w:rsidRPr="00C93791">
        <w:rPr>
          <w:rFonts w:cs="Arial"/>
          <w:noProof w:val="0"/>
        </w:rPr>
        <w:t>, as well as better aligning the risk register with the risk appetite statement</w:t>
      </w:r>
      <w:r w:rsidRPr="00C93791">
        <w:rPr>
          <w:rFonts w:cs="Arial"/>
          <w:noProof w:val="0"/>
        </w:rPr>
        <w:t xml:space="preserve">. </w:t>
      </w:r>
    </w:p>
    <w:p w14:paraId="4AD6C767" w14:textId="2C1A1DF1" w:rsidR="00D052F9" w:rsidRPr="00C93791" w:rsidRDefault="00CC465C" w:rsidP="00F232B7">
      <w:pPr>
        <w:pStyle w:val="NICEnormalnumbered"/>
        <w:rPr>
          <w:noProof w:val="0"/>
        </w:rPr>
      </w:pPr>
      <w:r w:rsidRPr="00C93791">
        <w:rPr>
          <w:rFonts w:cs="Arial"/>
          <w:noProof w:val="0"/>
        </w:rPr>
        <w:t>In terms of our focus, we are conscious of the following key issues facing NICE which will guide our work:</w:t>
      </w:r>
    </w:p>
    <w:p w14:paraId="2E489DD6" w14:textId="345AAFC6" w:rsidR="00C11836" w:rsidRPr="00C93791" w:rsidRDefault="00C11836" w:rsidP="00817F07">
      <w:pPr>
        <w:pStyle w:val="NICEnormalnumbered"/>
        <w:numPr>
          <w:ilvl w:val="0"/>
          <w:numId w:val="32"/>
        </w:numPr>
        <w:tabs>
          <w:tab w:val="clear" w:pos="426"/>
        </w:tabs>
        <w:ind w:left="851" w:hanging="425"/>
        <w:rPr>
          <w:noProof w:val="0"/>
        </w:rPr>
      </w:pPr>
      <w:r w:rsidRPr="00C93791">
        <w:rPr>
          <w:b/>
          <w:bCs/>
          <w:noProof w:val="0"/>
        </w:rPr>
        <w:t>Cyber security</w:t>
      </w:r>
      <w:r w:rsidRPr="00C93791">
        <w:rPr>
          <w:noProof w:val="0"/>
        </w:rPr>
        <w:t xml:space="preserve"> </w:t>
      </w:r>
      <w:r w:rsidRPr="00C93791">
        <w:rPr>
          <w:b/>
          <w:bCs/>
          <w:noProof w:val="0"/>
        </w:rPr>
        <w:t>improvements</w:t>
      </w:r>
      <w:r w:rsidRPr="00C93791">
        <w:rPr>
          <w:noProof w:val="0"/>
        </w:rPr>
        <w:t xml:space="preserve"> </w:t>
      </w:r>
      <w:r w:rsidR="0057010D" w:rsidRPr="00C93791">
        <w:rPr>
          <w:noProof w:val="0"/>
        </w:rPr>
        <w:t>–</w:t>
      </w:r>
      <w:r w:rsidRPr="00C93791">
        <w:rPr>
          <w:noProof w:val="0"/>
        </w:rPr>
        <w:t xml:space="preserve"> </w:t>
      </w:r>
      <w:r w:rsidR="0057010D" w:rsidRPr="00C93791">
        <w:rPr>
          <w:noProof w:val="0"/>
        </w:rPr>
        <w:t xml:space="preserve">following </w:t>
      </w:r>
      <w:r w:rsidR="00A87482" w:rsidRPr="00C93791">
        <w:rPr>
          <w:noProof w:val="0"/>
        </w:rPr>
        <w:t xml:space="preserve">the CIO’s report to the committee </w:t>
      </w:r>
      <w:r w:rsidR="00D26CF0">
        <w:rPr>
          <w:noProof w:val="0"/>
        </w:rPr>
        <w:t>in January 2024</w:t>
      </w:r>
      <w:r w:rsidR="00A87482" w:rsidRPr="00C93791">
        <w:rPr>
          <w:noProof w:val="0"/>
        </w:rPr>
        <w:t xml:space="preserve">, we are keen to be updated on </w:t>
      </w:r>
      <w:r w:rsidR="009A19FB" w:rsidRPr="00C93791">
        <w:rPr>
          <w:noProof w:val="0"/>
        </w:rPr>
        <w:t xml:space="preserve">the improvements planned for 2024/25 and beyond to </w:t>
      </w:r>
      <w:r w:rsidR="00720137" w:rsidRPr="00C93791">
        <w:rPr>
          <w:noProof w:val="0"/>
        </w:rPr>
        <w:t>strengthen NICE’s IT resilience.</w:t>
      </w:r>
    </w:p>
    <w:p w14:paraId="2B3A46F8" w14:textId="4FBD84BE" w:rsidR="00D052F9" w:rsidRPr="00C93791" w:rsidRDefault="003362E3" w:rsidP="00817F07">
      <w:pPr>
        <w:pStyle w:val="NICEnormalnumbered"/>
        <w:numPr>
          <w:ilvl w:val="0"/>
          <w:numId w:val="32"/>
        </w:numPr>
        <w:tabs>
          <w:tab w:val="clear" w:pos="426"/>
        </w:tabs>
        <w:ind w:left="851" w:hanging="425"/>
        <w:rPr>
          <w:noProof w:val="0"/>
        </w:rPr>
      </w:pPr>
      <w:r w:rsidRPr="00C93791">
        <w:rPr>
          <w:b/>
          <w:bCs/>
          <w:noProof w:val="0"/>
        </w:rPr>
        <w:t>Internal controls framework</w:t>
      </w:r>
      <w:r w:rsidR="002F36F2" w:rsidRPr="00C93791">
        <w:rPr>
          <w:b/>
          <w:bCs/>
          <w:noProof w:val="0"/>
        </w:rPr>
        <w:t xml:space="preserve"> </w:t>
      </w:r>
      <w:r w:rsidR="002F36F2" w:rsidRPr="00C93791">
        <w:rPr>
          <w:noProof w:val="0"/>
        </w:rPr>
        <w:t>–</w:t>
      </w:r>
      <w:r w:rsidRPr="00C93791">
        <w:rPr>
          <w:noProof w:val="0"/>
        </w:rPr>
        <w:t xml:space="preserve"> the committee is looking forward to </w:t>
      </w:r>
      <w:r w:rsidR="009B6755" w:rsidRPr="00C93791">
        <w:rPr>
          <w:noProof w:val="0"/>
        </w:rPr>
        <w:t xml:space="preserve">reviewing </w:t>
      </w:r>
      <w:r w:rsidR="00AA3219">
        <w:rPr>
          <w:noProof w:val="0"/>
        </w:rPr>
        <w:t xml:space="preserve">management’s progress with addressing </w:t>
      </w:r>
      <w:r w:rsidRPr="00C93791">
        <w:rPr>
          <w:noProof w:val="0"/>
        </w:rPr>
        <w:t>the findings of the internal controls audit report</w:t>
      </w:r>
      <w:r w:rsidR="00AB706C" w:rsidRPr="00C93791">
        <w:rPr>
          <w:noProof w:val="0"/>
        </w:rPr>
        <w:t>.</w:t>
      </w:r>
      <w:r w:rsidR="002F36F2" w:rsidRPr="00C93791">
        <w:rPr>
          <w:noProof w:val="0"/>
        </w:rPr>
        <w:t xml:space="preserve"> </w:t>
      </w:r>
    </w:p>
    <w:p w14:paraId="32E025BC" w14:textId="42CA66CE" w:rsidR="005865B3" w:rsidRPr="00C93791" w:rsidRDefault="00AB706C" w:rsidP="00817F07">
      <w:pPr>
        <w:pStyle w:val="NICEnormalnumbered"/>
        <w:numPr>
          <w:ilvl w:val="0"/>
          <w:numId w:val="32"/>
        </w:numPr>
        <w:tabs>
          <w:tab w:val="clear" w:pos="426"/>
        </w:tabs>
        <w:ind w:left="851" w:hanging="425"/>
        <w:rPr>
          <w:rStyle w:val="Characterbold"/>
          <w:b w:val="0"/>
          <w:noProof w:val="0"/>
        </w:rPr>
      </w:pPr>
      <w:r w:rsidRPr="00C93791">
        <w:rPr>
          <w:b/>
          <w:bCs/>
          <w:noProof w:val="0"/>
        </w:rPr>
        <w:t>Contract management</w:t>
      </w:r>
      <w:r w:rsidRPr="00C93791">
        <w:rPr>
          <w:noProof w:val="0"/>
        </w:rPr>
        <w:t xml:space="preserve"> – the new Atamis system</w:t>
      </w:r>
      <w:r w:rsidR="007A7B66">
        <w:rPr>
          <w:noProof w:val="0"/>
        </w:rPr>
        <w:t xml:space="preserve"> is now </w:t>
      </w:r>
      <w:r w:rsidR="00881ABF" w:rsidRPr="00C93791">
        <w:rPr>
          <w:noProof w:val="0"/>
        </w:rPr>
        <w:t>fully implemented</w:t>
      </w:r>
      <w:r w:rsidR="007A7B66">
        <w:rPr>
          <w:noProof w:val="0"/>
        </w:rPr>
        <w:t xml:space="preserve"> and </w:t>
      </w:r>
      <w:r w:rsidR="00881ABF" w:rsidRPr="00C93791">
        <w:rPr>
          <w:noProof w:val="0"/>
        </w:rPr>
        <w:t>provide</w:t>
      </w:r>
      <w:r w:rsidR="007A7B66">
        <w:rPr>
          <w:noProof w:val="0"/>
        </w:rPr>
        <w:t>s</w:t>
      </w:r>
      <w:r w:rsidR="00881ABF" w:rsidRPr="00C93791">
        <w:rPr>
          <w:noProof w:val="0"/>
        </w:rPr>
        <w:t xml:space="preserve"> management information on contracts</w:t>
      </w:r>
      <w:r w:rsidR="003C78F0" w:rsidRPr="00C93791">
        <w:rPr>
          <w:noProof w:val="0"/>
        </w:rPr>
        <w:t>.</w:t>
      </w:r>
      <w:r w:rsidR="00881ABF" w:rsidRPr="00C93791">
        <w:rPr>
          <w:noProof w:val="0"/>
        </w:rPr>
        <w:t xml:space="preserve"> </w:t>
      </w:r>
      <w:r w:rsidR="003C78F0" w:rsidRPr="00C93791">
        <w:rPr>
          <w:noProof w:val="0"/>
        </w:rPr>
        <w:t xml:space="preserve"> </w:t>
      </w:r>
      <w:r w:rsidR="004B066C">
        <w:rPr>
          <w:noProof w:val="0"/>
        </w:rPr>
        <w:t>T</w:t>
      </w:r>
      <w:r w:rsidR="00881ABF" w:rsidRPr="00C93791">
        <w:rPr>
          <w:noProof w:val="0"/>
        </w:rPr>
        <w:t>he committee</w:t>
      </w:r>
      <w:r w:rsidR="00332B2C" w:rsidRPr="00C93791">
        <w:rPr>
          <w:noProof w:val="0"/>
        </w:rPr>
        <w:t xml:space="preserve"> </w:t>
      </w:r>
      <w:r w:rsidR="004B066C">
        <w:rPr>
          <w:noProof w:val="0"/>
        </w:rPr>
        <w:t xml:space="preserve">will draw on this </w:t>
      </w:r>
      <w:r w:rsidR="008D10F4">
        <w:rPr>
          <w:noProof w:val="0"/>
        </w:rPr>
        <w:t xml:space="preserve">information to gain assurance </w:t>
      </w:r>
      <w:r w:rsidR="000752BE">
        <w:rPr>
          <w:noProof w:val="0"/>
        </w:rPr>
        <w:t xml:space="preserve">that </w:t>
      </w:r>
      <w:r w:rsidR="008D10F4">
        <w:rPr>
          <w:noProof w:val="0"/>
        </w:rPr>
        <w:t xml:space="preserve">robust contract management arrangements are in place. </w:t>
      </w:r>
    </w:p>
    <w:p w14:paraId="71DC6E7D" w14:textId="51166552" w:rsidR="00A00113" w:rsidRPr="00C93791" w:rsidRDefault="00B34B45" w:rsidP="00817F07">
      <w:pPr>
        <w:pStyle w:val="NICEnormalnumbered"/>
        <w:numPr>
          <w:ilvl w:val="0"/>
          <w:numId w:val="32"/>
        </w:numPr>
        <w:tabs>
          <w:tab w:val="clear" w:pos="426"/>
        </w:tabs>
        <w:ind w:left="851" w:hanging="425"/>
        <w:rPr>
          <w:noProof w:val="0"/>
        </w:rPr>
      </w:pPr>
      <w:r w:rsidRPr="00C93791">
        <w:rPr>
          <w:b/>
          <w:bCs/>
          <w:noProof w:val="0"/>
        </w:rPr>
        <w:t>Use of AI</w:t>
      </w:r>
      <w:r w:rsidRPr="00C93791">
        <w:rPr>
          <w:noProof w:val="0"/>
        </w:rPr>
        <w:t xml:space="preserve"> </w:t>
      </w:r>
      <w:r w:rsidR="00B2235E" w:rsidRPr="00C93791">
        <w:rPr>
          <w:noProof w:val="0"/>
        </w:rPr>
        <w:t>–</w:t>
      </w:r>
      <w:r w:rsidRPr="00C93791">
        <w:rPr>
          <w:noProof w:val="0"/>
        </w:rPr>
        <w:t xml:space="preserve"> </w:t>
      </w:r>
      <w:r w:rsidR="00B2235E" w:rsidRPr="00C93791">
        <w:rPr>
          <w:bCs/>
          <w:noProof w:val="0"/>
        </w:rPr>
        <w:t>the committee has requested</w:t>
      </w:r>
      <w:r w:rsidRPr="00C93791">
        <w:rPr>
          <w:bCs/>
          <w:noProof w:val="0"/>
        </w:rPr>
        <w:t xml:space="preserve"> a training session on the use of Artificial Intelligence (AI) in HTA submissions to NICE</w:t>
      </w:r>
      <w:r w:rsidR="008D10F4">
        <w:rPr>
          <w:bCs/>
          <w:noProof w:val="0"/>
        </w:rPr>
        <w:t xml:space="preserve">. </w:t>
      </w:r>
    </w:p>
    <w:p w14:paraId="2EA70FCD" w14:textId="18B750D2" w:rsidR="00CC465C" w:rsidRPr="007945BA" w:rsidRDefault="00CC465C" w:rsidP="00CC465C">
      <w:pPr>
        <w:pStyle w:val="Heading3"/>
      </w:pPr>
      <w:r w:rsidRPr="007945BA">
        <w:t>Conclusion</w:t>
      </w:r>
    </w:p>
    <w:p w14:paraId="46790EDD" w14:textId="6339D29A" w:rsidR="00CC465C" w:rsidRPr="00C93791" w:rsidRDefault="00CC465C" w:rsidP="00F232B7">
      <w:pPr>
        <w:pStyle w:val="NICEnormalnumbered"/>
        <w:rPr>
          <w:noProof w:val="0"/>
        </w:rPr>
      </w:pPr>
      <w:r w:rsidRPr="00C93791">
        <w:rPr>
          <w:rFonts w:cs="Arial"/>
          <w:noProof w:val="0"/>
        </w:rPr>
        <w:t xml:space="preserve">Considering </w:t>
      </w:r>
      <w:proofErr w:type="gramStart"/>
      <w:r w:rsidRPr="00C93791">
        <w:rPr>
          <w:rFonts w:cs="Arial"/>
          <w:noProof w:val="0"/>
        </w:rPr>
        <w:t>all of</w:t>
      </w:r>
      <w:proofErr w:type="gramEnd"/>
      <w:r w:rsidRPr="00C93791">
        <w:rPr>
          <w:rFonts w:cs="Arial"/>
          <w:noProof w:val="0"/>
        </w:rPr>
        <w:t xml:space="preserve"> the above, the committee concludes that NICE is well managed with effective processes and controls, strong financial, procurement, HR, information governance, and digital service management, and a skilled and committed workforce. </w:t>
      </w:r>
      <w:r w:rsidR="007D4354">
        <w:rPr>
          <w:rFonts w:cs="Arial"/>
          <w:noProof w:val="0"/>
        </w:rPr>
        <w:t>Whi</w:t>
      </w:r>
      <w:r w:rsidR="00EB2F66">
        <w:rPr>
          <w:rFonts w:cs="Arial"/>
          <w:noProof w:val="0"/>
        </w:rPr>
        <w:t xml:space="preserve">le issues arose with the control framework in the year, </w:t>
      </w:r>
      <w:r w:rsidR="000752BE">
        <w:rPr>
          <w:rFonts w:cs="Arial"/>
          <w:noProof w:val="0"/>
        </w:rPr>
        <w:t xml:space="preserve">we are satisfied that </w:t>
      </w:r>
      <w:r w:rsidR="00EB2F66">
        <w:rPr>
          <w:rFonts w:cs="Arial"/>
          <w:noProof w:val="0"/>
        </w:rPr>
        <w:t>the act</w:t>
      </w:r>
      <w:r w:rsidR="00552DB3">
        <w:rPr>
          <w:rFonts w:cs="Arial"/>
          <w:noProof w:val="0"/>
        </w:rPr>
        <w:t>ions taken to respond to these have left NICE in a more robust position</w:t>
      </w:r>
      <w:r w:rsidR="001612FE">
        <w:rPr>
          <w:rFonts w:cs="Arial"/>
          <w:noProof w:val="0"/>
        </w:rPr>
        <w:t>.</w:t>
      </w:r>
    </w:p>
    <w:p w14:paraId="28B47618" w14:textId="7E1ACD3A" w:rsidR="00CC465C" w:rsidRPr="00C93791" w:rsidRDefault="00CC465C" w:rsidP="00F232B7">
      <w:pPr>
        <w:pStyle w:val="NICEnormalnumbered"/>
        <w:rPr>
          <w:noProof w:val="0"/>
        </w:rPr>
      </w:pPr>
      <w:r w:rsidRPr="00C93791">
        <w:rPr>
          <w:rFonts w:cs="Arial"/>
          <w:noProof w:val="0"/>
        </w:rPr>
        <w:t xml:space="preserve">We record our appreciation of the excellent work and support from those teams whose work we most scrutinise and rely on.  We also note with satisfaction the </w:t>
      </w:r>
      <w:r w:rsidRPr="00C93791">
        <w:rPr>
          <w:rFonts w:cs="Arial"/>
          <w:noProof w:val="0"/>
        </w:rPr>
        <w:lastRenderedPageBreak/>
        <w:t>effective working relationships that continue to operate with our external auditors and internal auditors.</w:t>
      </w:r>
    </w:p>
    <w:p w14:paraId="33891AC7" w14:textId="6F280EAE" w:rsidR="00CC465C" w:rsidRPr="00C93791" w:rsidRDefault="005D7C70" w:rsidP="00F232B7">
      <w:pPr>
        <w:pStyle w:val="NICEnormalnumbered"/>
        <w:rPr>
          <w:noProof w:val="0"/>
        </w:rPr>
      </w:pPr>
      <w:r w:rsidRPr="00C93791">
        <w:rPr>
          <w:rFonts w:cs="Arial"/>
          <w:noProof w:val="0"/>
        </w:rPr>
        <w:t>As chair of the committee, my focus for 202</w:t>
      </w:r>
      <w:r w:rsidR="00EF7C35" w:rsidRPr="00C93791">
        <w:rPr>
          <w:rFonts w:cs="Arial"/>
          <w:noProof w:val="0"/>
        </w:rPr>
        <w:t>4</w:t>
      </w:r>
      <w:r w:rsidRPr="00C93791">
        <w:rPr>
          <w:rFonts w:cs="Arial"/>
          <w:noProof w:val="0"/>
        </w:rPr>
        <w:t>/2</w:t>
      </w:r>
      <w:r w:rsidR="00EF7C35" w:rsidRPr="00C93791">
        <w:rPr>
          <w:rFonts w:cs="Arial"/>
          <w:noProof w:val="0"/>
        </w:rPr>
        <w:t>5</w:t>
      </w:r>
      <w:r w:rsidRPr="00C93791">
        <w:rPr>
          <w:rFonts w:cs="Arial"/>
          <w:noProof w:val="0"/>
        </w:rPr>
        <w:t xml:space="preserve"> will be to build on last year’s good work, </w:t>
      </w:r>
      <w:proofErr w:type="gramStart"/>
      <w:r w:rsidRPr="00C93791">
        <w:rPr>
          <w:rFonts w:cs="Arial"/>
          <w:noProof w:val="0"/>
        </w:rPr>
        <w:t>in particular to</w:t>
      </w:r>
      <w:proofErr w:type="gramEnd"/>
      <w:r w:rsidRPr="00C93791">
        <w:rPr>
          <w:rFonts w:cs="Arial"/>
          <w:noProof w:val="0"/>
        </w:rPr>
        <w:t xml:space="preserve"> retain a keen focus on strategic risks and </w:t>
      </w:r>
      <w:r w:rsidR="00174AAB" w:rsidRPr="00C93791">
        <w:rPr>
          <w:rFonts w:cs="Arial"/>
          <w:noProof w:val="0"/>
        </w:rPr>
        <w:t xml:space="preserve">gaining assurance that </w:t>
      </w:r>
      <w:r w:rsidRPr="00C93791">
        <w:rPr>
          <w:rFonts w:cs="Arial"/>
          <w:noProof w:val="0"/>
        </w:rPr>
        <w:t xml:space="preserve">the actions to be taken </w:t>
      </w:r>
      <w:r w:rsidR="00174AAB" w:rsidRPr="00C93791">
        <w:rPr>
          <w:rFonts w:cs="Arial"/>
          <w:noProof w:val="0"/>
        </w:rPr>
        <w:t>will</w:t>
      </w:r>
      <w:r w:rsidRPr="00C93791">
        <w:rPr>
          <w:rFonts w:cs="Arial"/>
          <w:noProof w:val="0"/>
        </w:rPr>
        <w:t xml:space="preserve"> mitigate these risks.  The committee will focus on issues that </w:t>
      </w:r>
      <w:r w:rsidR="0061184F" w:rsidRPr="00C93791">
        <w:rPr>
          <w:rFonts w:cs="Arial"/>
          <w:noProof w:val="0"/>
        </w:rPr>
        <w:t>provide</w:t>
      </w:r>
      <w:r w:rsidRPr="00C93791">
        <w:rPr>
          <w:rFonts w:cs="Arial"/>
          <w:noProof w:val="0"/>
        </w:rPr>
        <w:t xml:space="preserve"> assurances </w:t>
      </w:r>
      <w:r w:rsidR="0061184F" w:rsidRPr="00C93791">
        <w:rPr>
          <w:rFonts w:cs="Arial"/>
          <w:noProof w:val="0"/>
        </w:rPr>
        <w:t xml:space="preserve">to </w:t>
      </w:r>
      <w:r w:rsidRPr="00C93791">
        <w:rPr>
          <w:rFonts w:cs="Arial"/>
          <w:noProof w:val="0"/>
        </w:rPr>
        <w:t xml:space="preserve">the board, linked to the priorities that enable NICE to best support the health and </w:t>
      </w:r>
      <w:r w:rsidR="0011117B" w:rsidRPr="00C93791">
        <w:rPr>
          <w:rFonts w:cs="Arial"/>
          <w:noProof w:val="0"/>
        </w:rPr>
        <w:t xml:space="preserve">social </w:t>
      </w:r>
      <w:r w:rsidRPr="00C93791">
        <w:rPr>
          <w:rFonts w:cs="Arial"/>
          <w:noProof w:val="0"/>
        </w:rPr>
        <w:t>care system.</w:t>
      </w:r>
    </w:p>
    <w:p w14:paraId="3314B1DF" w14:textId="77777777" w:rsidR="004B4705" w:rsidRPr="007945BA" w:rsidRDefault="000A103F" w:rsidP="003D3B28">
      <w:pPr>
        <w:pStyle w:val="Heading1boardreport"/>
      </w:pPr>
      <w:r w:rsidRPr="007945BA">
        <w:t xml:space="preserve">Board action </w:t>
      </w:r>
      <w:proofErr w:type="gramStart"/>
      <w:r w:rsidRPr="007945BA">
        <w:t>required</w:t>
      </w:r>
      <w:proofErr w:type="gramEnd"/>
    </w:p>
    <w:p w14:paraId="4C56B71A" w14:textId="102F8955" w:rsidR="00F232B7" w:rsidRPr="00C93791" w:rsidRDefault="000A103F" w:rsidP="00F232B7">
      <w:pPr>
        <w:pStyle w:val="NICEnormalnumbered"/>
        <w:rPr>
          <w:noProof w:val="0"/>
        </w:rPr>
      </w:pPr>
      <w:r w:rsidRPr="00C93791">
        <w:rPr>
          <w:noProof w:val="0"/>
        </w:rPr>
        <w:t>The Board is asked to:</w:t>
      </w:r>
    </w:p>
    <w:p w14:paraId="4679927A" w14:textId="574BFDCF" w:rsidR="009C6E2D" w:rsidRPr="00C93791" w:rsidRDefault="00F232B7" w:rsidP="00A820E1">
      <w:pPr>
        <w:pStyle w:val="NICEnormalnumbered"/>
        <w:numPr>
          <w:ilvl w:val="1"/>
          <w:numId w:val="25"/>
        </w:numPr>
        <w:rPr>
          <w:noProof w:val="0"/>
        </w:rPr>
      </w:pPr>
      <w:r w:rsidRPr="00C93791">
        <w:rPr>
          <w:noProof w:val="0"/>
        </w:rPr>
        <w:t xml:space="preserve">Receive the report and </w:t>
      </w:r>
      <w:r w:rsidR="00994875" w:rsidRPr="00C93791">
        <w:rPr>
          <w:noProof w:val="0"/>
        </w:rPr>
        <w:t xml:space="preserve">take assurance from </w:t>
      </w:r>
      <w:r w:rsidRPr="00C93791">
        <w:rPr>
          <w:noProof w:val="0"/>
        </w:rPr>
        <w:t xml:space="preserve">the committee’s </w:t>
      </w:r>
      <w:r w:rsidR="00994875" w:rsidRPr="00C93791">
        <w:rPr>
          <w:noProof w:val="0"/>
        </w:rPr>
        <w:t>a</w:t>
      </w:r>
      <w:r w:rsidRPr="00C93791">
        <w:rPr>
          <w:noProof w:val="0"/>
        </w:rPr>
        <w:t xml:space="preserve">ssessment of </w:t>
      </w:r>
      <w:r w:rsidR="00994875" w:rsidRPr="00C93791">
        <w:rPr>
          <w:noProof w:val="0"/>
        </w:rPr>
        <w:t xml:space="preserve">its </w:t>
      </w:r>
      <w:r w:rsidRPr="00C93791">
        <w:rPr>
          <w:noProof w:val="0"/>
        </w:rPr>
        <w:t xml:space="preserve">work undertaken in </w:t>
      </w:r>
      <w:proofErr w:type="gramStart"/>
      <w:r w:rsidRPr="00C93791">
        <w:rPr>
          <w:noProof w:val="0"/>
        </w:rPr>
        <w:t>202</w:t>
      </w:r>
      <w:r w:rsidR="00EF7C35" w:rsidRPr="00C93791">
        <w:rPr>
          <w:noProof w:val="0"/>
        </w:rPr>
        <w:t>3</w:t>
      </w:r>
      <w:r w:rsidRPr="00C93791">
        <w:rPr>
          <w:noProof w:val="0"/>
        </w:rPr>
        <w:t>/2</w:t>
      </w:r>
      <w:r w:rsidR="00EF7C35" w:rsidRPr="00C93791">
        <w:rPr>
          <w:noProof w:val="0"/>
        </w:rPr>
        <w:t>4</w:t>
      </w:r>
      <w:proofErr w:type="gramEnd"/>
    </w:p>
    <w:p w14:paraId="40F5215F" w14:textId="6F2FE708" w:rsidR="009C6E2D" w:rsidRPr="00C93791" w:rsidRDefault="00F232B7" w:rsidP="0016155A">
      <w:pPr>
        <w:pStyle w:val="NICEnormalnumbered"/>
        <w:numPr>
          <w:ilvl w:val="1"/>
          <w:numId w:val="25"/>
        </w:numPr>
        <w:spacing w:line="240" w:lineRule="auto"/>
        <w:ind w:left="1151" w:hanging="357"/>
        <w:rPr>
          <w:noProof w:val="0"/>
        </w:rPr>
      </w:pPr>
      <w:r w:rsidRPr="00C93791">
        <w:rPr>
          <w:noProof w:val="0"/>
        </w:rPr>
        <w:t xml:space="preserve">Approve the amendments to the committee’s terms of </w:t>
      </w:r>
      <w:proofErr w:type="gramStart"/>
      <w:r w:rsidRPr="00C93791">
        <w:rPr>
          <w:noProof w:val="0"/>
        </w:rPr>
        <w:t>reference</w:t>
      </w:r>
      <w:proofErr w:type="gramEnd"/>
    </w:p>
    <w:p w14:paraId="170E0531" w14:textId="77777777" w:rsidR="004B4705" w:rsidRPr="007945BA" w:rsidRDefault="004B4705" w:rsidP="00817F07">
      <w:pPr>
        <w:pStyle w:val="NICEnormal"/>
        <w:spacing w:after="120" w:line="240" w:lineRule="auto"/>
      </w:pPr>
    </w:p>
    <w:p w14:paraId="0FE9EDD0" w14:textId="336762B1" w:rsidR="004B4705" w:rsidRPr="007945BA" w:rsidRDefault="004B4705" w:rsidP="004B4705">
      <w:pPr>
        <w:pStyle w:val="NICEnormal"/>
      </w:pPr>
      <w:r w:rsidRPr="007945BA">
        <w:t xml:space="preserve">© NICE </w:t>
      </w:r>
      <w:r w:rsidR="00B45860" w:rsidRPr="007945BA">
        <w:t>2023</w:t>
      </w:r>
      <w:r w:rsidRPr="007945BA">
        <w:t xml:space="preserve">. All rights reserved. </w:t>
      </w:r>
      <w:hyperlink r:id="rId9" w:anchor="notice-of-rights" w:history="1">
        <w:r w:rsidRPr="007945BA">
          <w:rPr>
            <w:rStyle w:val="Hyperlink"/>
          </w:rPr>
          <w:t>Subject to Notice of rights</w:t>
        </w:r>
      </w:hyperlink>
      <w:r w:rsidRPr="007945BA">
        <w:t>.</w:t>
      </w:r>
    </w:p>
    <w:p w14:paraId="1C550334" w14:textId="0EB2BA47" w:rsidR="0096526D" w:rsidRDefault="005E0F5A" w:rsidP="004511A7">
      <w:pPr>
        <w:pStyle w:val="NICEnormal"/>
      </w:pPr>
      <w:r w:rsidRPr="007945BA">
        <w:t>May</w:t>
      </w:r>
      <w:r w:rsidR="00B45860" w:rsidRPr="007945BA">
        <w:t xml:space="preserve"> 202</w:t>
      </w:r>
      <w:r w:rsidRPr="007945BA">
        <w:t>4</w:t>
      </w:r>
    </w:p>
    <w:p w14:paraId="79A0FD32" w14:textId="77777777" w:rsidR="0096526D" w:rsidRDefault="0096526D">
      <w:pPr>
        <w:rPr>
          <w:rFonts w:ascii="Arial" w:hAnsi="Arial"/>
        </w:rPr>
      </w:pPr>
      <w:r>
        <w:br w:type="page"/>
      </w:r>
    </w:p>
    <w:p w14:paraId="2EAC6115" w14:textId="6EC8249E" w:rsidR="00CA47DA" w:rsidRPr="007945BA" w:rsidRDefault="00CA47DA" w:rsidP="00CA47DA">
      <w:pPr>
        <w:pStyle w:val="Heading1"/>
        <w:spacing w:after="240"/>
        <w:jc w:val="right"/>
        <w:rPr>
          <w:sz w:val="24"/>
          <w:szCs w:val="24"/>
        </w:rPr>
      </w:pPr>
      <w:r w:rsidRPr="007945BA">
        <w:rPr>
          <w:sz w:val="24"/>
          <w:szCs w:val="24"/>
        </w:rPr>
        <w:lastRenderedPageBreak/>
        <w:t>Appendix B</w:t>
      </w:r>
    </w:p>
    <w:p w14:paraId="33445635" w14:textId="6BE4415C" w:rsidR="00CA47DA" w:rsidRPr="007945BA" w:rsidRDefault="00CA47DA" w:rsidP="00CA47DA">
      <w:pPr>
        <w:pStyle w:val="Heading1"/>
        <w:spacing w:after="240"/>
        <w:rPr>
          <w:b w:val="0"/>
        </w:rPr>
      </w:pPr>
      <w:r w:rsidRPr="007945BA">
        <w:t>The role and operation of the Audit and Risk Committee</w:t>
      </w:r>
    </w:p>
    <w:p w14:paraId="22387201" w14:textId="77777777" w:rsidR="00CA47DA" w:rsidRPr="007945BA" w:rsidRDefault="00CA47DA" w:rsidP="001F3AFC">
      <w:pPr>
        <w:pStyle w:val="ListParagraph"/>
        <w:numPr>
          <w:ilvl w:val="0"/>
          <w:numId w:val="31"/>
        </w:numPr>
        <w:spacing w:after="120"/>
        <w:ind w:left="567" w:hanging="567"/>
        <w:contextualSpacing w:val="0"/>
        <w:rPr>
          <w:rFonts w:ascii="Arial" w:hAnsi="Arial" w:cs="Arial"/>
        </w:rPr>
      </w:pPr>
      <w:r w:rsidRPr="007945BA">
        <w:rPr>
          <w:rFonts w:ascii="Arial" w:hAnsi="Arial" w:cs="Arial"/>
        </w:rPr>
        <w:t>The members of the committee during the period of the report were as follows:</w:t>
      </w:r>
    </w:p>
    <w:p w14:paraId="70D73808" w14:textId="72FB1709" w:rsidR="00CA47DA" w:rsidRPr="007945BA" w:rsidRDefault="00CA47DA" w:rsidP="007074B3">
      <w:pPr>
        <w:pStyle w:val="BodyTextIndent3"/>
        <w:tabs>
          <w:tab w:val="left" w:pos="1134"/>
        </w:tabs>
        <w:spacing w:after="120"/>
        <w:rPr>
          <w:rFonts w:cs="Arial"/>
          <w:u w:val="none"/>
        </w:rPr>
      </w:pPr>
      <w:r w:rsidRPr="007945BA">
        <w:rPr>
          <w:rFonts w:cs="Arial"/>
          <w:u w:val="none"/>
        </w:rPr>
        <w:t>Alina Lourie</w:t>
      </w:r>
      <w:r w:rsidRPr="007945BA">
        <w:rPr>
          <w:rFonts w:cs="Arial"/>
          <w:u w:val="none"/>
        </w:rPr>
        <w:tab/>
      </w:r>
      <w:r w:rsidRPr="007945BA">
        <w:rPr>
          <w:rFonts w:cs="Arial"/>
          <w:u w:val="none"/>
        </w:rPr>
        <w:tab/>
      </w:r>
      <w:r w:rsidRPr="007945BA">
        <w:rPr>
          <w:rFonts w:cs="Arial"/>
          <w:u w:val="none"/>
        </w:rPr>
        <w:tab/>
      </w:r>
      <w:r w:rsidR="007074B3" w:rsidRPr="007945BA">
        <w:rPr>
          <w:rFonts w:cs="Arial"/>
          <w:u w:val="none"/>
        </w:rPr>
        <w:t>appointed</w:t>
      </w:r>
      <w:r w:rsidRPr="007945BA">
        <w:rPr>
          <w:rFonts w:cs="Arial"/>
          <w:u w:val="none"/>
        </w:rPr>
        <w:t xml:space="preserve"> </w:t>
      </w:r>
      <w:proofErr w:type="gramStart"/>
      <w:r w:rsidRPr="007945BA">
        <w:rPr>
          <w:rFonts w:cs="Arial"/>
          <w:u w:val="none"/>
        </w:rPr>
        <w:t>01/04/2021</w:t>
      </w:r>
      <w:proofErr w:type="gramEnd"/>
    </w:p>
    <w:p w14:paraId="341D525C" w14:textId="1FB499EB" w:rsidR="00CA47DA" w:rsidRPr="007945BA" w:rsidRDefault="00CA47DA" w:rsidP="007074B3">
      <w:pPr>
        <w:pStyle w:val="BodyTextIndent3"/>
        <w:tabs>
          <w:tab w:val="left" w:pos="1134"/>
        </w:tabs>
        <w:spacing w:after="120"/>
        <w:ind w:left="360" w:firstLine="207"/>
        <w:rPr>
          <w:rFonts w:cs="Arial"/>
          <w:u w:val="none"/>
        </w:rPr>
      </w:pPr>
      <w:r w:rsidRPr="007945BA">
        <w:rPr>
          <w:rFonts w:cs="Arial"/>
          <w:u w:val="none"/>
        </w:rPr>
        <w:t>Michael Borowitz</w:t>
      </w:r>
      <w:r w:rsidRPr="007945BA">
        <w:rPr>
          <w:rFonts w:cs="Arial"/>
          <w:u w:val="none"/>
        </w:rPr>
        <w:tab/>
      </w:r>
      <w:r w:rsidRPr="007945BA">
        <w:rPr>
          <w:rFonts w:cs="Arial"/>
          <w:u w:val="none"/>
        </w:rPr>
        <w:tab/>
      </w:r>
      <w:r w:rsidR="007074B3" w:rsidRPr="007945BA">
        <w:rPr>
          <w:rFonts w:cs="Arial"/>
          <w:u w:val="none"/>
        </w:rPr>
        <w:t xml:space="preserve">appointed </w:t>
      </w:r>
      <w:proofErr w:type="gramStart"/>
      <w:r w:rsidRPr="007945BA">
        <w:rPr>
          <w:rFonts w:cs="Arial"/>
          <w:u w:val="none"/>
        </w:rPr>
        <w:t>01/01/2023</w:t>
      </w:r>
      <w:proofErr w:type="gramEnd"/>
    </w:p>
    <w:p w14:paraId="63ED7115" w14:textId="399A7380" w:rsidR="00CA47DA" w:rsidRPr="007945BA" w:rsidRDefault="00CA47DA" w:rsidP="007074B3">
      <w:pPr>
        <w:pStyle w:val="BodyTextIndent3"/>
        <w:tabs>
          <w:tab w:val="left" w:pos="1134"/>
        </w:tabs>
        <w:spacing w:after="120"/>
        <w:rPr>
          <w:rFonts w:cs="Arial"/>
          <w:u w:val="none"/>
        </w:rPr>
      </w:pPr>
      <w:r w:rsidRPr="007945BA">
        <w:rPr>
          <w:rFonts w:cs="Arial"/>
          <w:u w:val="none"/>
        </w:rPr>
        <w:t>Mark Chakravarty</w:t>
      </w:r>
      <w:r w:rsidRPr="007945BA">
        <w:rPr>
          <w:rFonts w:cs="Arial"/>
          <w:u w:val="none"/>
        </w:rPr>
        <w:tab/>
      </w:r>
      <w:r w:rsidRPr="007945BA">
        <w:rPr>
          <w:rFonts w:cs="Arial"/>
          <w:u w:val="none"/>
        </w:rPr>
        <w:tab/>
      </w:r>
      <w:r w:rsidR="007074B3" w:rsidRPr="007945BA">
        <w:rPr>
          <w:rFonts w:cs="Arial"/>
          <w:u w:val="none"/>
        </w:rPr>
        <w:t xml:space="preserve">appointed </w:t>
      </w:r>
      <w:proofErr w:type="gramStart"/>
      <w:r w:rsidRPr="007945BA">
        <w:rPr>
          <w:rFonts w:cs="Arial"/>
          <w:u w:val="none"/>
        </w:rPr>
        <w:t>01/04/2021</w:t>
      </w:r>
      <w:proofErr w:type="gramEnd"/>
    </w:p>
    <w:p w14:paraId="60EDE5E7" w14:textId="3A9DA2C1" w:rsidR="00CA47DA" w:rsidRPr="007945BA" w:rsidRDefault="00CA47DA" w:rsidP="007074B3">
      <w:pPr>
        <w:pStyle w:val="BodyTextIndent3"/>
        <w:tabs>
          <w:tab w:val="left" w:pos="1134"/>
        </w:tabs>
        <w:spacing w:after="120"/>
        <w:rPr>
          <w:rFonts w:cs="Arial"/>
          <w:u w:val="none"/>
        </w:rPr>
      </w:pPr>
      <w:r w:rsidRPr="007945BA">
        <w:rPr>
          <w:rFonts w:cs="Arial"/>
          <w:u w:val="none"/>
        </w:rPr>
        <w:t>Justin Whatling</w:t>
      </w:r>
      <w:r w:rsidRPr="007945BA">
        <w:rPr>
          <w:rFonts w:cs="Arial"/>
          <w:u w:val="none"/>
        </w:rPr>
        <w:tab/>
      </w:r>
      <w:r w:rsidRPr="007945BA">
        <w:rPr>
          <w:rFonts w:cs="Arial"/>
          <w:u w:val="none"/>
        </w:rPr>
        <w:tab/>
      </w:r>
      <w:r w:rsidR="007074B3" w:rsidRPr="007945BA">
        <w:rPr>
          <w:rFonts w:cs="Arial"/>
          <w:u w:val="none"/>
        </w:rPr>
        <w:t xml:space="preserve">appointed </w:t>
      </w:r>
      <w:proofErr w:type="gramStart"/>
      <w:r w:rsidRPr="007945BA">
        <w:rPr>
          <w:rFonts w:cs="Arial"/>
          <w:u w:val="none"/>
        </w:rPr>
        <w:t>01/04/2021</w:t>
      </w:r>
      <w:proofErr w:type="gramEnd"/>
    </w:p>
    <w:p w14:paraId="2199B041" w14:textId="4C798FFE" w:rsidR="00CA47DA" w:rsidRPr="007945BA" w:rsidRDefault="00CA47DA" w:rsidP="007074B3">
      <w:pPr>
        <w:pStyle w:val="BodyTextIndent3"/>
        <w:tabs>
          <w:tab w:val="left" w:pos="1134"/>
        </w:tabs>
        <w:spacing w:after="120"/>
        <w:rPr>
          <w:rFonts w:cs="Arial"/>
          <w:u w:val="none"/>
        </w:rPr>
      </w:pPr>
      <w:r w:rsidRPr="007945BA">
        <w:rPr>
          <w:rFonts w:cs="Arial"/>
          <w:u w:val="none"/>
        </w:rPr>
        <w:t>Amanda Gibbon</w:t>
      </w:r>
      <w:r w:rsidRPr="007945BA">
        <w:rPr>
          <w:rFonts w:cs="Arial"/>
          <w:u w:val="none"/>
        </w:rPr>
        <w:tab/>
      </w:r>
      <w:r w:rsidRPr="007945BA">
        <w:rPr>
          <w:rFonts w:cs="Arial"/>
          <w:u w:val="none"/>
        </w:rPr>
        <w:tab/>
      </w:r>
      <w:r w:rsidR="007074B3" w:rsidRPr="007945BA">
        <w:rPr>
          <w:rFonts w:cs="Arial"/>
          <w:u w:val="none"/>
        </w:rPr>
        <w:t xml:space="preserve">appointed </w:t>
      </w:r>
      <w:r w:rsidRPr="007945BA">
        <w:rPr>
          <w:rFonts w:cs="Arial"/>
          <w:u w:val="none"/>
        </w:rPr>
        <w:t>01/03/2021</w:t>
      </w:r>
      <w:r w:rsidR="00275AE5" w:rsidRPr="007945BA">
        <w:rPr>
          <w:rFonts w:cs="Arial"/>
          <w:u w:val="none"/>
        </w:rPr>
        <w:t xml:space="preserve"> (independent member)</w:t>
      </w:r>
    </w:p>
    <w:p w14:paraId="200B5F38" w14:textId="77777777" w:rsidR="00CA47DA" w:rsidRPr="007945BA" w:rsidRDefault="00CA47DA" w:rsidP="00CA47DA">
      <w:pPr>
        <w:pStyle w:val="BodyTextIndent3"/>
        <w:spacing w:after="120"/>
        <w:ind w:left="360"/>
        <w:rPr>
          <w:rFonts w:cs="Arial"/>
          <w:u w:val="none"/>
        </w:rPr>
      </w:pPr>
    </w:p>
    <w:p w14:paraId="6F50A442" w14:textId="73DF7891" w:rsidR="00CA47DA" w:rsidRPr="007945BA" w:rsidRDefault="00CA47DA" w:rsidP="004B10A6">
      <w:pPr>
        <w:pStyle w:val="ListParagraph"/>
        <w:numPr>
          <w:ilvl w:val="0"/>
          <w:numId w:val="31"/>
        </w:numPr>
        <w:spacing w:after="240" w:line="360" w:lineRule="auto"/>
        <w:ind w:left="567" w:hanging="567"/>
        <w:contextualSpacing w:val="0"/>
        <w:rPr>
          <w:rFonts w:ascii="Arial" w:hAnsi="Arial" w:cs="Arial"/>
        </w:rPr>
      </w:pPr>
      <w:r w:rsidRPr="007945BA">
        <w:rPr>
          <w:rFonts w:ascii="Arial" w:hAnsi="Arial" w:cs="Arial"/>
        </w:rPr>
        <w:t>No members declared any conflicts of interests in any of the agenda items during the year.</w:t>
      </w:r>
    </w:p>
    <w:p w14:paraId="03BA6BAB" w14:textId="77777777" w:rsidR="00CA47DA" w:rsidRPr="007945BA" w:rsidRDefault="00CA47DA" w:rsidP="004B10A6">
      <w:pPr>
        <w:pStyle w:val="ListParagraph"/>
        <w:numPr>
          <w:ilvl w:val="0"/>
          <w:numId w:val="31"/>
        </w:numPr>
        <w:spacing w:after="240" w:line="360" w:lineRule="auto"/>
        <w:ind w:left="567" w:hanging="567"/>
        <w:contextualSpacing w:val="0"/>
        <w:rPr>
          <w:rFonts w:ascii="Arial" w:hAnsi="Arial" w:cs="Arial"/>
        </w:rPr>
      </w:pPr>
      <w:r w:rsidRPr="007945BA">
        <w:rPr>
          <w:rFonts w:ascii="Arial" w:hAnsi="Arial" w:cs="Arial"/>
        </w:rPr>
        <w:t>The following managers attend the committee meetings regularly to support it, present reports, respond to audit reports and answer queries from the committee:</w:t>
      </w:r>
    </w:p>
    <w:p w14:paraId="0E59CB41" w14:textId="45BFCDC8" w:rsidR="00CA47DA" w:rsidRPr="007945BA" w:rsidRDefault="00CA47DA" w:rsidP="00CA47DA">
      <w:pPr>
        <w:pStyle w:val="BodyTextIndent3"/>
        <w:spacing w:after="120"/>
        <w:ind w:left="360" w:firstLine="774"/>
        <w:rPr>
          <w:rFonts w:cs="Arial"/>
          <w:u w:val="none"/>
        </w:rPr>
      </w:pPr>
      <w:r w:rsidRPr="007945BA">
        <w:rPr>
          <w:rFonts w:cs="Arial"/>
          <w:u w:val="none"/>
        </w:rPr>
        <w:t>Sam Roberts</w:t>
      </w:r>
      <w:r w:rsidRPr="007945BA">
        <w:rPr>
          <w:rFonts w:cs="Arial"/>
          <w:u w:val="none"/>
        </w:rPr>
        <w:tab/>
      </w:r>
      <w:r w:rsidRPr="007945BA">
        <w:rPr>
          <w:rFonts w:cs="Arial"/>
          <w:u w:val="none"/>
        </w:rPr>
        <w:tab/>
        <w:t>Chief executive</w:t>
      </w:r>
    </w:p>
    <w:p w14:paraId="4BBE6FA1" w14:textId="577B9352" w:rsidR="00CA47DA" w:rsidRPr="007945BA" w:rsidRDefault="00CA47DA" w:rsidP="00275AE5">
      <w:pPr>
        <w:pStyle w:val="BodyTextIndent3"/>
        <w:spacing w:after="120"/>
        <w:ind w:left="3544" w:hanging="2410"/>
        <w:rPr>
          <w:rFonts w:cs="Arial"/>
          <w:u w:val="none"/>
        </w:rPr>
      </w:pPr>
      <w:r w:rsidRPr="007945BA">
        <w:rPr>
          <w:rFonts w:cs="Arial"/>
          <w:u w:val="none"/>
        </w:rPr>
        <w:t>Boryana Stambolova</w:t>
      </w:r>
      <w:r w:rsidRPr="007945BA">
        <w:rPr>
          <w:rFonts w:cs="Arial"/>
          <w:u w:val="none"/>
        </w:rPr>
        <w:tab/>
      </w:r>
      <w:r w:rsidR="00446486" w:rsidRPr="007945BA">
        <w:rPr>
          <w:rFonts w:cs="Arial"/>
          <w:u w:val="none"/>
        </w:rPr>
        <w:t xml:space="preserve"> </w:t>
      </w:r>
      <w:r w:rsidRPr="007945BA">
        <w:rPr>
          <w:rFonts w:cs="Arial"/>
          <w:u w:val="none"/>
        </w:rPr>
        <w:t>Interim director</w:t>
      </w:r>
      <w:r w:rsidR="0036666D" w:rsidRPr="007945BA">
        <w:rPr>
          <w:rFonts w:cs="Arial"/>
          <w:u w:val="none"/>
        </w:rPr>
        <w:t>, finance</w:t>
      </w:r>
    </w:p>
    <w:p w14:paraId="63CD5A37" w14:textId="77777777" w:rsidR="00CA47DA" w:rsidRPr="007945BA" w:rsidRDefault="00CA47DA" w:rsidP="00CA47DA">
      <w:pPr>
        <w:pStyle w:val="BodyTextIndent3"/>
        <w:spacing w:after="120"/>
        <w:ind w:left="3544" w:hanging="2410"/>
        <w:rPr>
          <w:rFonts w:cs="Arial"/>
          <w:u w:val="none"/>
        </w:rPr>
      </w:pPr>
      <w:r w:rsidRPr="007945BA">
        <w:rPr>
          <w:rFonts w:cs="Arial"/>
          <w:u w:val="none"/>
        </w:rPr>
        <w:t>Martin Davison</w:t>
      </w:r>
      <w:r w:rsidRPr="007945BA">
        <w:rPr>
          <w:rFonts w:cs="Arial"/>
          <w:u w:val="none"/>
        </w:rPr>
        <w:tab/>
        <w:t xml:space="preserve">Associate director - finance </w:t>
      </w:r>
    </w:p>
    <w:p w14:paraId="580ACAF1" w14:textId="77777777" w:rsidR="00CA47DA" w:rsidRPr="007945BA" w:rsidRDefault="00CA47DA" w:rsidP="00CA47DA">
      <w:pPr>
        <w:pStyle w:val="BodyTextIndent3"/>
        <w:spacing w:after="120"/>
        <w:ind w:left="360" w:firstLine="774"/>
        <w:rPr>
          <w:rFonts w:cs="Arial"/>
          <w:u w:val="none"/>
        </w:rPr>
      </w:pPr>
      <w:r w:rsidRPr="007945BA">
        <w:rPr>
          <w:rFonts w:cs="Arial"/>
          <w:u w:val="none"/>
        </w:rPr>
        <w:t xml:space="preserve">Barney Wilkinson </w:t>
      </w:r>
      <w:r w:rsidRPr="007945BA">
        <w:rPr>
          <w:rFonts w:cs="Arial"/>
          <w:u w:val="none"/>
        </w:rPr>
        <w:tab/>
        <w:t>Associate director – procurement</w:t>
      </w:r>
    </w:p>
    <w:p w14:paraId="31186D06" w14:textId="77777777" w:rsidR="00CA47DA" w:rsidRPr="007945BA" w:rsidRDefault="00CA47DA" w:rsidP="00CA47DA">
      <w:pPr>
        <w:pStyle w:val="BodyTextIndent3"/>
        <w:spacing w:after="120"/>
        <w:ind w:left="360" w:firstLine="774"/>
        <w:rPr>
          <w:rFonts w:cs="Arial"/>
          <w:u w:val="none"/>
        </w:rPr>
      </w:pPr>
      <w:r w:rsidRPr="007945BA">
        <w:rPr>
          <w:rFonts w:cs="Arial"/>
          <w:u w:val="none"/>
        </w:rPr>
        <w:t>David Coombs</w:t>
      </w:r>
      <w:r w:rsidRPr="007945BA">
        <w:rPr>
          <w:rFonts w:cs="Arial"/>
          <w:u w:val="none"/>
        </w:rPr>
        <w:tab/>
      </w:r>
      <w:r w:rsidRPr="007945BA">
        <w:rPr>
          <w:rFonts w:cs="Arial"/>
          <w:u w:val="none"/>
        </w:rPr>
        <w:tab/>
        <w:t>Associate director – corporate office</w:t>
      </w:r>
    </w:p>
    <w:p w14:paraId="111B411F" w14:textId="094B1AA0" w:rsidR="00CA47DA" w:rsidRPr="007945BA" w:rsidRDefault="00CA47DA" w:rsidP="00275AE5">
      <w:pPr>
        <w:pStyle w:val="BodyTextIndent3"/>
        <w:spacing w:after="120"/>
        <w:ind w:left="2164" w:hanging="1030"/>
        <w:rPr>
          <w:rFonts w:cs="Arial"/>
          <w:u w:val="none"/>
        </w:rPr>
      </w:pPr>
      <w:r w:rsidRPr="007945BA">
        <w:rPr>
          <w:rFonts w:cs="Arial"/>
          <w:u w:val="none"/>
        </w:rPr>
        <w:t>Ehtisham</w:t>
      </w:r>
      <w:r w:rsidRPr="007945BA">
        <w:rPr>
          <w:rFonts w:cs="Arial"/>
          <w:u w:val="none"/>
        </w:rPr>
        <w:tab/>
        <w:t>Ramzan</w:t>
      </w:r>
      <w:r w:rsidRPr="007945BA">
        <w:rPr>
          <w:rFonts w:cs="Arial"/>
          <w:u w:val="none"/>
        </w:rPr>
        <w:tab/>
        <w:t>Head of financial accounting</w:t>
      </w:r>
      <w:r w:rsidR="00275AE5" w:rsidRPr="007945BA">
        <w:rPr>
          <w:rFonts w:cs="Arial"/>
          <w:u w:val="none"/>
        </w:rPr>
        <w:t xml:space="preserve"> (from Nov 2022)</w:t>
      </w:r>
    </w:p>
    <w:p w14:paraId="5D9DEFBE" w14:textId="77777777" w:rsidR="00CA47DA" w:rsidRPr="007945BA" w:rsidRDefault="00CA47DA" w:rsidP="00CA47DA">
      <w:pPr>
        <w:pStyle w:val="BodyTextIndent3"/>
        <w:spacing w:after="120"/>
        <w:ind w:left="3600" w:hanging="2466"/>
        <w:rPr>
          <w:rFonts w:cs="Arial"/>
          <w:u w:val="none"/>
        </w:rPr>
      </w:pPr>
      <w:r w:rsidRPr="007945BA">
        <w:rPr>
          <w:rFonts w:cs="Arial"/>
          <w:u w:val="none"/>
        </w:rPr>
        <w:t>Elaine Repton</w:t>
      </w:r>
      <w:r w:rsidRPr="007945BA">
        <w:rPr>
          <w:rFonts w:cs="Arial"/>
          <w:u w:val="none"/>
        </w:rPr>
        <w:tab/>
        <w:t>Corporate governance &amp; risk manager (committee secretary)</w:t>
      </w:r>
    </w:p>
    <w:p w14:paraId="0F032FAE" w14:textId="77777777" w:rsidR="00CA47DA" w:rsidRPr="007945BA" w:rsidRDefault="00CA47DA" w:rsidP="00CA47DA">
      <w:pPr>
        <w:spacing w:after="120"/>
        <w:ind w:left="360" w:firstLine="774"/>
        <w:rPr>
          <w:rFonts w:ascii="Arial" w:hAnsi="Arial" w:cs="Arial"/>
        </w:rPr>
      </w:pPr>
      <w:r w:rsidRPr="007945BA">
        <w:rPr>
          <w:rFonts w:ascii="Arial" w:hAnsi="Arial" w:cs="Arial"/>
        </w:rPr>
        <w:t>Other senior managers attend as and when for specific items as required.</w:t>
      </w:r>
    </w:p>
    <w:p w14:paraId="0848F005" w14:textId="77777777" w:rsidR="00CA47DA" w:rsidRPr="007945BA" w:rsidRDefault="00CA47DA" w:rsidP="00CA47DA">
      <w:pPr>
        <w:rPr>
          <w:rFonts w:ascii="Arial" w:hAnsi="Arial" w:cs="Arial"/>
        </w:rPr>
      </w:pPr>
    </w:p>
    <w:p w14:paraId="712CA011" w14:textId="366DE849" w:rsidR="00CA47DA" w:rsidRPr="007945BA" w:rsidRDefault="00CA47DA" w:rsidP="00CA47DA">
      <w:pPr>
        <w:pStyle w:val="ListParagraph"/>
        <w:numPr>
          <w:ilvl w:val="0"/>
          <w:numId w:val="31"/>
        </w:numPr>
        <w:spacing w:after="120"/>
        <w:ind w:left="567" w:hanging="567"/>
        <w:contextualSpacing w:val="0"/>
        <w:rPr>
          <w:rFonts w:ascii="Arial" w:hAnsi="Arial" w:cs="Arial"/>
        </w:rPr>
      </w:pPr>
      <w:r w:rsidRPr="007945BA">
        <w:rPr>
          <w:rFonts w:ascii="Arial" w:hAnsi="Arial" w:cs="Arial"/>
        </w:rPr>
        <w:t>Representatives also attend</w:t>
      </w:r>
      <w:r w:rsidR="004B10A6" w:rsidRPr="007945BA">
        <w:rPr>
          <w:rFonts w:ascii="Arial" w:hAnsi="Arial" w:cs="Arial"/>
        </w:rPr>
        <w:t>ed</w:t>
      </w:r>
      <w:r w:rsidRPr="007945BA">
        <w:rPr>
          <w:rFonts w:ascii="Arial" w:hAnsi="Arial" w:cs="Arial"/>
        </w:rPr>
        <w:t xml:space="preserve"> from:</w:t>
      </w:r>
    </w:p>
    <w:p w14:paraId="5805AB7A" w14:textId="77777777" w:rsidR="00CA47DA" w:rsidRPr="007945BA" w:rsidRDefault="00CA47DA" w:rsidP="00CA47DA">
      <w:pPr>
        <w:pStyle w:val="BodyTextIndent3"/>
        <w:spacing w:after="120"/>
        <w:ind w:left="360" w:firstLine="774"/>
        <w:jc w:val="both"/>
        <w:rPr>
          <w:rFonts w:cs="Arial"/>
          <w:u w:val="none"/>
        </w:rPr>
      </w:pPr>
      <w:r w:rsidRPr="007945BA">
        <w:rPr>
          <w:rFonts w:cs="Arial"/>
          <w:u w:val="none"/>
        </w:rPr>
        <w:t>Internal audit</w:t>
      </w:r>
      <w:r w:rsidRPr="007945BA">
        <w:rPr>
          <w:rFonts w:cs="Arial"/>
          <w:u w:val="none"/>
        </w:rPr>
        <w:tab/>
      </w:r>
      <w:r w:rsidRPr="007945BA">
        <w:rPr>
          <w:rFonts w:cs="Arial"/>
          <w:u w:val="none"/>
        </w:rPr>
        <w:tab/>
        <w:t xml:space="preserve">The Government Internal Audit Agency </w:t>
      </w:r>
    </w:p>
    <w:p w14:paraId="6C905889" w14:textId="77777777" w:rsidR="00CA47DA" w:rsidRPr="007945BA" w:rsidRDefault="00CA47DA" w:rsidP="00CA47DA">
      <w:pPr>
        <w:pStyle w:val="BodyTextIndent3"/>
        <w:spacing w:after="120"/>
        <w:ind w:left="360" w:firstLine="774"/>
        <w:rPr>
          <w:rFonts w:cs="Arial"/>
          <w:u w:val="none"/>
        </w:rPr>
      </w:pPr>
      <w:r w:rsidRPr="007945BA">
        <w:rPr>
          <w:rFonts w:cs="Arial"/>
          <w:u w:val="none"/>
        </w:rPr>
        <w:t xml:space="preserve">External audit </w:t>
      </w:r>
      <w:r w:rsidRPr="007945BA">
        <w:rPr>
          <w:rFonts w:cs="Arial"/>
          <w:u w:val="none"/>
        </w:rPr>
        <w:tab/>
      </w:r>
      <w:r w:rsidRPr="007945BA">
        <w:rPr>
          <w:rFonts w:cs="Arial"/>
          <w:u w:val="none"/>
        </w:rPr>
        <w:tab/>
        <w:t>The National Audit Office &amp; KPMG</w:t>
      </w:r>
    </w:p>
    <w:p w14:paraId="78A16B37" w14:textId="77777777" w:rsidR="00CA47DA" w:rsidRPr="007945BA" w:rsidRDefault="00CA47DA" w:rsidP="00CA47DA">
      <w:pPr>
        <w:spacing w:after="240"/>
        <w:ind w:left="357" w:firstLine="777"/>
        <w:rPr>
          <w:rFonts w:ascii="Arial" w:hAnsi="Arial" w:cs="Arial"/>
        </w:rPr>
      </w:pPr>
      <w:r w:rsidRPr="007945BA">
        <w:rPr>
          <w:rFonts w:ascii="Arial" w:hAnsi="Arial" w:cs="Arial"/>
        </w:rPr>
        <w:t>DHSC</w:t>
      </w:r>
      <w:r w:rsidRPr="007945BA">
        <w:rPr>
          <w:rFonts w:ascii="Arial" w:hAnsi="Arial" w:cs="Arial"/>
        </w:rPr>
        <w:tab/>
      </w:r>
      <w:r w:rsidRPr="007945BA">
        <w:rPr>
          <w:rFonts w:ascii="Arial" w:hAnsi="Arial" w:cs="Arial"/>
        </w:rPr>
        <w:tab/>
      </w:r>
      <w:r w:rsidRPr="007945BA">
        <w:rPr>
          <w:rFonts w:ascii="Arial" w:hAnsi="Arial" w:cs="Arial"/>
        </w:rPr>
        <w:tab/>
        <w:t>NICE Sponsor Team</w:t>
      </w:r>
    </w:p>
    <w:p w14:paraId="639B091A" w14:textId="064BCC08" w:rsidR="00CA47DA" w:rsidRPr="007945BA" w:rsidRDefault="00CA47DA" w:rsidP="00CA47DA">
      <w:pPr>
        <w:pStyle w:val="ListParagraph"/>
        <w:numPr>
          <w:ilvl w:val="0"/>
          <w:numId w:val="31"/>
        </w:numPr>
        <w:spacing w:after="120" w:line="360" w:lineRule="auto"/>
        <w:ind w:left="567" w:hanging="567"/>
        <w:contextualSpacing w:val="0"/>
        <w:rPr>
          <w:rFonts w:ascii="Arial" w:hAnsi="Arial" w:cs="Arial"/>
        </w:rPr>
      </w:pPr>
      <w:r w:rsidRPr="007945BA">
        <w:rPr>
          <w:rFonts w:ascii="Arial" w:hAnsi="Arial" w:cs="Arial"/>
        </w:rPr>
        <w:t xml:space="preserve">It has been the committee’s normal practice to hold a private discussion at the start of each meeting between the auditors and members of the committee without the management present. This is to give the auditors an opportunity to </w:t>
      </w:r>
      <w:r w:rsidRPr="007945BA">
        <w:rPr>
          <w:rFonts w:ascii="Arial" w:hAnsi="Arial" w:cs="Arial"/>
        </w:rPr>
        <w:lastRenderedPageBreak/>
        <w:t>raise any matters of concern without management present.</w:t>
      </w:r>
      <w:r w:rsidR="004B10A6" w:rsidRPr="007945BA">
        <w:rPr>
          <w:rFonts w:ascii="Arial" w:hAnsi="Arial" w:cs="Arial"/>
        </w:rPr>
        <w:t xml:space="preserve">  No issues of concern were raised which required management action to be taken.</w:t>
      </w:r>
    </w:p>
    <w:p w14:paraId="4DB9087B" w14:textId="77777777" w:rsidR="00CA47DA" w:rsidRPr="007945BA" w:rsidRDefault="00CA47DA" w:rsidP="00CA47DA">
      <w:pPr>
        <w:rPr>
          <w:rFonts w:ascii="Arial" w:hAnsi="Arial" w:cs="Arial"/>
        </w:rPr>
      </w:pPr>
    </w:p>
    <w:p w14:paraId="4E872EF3" w14:textId="06237F36" w:rsidR="00CA47DA" w:rsidRPr="007945BA" w:rsidRDefault="00CA47DA" w:rsidP="004B10A6">
      <w:pPr>
        <w:pStyle w:val="ListParagraph"/>
        <w:numPr>
          <w:ilvl w:val="0"/>
          <w:numId w:val="31"/>
        </w:numPr>
        <w:spacing w:line="360" w:lineRule="auto"/>
        <w:ind w:left="567" w:hanging="567"/>
        <w:rPr>
          <w:rFonts w:ascii="Arial" w:hAnsi="Arial" w:cs="Arial"/>
        </w:rPr>
      </w:pPr>
      <w:r w:rsidRPr="007945BA">
        <w:rPr>
          <w:rFonts w:ascii="Arial" w:hAnsi="Arial" w:cs="Arial"/>
        </w:rPr>
        <w:t>The committee is required to meet at least 4 times a year. Meetings took place during the period and were attended as follows:</w:t>
      </w:r>
    </w:p>
    <w:p w14:paraId="3320F912" w14:textId="77777777" w:rsidR="00CA47DA" w:rsidRPr="007945BA" w:rsidRDefault="00CA47DA" w:rsidP="00CA47DA">
      <w:pPr>
        <w:pStyle w:val="BodyTextIndent3"/>
        <w:keepNext/>
        <w:spacing w:after="120"/>
        <w:ind w:left="720"/>
        <w:rPr>
          <w:rFonts w:cs="Arial"/>
          <w:b/>
          <w:highlight w:val="yellow"/>
          <w:u w:val="none"/>
        </w:rPr>
      </w:pPr>
    </w:p>
    <w:p w14:paraId="12FFE462" w14:textId="300F8773" w:rsidR="00CA47DA" w:rsidRPr="007945BA" w:rsidRDefault="00CA47DA" w:rsidP="00CA47DA">
      <w:pPr>
        <w:pStyle w:val="BodyTextIndent3"/>
        <w:keepNext/>
        <w:spacing w:after="120"/>
        <w:ind w:left="0" w:firstLine="720"/>
        <w:rPr>
          <w:rFonts w:cs="Arial"/>
          <w:b/>
          <w:u w:val="none"/>
        </w:rPr>
      </w:pPr>
      <w:r w:rsidRPr="007945BA">
        <w:rPr>
          <w:rFonts w:cs="Arial"/>
          <w:b/>
          <w:u w:val="none"/>
        </w:rPr>
        <w:t>Table 3 – Attendance at meetings in 202</w:t>
      </w:r>
      <w:r w:rsidR="0036666D" w:rsidRPr="007945BA">
        <w:rPr>
          <w:rFonts w:cs="Arial"/>
          <w:b/>
          <w:u w:val="none"/>
        </w:rPr>
        <w:t>3/24</w:t>
      </w:r>
    </w:p>
    <w:tbl>
      <w:tblPr>
        <w:tblStyle w:val="TableGrid"/>
        <w:tblW w:w="0" w:type="auto"/>
        <w:tblInd w:w="562" w:type="dxa"/>
        <w:tblLook w:val="04A0" w:firstRow="1" w:lastRow="0" w:firstColumn="1" w:lastColumn="0" w:noHBand="0" w:noVBand="1"/>
      </w:tblPr>
      <w:tblGrid>
        <w:gridCol w:w="1985"/>
        <w:gridCol w:w="1293"/>
        <w:gridCol w:w="1294"/>
        <w:gridCol w:w="1294"/>
        <w:gridCol w:w="1294"/>
        <w:gridCol w:w="1294"/>
      </w:tblGrid>
      <w:tr w:rsidR="00CA47DA" w:rsidRPr="007945BA" w14:paraId="5EEF53CB" w14:textId="77777777">
        <w:tc>
          <w:tcPr>
            <w:tcW w:w="1985" w:type="dxa"/>
            <w:shd w:val="clear" w:color="auto" w:fill="B4C6E7" w:themeFill="accent1" w:themeFillTint="66"/>
          </w:tcPr>
          <w:p w14:paraId="7DE949F5" w14:textId="77777777" w:rsidR="00CA47DA" w:rsidRPr="007945BA" w:rsidRDefault="00CA47DA">
            <w:pPr>
              <w:pStyle w:val="BodyTextIndent3"/>
              <w:keepNext/>
              <w:spacing w:before="60" w:after="60"/>
              <w:ind w:left="0"/>
              <w:jc w:val="center"/>
              <w:rPr>
                <w:rFonts w:cs="Arial"/>
                <w:b/>
                <w:sz w:val="20"/>
                <w:szCs w:val="20"/>
                <w:u w:val="none"/>
              </w:rPr>
            </w:pPr>
            <w:r w:rsidRPr="007945BA">
              <w:rPr>
                <w:rFonts w:cs="Arial"/>
                <w:b/>
                <w:sz w:val="20"/>
                <w:szCs w:val="20"/>
                <w:u w:val="none"/>
              </w:rPr>
              <w:t>Member</w:t>
            </w:r>
          </w:p>
        </w:tc>
        <w:tc>
          <w:tcPr>
            <w:tcW w:w="1293" w:type="dxa"/>
            <w:shd w:val="clear" w:color="auto" w:fill="B4C6E7" w:themeFill="accent1" w:themeFillTint="66"/>
          </w:tcPr>
          <w:p w14:paraId="79C72B58" w14:textId="0FE3CE1D" w:rsidR="00CA47DA" w:rsidRPr="007945BA" w:rsidRDefault="00F22E8C">
            <w:pPr>
              <w:pStyle w:val="BodyTextIndent3"/>
              <w:keepNext/>
              <w:spacing w:before="60" w:after="60"/>
              <w:ind w:left="0"/>
              <w:jc w:val="center"/>
              <w:rPr>
                <w:rFonts w:cs="Arial"/>
                <w:b/>
                <w:sz w:val="20"/>
                <w:szCs w:val="20"/>
                <w:u w:val="none"/>
              </w:rPr>
            </w:pPr>
            <w:r w:rsidRPr="007945BA">
              <w:rPr>
                <w:rFonts w:cs="Arial"/>
                <w:b/>
                <w:sz w:val="20"/>
                <w:szCs w:val="20"/>
                <w:u w:val="none"/>
              </w:rPr>
              <w:t>3</w:t>
            </w:r>
            <w:r w:rsidR="00CA47DA" w:rsidRPr="007945BA">
              <w:rPr>
                <w:rFonts w:cs="Arial"/>
                <w:b/>
                <w:sz w:val="20"/>
                <w:szCs w:val="20"/>
                <w:u w:val="none"/>
              </w:rPr>
              <w:t xml:space="preserve"> May 202</w:t>
            </w:r>
            <w:r w:rsidR="0036666D" w:rsidRPr="007945BA">
              <w:rPr>
                <w:rFonts w:cs="Arial"/>
                <w:b/>
                <w:sz w:val="20"/>
                <w:szCs w:val="20"/>
                <w:u w:val="none"/>
              </w:rPr>
              <w:t>3</w:t>
            </w:r>
          </w:p>
        </w:tc>
        <w:tc>
          <w:tcPr>
            <w:tcW w:w="1294" w:type="dxa"/>
            <w:shd w:val="clear" w:color="auto" w:fill="B4C6E7" w:themeFill="accent1" w:themeFillTint="66"/>
          </w:tcPr>
          <w:p w14:paraId="68D6CC2C" w14:textId="53E8CB2B" w:rsidR="00CA47DA" w:rsidRPr="007945BA" w:rsidRDefault="00CB5D2B">
            <w:pPr>
              <w:pStyle w:val="BodyTextIndent3"/>
              <w:keepNext/>
              <w:spacing w:before="60" w:after="60"/>
              <w:ind w:left="0"/>
              <w:jc w:val="center"/>
              <w:rPr>
                <w:rFonts w:cs="Arial"/>
                <w:b/>
                <w:sz w:val="20"/>
                <w:szCs w:val="20"/>
                <w:u w:val="none"/>
              </w:rPr>
            </w:pPr>
            <w:r w:rsidRPr="007945BA">
              <w:rPr>
                <w:rFonts w:cs="Arial"/>
                <w:b/>
                <w:sz w:val="20"/>
                <w:szCs w:val="20"/>
                <w:u w:val="none"/>
              </w:rPr>
              <w:t>21</w:t>
            </w:r>
            <w:r w:rsidR="00CA47DA" w:rsidRPr="007945BA">
              <w:rPr>
                <w:rFonts w:cs="Arial"/>
                <w:b/>
                <w:sz w:val="20"/>
                <w:szCs w:val="20"/>
                <w:u w:val="none"/>
              </w:rPr>
              <w:t xml:space="preserve"> June 202</w:t>
            </w:r>
            <w:r w:rsidR="0036666D" w:rsidRPr="007945BA">
              <w:rPr>
                <w:rFonts w:cs="Arial"/>
                <w:b/>
                <w:sz w:val="20"/>
                <w:szCs w:val="20"/>
                <w:u w:val="none"/>
              </w:rPr>
              <w:t>3</w:t>
            </w:r>
          </w:p>
        </w:tc>
        <w:tc>
          <w:tcPr>
            <w:tcW w:w="1294" w:type="dxa"/>
            <w:shd w:val="clear" w:color="auto" w:fill="B4C6E7" w:themeFill="accent1" w:themeFillTint="66"/>
          </w:tcPr>
          <w:p w14:paraId="1363A1E8" w14:textId="26787469" w:rsidR="00CA47DA" w:rsidRPr="007945BA" w:rsidRDefault="002271CD" w:rsidP="002271CD">
            <w:pPr>
              <w:pStyle w:val="BodyTextIndent3"/>
              <w:keepNext/>
              <w:spacing w:before="60"/>
              <w:ind w:left="0"/>
              <w:jc w:val="center"/>
              <w:rPr>
                <w:rFonts w:cs="Arial"/>
                <w:b/>
                <w:sz w:val="20"/>
                <w:szCs w:val="20"/>
                <w:u w:val="none"/>
              </w:rPr>
            </w:pPr>
            <w:r w:rsidRPr="007945BA">
              <w:rPr>
                <w:rFonts w:cs="Arial"/>
                <w:b/>
                <w:sz w:val="20"/>
                <w:szCs w:val="20"/>
                <w:u w:val="none"/>
              </w:rPr>
              <w:t>1</w:t>
            </w:r>
            <w:r w:rsidR="0036666D" w:rsidRPr="007945BA">
              <w:rPr>
                <w:rFonts w:cs="Arial"/>
                <w:b/>
                <w:sz w:val="20"/>
                <w:szCs w:val="20"/>
                <w:u w:val="none"/>
              </w:rPr>
              <w:t>8</w:t>
            </w:r>
            <w:r w:rsidR="00CA47DA" w:rsidRPr="007945BA">
              <w:rPr>
                <w:rFonts w:cs="Arial"/>
                <w:b/>
                <w:sz w:val="20"/>
                <w:szCs w:val="20"/>
                <w:u w:val="none"/>
              </w:rPr>
              <w:t xml:space="preserve"> </w:t>
            </w:r>
            <w:r w:rsidR="0036666D" w:rsidRPr="007945BA">
              <w:rPr>
                <w:rFonts w:cs="Arial"/>
                <w:b/>
                <w:sz w:val="20"/>
                <w:szCs w:val="20"/>
                <w:u w:val="none"/>
              </w:rPr>
              <w:t>Sept</w:t>
            </w:r>
          </w:p>
          <w:p w14:paraId="704706AA" w14:textId="76B69FA4" w:rsidR="00CA47DA" w:rsidRPr="007945BA" w:rsidRDefault="00CA47DA" w:rsidP="002271CD">
            <w:pPr>
              <w:pStyle w:val="BodyTextIndent3"/>
              <w:keepNext/>
              <w:spacing w:after="60"/>
              <w:ind w:left="0"/>
              <w:jc w:val="center"/>
              <w:rPr>
                <w:rFonts w:cs="Arial"/>
                <w:b/>
                <w:sz w:val="20"/>
                <w:szCs w:val="20"/>
                <w:u w:val="none"/>
              </w:rPr>
            </w:pPr>
            <w:r w:rsidRPr="007945BA">
              <w:rPr>
                <w:rFonts w:cs="Arial"/>
                <w:b/>
                <w:sz w:val="20"/>
                <w:szCs w:val="20"/>
                <w:u w:val="none"/>
              </w:rPr>
              <w:t>202</w:t>
            </w:r>
            <w:r w:rsidR="0036666D" w:rsidRPr="007945BA">
              <w:rPr>
                <w:rFonts w:cs="Arial"/>
                <w:b/>
                <w:sz w:val="20"/>
                <w:szCs w:val="20"/>
                <w:u w:val="none"/>
              </w:rPr>
              <w:t>3</w:t>
            </w:r>
          </w:p>
        </w:tc>
        <w:tc>
          <w:tcPr>
            <w:tcW w:w="1294" w:type="dxa"/>
            <w:shd w:val="clear" w:color="auto" w:fill="B4C6E7" w:themeFill="accent1" w:themeFillTint="66"/>
          </w:tcPr>
          <w:p w14:paraId="6FD7893D" w14:textId="3C7B56BA" w:rsidR="00CA47DA" w:rsidRPr="007945BA" w:rsidRDefault="00777984">
            <w:pPr>
              <w:pStyle w:val="BodyTextIndent3"/>
              <w:keepNext/>
              <w:spacing w:before="60" w:after="60"/>
              <w:ind w:left="0"/>
              <w:jc w:val="center"/>
              <w:rPr>
                <w:rFonts w:cs="Arial"/>
                <w:b/>
                <w:sz w:val="20"/>
                <w:szCs w:val="20"/>
                <w:u w:val="none"/>
              </w:rPr>
            </w:pPr>
            <w:r w:rsidRPr="007945BA">
              <w:rPr>
                <w:rFonts w:cs="Arial"/>
                <w:b/>
                <w:sz w:val="20"/>
                <w:szCs w:val="20"/>
                <w:u w:val="none"/>
              </w:rPr>
              <w:t>9</w:t>
            </w:r>
            <w:r w:rsidR="00CA47DA" w:rsidRPr="007945BA">
              <w:rPr>
                <w:rFonts w:cs="Arial"/>
                <w:b/>
                <w:sz w:val="20"/>
                <w:szCs w:val="20"/>
                <w:u w:val="none"/>
              </w:rPr>
              <w:t xml:space="preserve"> Nov 202</w:t>
            </w:r>
            <w:r w:rsidRPr="007945BA">
              <w:rPr>
                <w:rFonts w:cs="Arial"/>
                <w:b/>
                <w:sz w:val="20"/>
                <w:szCs w:val="20"/>
                <w:u w:val="none"/>
              </w:rPr>
              <w:t>3</w:t>
            </w:r>
          </w:p>
        </w:tc>
        <w:tc>
          <w:tcPr>
            <w:tcW w:w="1294" w:type="dxa"/>
            <w:shd w:val="clear" w:color="auto" w:fill="B4C6E7" w:themeFill="accent1" w:themeFillTint="66"/>
          </w:tcPr>
          <w:p w14:paraId="3AB8CF23" w14:textId="34D7CD8E" w:rsidR="00CA47DA" w:rsidRPr="007945BA" w:rsidRDefault="00CB5D2B">
            <w:pPr>
              <w:pStyle w:val="BodyTextIndent3"/>
              <w:keepNext/>
              <w:spacing w:before="60" w:after="60"/>
              <w:ind w:left="0"/>
              <w:jc w:val="center"/>
              <w:rPr>
                <w:rFonts w:cs="Arial"/>
                <w:b/>
                <w:sz w:val="20"/>
                <w:szCs w:val="20"/>
                <w:u w:val="none"/>
              </w:rPr>
            </w:pPr>
            <w:r w:rsidRPr="007945BA">
              <w:rPr>
                <w:rFonts w:cs="Arial"/>
                <w:b/>
                <w:sz w:val="20"/>
                <w:szCs w:val="20"/>
                <w:u w:val="none"/>
              </w:rPr>
              <w:t xml:space="preserve">31 </w:t>
            </w:r>
            <w:r w:rsidR="00CA47DA" w:rsidRPr="007945BA">
              <w:rPr>
                <w:rFonts w:cs="Arial"/>
                <w:b/>
                <w:sz w:val="20"/>
                <w:szCs w:val="20"/>
                <w:u w:val="none"/>
              </w:rPr>
              <w:t>Jan 202</w:t>
            </w:r>
            <w:r w:rsidRPr="007945BA">
              <w:rPr>
                <w:rFonts w:cs="Arial"/>
                <w:b/>
                <w:sz w:val="20"/>
                <w:szCs w:val="20"/>
                <w:u w:val="none"/>
              </w:rPr>
              <w:t>4</w:t>
            </w:r>
          </w:p>
        </w:tc>
      </w:tr>
      <w:tr w:rsidR="00EB2D7C" w:rsidRPr="007945BA" w14:paraId="21E73C25" w14:textId="77777777" w:rsidTr="00EB2D7C">
        <w:tc>
          <w:tcPr>
            <w:tcW w:w="1985" w:type="dxa"/>
            <w:shd w:val="clear" w:color="auto" w:fill="auto"/>
          </w:tcPr>
          <w:p w14:paraId="4CE62813" w14:textId="64397F84" w:rsidR="00EB2D7C" w:rsidRPr="007945BA" w:rsidRDefault="00EB2D7C">
            <w:pPr>
              <w:pStyle w:val="BodyTextIndent3"/>
              <w:keepNext/>
              <w:spacing w:before="60" w:after="60"/>
              <w:ind w:left="0"/>
              <w:jc w:val="center"/>
              <w:rPr>
                <w:rFonts w:cs="Arial"/>
                <w:b/>
                <w:sz w:val="20"/>
                <w:szCs w:val="20"/>
                <w:u w:val="none"/>
              </w:rPr>
            </w:pPr>
            <w:r w:rsidRPr="007945BA">
              <w:rPr>
                <w:rFonts w:cs="Arial"/>
                <w:bCs/>
                <w:sz w:val="20"/>
                <w:szCs w:val="20"/>
                <w:u w:val="none"/>
              </w:rPr>
              <w:t>Alina Lourie</w:t>
            </w:r>
          </w:p>
        </w:tc>
        <w:tc>
          <w:tcPr>
            <w:tcW w:w="1293" w:type="dxa"/>
            <w:shd w:val="clear" w:color="auto" w:fill="auto"/>
          </w:tcPr>
          <w:p w14:paraId="349C368C" w14:textId="2E5B65BB" w:rsidR="00EB2D7C" w:rsidRPr="007945BA" w:rsidRDefault="00FF2997">
            <w:pPr>
              <w:pStyle w:val="BodyTextIndent3"/>
              <w:keepNext/>
              <w:spacing w:before="60" w:after="60"/>
              <w:ind w:left="0"/>
              <w:jc w:val="center"/>
              <w:rPr>
                <w:rFonts w:cs="Arial"/>
                <w:bCs/>
                <w:sz w:val="20"/>
                <w:szCs w:val="20"/>
                <w:u w:val="none"/>
              </w:rPr>
            </w:pPr>
            <w:r w:rsidRPr="007945BA">
              <w:rPr>
                <w:rFonts w:cs="Arial"/>
                <w:bCs/>
                <w:sz w:val="20"/>
                <w:szCs w:val="20"/>
                <w:u w:val="none"/>
              </w:rPr>
              <w:t>P</w:t>
            </w:r>
          </w:p>
        </w:tc>
        <w:tc>
          <w:tcPr>
            <w:tcW w:w="1294" w:type="dxa"/>
            <w:shd w:val="clear" w:color="auto" w:fill="auto"/>
          </w:tcPr>
          <w:p w14:paraId="67E563EF" w14:textId="758D1DED" w:rsidR="00EB2D7C" w:rsidRPr="007945BA" w:rsidRDefault="00E2178F">
            <w:pPr>
              <w:pStyle w:val="BodyTextIndent3"/>
              <w:keepNext/>
              <w:spacing w:before="60" w:after="60"/>
              <w:ind w:left="0"/>
              <w:jc w:val="center"/>
              <w:rPr>
                <w:rFonts w:cs="Arial"/>
                <w:bCs/>
                <w:sz w:val="20"/>
                <w:szCs w:val="20"/>
                <w:u w:val="none"/>
              </w:rPr>
            </w:pPr>
            <w:r w:rsidRPr="007945BA">
              <w:rPr>
                <w:rFonts w:cs="Arial"/>
                <w:bCs/>
                <w:sz w:val="20"/>
                <w:szCs w:val="20"/>
                <w:u w:val="none"/>
              </w:rPr>
              <w:t>P</w:t>
            </w:r>
          </w:p>
        </w:tc>
        <w:tc>
          <w:tcPr>
            <w:tcW w:w="1294" w:type="dxa"/>
            <w:shd w:val="clear" w:color="auto" w:fill="auto"/>
          </w:tcPr>
          <w:p w14:paraId="6637C82D" w14:textId="1A063B2D" w:rsidR="00EB2D7C" w:rsidRPr="007945BA" w:rsidRDefault="00A13E28" w:rsidP="002271CD">
            <w:pPr>
              <w:pStyle w:val="BodyTextIndent3"/>
              <w:keepNext/>
              <w:spacing w:before="60"/>
              <w:ind w:left="0"/>
              <w:jc w:val="center"/>
              <w:rPr>
                <w:rFonts w:cs="Arial"/>
                <w:bCs/>
                <w:sz w:val="20"/>
                <w:szCs w:val="20"/>
                <w:u w:val="none"/>
              </w:rPr>
            </w:pPr>
            <w:r w:rsidRPr="007945BA">
              <w:rPr>
                <w:rFonts w:cs="Arial"/>
                <w:bCs/>
                <w:sz w:val="20"/>
                <w:szCs w:val="20"/>
                <w:u w:val="none"/>
              </w:rPr>
              <w:t>P</w:t>
            </w:r>
          </w:p>
        </w:tc>
        <w:tc>
          <w:tcPr>
            <w:tcW w:w="1294" w:type="dxa"/>
            <w:shd w:val="clear" w:color="auto" w:fill="auto"/>
          </w:tcPr>
          <w:p w14:paraId="050745F6" w14:textId="49CEEFAD" w:rsidR="00EB2D7C" w:rsidRPr="007945BA" w:rsidRDefault="009B28FD">
            <w:pPr>
              <w:pStyle w:val="BodyTextIndent3"/>
              <w:keepNext/>
              <w:spacing w:before="60" w:after="60"/>
              <w:ind w:left="0"/>
              <w:jc w:val="center"/>
              <w:rPr>
                <w:rFonts w:cs="Arial"/>
                <w:bCs/>
                <w:sz w:val="20"/>
                <w:szCs w:val="20"/>
                <w:u w:val="none"/>
              </w:rPr>
            </w:pPr>
            <w:r w:rsidRPr="007945BA">
              <w:rPr>
                <w:rFonts w:cs="Arial"/>
                <w:bCs/>
                <w:sz w:val="20"/>
                <w:szCs w:val="20"/>
                <w:u w:val="none"/>
              </w:rPr>
              <w:t>P</w:t>
            </w:r>
          </w:p>
        </w:tc>
        <w:tc>
          <w:tcPr>
            <w:tcW w:w="1294" w:type="dxa"/>
            <w:shd w:val="clear" w:color="auto" w:fill="auto"/>
          </w:tcPr>
          <w:p w14:paraId="03139928" w14:textId="3ECEB546" w:rsidR="00EB2D7C" w:rsidRPr="007945BA" w:rsidRDefault="00485CF7">
            <w:pPr>
              <w:pStyle w:val="BodyTextIndent3"/>
              <w:keepNext/>
              <w:spacing w:before="60" w:after="60"/>
              <w:ind w:left="0"/>
              <w:jc w:val="center"/>
              <w:rPr>
                <w:rFonts w:cs="Arial"/>
                <w:bCs/>
                <w:sz w:val="20"/>
                <w:szCs w:val="20"/>
                <w:u w:val="none"/>
              </w:rPr>
            </w:pPr>
            <w:r w:rsidRPr="007945BA">
              <w:rPr>
                <w:rFonts w:cs="Arial"/>
                <w:bCs/>
                <w:sz w:val="20"/>
                <w:szCs w:val="20"/>
                <w:u w:val="none"/>
              </w:rPr>
              <w:t>P</w:t>
            </w:r>
          </w:p>
        </w:tc>
      </w:tr>
      <w:tr w:rsidR="000633D2" w:rsidRPr="007945BA" w14:paraId="2FE4E97D" w14:textId="77777777">
        <w:tc>
          <w:tcPr>
            <w:tcW w:w="1985" w:type="dxa"/>
          </w:tcPr>
          <w:p w14:paraId="1E6E8A09" w14:textId="34679BDF" w:rsidR="000633D2" w:rsidRPr="007945BA" w:rsidRDefault="000633D2" w:rsidP="000633D2">
            <w:pPr>
              <w:pStyle w:val="BodyTextIndent3"/>
              <w:keepNext/>
              <w:spacing w:before="60" w:after="60"/>
              <w:ind w:left="0"/>
              <w:jc w:val="center"/>
              <w:rPr>
                <w:rFonts w:cs="Arial"/>
                <w:bCs/>
                <w:sz w:val="20"/>
                <w:szCs w:val="20"/>
                <w:u w:val="none"/>
              </w:rPr>
            </w:pPr>
            <w:r w:rsidRPr="007945BA">
              <w:rPr>
                <w:rFonts w:cs="Arial"/>
                <w:bCs/>
                <w:sz w:val="20"/>
                <w:szCs w:val="20"/>
                <w:u w:val="none"/>
              </w:rPr>
              <w:t>Michael Borowitz</w:t>
            </w:r>
          </w:p>
        </w:tc>
        <w:tc>
          <w:tcPr>
            <w:tcW w:w="1293" w:type="dxa"/>
          </w:tcPr>
          <w:p w14:paraId="11B23558" w14:textId="035A9340" w:rsidR="000633D2" w:rsidRPr="007945BA" w:rsidRDefault="00FF2997" w:rsidP="000633D2">
            <w:pPr>
              <w:pStyle w:val="BodyTextIndent3"/>
              <w:keepNext/>
              <w:spacing w:before="60" w:after="60"/>
              <w:ind w:left="0"/>
              <w:jc w:val="center"/>
              <w:rPr>
                <w:rFonts w:cs="Arial"/>
                <w:bCs/>
                <w:sz w:val="20"/>
                <w:szCs w:val="20"/>
                <w:u w:val="none"/>
              </w:rPr>
            </w:pPr>
            <w:r w:rsidRPr="007945BA">
              <w:rPr>
                <w:rFonts w:cs="Arial"/>
                <w:bCs/>
                <w:sz w:val="20"/>
                <w:szCs w:val="20"/>
                <w:u w:val="none"/>
              </w:rPr>
              <w:t>P</w:t>
            </w:r>
          </w:p>
        </w:tc>
        <w:tc>
          <w:tcPr>
            <w:tcW w:w="1294" w:type="dxa"/>
          </w:tcPr>
          <w:p w14:paraId="7CB51BAD" w14:textId="41C20522" w:rsidR="000633D2" w:rsidRPr="007945BA" w:rsidRDefault="00E2178F" w:rsidP="000633D2">
            <w:pPr>
              <w:pStyle w:val="BodyTextIndent3"/>
              <w:keepNext/>
              <w:spacing w:before="60" w:after="60"/>
              <w:ind w:left="0"/>
              <w:jc w:val="center"/>
              <w:rPr>
                <w:rFonts w:cs="Arial"/>
                <w:bCs/>
                <w:sz w:val="20"/>
                <w:szCs w:val="20"/>
                <w:u w:val="none"/>
              </w:rPr>
            </w:pPr>
            <w:r w:rsidRPr="007945BA">
              <w:rPr>
                <w:rFonts w:cs="Arial"/>
                <w:bCs/>
                <w:sz w:val="20"/>
                <w:szCs w:val="20"/>
                <w:u w:val="none"/>
              </w:rPr>
              <w:t>P</w:t>
            </w:r>
          </w:p>
        </w:tc>
        <w:tc>
          <w:tcPr>
            <w:tcW w:w="1294" w:type="dxa"/>
          </w:tcPr>
          <w:p w14:paraId="4AF3AA37" w14:textId="7C18EAA3" w:rsidR="000633D2" w:rsidRPr="007945BA" w:rsidRDefault="00A13E28" w:rsidP="000633D2">
            <w:pPr>
              <w:pStyle w:val="BodyTextIndent3"/>
              <w:keepNext/>
              <w:spacing w:before="60" w:after="60"/>
              <w:ind w:left="0"/>
              <w:jc w:val="center"/>
              <w:rPr>
                <w:rFonts w:cs="Arial"/>
                <w:bCs/>
                <w:sz w:val="20"/>
                <w:szCs w:val="20"/>
                <w:u w:val="none"/>
              </w:rPr>
            </w:pPr>
            <w:r w:rsidRPr="007945BA">
              <w:rPr>
                <w:rFonts w:cs="Arial"/>
                <w:bCs/>
                <w:sz w:val="20"/>
                <w:szCs w:val="20"/>
                <w:u w:val="none"/>
              </w:rPr>
              <w:t>P</w:t>
            </w:r>
          </w:p>
        </w:tc>
        <w:tc>
          <w:tcPr>
            <w:tcW w:w="1294" w:type="dxa"/>
          </w:tcPr>
          <w:p w14:paraId="00D5EF41" w14:textId="2DD65533" w:rsidR="000633D2" w:rsidRPr="007945BA" w:rsidRDefault="009B28FD" w:rsidP="000633D2">
            <w:pPr>
              <w:pStyle w:val="BodyTextIndent3"/>
              <w:keepNext/>
              <w:spacing w:before="60" w:after="60"/>
              <w:ind w:left="0"/>
              <w:jc w:val="center"/>
              <w:rPr>
                <w:rFonts w:cs="Arial"/>
                <w:bCs/>
                <w:sz w:val="20"/>
                <w:szCs w:val="20"/>
                <w:u w:val="none"/>
              </w:rPr>
            </w:pPr>
            <w:r w:rsidRPr="007945BA">
              <w:rPr>
                <w:rFonts w:cs="Arial"/>
                <w:bCs/>
                <w:sz w:val="20"/>
                <w:szCs w:val="20"/>
                <w:u w:val="none"/>
              </w:rPr>
              <w:t>A</w:t>
            </w:r>
          </w:p>
        </w:tc>
        <w:tc>
          <w:tcPr>
            <w:tcW w:w="1294" w:type="dxa"/>
          </w:tcPr>
          <w:p w14:paraId="2A4839FA" w14:textId="1B0D15CC" w:rsidR="000633D2" w:rsidRPr="007945BA" w:rsidRDefault="00485CF7" w:rsidP="000633D2">
            <w:pPr>
              <w:pStyle w:val="BodyTextIndent3"/>
              <w:keepNext/>
              <w:spacing w:before="60" w:after="60"/>
              <w:ind w:left="0"/>
              <w:jc w:val="center"/>
              <w:rPr>
                <w:rFonts w:cs="Arial"/>
                <w:bCs/>
                <w:sz w:val="20"/>
                <w:szCs w:val="20"/>
                <w:u w:val="none"/>
              </w:rPr>
            </w:pPr>
            <w:r w:rsidRPr="007945BA">
              <w:rPr>
                <w:rFonts w:cs="Arial"/>
                <w:bCs/>
                <w:sz w:val="20"/>
                <w:szCs w:val="20"/>
                <w:u w:val="none"/>
              </w:rPr>
              <w:t>P</w:t>
            </w:r>
          </w:p>
        </w:tc>
      </w:tr>
      <w:tr w:rsidR="0071178A" w:rsidRPr="007945BA" w14:paraId="427347BE" w14:textId="77777777">
        <w:tc>
          <w:tcPr>
            <w:tcW w:w="1985" w:type="dxa"/>
          </w:tcPr>
          <w:p w14:paraId="71337B82" w14:textId="4A53683E" w:rsidR="0071178A" w:rsidRPr="007945BA" w:rsidRDefault="0071178A" w:rsidP="0071178A">
            <w:pPr>
              <w:pStyle w:val="BodyTextIndent3"/>
              <w:keepNext/>
              <w:spacing w:before="60" w:after="60"/>
              <w:ind w:left="0"/>
              <w:jc w:val="center"/>
              <w:rPr>
                <w:rFonts w:cs="Arial"/>
                <w:bCs/>
                <w:sz w:val="20"/>
                <w:szCs w:val="20"/>
                <w:u w:val="none"/>
              </w:rPr>
            </w:pPr>
            <w:r w:rsidRPr="007945BA">
              <w:rPr>
                <w:rFonts w:cs="Arial"/>
                <w:bCs/>
                <w:sz w:val="20"/>
                <w:szCs w:val="20"/>
                <w:u w:val="none"/>
              </w:rPr>
              <w:t>Mark Chakravarty</w:t>
            </w:r>
          </w:p>
        </w:tc>
        <w:tc>
          <w:tcPr>
            <w:tcW w:w="1293" w:type="dxa"/>
          </w:tcPr>
          <w:p w14:paraId="5F162123" w14:textId="44CFA955" w:rsidR="0071178A" w:rsidRPr="007945BA" w:rsidRDefault="00FF2997" w:rsidP="0071178A">
            <w:pPr>
              <w:pStyle w:val="BodyTextIndent3"/>
              <w:keepNext/>
              <w:spacing w:before="60" w:after="60"/>
              <w:ind w:left="0"/>
              <w:jc w:val="center"/>
              <w:rPr>
                <w:rFonts w:cs="Arial"/>
                <w:bCs/>
                <w:sz w:val="20"/>
                <w:szCs w:val="20"/>
                <w:u w:val="none"/>
              </w:rPr>
            </w:pPr>
            <w:r w:rsidRPr="007945BA">
              <w:rPr>
                <w:rFonts w:cs="Arial"/>
                <w:bCs/>
                <w:sz w:val="20"/>
                <w:szCs w:val="20"/>
                <w:u w:val="none"/>
              </w:rPr>
              <w:t>P</w:t>
            </w:r>
          </w:p>
        </w:tc>
        <w:tc>
          <w:tcPr>
            <w:tcW w:w="1294" w:type="dxa"/>
          </w:tcPr>
          <w:p w14:paraId="6F021FBE" w14:textId="4B4BC2E4" w:rsidR="0071178A" w:rsidRPr="007945BA" w:rsidRDefault="00E2178F" w:rsidP="0071178A">
            <w:pPr>
              <w:pStyle w:val="BodyTextIndent3"/>
              <w:keepNext/>
              <w:spacing w:before="60" w:after="60"/>
              <w:ind w:left="0"/>
              <w:jc w:val="center"/>
              <w:rPr>
                <w:rFonts w:cs="Arial"/>
                <w:bCs/>
                <w:sz w:val="20"/>
                <w:szCs w:val="20"/>
                <w:u w:val="none"/>
              </w:rPr>
            </w:pPr>
            <w:r w:rsidRPr="007945BA">
              <w:rPr>
                <w:rFonts w:cs="Arial"/>
                <w:bCs/>
                <w:sz w:val="20"/>
                <w:szCs w:val="20"/>
                <w:u w:val="none"/>
              </w:rPr>
              <w:t>P</w:t>
            </w:r>
          </w:p>
        </w:tc>
        <w:tc>
          <w:tcPr>
            <w:tcW w:w="1294" w:type="dxa"/>
          </w:tcPr>
          <w:p w14:paraId="3F88A8AB" w14:textId="62EE5F61" w:rsidR="0071178A" w:rsidRPr="007945BA" w:rsidRDefault="00A13E28" w:rsidP="0071178A">
            <w:pPr>
              <w:pStyle w:val="BodyTextIndent3"/>
              <w:keepNext/>
              <w:spacing w:before="60" w:after="60"/>
              <w:ind w:left="0"/>
              <w:jc w:val="center"/>
              <w:rPr>
                <w:rFonts w:cs="Arial"/>
                <w:bCs/>
                <w:sz w:val="20"/>
                <w:szCs w:val="20"/>
                <w:u w:val="none"/>
              </w:rPr>
            </w:pPr>
            <w:r w:rsidRPr="007945BA">
              <w:rPr>
                <w:rFonts w:cs="Arial"/>
                <w:bCs/>
                <w:sz w:val="20"/>
                <w:szCs w:val="20"/>
                <w:u w:val="none"/>
              </w:rPr>
              <w:t>P</w:t>
            </w:r>
          </w:p>
        </w:tc>
        <w:tc>
          <w:tcPr>
            <w:tcW w:w="1294" w:type="dxa"/>
          </w:tcPr>
          <w:p w14:paraId="78BB90A5" w14:textId="22CDA8E6" w:rsidR="0071178A" w:rsidRPr="007945BA" w:rsidRDefault="009B28FD" w:rsidP="0071178A">
            <w:pPr>
              <w:pStyle w:val="BodyTextIndent3"/>
              <w:keepNext/>
              <w:spacing w:before="60" w:after="60"/>
              <w:ind w:left="0"/>
              <w:jc w:val="center"/>
              <w:rPr>
                <w:rFonts w:cs="Arial"/>
                <w:bCs/>
                <w:sz w:val="20"/>
                <w:szCs w:val="20"/>
                <w:u w:val="none"/>
              </w:rPr>
            </w:pPr>
            <w:r w:rsidRPr="007945BA">
              <w:rPr>
                <w:rFonts w:cs="Arial"/>
                <w:bCs/>
                <w:sz w:val="20"/>
                <w:szCs w:val="20"/>
                <w:u w:val="none"/>
              </w:rPr>
              <w:t>P</w:t>
            </w:r>
          </w:p>
        </w:tc>
        <w:tc>
          <w:tcPr>
            <w:tcW w:w="1294" w:type="dxa"/>
          </w:tcPr>
          <w:p w14:paraId="4EA8F2B1" w14:textId="600A0501" w:rsidR="0071178A" w:rsidRPr="007945BA" w:rsidRDefault="00485CF7" w:rsidP="0071178A">
            <w:pPr>
              <w:pStyle w:val="BodyTextIndent3"/>
              <w:keepNext/>
              <w:spacing w:before="60" w:after="60"/>
              <w:ind w:left="0"/>
              <w:jc w:val="center"/>
              <w:rPr>
                <w:rFonts w:cs="Arial"/>
                <w:bCs/>
                <w:sz w:val="20"/>
                <w:szCs w:val="20"/>
                <w:u w:val="none"/>
              </w:rPr>
            </w:pPr>
            <w:r w:rsidRPr="007945BA">
              <w:rPr>
                <w:rFonts w:cs="Arial"/>
                <w:bCs/>
                <w:sz w:val="20"/>
                <w:szCs w:val="20"/>
                <w:u w:val="none"/>
              </w:rPr>
              <w:t>P</w:t>
            </w:r>
          </w:p>
        </w:tc>
      </w:tr>
      <w:tr w:rsidR="0071178A" w:rsidRPr="007945BA" w14:paraId="6D950CF7" w14:textId="77777777">
        <w:tc>
          <w:tcPr>
            <w:tcW w:w="1985" w:type="dxa"/>
          </w:tcPr>
          <w:p w14:paraId="1EA8FBDC" w14:textId="77777777" w:rsidR="0071178A" w:rsidRPr="007945BA" w:rsidRDefault="0071178A" w:rsidP="0071178A">
            <w:pPr>
              <w:pStyle w:val="BodyTextIndent3"/>
              <w:keepNext/>
              <w:spacing w:before="60" w:after="60"/>
              <w:ind w:left="0"/>
              <w:jc w:val="center"/>
              <w:rPr>
                <w:rFonts w:cs="Arial"/>
                <w:bCs/>
                <w:sz w:val="20"/>
                <w:szCs w:val="20"/>
                <w:u w:val="none"/>
              </w:rPr>
            </w:pPr>
            <w:r w:rsidRPr="007945BA">
              <w:rPr>
                <w:rFonts w:cs="Arial"/>
                <w:bCs/>
                <w:sz w:val="20"/>
                <w:szCs w:val="20"/>
                <w:u w:val="none"/>
              </w:rPr>
              <w:t>Amanda Gibbon</w:t>
            </w:r>
          </w:p>
        </w:tc>
        <w:tc>
          <w:tcPr>
            <w:tcW w:w="1293" w:type="dxa"/>
          </w:tcPr>
          <w:p w14:paraId="53D2E796" w14:textId="6DA00CB9" w:rsidR="0071178A" w:rsidRPr="007945BA" w:rsidRDefault="00FF2997" w:rsidP="0071178A">
            <w:pPr>
              <w:pStyle w:val="BodyTextIndent3"/>
              <w:keepNext/>
              <w:spacing w:before="60" w:after="60"/>
              <w:ind w:left="0"/>
              <w:jc w:val="center"/>
              <w:rPr>
                <w:rFonts w:cs="Arial"/>
                <w:bCs/>
                <w:sz w:val="20"/>
                <w:szCs w:val="20"/>
                <w:u w:val="none"/>
              </w:rPr>
            </w:pPr>
            <w:r w:rsidRPr="007945BA">
              <w:rPr>
                <w:rFonts w:cs="Arial"/>
                <w:bCs/>
                <w:sz w:val="20"/>
                <w:szCs w:val="20"/>
                <w:u w:val="none"/>
              </w:rPr>
              <w:t>P</w:t>
            </w:r>
          </w:p>
        </w:tc>
        <w:tc>
          <w:tcPr>
            <w:tcW w:w="1294" w:type="dxa"/>
          </w:tcPr>
          <w:p w14:paraId="5D0B35F7" w14:textId="348080FE" w:rsidR="0071178A" w:rsidRPr="007945BA" w:rsidRDefault="00E2178F" w:rsidP="0071178A">
            <w:pPr>
              <w:pStyle w:val="BodyTextIndent3"/>
              <w:keepNext/>
              <w:spacing w:before="60" w:after="60"/>
              <w:ind w:left="0"/>
              <w:jc w:val="center"/>
              <w:rPr>
                <w:rFonts w:cs="Arial"/>
                <w:bCs/>
                <w:sz w:val="20"/>
                <w:szCs w:val="20"/>
                <w:u w:val="none"/>
              </w:rPr>
            </w:pPr>
            <w:r w:rsidRPr="007945BA">
              <w:rPr>
                <w:rFonts w:cs="Arial"/>
                <w:bCs/>
                <w:sz w:val="20"/>
                <w:szCs w:val="20"/>
                <w:u w:val="none"/>
              </w:rPr>
              <w:t>P</w:t>
            </w:r>
          </w:p>
        </w:tc>
        <w:tc>
          <w:tcPr>
            <w:tcW w:w="1294" w:type="dxa"/>
          </w:tcPr>
          <w:p w14:paraId="122221B8" w14:textId="6DCE094B" w:rsidR="0071178A" w:rsidRPr="007945BA" w:rsidRDefault="00A13E28" w:rsidP="0071178A">
            <w:pPr>
              <w:pStyle w:val="BodyTextIndent3"/>
              <w:keepNext/>
              <w:spacing w:before="60" w:after="60"/>
              <w:ind w:left="0"/>
              <w:jc w:val="center"/>
              <w:rPr>
                <w:rFonts w:cs="Arial"/>
                <w:bCs/>
                <w:sz w:val="20"/>
                <w:szCs w:val="20"/>
                <w:u w:val="none"/>
              </w:rPr>
            </w:pPr>
            <w:r w:rsidRPr="007945BA">
              <w:rPr>
                <w:rFonts w:cs="Arial"/>
                <w:bCs/>
                <w:sz w:val="20"/>
                <w:szCs w:val="20"/>
                <w:u w:val="none"/>
              </w:rPr>
              <w:t>P</w:t>
            </w:r>
          </w:p>
        </w:tc>
        <w:tc>
          <w:tcPr>
            <w:tcW w:w="1294" w:type="dxa"/>
          </w:tcPr>
          <w:p w14:paraId="42745348" w14:textId="46D54C5B" w:rsidR="0071178A" w:rsidRPr="007945BA" w:rsidRDefault="009B28FD" w:rsidP="0071178A">
            <w:pPr>
              <w:pStyle w:val="BodyTextIndent3"/>
              <w:keepNext/>
              <w:spacing w:before="60" w:after="60"/>
              <w:ind w:left="0"/>
              <w:jc w:val="center"/>
              <w:rPr>
                <w:rFonts w:cs="Arial"/>
                <w:bCs/>
                <w:sz w:val="20"/>
                <w:szCs w:val="20"/>
                <w:u w:val="none"/>
              </w:rPr>
            </w:pPr>
            <w:r w:rsidRPr="007945BA">
              <w:rPr>
                <w:rFonts w:cs="Arial"/>
                <w:bCs/>
                <w:sz w:val="20"/>
                <w:szCs w:val="20"/>
                <w:u w:val="none"/>
              </w:rPr>
              <w:t>P</w:t>
            </w:r>
          </w:p>
        </w:tc>
        <w:tc>
          <w:tcPr>
            <w:tcW w:w="1294" w:type="dxa"/>
          </w:tcPr>
          <w:p w14:paraId="03ABB6EB" w14:textId="7B6EE5A8" w:rsidR="0071178A" w:rsidRPr="007945BA" w:rsidRDefault="00485CF7" w:rsidP="0071178A">
            <w:pPr>
              <w:pStyle w:val="BodyTextIndent3"/>
              <w:keepNext/>
              <w:spacing w:before="60" w:after="60"/>
              <w:ind w:left="0"/>
              <w:jc w:val="center"/>
              <w:rPr>
                <w:rFonts w:cs="Arial"/>
                <w:bCs/>
                <w:sz w:val="20"/>
                <w:szCs w:val="20"/>
                <w:u w:val="none"/>
              </w:rPr>
            </w:pPr>
            <w:r w:rsidRPr="007945BA">
              <w:rPr>
                <w:rFonts w:cs="Arial"/>
                <w:bCs/>
                <w:sz w:val="20"/>
                <w:szCs w:val="20"/>
                <w:u w:val="none"/>
              </w:rPr>
              <w:t>P</w:t>
            </w:r>
          </w:p>
        </w:tc>
      </w:tr>
      <w:tr w:rsidR="0071178A" w:rsidRPr="007945BA" w14:paraId="3C15E2FF" w14:textId="77777777">
        <w:tc>
          <w:tcPr>
            <w:tcW w:w="1985" w:type="dxa"/>
          </w:tcPr>
          <w:p w14:paraId="06C0ABD4" w14:textId="77777777" w:rsidR="0071178A" w:rsidRPr="007945BA" w:rsidRDefault="0071178A" w:rsidP="0071178A">
            <w:pPr>
              <w:pStyle w:val="BodyTextIndent3"/>
              <w:keepNext/>
              <w:spacing w:before="60" w:after="60"/>
              <w:ind w:left="0"/>
              <w:jc w:val="center"/>
              <w:rPr>
                <w:rFonts w:cs="Arial"/>
                <w:bCs/>
                <w:sz w:val="20"/>
                <w:szCs w:val="20"/>
                <w:u w:val="none"/>
              </w:rPr>
            </w:pPr>
            <w:r w:rsidRPr="007945BA">
              <w:rPr>
                <w:rFonts w:cs="Arial"/>
                <w:bCs/>
                <w:sz w:val="20"/>
                <w:szCs w:val="20"/>
                <w:u w:val="none"/>
              </w:rPr>
              <w:t>Justin Whatling</w:t>
            </w:r>
          </w:p>
        </w:tc>
        <w:tc>
          <w:tcPr>
            <w:tcW w:w="1293" w:type="dxa"/>
          </w:tcPr>
          <w:p w14:paraId="288C8CEE" w14:textId="477340B4" w:rsidR="0071178A" w:rsidRPr="007945BA" w:rsidRDefault="00FF2997" w:rsidP="0071178A">
            <w:pPr>
              <w:pStyle w:val="BodyTextIndent3"/>
              <w:keepNext/>
              <w:spacing w:before="60" w:after="60"/>
              <w:ind w:left="0"/>
              <w:jc w:val="center"/>
              <w:rPr>
                <w:rFonts w:cs="Arial"/>
                <w:bCs/>
                <w:sz w:val="20"/>
                <w:szCs w:val="20"/>
                <w:u w:val="none"/>
              </w:rPr>
            </w:pPr>
            <w:r w:rsidRPr="007945BA">
              <w:rPr>
                <w:rFonts w:cs="Arial"/>
                <w:bCs/>
                <w:sz w:val="20"/>
                <w:szCs w:val="20"/>
                <w:u w:val="none"/>
              </w:rPr>
              <w:t>A</w:t>
            </w:r>
            <w:r w:rsidR="006E1181" w:rsidRPr="007945BA">
              <w:rPr>
                <w:rFonts w:cs="Arial"/>
                <w:bCs/>
                <w:sz w:val="20"/>
                <w:szCs w:val="20"/>
                <w:u w:val="none"/>
              </w:rPr>
              <w:t>*</w:t>
            </w:r>
          </w:p>
        </w:tc>
        <w:tc>
          <w:tcPr>
            <w:tcW w:w="1294" w:type="dxa"/>
          </w:tcPr>
          <w:p w14:paraId="330740AE" w14:textId="40E153C9" w:rsidR="0071178A" w:rsidRPr="007945BA" w:rsidRDefault="00E2178F" w:rsidP="0071178A">
            <w:pPr>
              <w:pStyle w:val="BodyTextIndent3"/>
              <w:keepNext/>
              <w:spacing w:before="60" w:after="60"/>
              <w:ind w:left="0"/>
              <w:jc w:val="center"/>
              <w:rPr>
                <w:rFonts w:cs="Arial"/>
                <w:bCs/>
                <w:sz w:val="20"/>
                <w:szCs w:val="20"/>
                <w:u w:val="none"/>
              </w:rPr>
            </w:pPr>
            <w:r w:rsidRPr="007945BA">
              <w:rPr>
                <w:rFonts w:cs="Arial"/>
                <w:bCs/>
                <w:sz w:val="20"/>
                <w:szCs w:val="20"/>
                <w:u w:val="none"/>
              </w:rPr>
              <w:t>P</w:t>
            </w:r>
          </w:p>
        </w:tc>
        <w:tc>
          <w:tcPr>
            <w:tcW w:w="1294" w:type="dxa"/>
          </w:tcPr>
          <w:p w14:paraId="38493239" w14:textId="14476228" w:rsidR="0071178A" w:rsidRPr="007945BA" w:rsidRDefault="00A13E28" w:rsidP="0071178A">
            <w:pPr>
              <w:pStyle w:val="BodyTextIndent3"/>
              <w:keepNext/>
              <w:spacing w:before="60" w:after="60"/>
              <w:ind w:left="0"/>
              <w:jc w:val="center"/>
              <w:rPr>
                <w:rFonts w:cs="Arial"/>
                <w:bCs/>
                <w:sz w:val="20"/>
                <w:szCs w:val="20"/>
                <w:u w:val="none"/>
              </w:rPr>
            </w:pPr>
            <w:r w:rsidRPr="007945BA">
              <w:rPr>
                <w:rFonts w:cs="Arial"/>
                <w:bCs/>
                <w:sz w:val="20"/>
                <w:szCs w:val="20"/>
                <w:u w:val="none"/>
              </w:rPr>
              <w:t>P</w:t>
            </w:r>
          </w:p>
        </w:tc>
        <w:tc>
          <w:tcPr>
            <w:tcW w:w="1294" w:type="dxa"/>
          </w:tcPr>
          <w:p w14:paraId="6B187478" w14:textId="7FDF1FDD" w:rsidR="0071178A" w:rsidRPr="007945BA" w:rsidRDefault="009B28FD" w:rsidP="0071178A">
            <w:pPr>
              <w:pStyle w:val="BodyTextIndent3"/>
              <w:keepNext/>
              <w:spacing w:before="60" w:after="60"/>
              <w:ind w:left="0"/>
              <w:jc w:val="center"/>
              <w:rPr>
                <w:rFonts w:cs="Arial"/>
                <w:bCs/>
                <w:sz w:val="20"/>
                <w:szCs w:val="20"/>
                <w:u w:val="none"/>
              </w:rPr>
            </w:pPr>
            <w:r w:rsidRPr="007945BA">
              <w:rPr>
                <w:rFonts w:cs="Arial"/>
                <w:bCs/>
                <w:sz w:val="20"/>
                <w:szCs w:val="20"/>
                <w:u w:val="none"/>
              </w:rPr>
              <w:t>A</w:t>
            </w:r>
          </w:p>
        </w:tc>
        <w:tc>
          <w:tcPr>
            <w:tcW w:w="1294" w:type="dxa"/>
          </w:tcPr>
          <w:p w14:paraId="24390F8A" w14:textId="686D4641" w:rsidR="0071178A" w:rsidRPr="007945BA" w:rsidRDefault="00485CF7" w:rsidP="0071178A">
            <w:pPr>
              <w:pStyle w:val="BodyTextIndent3"/>
              <w:keepNext/>
              <w:spacing w:before="60" w:after="60"/>
              <w:ind w:left="0"/>
              <w:jc w:val="center"/>
              <w:rPr>
                <w:rFonts w:cs="Arial"/>
                <w:bCs/>
                <w:sz w:val="20"/>
                <w:szCs w:val="20"/>
                <w:u w:val="none"/>
              </w:rPr>
            </w:pPr>
            <w:r w:rsidRPr="007945BA">
              <w:rPr>
                <w:rFonts w:cs="Arial"/>
                <w:bCs/>
                <w:sz w:val="20"/>
                <w:szCs w:val="20"/>
                <w:u w:val="none"/>
              </w:rPr>
              <w:t>P</w:t>
            </w:r>
          </w:p>
        </w:tc>
      </w:tr>
    </w:tbl>
    <w:p w14:paraId="19DEEBBB" w14:textId="77777777" w:rsidR="00CA47DA" w:rsidRPr="007945BA" w:rsidRDefault="00CA47DA" w:rsidP="00CA47DA">
      <w:pPr>
        <w:pStyle w:val="BodyTextIndent3"/>
        <w:keepNext/>
        <w:spacing w:after="120"/>
        <w:ind w:left="0"/>
        <w:rPr>
          <w:rFonts w:cs="Arial"/>
          <w:b/>
          <w:u w:val="none"/>
        </w:rPr>
      </w:pPr>
    </w:p>
    <w:p w14:paraId="18062081" w14:textId="6812B545" w:rsidR="00CA47DA" w:rsidRPr="007945BA" w:rsidRDefault="00CA47DA" w:rsidP="00C47472">
      <w:pPr>
        <w:pStyle w:val="BodyTextIndent3"/>
        <w:spacing w:after="120"/>
        <w:rPr>
          <w:rFonts w:cs="Arial"/>
          <w:sz w:val="20"/>
          <w:szCs w:val="20"/>
          <w:u w:val="none"/>
        </w:rPr>
      </w:pPr>
      <w:r w:rsidRPr="007945BA">
        <w:rPr>
          <w:rFonts w:cs="Arial"/>
          <w:b/>
          <w:sz w:val="20"/>
          <w:szCs w:val="20"/>
          <w:u w:val="none"/>
        </w:rPr>
        <w:t>Key:</w:t>
      </w:r>
      <w:r w:rsidRPr="007945BA">
        <w:rPr>
          <w:rFonts w:cs="Arial"/>
          <w:sz w:val="20"/>
          <w:szCs w:val="20"/>
          <w:u w:val="none"/>
        </w:rPr>
        <w:t xml:space="preserve">  P= Present for meeting   A= Absent from meeting</w:t>
      </w:r>
      <w:r w:rsidR="006E1181" w:rsidRPr="007945BA">
        <w:rPr>
          <w:rFonts w:cs="Arial"/>
          <w:sz w:val="20"/>
          <w:szCs w:val="20"/>
          <w:u w:val="none"/>
        </w:rPr>
        <w:t xml:space="preserve">   A* = </w:t>
      </w:r>
      <w:r w:rsidR="007C0985">
        <w:rPr>
          <w:rFonts w:cs="Arial"/>
          <w:sz w:val="20"/>
          <w:szCs w:val="20"/>
          <w:u w:val="none"/>
        </w:rPr>
        <w:t xml:space="preserve">Absent due to attending </w:t>
      </w:r>
      <w:r w:rsidR="006E1181" w:rsidRPr="007945BA">
        <w:rPr>
          <w:rFonts w:cs="Arial"/>
          <w:sz w:val="20"/>
          <w:szCs w:val="20"/>
          <w:u w:val="none"/>
        </w:rPr>
        <w:t>a NICE Appeal hea</w:t>
      </w:r>
      <w:r w:rsidR="00C27BE1" w:rsidRPr="007945BA">
        <w:rPr>
          <w:rFonts w:cs="Arial"/>
          <w:sz w:val="20"/>
          <w:szCs w:val="20"/>
          <w:u w:val="none"/>
        </w:rPr>
        <w:t>r</w:t>
      </w:r>
      <w:r w:rsidR="006E1181" w:rsidRPr="007945BA">
        <w:rPr>
          <w:rFonts w:cs="Arial"/>
          <w:sz w:val="20"/>
          <w:szCs w:val="20"/>
          <w:u w:val="none"/>
        </w:rPr>
        <w:t>ing</w:t>
      </w:r>
    </w:p>
    <w:p w14:paraId="3E19B7DA" w14:textId="77777777" w:rsidR="00CA47DA" w:rsidRPr="007945BA" w:rsidRDefault="00CA47DA" w:rsidP="00CA47DA">
      <w:pPr>
        <w:pStyle w:val="BodyTextIndent3"/>
        <w:spacing w:after="120"/>
        <w:ind w:firstLine="153"/>
        <w:rPr>
          <w:rFonts w:cs="Arial"/>
          <w:u w:val="none"/>
        </w:rPr>
      </w:pPr>
    </w:p>
    <w:p w14:paraId="7BAEE881" w14:textId="77777777" w:rsidR="00CA47DA" w:rsidRPr="007945BA" w:rsidRDefault="00CA47DA" w:rsidP="00CA47DA">
      <w:pPr>
        <w:pStyle w:val="BodyTextIndent3"/>
        <w:numPr>
          <w:ilvl w:val="0"/>
          <w:numId w:val="31"/>
        </w:numPr>
        <w:spacing w:after="120"/>
        <w:ind w:left="567" w:hanging="567"/>
        <w:rPr>
          <w:rFonts w:cs="Arial"/>
          <w:u w:val="none"/>
        </w:rPr>
      </w:pPr>
      <w:r w:rsidRPr="007945BA">
        <w:rPr>
          <w:rFonts w:cs="Arial"/>
          <w:u w:val="none"/>
        </w:rPr>
        <w:t>The quorum for meetings of the committee is two, as the table above shows all meetings of the committee during the period were quorate.</w:t>
      </w:r>
    </w:p>
    <w:p w14:paraId="001A938E" w14:textId="77777777" w:rsidR="00CA47DA" w:rsidRPr="007945BA" w:rsidRDefault="00CA47DA" w:rsidP="00CA47DA">
      <w:pPr>
        <w:rPr>
          <w:rFonts w:ascii="Arial" w:hAnsi="Arial" w:cs="Arial"/>
          <w:b/>
        </w:rPr>
      </w:pPr>
    </w:p>
    <w:p w14:paraId="3F8ED98C" w14:textId="5038004D" w:rsidR="00CA47DA" w:rsidRPr="007945BA" w:rsidRDefault="00CA47DA" w:rsidP="00CA47DA">
      <w:pPr>
        <w:spacing w:after="120"/>
        <w:ind w:firstLine="567"/>
        <w:jc w:val="both"/>
        <w:rPr>
          <w:rFonts w:ascii="Arial" w:hAnsi="Arial" w:cs="Arial"/>
          <w:b/>
        </w:rPr>
      </w:pPr>
      <w:r w:rsidRPr="007945BA">
        <w:rPr>
          <w:rFonts w:ascii="Arial" w:hAnsi="Arial" w:cs="Arial"/>
          <w:b/>
        </w:rPr>
        <w:t>Table 4 - Explanation of internal audit assurance levels</w:t>
      </w:r>
    </w:p>
    <w:tbl>
      <w:tblPr>
        <w:tblStyle w:val="TableGrid"/>
        <w:tblW w:w="0" w:type="auto"/>
        <w:tblInd w:w="562" w:type="dxa"/>
        <w:tblLook w:val="04A0" w:firstRow="1" w:lastRow="0" w:firstColumn="1" w:lastColumn="0" w:noHBand="0" w:noVBand="1"/>
      </w:tblPr>
      <w:tblGrid>
        <w:gridCol w:w="1606"/>
        <w:gridCol w:w="6848"/>
      </w:tblGrid>
      <w:tr w:rsidR="005508ED" w:rsidRPr="007945BA" w14:paraId="0964EEC2" w14:textId="77777777" w:rsidTr="00D20E77">
        <w:tc>
          <w:tcPr>
            <w:tcW w:w="1606" w:type="dxa"/>
            <w:shd w:val="clear" w:color="auto" w:fill="92D050"/>
          </w:tcPr>
          <w:p w14:paraId="176EFBA1" w14:textId="4D485901" w:rsidR="005508ED" w:rsidRPr="007945BA" w:rsidRDefault="005508ED" w:rsidP="00D20E77">
            <w:pPr>
              <w:spacing w:before="120" w:after="120"/>
              <w:jc w:val="both"/>
              <w:rPr>
                <w:rFonts w:ascii="Arial" w:hAnsi="Arial" w:cs="Arial"/>
                <w:b/>
                <w:sz w:val="20"/>
                <w:szCs w:val="20"/>
              </w:rPr>
            </w:pPr>
            <w:r w:rsidRPr="007945BA">
              <w:rPr>
                <w:rFonts w:ascii="Arial" w:hAnsi="Arial" w:cs="Arial"/>
                <w:b/>
                <w:sz w:val="20"/>
                <w:szCs w:val="20"/>
              </w:rPr>
              <w:t>Substantial</w:t>
            </w:r>
          </w:p>
        </w:tc>
        <w:tc>
          <w:tcPr>
            <w:tcW w:w="6848" w:type="dxa"/>
          </w:tcPr>
          <w:p w14:paraId="17B80357" w14:textId="7FF1C996" w:rsidR="005508ED" w:rsidRPr="007945BA" w:rsidRDefault="005508ED" w:rsidP="00D20E77">
            <w:pPr>
              <w:spacing w:before="120" w:after="120"/>
              <w:jc w:val="both"/>
              <w:rPr>
                <w:rFonts w:ascii="Arial" w:hAnsi="Arial" w:cs="Arial"/>
                <w:b/>
                <w:sz w:val="20"/>
                <w:szCs w:val="20"/>
                <w:u w:val="single"/>
              </w:rPr>
            </w:pPr>
            <w:r w:rsidRPr="007945BA">
              <w:rPr>
                <w:rFonts w:ascii="Arial" w:hAnsi="Arial" w:cs="Arial"/>
                <w:color w:val="000000"/>
                <w:sz w:val="20"/>
                <w:szCs w:val="20"/>
              </w:rPr>
              <w:t xml:space="preserve">The framework of governance, risk management and control </w:t>
            </w:r>
            <w:proofErr w:type="gramStart"/>
            <w:r w:rsidRPr="007945BA">
              <w:rPr>
                <w:rFonts w:ascii="Arial" w:hAnsi="Arial" w:cs="Arial"/>
                <w:color w:val="000000"/>
                <w:sz w:val="20"/>
                <w:szCs w:val="20"/>
              </w:rPr>
              <w:t>is</w:t>
            </w:r>
            <w:proofErr w:type="gramEnd"/>
            <w:r w:rsidRPr="007945BA">
              <w:rPr>
                <w:rFonts w:ascii="Arial" w:hAnsi="Arial" w:cs="Arial"/>
                <w:color w:val="000000"/>
                <w:sz w:val="20"/>
                <w:szCs w:val="20"/>
              </w:rPr>
              <w:t xml:space="preserve"> adequate and effective.</w:t>
            </w:r>
          </w:p>
        </w:tc>
      </w:tr>
      <w:tr w:rsidR="005508ED" w:rsidRPr="007945BA" w14:paraId="2A445033" w14:textId="77777777" w:rsidTr="00D20E77">
        <w:tc>
          <w:tcPr>
            <w:tcW w:w="1606" w:type="dxa"/>
            <w:shd w:val="clear" w:color="auto" w:fill="FFFF00"/>
          </w:tcPr>
          <w:p w14:paraId="00284D44" w14:textId="3CF17028" w:rsidR="005508ED" w:rsidRPr="007945BA" w:rsidRDefault="005508ED" w:rsidP="00D20E77">
            <w:pPr>
              <w:spacing w:before="120" w:after="120"/>
              <w:jc w:val="both"/>
              <w:rPr>
                <w:rFonts w:ascii="Arial" w:hAnsi="Arial" w:cs="Arial"/>
                <w:b/>
                <w:sz w:val="20"/>
                <w:szCs w:val="20"/>
              </w:rPr>
            </w:pPr>
            <w:r w:rsidRPr="007945BA">
              <w:rPr>
                <w:rFonts w:ascii="Arial" w:hAnsi="Arial" w:cs="Arial"/>
                <w:b/>
                <w:sz w:val="20"/>
                <w:szCs w:val="20"/>
              </w:rPr>
              <w:t>Moderate</w:t>
            </w:r>
          </w:p>
        </w:tc>
        <w:tc>
          <w:tcPr>
            <w:tcW w:w="6848" w:type="dxa"/>
          </w:tcPr>
          <w:p w14:paraId="2528D371" w14:textId="550C2102" w:rsidR="005508ED" w:rsidRPr="007945BA" w:rsidRDefault="005508ED" w:rsidP="00D20E77">
            <w:pPr>
              <w:spacing w:before="120" w:after="120"/>
              <w:jc w:val="both"/>
              <w:rPr>
                <w:rFonts w:ascii="Arial" w:hAnsi="Arial" w:cs="Arial"/>
                <w:b/>
                <w:sz w:val="20"/>
                <w:szCs w:val="20"/>
                <w:u w:val="single"/>
              </w:rPr>
            </w:pPr>
            <w:r w:rsidRPr="007945BA">
              <w:rPr>
                <w:rFonts w:ascii="Arial" w:hAnsi="Arial" w:cs="Arial"/>
                <w:color w:val="000000"/>
                <w:sz w:val="20"/>
                <w:szCs w:val="20"/>
              </w:rPr>
              <w:t>Some improvements are required to enhance the adequacy and effectiveness of the framework of governance, risk management and control.</w:t>
            </w:r>
          </w:p>
        </w:tc>
      </w:tr>
      <w:tr w:rsidR="005508ED" w:rsidRPr="007945BA" w14:paraId="4B90704A" w14:textId="77777777" w:rsidTr="00D20E77">
        <w:tc>
          <w:tcPr>
            <w:tcW w:w="1606" w:type="dxa"/>
            <w:shd w:val="clear" w:color="auto" w:fill="FFC000"/>
          </w:tcPr>
          <w:p w14:paraId="19C57498" w14:textId="21E4FAC9" w:rsidR="005508ED" w:rsidRPr="007945BA" w:rsidRDefault="005508ED" w:rsidP="00D20E77">
            <w:pPr>
              <w:spacing w:before="120" w:after="120"/>
              <w:jc w:val="both"/>
              <w:rPr>
                <w:rFonts w:ascii="Arial" w:hAnsi="Arial" w:cs="Arial"/>
                <w:b/>
                <w:sz w:val="20"/>
                <w:szCs w:val="20"/>
              </w:rPr>
            </w:pPr>
            <w:r w:rsidRPr="007945BA">
              <w:rPr>
                <w:rFonts w:ascii="Arial" w:hAnsi="Arial" w:cs="Arial"/>
                <w:b/>
                <w:sz w:val="20"/>
                <w:szCs w:val="20"/>
              </w:rPr>
              <w:t>Limited</w:t>
            </w:r>
          </w:p>
        </w:tc>
        <w:tc>
          <w:tcPr>
            <w:tcW w:w="6848" w:type="dxa"/>
          </w:tcPr>
          <w:p w14:paraId="4716AA4F" w14:textId="79D462C6" w:rsidR="005508ED" w:rsidRPr="007945BA" w:rsidRDefault="005508ED" w:rsidP="00D20E77">
            <w:pPr>
              <w:spacing w:before="120" w:after="120"/>
              <w:jc w:val="both"/>
              <w:rPr>
                <w:rFonts w:ascii="Arial" w:hAnsi="Arial" w:cs="Arial"/>
                <w:b/>
                <w:sz w:val="20"/>
                <w:szCs w:val="20"/>
                <w:u w:val="single"/>
              </w:rPr>
            </w:pPr>
            <w:r w:rsidRPr="007945BA">
              <w:rPr>
                <w:rFonts w:ascii="Arial" w:hAnsi="Arial" w:cs="Arial"/>
                <w:color w:val="000000"/>
                <w:sz w:val="20"/>
                <w:szCs w:val="20"/>
              </w:rPr>
              <w:t>There are significant weaknesses in the framework of governance, risk management and control such that it could be or could become inadequate and ineffective.</w:t>
            </w:r>
          </w:p>
        </w:tc>
      </w:tr>
      <w:tr w:rsidR="005508ED" w:rsidRPr="007945BA" w14:paraId="2647E24A" w14:textId="77777777" w:rsidTr="00D20E77">
        <w:tc>
          <w:tcPr>
            <w:tcW w:w="1606" w:type="dxa"/>
            <w:shd w:val="clear" w:color="auto" w:fill="FF0000"/>
          </w:tcPr>
          <w:p w14:paraId="7F30ADAE" w14:textId="4F29637C" w:rsidR="005508ED" w:rsidRPr="007945BA" w:rsidRDefault="005508ED" w:rsidP="00D20E77">
            <w:pPr>
              <w:spacing w:before="120" w:after="120"/>
              <w:jc w:val="both"/>
              <w:rPr>
                <w:rFonts w:ascii="Arial" w:hAnsi="Arial" w:cs="Arial"/>
                <w:b/>
                <w:sz w:val="20"/>
                <w:szCs w:val="20"/>
              </w:rPr>
            </w:pPr>
            <w:r w:rsidRPr="007945BA">
              <w:rPr>
                <w:rFonts w:ascii="Arial" w:hAnsi="Arial" w:cs="Arial"/>
                <w:b/>
                <w:sz w:val="20"/>
                <w:szCs w:val="20"/>
              </w:rPr>
              <w:t>Unsatisfactory</w:t>
            </w:r>
          </w:p>
        </w:tc>
        <w:tc>
          <w:tcPr>
            <w:tcW w:w="6848" w:type="dxa"/>
          </w:tcPr>
          <w:p w14:paraId="0983F482" w14:textId="4DD05C56" w:rsidR="005508ED" w:rsidRPr="007945BA" w:rsidRDefault="005508ED" w:rsidP="00D20E77">
            <w:pPr>
              <w:spacing w:before="120" w:after="120"/>
              <w:jc w:val="both"/>
              <w:rPr>
                <w:rFonts w:ascii="Arial" w:hAnsi="Arial" w:cs="Arial"/>
                <w:b/>
                <w:sz w:val="20"/>
                <w:szCs w:val="20"/>
                <w:u w:val="single"/>
              </w:rPr>
            </w:pPr>
            <w:r w:rsidRPr="007945BA">
              <w:rPr>
                <w:rFonts w:ascii="Arial" w:hAnsi="Arial" w:cs="Arial"/>
                <w:color w:val="000000"/>
                <w:sz w:val="20"/>
                <w:szCs w:val="20"/>
              </w:rPr>
              <w:t>There are fundamental weaknesses in the framework of governance, risk management and control such that it is inadequate and ineffective or is likely to fail,</w:t>
            </w:r>
          </w:p>
        </w:tc>
      </w:tr>
    </w:tbl>
    <w:p w14:paraId="7E41F6C6" w14:textId="390D9C17" w:rsidR="00CE39CE" w:rsidRPr="007945BA" w:rsidRDefault="00CE39CE">
      <w:pPr>
        <w:rPr>
          <w:rFonts w:ascii="Arial" w:hAnsi="Arial" w:cs="Arial"/>
          <w:b/>
          <w:bCs/>
          <w:kern w:val="32"/>
        </w:rPr>
      </w:pPr>
    </w:p>
    <w:sectPr w:rsidR="00CE39CE" w:rsidRPr="007945BA" w:rsidSect="00B94C74">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BB3E1D" w14:textId="77777777" w:rsidR="00B94C74" w:rsidRDefault="00B94C74">
      <w:r>
        <w:separator/>
      </w:r>
    </w:p>
  </w:endnote>
  <w:endnote w:type="continuationSeparator" w:id="0">
    <w:p w14:paraId="70727470" w14:textId="77777777" w:rsidR="00B94C74" w:rsidRDefault="00B94C74">
      <w:r>
        <w:continuationSeparator/>
      </w:r>
    </w:p>
  </w:endnote>
  <w:endnote w:type="continuationNotice" w:id="1">
    <w:p w14:paraId="3406F19C" w14:textId="77777777" w:rsidR="00B94C74" w:rsidRDefault="00B94C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D6ACE" w14:textId="041CDC6C" w:rsidR="00A52889" w:rsidRPr="002A231B" w:rsidRDefault="00D03378" w:rsidP="00A52889">
    <w:pPr>
      <w:pStyle w:val="Footer"/>
      <w:tabs>
        <w:tab w:val="right" w:pos="8931"/>
        <w:tab w:val="right" w:pos="13892"/>
      </w:tabs>
      <w:rPr>
        <w:szCs w:val="16"/>
      </w:rPr>
    </w:pPr>
    <w:r w:rsidRPr="00575A7A">
      <w:t>Audit and risk committee annual report to Board</w:t>
    </w:r>
    <w:r w:rsidR="00575A7A">
      <w:t xml:space="preserve"> 202</w:t>
    </w:r>
    <w:r w:rsidR="00046645">
      <w:t>3/24</w:t>
    </w:r>
    <w:r w:rsidR="00A52889">
      <w:t xml:space="preserve"> </w:t>
    </w:r>
    <w:r w:rsidR="00A52889">
      <w:tab/>
    </w:r>
    <w:r w:rsidR="00A52889">
      <w:tab/>
    </w:r>
    <w:r w:rsidR="00A52889" w:rsidRPr="002A231B">
      <w:rPr>
        <w:szCs w:val="16"/>
      </w:rPr>
      <w:t xml:space="preserve">Page </w:t>
    </w:r>
    <w:r w:rsidR="00A52889" w:rsidRPr="002A231B">
      <w:rPr>
        <w:szCs w:val="16"/>
      </w:rPr>
      <w:fldChar w:fldCharType="begin"/>
    </w:r>
    <w:r w:rsidR="00A52889" w:rsidRPr="002A231B">
      <w:rPr>
        <w:szCs w:val="16"/>
      </w:rPr>
      <w:instrText xml:space="preserve"> PAGE  \* Arabic  \* MERGEFORMAT </w:instrText>
    </w:r>
    <w:r w:rsidR="00A52889" w:rsidRPr="002A231B">
      <w:rPr>
        <w:szCs w:val="16"/>
      </w:rPr>
      <w:fldChar w:fldCharType="separate"/>
    </w:r>
    <w:r w:rsidR="00A52889">
      <w:rPr>
        <w:szCs w:val="16"/>
      </w:rPr>
      <w:t>1</w:t>
    </w:r>
    <w:r w:rsidR="00A52889" w:rsidRPr="002A231B">
      <w:rPr>
        <w:szCs w:val="16"/>
      </w:rPr>
      <w:fldChar w:fldCharType="end"/>
    </w:r>
    <w:r w:rsidR="00A52889" w:rsidRPr="002A231B">
      <w:rPr>
        <w:szCs w:val="16"/>
      </w:rPr>
      <w:t xml:space="preserve"> of </w:t>
    </w:r>
    <w:r w:rsidR="00A52889" w:rsidRPr="002A231B">
      <w:rPr>
        <w:szCs w:val="16"/>
      </w:rPr>
      <w:fldChar w:fldCharType="begin"/>
    </w:r>
    <w:r w:rsidR="00A52889" w:rsidRPr="002A231B">
      <w:rPr>
        <w:szCs w:val="16"/>
      </w:rPr>
      <w:instrText xml:space="preserve"> NUMPAGES  \* Arabic  \* MERGEFORMAT </w:instrText>
    </w:r>
    <w:r w:rsidR="00A52889" w:rsidRPr="002A231B">
      <w:rPr>
        <w:szCs w:val="16"/>
      </w:rPr>
      <w:fldChar w:fldCharType="separate"/>
    </w:r>
    <w:r w:rsidR="00A52889">
      <w:rPr>
        <w:szCs w:val="16"/>
      </w:rPr>
      <w:t>14</w:t>
    </w:r>
    <w:r w:rsidR="00A52889" w:rsidRPr="002A231B">
      <w:rPr>
        <w:szCs w:val="16"/>
      </w:rPr>
      <w:fldChar w:fldCharType="end"/>
    </w:r>
  </w:p>
  <w:p w14:paraId="5C86EF72" w14:textId="7DECCBED" w:rsidR="00A52889" w:rsidRDefault="00A52889" w:rsidP="004B4705">
    <w:pPr>
      <w:pStyle w:val="Footer"/>
    </w:pPr>
    <w:r>
      <w:t>Public Board meeting</w:t>
    </w:r>
  </w:p>
  <w:p w14:paraId="445FCE7D" w14:textId="509AC511" w:rsidR="004B4705" w:rsidRPr="002A231B" w:rsidRDefault="00D03378" w:rsidP="004B4705">
    <w:pPr>
      <w:pStyle w:val="Footer"/>
      <w:rPr>
        <w:szCs w:val="16"/>
      </w:rPr>
    </w:pPr>
    <w:r>
      <w:t>1</w:t>
    </w:r>
    <w:r w:rsidR="00046645">
      <w:t>5</w:t>
    </w:r>
    <w:r>
      <w:t xml:space="preserve"> May 202</w:t>
    </w:r>
    <w:r w:rsidR="00046645">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246712" w14:textId="77777777" w:rsidR="00B94C74" w:rsidRDefault="00B94C74">
      <w:r>
        <w:separator/>
      </w:r>
    </w:p>
  </w:footnote>
  <w:footnote w:type="continuationSeparator" w:id="0">
    <w:p w14:paraId="40EC619B" w14:textId="77777777" w:rsidR="00B94C74" w:rsidRDefault="00B94C74">
      <w:r>
        <w:continuationSeparator/>
      </w:r>
    </w:p>
  </w:footnote>
  <w:footnote w:type="continuationNotice" w:id="1">
    <w:p w14:paraId="2F100855" w14:textId="77777777" w:rsidR="00B94C74" w:rsidRDefault="00B94C7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1E4A4" w14:textId="41D75B20" w:rsidR="004B4705" w:rsidRPr="006E0F0C" w:rsidRDefault="006E0F0C" w:rsidP="00A52889">
    <w:pPr>
      <w:pStyle w:val="Header"/>
      <w:ind w:left="0"/>
    </w:pPr>
    <w:r>
      <w:rPr>
        <w:noProof/>
      </w:rPr>
      <w:drawing>
        <wp:inline distT="0" distB="0" distL="0" distR="0" wp14:anchorId="7CDD8DCD" wp14:editId="5A95EF5A">
          <wp:extent cx="2352675" cy="257175"/>
          <wp:effectExtent l="0" t="0" r="9525" b="9525"/>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2675" cy="257175"/>
                  </a:xfrm>
                  <a:prstGeom prst="rect">
                    <a:avLst/>
                  </a:prstGeom>
                  <a:noFill/>
                </pic:spPr>
              </pic:pic>
            </a:graphicData>
          </a:graphic>
        </wp:inline>
      </w:drawing>
    </w:r>
    <w:r>
      <w:tab/>
    </w:r>
    <w:r w:rsidR="00A52889">
      <w:tab/>
      <w:t>Item 11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0232"/>
    <w:multiLevelType w:val="hybridMultilevel"/>
    <w:tmpl w:val="D64A4FE6"/>
    <w:lvl w:ilvl="0" w:tplc="084E12C8">
      <w:start w:val="1"/>
      <w:numFmt w:val="decimal"/>
      <w:pStyle w:val="AppendixBheading"/>
      <w:lvlText w:val="B%1"/>
      <w:lvlJc w:val="left"/>
      <w:pPr>
        <w:ind w:left="720" w:hanging="360"/>
      </w:pPr>
      <w:rPr>
        <w:rFonts w:hint="default"/>
        <w:b w:val="0"/>
        <w:i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9D0FAC"/>
    <w:multiLevelType w:val="multilevel"/>
    <w:tmpl w:val="72188DC4"/>
    <w:lvl w:ilvl="0">
      <w:start w:val="1"/>
      <w:numFmt w:val="bullet"/>
      <w:pStyle w:val="Bulletindent1"/>
      <w:lvlText w:val=""/>
      <w:lvlJc w:val="left"/>
      <w:pPr>
        <w:tabs>
          <w:tab w:val="num" w:pos="1004"/>
        </w:tabs>
        <w:ind w:left="1004" w:hanging="284"/>
      </w:pPr>
      <w:rPr>
        <w:rFonts w:ascii="Symbol" w:hAnsi="Symbol" w:hint="default"/>
        <w:color w:val="auto"/>
      </w:rPr>
    </w:lvl>
    <w:lvl w:ilvl="1">
      <w:start w:val="1"/>
      <w:numFmt w:val="bullet"/>
      <w:lvlText w:val=""/>
      <w:lvlJc w:val="left"/>
      <w:pPr>
        <w:tabs>
          <w:tab w:val="num" w:pos="1287"/>
        </w:tabs>
        <w:ind w:left="1287" w:hanging="283"/>
      </w:pPr>
      <w:rPr>
        <w:rFonts w:ascii="Symbol" w:hAnsi="Symbol" w:hint="default"/>
      </w:rPr>
    </w:lvl>
    <w:lvl w:ilvl="2">
      <w:start w:val="1"/>
      <w:numFmt w:val="bullet"/>
      <w:lvlText w:val=""/>
      <w:lvlJc w:val="left"/>
      <w:pPr>
        <w:tabs>
          <w:tab w:val="num" w:pos="1571"/>
        </w:tabs>
        <w:ind w:left="1571" w:hanging="284"/>
      </w:pPr>
      <w:rPr>
        <w:rFonts w:ascii="Symbol" w:hAnsi="Symbol" w:hint="default"/>
        <w:color w:val="auto"/>
      </w:rPr>
    </w:lvl>
    <w:lvl w:ilvl="3">
      <w:start w:val="1"/>
      <w:numFmt w:val="decimal"/>
      <w:lvlText w:val="%1.%2.%3.%4"/>
      <w:lvlJc w:val="left"/>
      <w:pPr>
        <w:tabs>
          <w:tab w:val="num" w:pos="1554"/>
        </w:tabs>
        <w:ind w:left="1554" w:hanging="964"/>
      </w:pPr>
      <w:rPr>
        <w:rFonts w:hint="default"/>
      </w:rPr>
    </w:lvl>
    <w:lvl w:ilvl="4">
      <w:start w:val="1"/>
      <w:numFmt w:val="decimal"/>
      <w:lvlText w:val="%1.%2.%3.%4.%5."/>
      <w:lvlJc w:val="left"/>
      <w:pPr>
        <w:tabs>
          <w:tab w:val="num" w:pos="4910"/>
        </w:tabs>
        <w:ind w:left="2822" w:hanging="792"/>
      </w:pPr>
      <w:rPr>
        <w:rFonts w:hint="default"/>
      </w:rPr>
    </w:lvl>
    <w:lvl w:ilvl="5">
      <w:start w:val="1"/>
      <w:numFmt w:val="decimal"/>
      <w:lvlText w:val="%1.%2.%3.%4.%5.%6."/>
      <w:lvlJc w:val="left"/>
      <w:pPr>
        <w:tabs>
          <w:tab w:val="num" w:pos="5990"/>
        </w:tabs>
        <w:ind w:left="3326" w:hanging="936"/>
      </w:pPr>
      <w:rPr>
        <w:rFonts w:hint="default"/>
      </w:rPr>
    </w:lvl>
    <w:lvl w:ilvl="6">
      <w:start w:val="1"/>
      <w:numFmt w:val="decimal"/>
      <w:lvlText w:val="%1.%2.%3.%4.%5.%6.%7."/>
      <w:lvlJc w:val="left"/>
      <w:pPr>
        <w:tabs>
          <w:tab w:val="num" w:pos="7070"/>
        </w:tabs>
        <w:ind w:left="3830" w:hanging="1080"/>
      </w:pPr>
      <w:rPr>
        <w:rFonts w:hint="default"/>
      </w:rPr>
    </w:lvl>
    <w:lvl w:ilvl="7">
      <w:start w:val="1"/>
      <w:numFmt w:val="decimal"/>
      <w:lvlText w:val="%1.%2.%3.%4.%5.%6.%7.%8."/>
      <w:lvlJc w:val="left"/>
      <w:pPr>
        <w:tabs>
          <w:tab w:val="num" w:pos="7790"/>
        </w:tabs>
        <w:ind w:left="4334" w:hanging="1224"/>
      </w:pPr>
      <w:rPr>
        <w:rFonts w:hint="default"/>
      </w:rPr>
    </w:lvl>
    <w:lvl w:ilvl="8">
      <w:start w:val="1"/>
      <w:numFmt w:val="decimal"/>
      <w:lvlText w:val="%1.%2.%3.%4.%5.%6.%7.%8.%9."/>
      <w:lvlJc w:val="left"/>
      <w:pPr>
        <w:tabs>
          <w:tab w:val="num" w:pos="8870"/>
        </w:tabs>
        <w:ind w:left="4910" w:hanging="1440"/>
      </w:pPr>
      <w:rPr>
        <w:rFonts w:hint="default"/>
      </w:rPr>
    </w:lvl>
  </w:abstractNum>
  <w:abstractNum w:abstractNumId="2" w15:restartNumberingAfterBreak="0">
    <w:nsid w:val="095A71D5"/>
    <w:multiLevelType w:val="hybridMultilevel"/>
    <w:tmpl w:val="956E1C28"/>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3"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4" w15:restartNumberingAfterBreak="0">
    <w:nsid w:val="0BB72574"/>
    <w:multiLevelType w:val="hybridMultilevel"/>
    <w:tmpl w:val="3356E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B15797"/>
    <w:multiLevelType w:val="hybridMultilevel"/>
    <w:tmpl w:val="4FD88FF2"/>
    <w:lvl w:ilvl="0" w:tplc="0650A9B2">
      <w:start w:val="1"/>
      <w:numFmt w:val="decimal"/>
      <w:pStyle w:val="Paragraph"/>
      <w:lvlText w:val="%1."/>
      <w:lvlJc w:val="left"/>
      <w:pPr>
        <w:ind w:left="928" w:hanging="360"/>
      </w:pPr>
    </w:lvl>
    <w:lvl w:ilvl="1" w:tplc="08090019">
      <w:start w:val="1"/>
      <w:numFmt w:val="lowerLetter"/>
      <w:lvlText w:val="%2."/>
      <w:lvlJc w:val="left"/>
      <w:pPr>
        <w:ind w:left="1156" w:hanging="360"/>
      </w:p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6"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7" w15:restartNumberingAfterBreak="0">
    <w:nsid w:val="15A22F3B"/>
    <w:multiLevelType w:val="multilevel"/>
    <w:tmpl w:val="8D9AB1B0"/>
    <w:lvl w:ilvl="0">
      <w:start w:val="1"/>
      <w:numFmt w:val="decimal"/>
      <w:lvlText w:val="%1"/>
      <w:lvlJc w:val="left"/>
      <w:pPr>
        <w:ind w:left="786" w:hanging="360"/>
      </w:pPr>
      <w:rPr>
        <w:rFonts w:hint="default"/>
        <w:b w:val="0"/>
        <w:color w:val="000000" w:themeColor="text1"/>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714208E"/>
    <w:multiLevelType w:val="hybridMultilevel"/>
    <w:tmpl w:val="301AA3CE"/>
    <w:lvl w:ilvl="0" w:tplc="B17A49EE">
      <w:start w:val="1"/>
      <w:numFmt w:val="lowerLetter"/>
      <w:pStyle w:val="Section21paragraphs"/>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7F707D"/>
    <w:multiLevelType w:val="hybridMultilevel"/>
    <w:tmpl w:val="B01CC2F0"/>
    <w:lvl w:ilvl="0" w:tplc="E2649A9E">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90570BC"/>
    <w:multiLevelType w:val="hybridMultilevel"/>
    <w:tmpl w:val="D976FD2E"/>
    <w:lvl w:ilvl="0" w:tplc="E36AEBC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9CC3584"/>
    <w:multiLevelType w:val="multilevel"/>
    <w:tmpl w:val="721069A2"/>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6" w15:restartNumberingAfterBreak="0">
    <w:nsid w:val="2B465FBB"/>
    <w:multiLevelType w:val="hybridMultilevel"/>
    <w:tmpl w:val="9AE85CE0"/>
    <w:lvl w:ilvl="0" w:tplc="08090019">
      <w:start w:val="1"/>
      <w:numFmt w:val="lowerLetter"/>
      <w:lvlText w:val="%1."/>
      <w:lvlJc w:val="left"/>
      <w:pPr>
        <w:ind w:left="1069"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98274B2"/>
    <w:multiLevelType w:val="hybridMultilevel"/>
    <w:tmpl w:val="2DB0111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3FEF7F07"/>
    <w:multiLevelType w:val="hybridMultilevel"/>
    <w:tmpl w:val="F2B012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441B7135"/>
    <w:multiLevelType w:val="multilevel"/>
    <w:tmpl w:val="5ACC9930"/>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3"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4" w15:restartNumberingAfterBreak="0">
    <w:nsid w:val="4ABD783C"/>
    <w:multiLevelType w:val="hybridMultilevel"/>
    <w:tmpl w:val="D62A8D68"/>
    <w:lvl w:ilvl="0" w:tplc="9B3CE8E0">
      <w:start w:val="1"/>
      <w:numFmt w:val="upperRoman"/>
      <w:pStyle w:val="Appendixlevel2"/>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53C62AC4"/>
    <w:multiLevelType w:val="hybridMultilevel"/>
    <w:tmpl w:val="73FA9768"/>
    <w:lvl w:ilvl="0" w:tplc="FB045D48">
      <w:start w:val="1"/>
      <w:numFmt w:val="bullet"/>
      <w:lvlText w:val=""/>
      <w:lvlJc w:val="left"/>
      <w:pPr>
        <w:ind w:left="1080" w:hanging="108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3">
      <w:start w:val="1"/>
      <w:numFmt w:val="bullet"/>
      <w:lvlText w:val="o"/>
      <w:lvlJc w:val="left"/>
      <w:pPr>
        <w:ind w:left="2700" w:hanging="360"/>
      </w:pPr>
      <w:rPr>
        <w:rFonts w:ascii="Courier New" w:hAnsi="Courier New" w:cs="Courier New"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588F36E6"/>
    <w:multiLevelType w:val="hybridMultilevel"/>
    <w:tmpl w:val="14320908"/>
    <w:lvl w:ilvl="0" w:tplc="4EEC47A6">
      <w:start w:val="1"/>
      <w:numFmt w:val="bullet"/>
      <w:pStyle w:val="Appendix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C533504"/>
    <w:multiLevelType w:val="hybridMultilevel"/>
    <w:tmpl w:val="6786031A"/>
    <w:lvl w:ilvl="0" w:tplc="44D88410">
      <w:start w:val="1"/>
      <w:numFmt w:val="bullet"/>
      <w:pStyle w:val="Pane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65D90110"/>
    <w:multiLevelType w:val="hybridMultilevel"/>
    <w:tmpl w:val="E3141BBA"/>
    <w:lvl w:ilvl="0" w:tplc="0DA2811C">
      <w:start w:val="1"/>
      <w:numFmt w:val="bullet"/>
      <w:pStyle w:val="Table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32"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3" w15:restartNumberingAfterBreak="0">
    <w:nsid w:val="696F2189"/>
    <w:multiLevelType w:val="hybridMultilevel"/>
    <w:tmpl w:val="848A34BC"/>
    <w:lvl w:ilvl="0" w:tplc="7F94D6CC">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9D94E62"/>
    <w:multiLevelType w:val="hybridMultilevel"/>
    <w:tmpl w:val="79FA0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6532623">
    <w:abstractNumId w:val="3"/>
  </w:num>
  <w:num w:numId="2" w16cid:durableId="2039620118">
    <w:abstractNumId w:val="32"/>
  </w:num>
  <w:num w:numId="3" w16cid:durableId="2116749296">
    <w:abstractNumId w:val="22"/>
  </w:num>
  <w:num w:numId="4" w16cid:durableId="611715962">
    <w:abstractNumId w:val="23"/>
  </w:num>
  <w:num w:numId="5" w16cid:durableId="377554922">
    <w:abstractNumId w:val="6"/>
  </w:num>
  <w:num w:numId="6" w16cid:durableId="1967815002">
    <w:abstractNumId w:val="10"/>
  </w:num>
  <w:num w:numId="7" w16cid:durableId="1478373446">
    <w:abstractNumId w:val="17"/>
  </w:num>
  <w:num w:numId="8" w16cid:durableId="1216622483">
    <w:abstractNumId w:val="19"/>
  </w:num>
  <w:num w:numId="9" w16cid:durableId="1028289363">
    <w:abstractNumId w:val="25"/>
  </w:num>
  <w:num w:numId="10" w16cid:durableId="1748379919">
    <w:abstractNumId w:val="9"/>
  </w:num>
  <w:num w:numId="11" w16cid:durableId="1008825018">
    <w:abstractNumId w:val="30"/>
  </w:num>
  <w:num w:numId="12" w16cid:durableId="128134450">
    <w:abstractNumId w:val="13"/>
  </w:num>
  <w:num w:numId="13" w16cid:durableId="503516617">
    <w:abstractNumId w:val="24"/>
  </w:num>
  <w:num w:numId="14" w16cid:durableId="1971012577">
    <w:abstractNumId w:val="28"/>
  </w:num>
  <w:num w:numId="15" w16cid:durableId="1256014139">
    <w:abstractNumId w:val="15"/>
  </w:num>
  <w:num w:numId="16" w16cid:durableId="230039927">
    <w:abstractNumId w:val="0"/>
  </w:num>
  <w:num w:numId="17" w16cid:durableId="882135492">
    <w:abstractNumId w:val="1"/>
  </w:num>
  <w:num w:numId="18" w16cid:durableId="194315641">
    <w:abstractNumId w:val="11"/>
  </w:num>
  <w:num w:numId="19" w16cid:durableId="1279488302">
    <w:abstractNumId w:val="18"/>
  </w:num>
  <w:num w:numId="20" w16cid:durableId="102305755">
    <w:abstractNumId w:val="8"/>
  </w:num>
  <w:num w:numId="21" w16cid:durableId="1863712968">
    <w:abstractNumId w:val="31"/>
  </w:num>
  <w:num w:numId="22" w16cid:durableId="426196748">
    <w:abstractNumId w:val="29"/>
  </w:num>
  <w:num w:numId="23" w16cid:durableId="1440686053">
    <w:abstractNumId w:val="33"/>
  </w:num>
  <w:num w:numId="24" w16cid:durableId="87122838">
    <w:abstractNumId w:val="12"/>
  </w:num>
  <w:num w:numId="25" w16cid:durableId="2069259383">
    <w:abstractNumId w:val="5"/>
  </w:num>
  <w:num w:numId="26" w16cid:durableId="1082874494">
    <w:abstractNumId w:val="5"/>
    <w:lvlOverride w:ilvl="0">
      <w:startOverride w:val="1"/>
    </w:lvlOverride>
  </w:num>
  <w:num w:numId="27" w16cid:durableId="566762753">
    <w:abstractNumId w:val="34"/>
  </w:num>
  <w:num w:numId="28" w16cid:durableId="1501507477">
    <w:abstractNumId w:val="16"/>
  </w:num>
  <w:num w:numId="29" w16cid:durableId="1007052079">
    <w:abstractNumId w:val="2"/>
  </w:num>
  <w:num w:numId="30" w16cid:durableId="427890917">
    <w:abstractNumId w:val="33"/>
    <w:lvlOverride w:ilvl="0">
      <w:startOverride w:val="1"/>
    </w:lvlOverride>
  </w:num>
  <w:num w:numId="31" w16cid:durableId="1711951164">
    <w:abstractNumId w:val="7"/>
  </w:num>
  <w:num w:numId="32" w16cid:durableId="456028816">
    <w:abstractNumId w:val="21"/>
  </w:num>
  <w:num w:numId="33" w16cid:durableId="738748156">
    <w:abstractNumId w:val="26"/>
  </w:num>
  <w:num w:numId="34" w16cid:durableId="1410270612">
    <w:abstractNumId w:val="20"/>
  </w:num>
  <w:num w:numId="35" w16cid:durableId="724060844">
    <w:abstractNumId w:val="14"/>
  </w:num>
  <w:num w:numId="36" w16cid:durableId="70124730">
    <w:abstractNumId w:val="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formatting="1" w:enforcement="0"/>
  <w:defaultTabStop w:val="720"/>
  <w:characterSpacingControl w:val="doNotCompress"/>
  <w:hdrShapeDefaults>
    <o:shapedefaults v:ext="edit" spidmax="2050">
      <o:colormru v:ext="edit" colors="#f06"/>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73A"/>
    <w:rsid w:val="00003416"/>
    <w:rsid w:val="000119FB"/>
    <w:rsid w:val="00012E7A"/>
    <w:rsid w:val="000242AA"/>
    <w:rsid w:val="00031FD4"/>
    <w:rsid w:val="00033DA1"/>
    <w:rsid w:val="000347AC"/>
    <w:rsid w:val="0003590A"/>
    <w:rsid w:val="00041FE6"/>
    <w:rsid w:val="00046645"/>
    <w:rsid w:val="00047CF4"/>
    <w:rsid w:val="00052909"/>
    <w:rsid w:val="00053B9D"/>
    <w:rsid w:val="00057044"/>
    <w:rsid w:val="000633D2"/>
    <w:rsid w:val="000660F5"/>
    <w:rsid w:val="000725AC"/>
    <w:rsid w:val="00072C46"/>
    <w:rsid w:val="000752BE"/>
    <w:rsid w:val="00076A41"/>
    <w:rsid w:val="00087AC4"/>
    <w:rsid w:val="00094B5D"/>
    <w:rsid w:val="000A103F"/>
    <w:rsid w:val="000A1D28"/>
    <w:rsid w:val="000A1EC0"/>
    <w:rsid w:val="000A2407"/>
    <w:rsid w:val="000A285C"/>
    <w:rsid w:val="000A396D"/>
    <w:rsid w:val="000C10AD"/>
    <w:rsid w:val="000C1C73"/>
    <w:rsid w:val="000C3F75"/>
    <w:rsid w:val="000C4168"/>
    <w:rsid w:val="000D6649"/>
    <w:rsid w:val="000E5553"/>
    <w:rsid w:val="000E6806"/>
    <w:rsid w:val="000E6C5F"/>
    <w:rsid w:val="000E6E32"/>
    <w:rsid w:val="000F2B4F"/>
    <w:rsid w:val="000F31C2"/>
    <w:rsid w:val="000F6EBA"/>
    <w:rsid w:val="001013C3"/>
    <w:rsid w:val="00101F34"/>
    <w:rsid w:val="001037D7"/>
    <w:rsid w:val="0010663C"/>
    <w:rsid w:val="001100C3"/>
    <w:rsid w:val="0011117B"/>
    <w:rsid w:val="001172E1"/>
    <w:rsid w:val="0011750A"/>
    <w:rsid w:val="001219F1"/>
    <w:rsid w:val="00123D3F"/>
    <w:rsid w:val="00125174"/>
    <w:rsid w:val="001270FD"/>
    <w:rsid w:val="001300F7"/>
    <w:rsid w:val="00131252"/>
    <w:rsid w:val="00131EB8"/>
    <w:rsid w:val="0013296C"/>
    <w:rsid w:val="00132B9C"/>
    <w:rsid w:val="001349A6"/>
    <w:rsid w:val="001416CC"/>
    <w:rsid w:val="001458A4"/>
    <w:rsid w:val="00145F6F"/>
    <w:rsid w:val="00152B17"/>
    <w:rsid w:val="001612FE"/>
    <w:rsid w:val="0016155A"/>
    <w:rsid w:val="00161AA0"/>
    <w:rsid w:val="001637F6"/>
    <w:rsid w:val="0016391E"/>
    <w:rsid w:val="0017094E"/>
    <w:rsid w:val="001714A5"/>
    <w:rsid w:val="0017277D"/>
    <w:rsid w:val="00174AAB"/>
    <w:rsid w:val="00175AA2"/>
    <w:rsid w:val="00177944"/>
    <w:rsid w:val="00182A1F"/>
    <w:rsid w:val="00183DF8"/>
    <w:rsid w:val="00184C4C"/>
    <w:rsid w:val="0018610D"/>
    <w:rsid w:val="001A0304"/>
    <w:rsid w:val="001A07AE"/>
    <w:rsid w:val="001A2A1B"/>
    <w:rsid w:val="001A2DDE"/>
    <w:rsid w:val="001B00D8"/>
    <w:rsid w:val="001B0506"/>
    <w:rsid w:val="001B273B"/>
    <w:rsid w:val="001B28B2"/>
    <w:rsid w:val="001B7091"/>
    <w:rsid w:val="001B7C25"/>
    <w:rsid w:val="001C032E"/>
    <w:rsid w:val="001C5ED5"/>
    <w:rsid w:val="001C78B1"/>
    <w:rsid w:val="001D3A4F"/>
    <w:rsid w:val="001D485D"/>
    <w:rsid w:val="001D4E97"/>
    <w:rsid w:val="001F136D"/>
    <w:rsid w:val="001F2118"/>
    <w:rsid w:val="001F3AFC"/>
    <w:rsid w:val="001F5BF9"/>
    <w:rsid w:val="001F772F"/>
    <w:rsid w:val="0020167E"/>
    <w:rsid w:val="002033A7"/>
    <w:rsid w:val="00203CCF"/>
    <w:rsid w:val="002068F8"/>
    <w:rsid w:val="00206DA6"/>
    <w:rsid w:val="0020712A"/>
    <w:rsid w:val="0021029D"/>
    <w:rsid w:val="00214EE4"/>
    <w:rsid w:val="002169E7"/>
    <w:rsid w:val="00216ECB"/>
    <w:rsid w:val="00222C4D"/>
    <w:rsid w:val="00224F6C"/>
    <w:rsid w:val="002271CD"/>
    <w:rsid w:val="0023188B"/>
    <w:rsid w:val="00235CAB"/>
    <w:rsid w:val="00236E1F"/>
    <w:rsid w:val="00237B18"/>
    <w:rsid w:val="00241BE0"/>
    <w:rsid w:val="002451A1"/>
    <w:rsid w:val="00251D56"/>
    <w:rsid w:val="002526E6"/>
    <w:rsid w:val="00252AD1"/>
    <w:rsid w:val="002535B1"/>
    <w:rsid w:val="00254083"/>
    <w:rsid w:val="00261D44"/>
    <w:rsid w:val="002624C8"/>
    <w:rsid w:val="00263C07"/>
    <w:rsid w:val="00263D06"/>
    <w:rsid w:val="00266566"/>
    <w:rsid w:val="00274CE3"/>
    <w:rsid w:val="00275AE5"/>
    <w:rsid w:val="00277107"/>
    <w:rsid w:val="00277DDD"/>
    <w:rsid w:val="002902D6"/>
    <w:rsid w:val="00291E9C"/>
    <w:rsid w:val="002A024B"/>
    <w:rsid w:val="002A02AE"/>
    <w:rsid w:val="002A3712"/>
    <w:rsid w:val="002A4B6C"/>
    <w:rsid w:val="002A75D7"/>
    <w:rsid w:val="002B13AA"/>
    <w:rsid w:val="002B30EB"/>
    <w:rsid w:val="002B4951"/>
    <w:rsid w:val="002B4C00"/>
    <w:rsid w:val="002C3F2E"/>
    <w:rsid w:val="002C3FAA"/>
    <w:rsid w:val="002C6BA5"/>
    <w:rsid w:val="002D41FB"/>
    <w:rsid w:val="002D7C56"/>
    <w:rsid w:val="002E53E7"/>
    <w:rsid w:val="002F01CA"/>
    <w:rsid w:val="002F0CA6"/>
    <w:rsid w:val="002F15CF"/>
    <w:rsid w:val="002F36F2"/>
    <w:rsid w:val="002F4CB8"/>
    <w:rsid w:val="002F7D02"/>
    <w:rsid w:val="003015FC"/>
    <w:rsid w:val="00304027"/>
    <w:rsid w:val="0031076B"/>
    <w:rsid w:val="0031664C"/>
    <w:rsid w:val="00316898"/>
    <w:rsid w:val="00320AA0"/>
    <w:rsid w:val="0032606E"/>
    <w:rsid w:val="00332B2C"/>
    <w:rsid w:val="003330E6"/>
    <w:rsid w:val="00335267"/>
    <w:rsid w:val="003362E3"/>
    <w:rsid w:val="0035027D"/>
    <w:rsid w:val="003521AA"/>
    <w:rsid w:val="00353D3E"/>
    <w:rsid w:val="00357846"/>
    <w:rsid w:val="0035790E"/>
    <w:rsid w:val="00362226"/>
    <w:rsid w:val="00362EA0"/>
    <w:rsid w:val="00365F2F"/>
    <w:rsid w:val="0036666D"/>
    <w:rsid w:val="00367E4B"/>
    <w:rsid w:val="00372DD6"/>
    <w:rsid w:val="00374DD3"/>
    <w:rsid w:val="00377E36"/>
    <w:rsid w:val="003830CE"/>
    <w:rsid w:val="00387B13"/>
    <w:rsid w:val="00390C10"/>
    <w:rsid w:val="003920D3"/>
    <w:rsid w:val="00397095"/>
    <w:rsid w:val="0039732C"/>
    <w:rsid w:val="00397669"/>
    <w:rsid w:val="003A0045"/>
    <w:rsid w:val="003A2B05"/>
    <w:rsid w:val="003A353C"/>
    <w:rsid w:val="003B02C4"/>
    <w:rsid w:val="003B1379"/>
    <w:rsid w:val="003B1504"/>
    <w:rsid w:val="003B446C"/>
    <w:rsid w:val="003B54C2"/>
    <w:rsid w:val="003B5AC6"/>
    <w:rsid w:val="003B7BCF"/>
    <w:rsid w:val="003C054C"/>
    <w:rsid w:val="003C36AC"/>
    <w:rsid w:val="003C45C9"/>
    <w:rsid w:val="003C650E"/>
    <w:rsid w:val="003C78F0"/>
    <w:rsid w:val="003D0C7D"/>
    <w:rsid w:val="003D2A90"/>
    <w:rsid w:val="003D3ADB"/>
    <w:rsid w:val="003D3B28"/>
    <w:rsid w:val="003D457C"/>
    <w:rsid w:val="003D6A4E"/>
    <w:rsid w:val="003E12E4"/>
    <w:rsid w:val="003E5C9A"/>
    <w:rsid w:val="003E7C7B"/>
    <w:rsid w:val="003F1437"/>
    <w:rsid w:val="003F1875"/>
    <w:rsid w:val="003F18D1"/>
    <w:rsid w:val="003F4D50"/>
    <w:rsid w:val="003F5FD0"/>
    <w:rsid w:val="00401D4C"/>
    <w:rsid w:val="00402343"/>
    <w:rsid w:val="0040418E"/>
    <w:rsid w:val="0040615D"/>
    <w:rsid w:val="004132B6"/>
    <w:rsid w:val="00413858"/>
    <w:rsid w:val="00413876"/>
    <w:rsid w:val="0041595B"/>
    <w:rsid w:val="00415973"/>
    <w:rsid w:val="00415F89"/>
    <w:rsid w:val="00416A95"/>
    <w:rsid w:val="00420835"/>
    <w:rsid w:val="00424492"/>
    <w:rsid w:val="0042680E"/>
    <w:rsid w:val="00434103"/>
    <w:rsid w:val="00441BEC"/>
    <w:rsid w:val="00446486"/>
    <w:rsid w:val="0045108E"/>
    <w:rsid w:val="004511A7"/>
    <w:rsid w:val="004519B2"/>
    <w:rsid w:val="0045494F"/>
    <w:rsid w:val="00457451"/>
    <w:rsid w:val="0046121A"/>
    <w:rsid w:val="00461997"/>
    <w:rsid w:val="0047056B"/>
    <w:rsid w:val="004707FD"/>
    <w:rsid w:val="0047188B"/>
    <w:rsid w:val="00471B19"/>
    <w:rsid w:val="00472561"/>
    <w:rsid w:val="0047278F"/>
    <w:rsid w:val="00472BDB"/>
    <w:rsid w:val="0047644B"/>
    <w:rsid w:val="004820E9"/>
    <w:rsid w:val="0048361F"/>
    <w:rsid w:val="00483BA6"/>
    <w:rsid w:val="00484FE9"/>
    <w:rsid w:val="00485B88"/>
    <w:rsid w:val="00485CF7"/>
    <w:rsid w:val="004914C0"/>
    <w:rsid w:val="00492C86"/>
    <w:rsid w:val="00492F52"/>
    <w:rsid w:val="00493831"/>
    <w:rsid w:val="004979E5"/>
    <w:rsid w:val="004B066C"/>
    <w:rsid w:val="004B10A6"/>
    <w:rsid w:val="004B1BC0"/>
    <w:rsid w:val="004B3577"/>
    <w:rsid w:val="004B4705"/>
    <w:rsid w:val="004B4F49"/>
    <w:rsid w:val="004B514C"/>
    <w:rsid w:val="004C001C"/>
    <w:rsid w:val="004D2964"/>
    <w:rsid w:val="004D50A5"/>
    <w:rsid w:val="004E2E8F"/>
    <w:rsid w:val="004F3944"/>
    <w:rsid w:val="00503454"/>
    <w:rsid w:val="00503ED1"/>
    <w:rsid w:val="00507286"/>
    <w:rsid w:val="005108D8"/>
    <w:rsid w:val="00510AD1"/>
    <w:rsid w:val="0051590F"/>
    <w:rsid w:val="00524F06"/>
    <w:rsid w:val="00526043"/>
    <w:rsid w:val="00526C07"/>
    <w:rsid w:val="0053387C"/>
    <w:rsid w:val="00534115"/>
    <w:rsid w:val="00541582"/>
    <w:rsid w:val="005417C8"/>
    <w:rsid w:val="0054248C"/>
    <w:rsid w:val="005508ED"/>
    <w:rsid w:val="00551607"/>
    <w:rsid w:val="00552DB3"/>
    <w:rsid w:val="00557A9B"/>
    <w:rsid w:val="005614AA"/>
    <w:rsid w:val="00562B3B"/>
    <w:rsid w:val="005636EA"/>
    <w:rsid w:val="00564852"/>
    <w:rsid w:val="005677E8"/>
    <w:rsid w:val="0057010D"/>
    <w:rsid w:val="00575A7A"/>
    <w:rsid w:val="00582371"/>
    <w:rsid w:val="00583E79"/>
    <w:rsid w:val="005847AA"/>
    <w:rsid w:val="005860F4"/>
    <w:rsid w:val="005865B3"/>
    <w:rsid w:val="005866B1"/>
    <w:rsid w:val="00593FB0"/>
    <w:rsid w:val="005947C3"/>
    <w:rsid w:val="00595BB9"/>
    <w:rsid w:val="005A39FF"/>
    <w:rsid w:val="005A4778"/>
    <w:rsid w:val="005A50E2"/>
    <w:rsid w:val="005A5E10"/>
    <w:rsid w:val="005A5F61"/>
    <w:rsid w:val="005B0957"/>
    <w:rsid w:val="005B34BB"/>
    <w:rsid w:val="005B53B0"/>
    <w:rsid w:val="005B6F58"/>
    <w:rsid w:val="005B7F96"/>
    <w:rsid w:val="005C051F"/>
    <w:rsid w:val="005C4D10"/>
    <w:rsid w:val="005C762E"/>
    <w:rsid w:val="005C7C88"/>
    <w:rsid w:val="005D098C"/>
    <w:rsid w:val="005D3CB8"/>
    <w:rsid w:val="005D7C70"/>
    <w:rsid w:val="005E0336"/>
    <w:rsid w:val="005E0F5A"/>
    <w:rsid w:val="005E7B23"/>
    <w:rsid w:val="005F2644"/>
    <w:rsid w:val="005F3A26"/>
    <w:rsid w:val="005F7EBC"/>
    <w:rsid w:val="00601DEA"/>
    <w:rsid w:val="006025B7"/>
    <w:rsid w:val="00603E56"/>
    <w:rsid w:val="00603EC3"/>
    <w:rsid w:val="006045AC"/>
    <w:rsid w:val="0060541C"/>
    <w:rsid w:val="0060662A"/>
    <w:rsid w:val="00606DBC"/>
    <w:rsid w:val="0061184F"/>
    <w:rsid w:val="006134B2"/>
    <w:rsid w:val="00614BDA"/>
    <w:rsid w:val="00617519"/>
    <w:rsid w:val="00624E26"/>
    <w:rsid w:val="006279E9"/>
    <w:rsid w:val="006331B4"/>
    <w:rsid w:val="00633EB8"/>
    <w:rsid w:val="00634357"/>
    <w:rsid w:val="006343F3"/>
    <w:rsid w:val="00636954"/>
    <w:rsid w:val="00636D0F"/>
    <w:rsid w:val="00637BCA"/>
    <w:rsid w:val="00642906"/>
    <w:rsid w:val="00643B0A"/>
    <w:rsid w:val="00644DBF"/>
    <w:rsid w:val="006476E5"/>
    <w:rsid w:val="00650DB9"/>
    <w:rsid w:val="0065188F"/>
    <w:rsid w:val="006571D4"/>
    <w:rsid w:val="006608B3"/>
    <w:rsid w:val="0066125A"/>
    <w:rsid w:val="006632A3"/>
    <w:rsid w:val="0066672F"/>
    <w:rsid w:val="00677925"/>
    <w:rsid w:val="00680B94"/>
    <w:rsid w:val="00681B37"/>
    <w:rsid w:val="00683D4B"/>
    <w:rsid w:val="00693FDD"/>
    <w:rsid w:val="00695480"/>
    <w:rsid w:val="00697BEF"/>
    <w:rsid w:val="006A1A7C"/>
    <w:rsid w:val="006A2CD4"/>
    <w:rsid w:val="006A721F"/>
    <w:rsid w:val="006B02DB"/>
    <w:rsid w:val="006B6D72"/>
    <w:rsid w:val="006B6DF6"/>
    <w:rsid w:val="006B7413"/>
    <w:rsid w:val="006C5285"/>
    <w:rsid w:val="006D3E38"/>
    <w:rsid w:val="006D6CBB"/>
    <w:rsid w:val="006D73F1"/>
    <w:rsid w:val="006D79A6"/>
    <w:rsid w:val="006E0F0C"/>
    <w:rsid w:val="006E1181"/>
    <w:rsid w:val="006E1A56"/>
    <w:rsid w:val="006E4DC0"/>
    <w:rsid w:val="006F0F57"/>
    <w:rsid w:val="007005D8"/>
    <w:rsid w:val="00700736"/>
    <w:rsid w:val="0070461A"/>
    <w:rsid w:val="00704C6C"/>
    <w:rsid w:val="0070517B"/>
    <w:rsid w:val="007074B3"/>
    <w:rsid w:val="0071178A"/>
    <w:rsid w:val="0071267F"/>
    <w:rsid w:val="00713A5B"/>
    <w:rsid w:val="00720137"/>
    <w:rsid w:val="007258B5"/>
    <w:rsid w:val="007277C3"/>
    <w:rsid w:val="00731FA8"/>
    <w:rsid w:val="00732519"/>
    <w:rsid w:val="00732C7D"/>
    <w:rsid w:val="00733D3D"/>
    <w:rsid w:val="00737F9C"/>
    <w:rsid w:val="00746BEB"/>
    <w:rsid w:val="00750C85"/>
    <w:rsid w:val="00751964"/>
    <w:rsid w:val="00752F5C"/>
    <w:rsid w:val="00754922"/>
    <w:rsid w:val="00761641"/>
    <w:rsid w:val="0076279C"/>
    <w:rsid w:val="0076403B"/>
    <w:rsid w:val="00777984"/>
    <w:rsid w:val="007822AD"/>
    <w:rsid w:val="00782FD4"/>
    <w:rsid w:val="0078501F"/>
    <w:rsid w:val="00786D83"/>
    <w:rsid w:val="007945BA"/>
    <w:rsid w:val="007953DC"/>
    <w:rsid w:val="00795C38"/>
    <w:rsid w:val="007A174B"/>
    <w:rsid w:val="007A3260"/>
    <w:rsid w:val="007A393E"/>
    <w:rsid w:val="007A41B3"/>
    <w:rsid w:val="007A4EEE"/>
    <w:rsid w:val="007A7A77"/>
    <w:rsid w:val="007A7B66"/>
    <w:rsid w:val="007B02F3"/>
    <w:rsid w:val="007B1444"/>
    <w:rsid w:val="007B1D88"/>
    <w:rsid w:val="007B3897"/>
    <w:rsid w:val="007B415D"/>
    <w:rsid w:val="007B5571"/>
    <w:rsid w:val="007B5BCA"/>
    <w:rsid w:val="007B70B2"/>
    <w:rsid w:val="007B7208"/>
    <w:rsid w:val="007C0985"/>
    <w:rsid w:val="007C2BD3"/>
    <w:rsid w:val="007D3FA0"/>
    <w:rsid w:val="007D4354"/>
    <w:rsid w:val="007D47C7"/>
    <w:rsid w:val="007E19A7"/>
    <w:rsid w:val="007E7B80"/>
    <w:rsid w:val="007F3227"/>
    <w:rsid w:val="007F4A80"/>
    <w:rsid w:val="0080162F"/>
    <w:rsid w:val="0081404B"/>
    <w:rsid w:val="00814380"/>
    <w:rsid w:val="00816855"/>
    <w:rsid w:val="00817F07"/>
    <w:rsid w:val="0082543D"/>
    <w:rsid w:val="008329B3"/>
    <w:rsid w:val="008361D2"/>
    <w:rsid w:val="0084178B"/>
    <w:rsid w:val="00845F2B"/>
    <w:rsid w:val="008505C3"/>
    <w:rsid w:val="00850606"/>
    <w:rsid w:val="00850778"/>
    <w:rsid w:val="008560D6"/>
    <w:rsid w:val="008565C1"/>
    <w:rsid w:val="0086168F"/>
    <w:rsid w:val="00862746"/>
    <w:rsid w:val="00862C0C"/>
    <w:rsid w:val="008637AC"/>
    <w:rsid w:val="00871A5E"/>
    <w:rsid w:val="00873F9E"/>
    <w:rsid w:val="00876212"/>
    <w:rsid w:val="00880A47"/>
    <w:rsid w:val="00881ABF"/>
    <w:rsid w:val="00882DA5"/>
    <w:rsid w:val="00883667"/>
    <w:rsid w:val="00884171"/>
    <w:rsid w:val="00884297"/>
    <w:rsid w:val="0088441B"/>
    <w:rsid w:val="008853CB"/>
    <w:rsid w:val="008A33B6"/>
    <w:rsid w:val="008A3CB5"/>
    <w:rsid w:val="008A5EDD"/>
    <w:rsid w:val="008A6557"/>
    <w:rsid w:val="008C379B"/>
    <w:rsid w:val="008C782E"/>
    <w:rsid w:val="008D10F4"/>
    <w:rsid w:val="008D4E06"/>
    <w:rsid w:val="008D6069"/>
    <w:rsid w:val="008E4510"/>
    <w:rsid w:val="008E4B93"/>
    <w:rsid w:val="008E7585"/>
    <w:rsid w:val="008F55F6"/>
    <w:rsid w:val="008F675E"/>
    <w:rsid w:val="0090045D"/>
    <w:rsid w:val="009065B8"/>
    <w:rsid w:val="00912165"/>
    <w:rsid w:val="00915E2F"/>
    <w:rsid w:val="00916AF7"/>
    <w:rsid w:val="00921354"/>
    <w:rsid w:val="009214EE"/>
    <w:rsid w:val="0092569F"/>
    <w:rsid w:val="009261AD"/>
    <w:rsid w:val="00933485"/>
    <w:rsid w:val="0093472E"/>
    <w:rsid w:val="009352E3"/>
    <w:rsid w:val="00936649"/>
    <w:rsid w:val="0094366C"/>
    <w:rsid w:val="00944808"/>
    <w:rsid w:val="0094624D"/>
    <w:rsid w:val="00946F9B"/>
    <w:rsid w:val="0094761E"/>
    <w:rsid w:val="00953ADF"/>
    <w:rsid w:val="00960520"/>
    <w:rsid w:val="0096097E"/>
    <w:rsid w:val="009632D6"/>
    <w:rsid w:val="0096526D"/>
    <w:rsid w:val="00971131"/>
    <w:rsid w:val="00971B4C"/>
    <w:rsid w:val="00974FB2"/>
    <w:rsid w:val="00981C17"/>
    <w:rsid w:val="0098229E"/>
    <w:rsid w:val="00983E48"/>
    <w:rsid w:val="009871F3"/>
    <w:rsid w:val="00987CA4"/>
    <w:rsid w:val="0099226D"/>
    <w:rsid w:val="009933CF"/>
    <w:rsid w:val="00993DBB"/>
    <w:rsid w:val="00994875"/>
    <w:rsid w:val="00994B46"/>
    <w:rsid w:val="009A0289"/>
    <w:rsid w:val="009A143F"/>
    <w:rsid w:val="009A19FB"/>
    <w:rsid w:val="009A6655"/>
    <w:rsid w:val="009B003D"/>
    <w:rsid w:val="009B1D56"/>
    <w:rsid w:val="009B28FD"/>
    <w:rsid w:val="009B478B"/>
    <w:rsid w:val="009B621A"/>
    <w:rsid w:val="009B6755"/>
    <w:rsid w:val="009B748A"/>
    <w:rsid w:val="009C079C"/>
    <w:rsid w:val="009C39B9"/>
    <w:rsid w:val="009C45D9"/>
    <w:rsid w:val="009C6E2D"/>
    <w:rsid w:val="009D0BCC"/>
    <w:rsid w:val="009D15B0"/>
    <w:rsid w:val="009D31A8"/>
    <w:rsid w:val="009D433F"/>
    <w:rsid w:val="009F60C4"/>
    <w:rsid w:val="009F648C"/>
    <w:rsid w:val="00A00113"/>
    <w:rsid w:val="00A02E37"/>
    <w:rsid w:val="00A039B1"/>
    <w:rsid w:val="00A04E3D"/>
    <w:rsid w:val="00A0503F"/>
    <w:rsid w:val="00A06657"/>
    <w:rsid w:val="00A10D8D"/>
    <w:rsid w:val="00A110F2"/>
    <w:rsid w:val="00A13E28"/>
    <w:rsid w:val="00A23468"/>
    <w:rsid w:val="00A24C1C"/>
    <w:rsid w:val="00A25E10"/>
    <w:rsid w:val="00A276A4"/>
    <w:rsid w:val="00A31269"/>
    <w:rsid w:val="00A36575"/>
    <w:rsid w:val="00A37032"/>
    <w:rsid w:val="00A43985"/>
    <w:rsid w:val="00A45580"/>
    <w:rsid w:val="00A46DC7"/>
    <w:rsid w:val="00A51A63"/>
    <w:rsid w:val="00A5278A"/>
    <w:rsid w:val="00A52889"/>
    <w:rsid w:val="00A56BBA"/>
    <w:rsid w:val="00A668AC"/>
    <w:rsid w:val="00A66F3E"/>
    <w:rsid w:val="00A72AD5"/>
    <w:rsid w:val="00A72EF3"/>
    <w:rsid w:val="00A73F54"/>
    <w:rsid w:val="00A77FD9"/>
    <w:rsid w:val="00A820E1"/>
    <w:rsid w:val="00A82778"/>
    <w:rsid w:val="00A86D3D"/>
    <w:rsid w:val="00A87482"/>
    <w:rsid w:val="00A909E7"/>
    <w:rsid w:val="00A956DE"/>
    <w:rsid w:val="00A9780B"/>
    <w:rsid w:val="00AA0A9A"/>
    <w:rsid w:val="00AA3219"/>
    <w:rsid w:val="00AA4B89"/>
    <w:rsid w:val="00AA5A86"/>
    <w:rsid w:val="00AA5FD8"/>
    <w:rsid w:val="00AA643D"/>
    <w:rsid w:val="00AB0936"/>
    <w:rsid w:val="00AB2948"/>
    <w:rsid w:val="00AB311D"/>
    <w:rsid w:val="00AB39FA"/>
    <w:rsid w:val="00AB4B75"/>
    <w:rsid w:val="00AB54F7"/>
    <w:rsid w:val="00AB706C"/>
    <w:rsid w:val="00AC0665"/>
    <w:rsid w:val="00AC181B"/>
    <w:rsid w:val="00AC3996"/>
    <w:rsid w:val="00AC3EB5"/>
    <w:rsid w:val="00AD0F6C"/>
    <w:rsid w:val="00AD5CB7"/>
    <w:rsid w:val="00AD5E0B"/>
    <w:rsid w:val="00AD6933"/>
    <w:rsid w:val="00AD6B7B"/>
    <w:rsid w:val="00AD7BF9"/>
    <w:rsid w:val="00AF0837"/>
    <w:rsid w:val="00AF37E5"/>
    <w:rsid w:val="00AF7CCC"/>
    <w:rsid w:val="00B0463B"/>
    <w:rsid w:val="00B068CD"/>
    <w:rsid w:val="00B10F12"/>
    <w:rsid w:val="00B15262"/>
    <w:rsid w:val="00B15A19"/>
    <w:rsid w:val="00B2235E"/>
    <w:rsid w:val="00B270A5"/>
    <w:rsid w:val="00B32F3A"/>
    <w:rsid w:val="00B332FC"/>
    <w:rsid w:val="00B3386C"/>
    <w:rsid w:val="00B34B45"/>
    <w:rsid w:val="00B3520B"/>
    <w:rsid w:val="00B3677A"/>
    <w:rsid w:val="00B45288"/>
    <w:rsid w:val="00B45860"/>
    <w:rsid w:val="00B564AE"/>
    <w:rsid w:val="00B60D70"/>
    <w:rsid w:val="00B6363D"/>
    <w:rsid w:val="00B63988"/>
    <w:rsid w:val="00B6608C"/>
    <w:rsid w:val="00B715CA"/>
    <w:rsid w:val="00B81A40"/>
    <w:rsid w:val="00B82A50"/>
    <w:rsid w:val="00B83666"/>
    <w:rsid w:val="00B84A6C"/>
    <w:rsid w:val="00B84BC1"/>
    <w:rsid w:val="00B940BD"/>
    <w:rsid w:val="00B94C74"/>
    <w:rsid w:val="00B96F0B"/>
    <w:rsid w:val="00B9783E"/>
    <w:rsid w:val="00BA0179"/>
    <w:rsid w:val="00BA1B5E"/>
    <w:rsid w:val="00BA4CA0"/>
    <w:rsid w:val="00BA51EA"/>
    <w:rsid w:val="00BA589F"/>
    <w:rsid w:val="00BB047B"/>
    <w:rsid w:val="00BB5E8F"/>
    <w:rsid w:val="00BB6398"/>
    <w:rsid w:val="00BB78BA"/>
    <w:rsid w:val="00BC0325"/>
    <w:rsid w:val="00BC0E86"/>
    <w:rsid w:val="00BC6303"/>
    <w:rsid w:val="00BC6EDB"/>
    <w:rsid w:val="00BC7053"/>
    <w:rsid w:val="00BD0372"/>
    <w:rsid w:val="00BD246E"/>
    <w:rsid w:val="00BD3248"/>
    <w:rsid w:val="00BE3277"/>
    <w:rsid w:val="00BE3A99"/>
    <w:rsid w:val="00BF0A24"/>
    <w:rsid w:val="00BF1FE4"/>
    <w:rsid w:val="00BF27D3"/>
    <w:rsid w:val="00BF31C5"/>
    <w:rsid w:val="00BF4768"/>
    <w:rsid w:val="00BF6573"/>
    <w:rsid w:val="00C0057B"/>
    <w:rsid w:val="00C0143A"/>
    <w:rsid w:val="00C02FA5"/>
    <w:rsid w:val="00C11836"/>
    <w:rsid w:val="00C139CA"/>
    <w:rsid w:val="00C13C10"/>
    <w:rsid w:val="00C1665E"/>
    <w:rsid w:val="00C16EDB"/>
    <w:rsid w:val="00C17B55"/>
    <w:rsid w:val="00C230B1"/>
    <w:rsid w:val="00C23AC6"/>
    <w:rsid w:val="00C27BE1"/>
    <w:rsid w:val="00C379D3"/>
    <w:rsid w:val="00C37FCC"/>
    <w:rsid w:val="00C433C5"/>
    <w:rsid w:val="00C43474"/>
    <w:rsid w:val="00C468A2"/>
    <w:rsid w:val="00C47472"/>
    <w:rsid w:val="00C50C3F"/>
    <w:rsid w:val="00C51429"/>
    <w:rsid w:val="00C53FB9"/>
    <w:rsid w:val="00C54419"/>
    <w:rsid w:val="00C54E9A"/>
    <w:rsid w:val="00C56E60"/>
    <w:rsid w:val="00C5793C"/>
    <w:rsid w:val="00C60E9E"/>
    <w:rsid w:val="00C621B6"/>
    <w:rsid w:val="00C64148"/>
    <w:rsid w:val="00C7509C"/>
    <w:rsid w:val="00C80F3E"/>
    <w:rsid w:val="00C909DF"/>
    <w:rsid w:val="00C90B3E"/>
    <w:rsid w:val="00C93791"/>
    <w:rsid w:val="00C95574"/>
    <w:rsid w:val="00CA1C61"/>
    <w:rsid w:val="00CA3397"/>
    <w:rsid w:val="00CA33E1"/>
    <w:rsid w:val="00CA47DA"/>
    <w:rsid w:val="00CB5D2B"/>
    <w:rsid w:val="00CB6BEB"/>
    <w:rsid w:val="00CC0987"/>
    <w:rsid w:val="00CC1E8F"/>
    <w:rsid w:val="00CC465C"/>
    <w:rsid w:val="00CD244F"/>
    <w:rsid w:val="00CE0CC3"/>
    <w:rsid w:val="00CE126D"/>
    <w:rsid w:val="00CE39CE"/>
    <w:rsid w:val="00CE7855"/>
    <w:rsid w:val="00CF0A14"/>
    <w:rsid w:val="00CF5BED"/>
    <w:rsid w:val="00CF7FD1"/>
    <w:rsid w:val="00D03378"/>
    <w:rsid w:val="00D03920"/>
    <w:rsid w:val="00D052F9"/>
    <w:rsid w:val="00D06280"/>
    <w:rsid w:val="00D07109"/>
    <w:rsid w:val="00D12F41"/>
    <w:rsid w:val="00D13C7C"/>
    <w:rsid w:val="00D20E77"/>
    <w:rsid w:val="00D26CF0"/>
    <w:rsid w:val="00D273AC"/>
    <w:rsid w:val="00D3330D"/>
    <w:rsid w:val="00D3518B"/>
    <w:rsid w:val="00D354EA"/>
    <w:rsid w:val="00D3612A"/>
    <w:rsid w:val="00D37703"/>
    <w:rsid w:val="00D37F25"/>
    <w:rsid w:val="00D40411"/>
    <w:rsid w:val="00D453F6"/>
    <w:rsid w:val="00D5461E"/>
    <w:rsid w:val="00D60D8D"/>
    <w:rsid w:val="00D6305E"/>
    <w:rsid w:val="00D67268"/>
    <w:rsid w:val="00D67DB1"/>
    <w:rsid w:val="00D71203"/>
    <w:rsid w:val="00D73C98"/>
    <w:rsid w:val="00D746FA"/>
    <w:rsid w:val="00D75012"/>
    <w:rsid w:val="00D761E8"/>
    <w:rsid w:val="00D81A40"/>
    <w:rsid w:val="00D81CD1"/>
    <w:rsid w:val="00D87690"/>
    <w:rsid w:val="00D90827"/>
    <w:rsid w:val="00D91D5B"/>
    <w:rsid w:val="00D9468F"/>
    <w:rsid w:val="00D95D7B"/>
    <w:rsid w:val="00D96578"/>
    <w:rsid w:val="00D9699E"/>
    <w:rsid w:val="00D97449"/>
    <w:rsid w:val="00DA11DD"/>
    <w:rsid w:val="00DA13D3"/>
    <w:rsid w:val="00DA3655"/>
    <w:rsid w:val="00DA3C23"/>
    <w:rsid w:val="00DA4EBA"/>
    <w:rsid w:val="00DA597B"/>
    <w:rsid w:val="00DA6307"/>
    <w:rsid w:val="00DB5EBC"/>
    <w:rsid w:val="00DC0120"/>
    <w:rsid w:val="00DC5770"/>
    <w:rsid w:val="00DD12F5"/>
    <w:rsid w:val="00DD4514"/>
    <w:rsid w:val="00DE199C"/>
    <w:rsid w:val="00DE26A7"/>
    <w:rsid w:val="00DE643F"/>
    <w:rsid w:val="00DF0EE7"/>
    <w:rsid w:val="00DF215A"/>
    <w:rsid w:val="00DF41A4"/>
    <w:rsid w:val="00DF5792"/>
    <w:rsid w:val="00DF7DD7"/>
    <w:rsid w:val="00E004E7"/>
    <w:rsid w:val="00E01481"/>
    <w:rsid w:val="00E1201D"/>
    <w:rsid w:val="00E170C1"/>
    <w:rsid w:val="00E2160A"/>
    <w:rsid w:val="00E2178F"/>
    <w:rsid w:val="00E218FF"/>
    <w:rsid w:val="00E24E43"/>
    <w:rsid w:val="00E2509B"/>
    <w:rsid w:val="00E27BDD"/>
    <w:rsid w:val="00E30B7A"/>
    <w:rsid w:val="00E366A9"/>
    <w:rsid w:val="00E37207"/>
    <w:rsid w:val="00E3740C"/>
    <w:rsid w:val="00E44DBD"/>
    <w:rsid w:val="00E4622C"/>
    <w:rsid w:val="00E46571"/>
    <w:rsid w:val="00E46B0A"/>
    <w:rsid w:val="00E51321"/>
    <w:rsid w:val="00E51FFB"/>
    <w:rsid w:val="00E53020"/>
    <w:rsid w:val="00E5439F"/>
    <w:rsid w:val="00E60B48"/>
    <w:rsid w:val="00E63855"/>
    <w:rsid w:val="00E676EF"/>
    <w:rsid w:val="00E76D0A"/>
    <w:rsid w:val="00E8073A"/>
    <w:rsid w:val="00E84DE0"/>
    <w:rsid w:val="00E8604A"/>
    <w:rsid w:val="00E91F16"/>
    <w:rsid w:val="00E95993"/>
    <w:rsid w:val="00E97B90"/>
    <w:rsid w:val="00EA1F2E"/>
    <w:rsid w:val="00EA43E9"/>
    <w:rsid w:val="00EA4F55"/>
    <w:rsid w:val="00EA504E"/>
    <w:rsid w:val="00EA58C4"/>
    <w:rsid w:val="00EA7FD7"/>
    <w:rsid w:val="00EB03BB"/>
    <w:rsid w:val="00EB1C36"/>
    <w:rsid w:val="00EB1E12"/>
    <w:rsid w:val="00EB2D7C"/>
    <w:rsid w:val="00EB2F66"/>
    <w:rsid w:val="00EB5287"/>
    <w:rsid w:val="00EB634E"/>
    <w:rsid w:val="00EC4EA3"/>
    <w:rsid w:val="00ED1309"/>
    <w:rsid w:val="00ED5842"/>
    <w:rsid w:val="00ED7F95"/>
    <w:rsid w:val="00EE125E"/>
    <w:rsid w:val="00EE2EB2"/>
    <w:rsid w:val="00EE406C"/>
    <w:rsid w:val="00EE5117"/>
    <w:rsid w:val="00EE766D"/>
    <w:rsid w:val="00EE7680"/>
    <w:rsid w:val="00EF39B1"/>
    <w:rsid w:val="00EF7C35"/>
    <w:rsid w:val="00F0156E"/>
    <w:rsid w:val="00F024B1"/>
    <w:rsid w:val="00F02AD7"/>
    <w:rsid w:val="00F04F59"/>
    <w:rsid w:val="00F07534"/>
    <w:rsid w:val="00F12A9C"/>
    <w:rsid w:val="00F204A4"/>
    <w:rsid w:val="00F2112C"/>
    <w:rsid w:val="00F21793"/>
    <w:rsid w:val="00F22E8C"/>
    <w:rsid w:val="00F232B7"/>
    <w:rsid w:val="00F2490B"/>
    <w:rsid w:val="00F259A1"/>
    <w:rsid w:val="00F26A9F"/>
    <w:rsid w:val="00F26E68"/>
    <w:rsid w:val="00F30B6F"/>
    <w:rsid w:val="00F32836"/>
    <w:rsid w:val="00F32D1E"/>
    <w:rsid w:val="00F33119"/>
    <w:rsid w:val="00F43B0B"/>
    <w:rsid w:val="00F51DF3"/>
    <w:rsid w:val="00F52E96"/>
    <w:rsid w:val="00F54A7D"/>
    <w:rsid w:val="00F60135"/>
    <w:rsid w:val="00F60777"/>
    <w:rsid w:val="00F60D4A"/>
    <w:rsid w:val="00F6137D"/>
    <w:rsid w:val="00F634FF"/>
    <w:rsid w:val="00F66CB6"/>
    <w:rsid w:val="00F67F0B"/>
    <w:rsid w:val="00F73620"/>
    <w:rsid w:val="00F73C47"/>
    <w:rsid w:val="00F81229"/>
    <w:rsid w:val="00F8124C"/>
    <w:rsid w:val="00F81F2C"/>
    <w:rsid w:val="00F82527"/>
    <w:rsid w:val="00F84044"/>
    <w:rsid w:val="00F84DF3"/>
    <w:rsid w:val="00F84E13"/>
    <w:rsid w:val="00F8718E"/>
    <w:rsid w:val="00F90E63"/>
    <w:rsid w:val="00F95C3C"/>
    <w:rsid w:val="00FA334F"/>
    <w:rsid w:val="00FA66A6"/>
    <w:rsid w:val="00FA69F6"/>
    <w:rsid w:val="00FA6EE7"/>
    <w:rsid w:val="00FA7419"/>
    <w:rsid w:val="00FB47DD"/>
    <w:rsid w:val="00FB73D3"/>
    <w:rsid w:val="00FC0712"/>
    <w:rsid w:val="00FC117C"/>
    <w:rsid w:val="00FC1202"/>
    <w:rsid w:val="00FC1278"/>
    <w:rsid w:val="00FC4F80"/>
    <w:rsid w:val="00FC6662"/>
    <w:rsid w:val="00FC6F14"/>
    <w:rsid w:val="00FD103C"/>
    <w:rsid w:val="00FD31C7"/>
    <w:rsid w:val="00FD4756"/>
    <w:rsid w:val="00FE17D4"/>
    <w:rsid w:val="00FE73BA"/>
    <w:rsid w:val="00FF22AA"/>
    <w:rsid w:val="00FF26C8"/>
    <w:rsid w:val="00FF2997"/>
    <w:rsid w:val="00FF338A"/>
    <w:rsid w:val="00FF5C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f06"/>
    </o:shapedefaults>
    <o:shapelayout v:ext="edit">
      <o:idmap v:ext="edit" data="2"/>
    </o:shapelayout>
  </w:shapeDefaults>
  <w:decimalSymbol w:val="."/>
  <w:listSeparator w:val=","/>
  <w14:docId w14:val="0ACB8E5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locked="0"/>
    <w:lsdException w:name="toc 2" w:locked="0"/>
    <w:lsdException w:name="annotation text" w:locked="0"/>
    <w:lsdException w:name="header" w:locked="0" w:uiPriority="99"/>
    <w:lsdException w:name="footer" w:locked="0"/>
    <w:lsdException w:name="caption" w:locked="0" w:semiHidden="1" w:unhideWhenUsed="1" w:qFormat="1"/>
    <w:lsdException w:name="annotation reference" w:locked="0"/>
    <w:lsdException w:name="page number" w:locked="0"/>
    <w:lsdException w:name="Title" w:locked="0" w:qFormat="1"/>
    <w:lsdException w:name="Default Paragraph Font" w:locked="0"/>
    <w:lsdException w:name="Subtitle" w:qFormat="1"/>
    <w:lsdException w:name="Body Text 3" w:locked="0"/>
    <w:lsdException w:name="Hyperlink" w:locked="0"/>
    <w:lsdException w:name="FollowedHyperlink" w:locked="0"/>
    <w:lsdException w:name="Strong" w:uiPriority="22" w:qFormat="1"/>
    <w:lsdException w:name="Emphasis" w:locked="0" w:qFormat="1"/>
    <w:lsdException w:name="HTML Top of Form" w:locked="0"/>
    <w:lsdException w:name="HTML Bottom of Form" w:locked="0"/>
    <w:lsdException w:name="Normal Table" w:locked="0" w:semiHidden="1" w:unhideWhenUsed="1"/>
    <w:lsdException w:name="annotation subject" w:locked="0"/>
    <w:lsdException w:name="No List" w:locked="0"/>
    <w:lsdException w:name="Table Simple 1" w:locked="0" w:semiHidden="1" w:unhideWhenUsed="1"/>
    <w:lsdException w:name="Table Simple 2" w:locked="0" w:semiHidden="1" w:unhideWhenUsed="1"/>
    <w:lsdException w:name="Table Simple 3" w:locked="0"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Grid" w:locked="0"/>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locked="0"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uiPriority="21" w:qFormat="1"/>
    <w:lsdException w:name="Subtle Reference" w:locked="0"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locked="0" w:semiHidden="1" w:uiPriority="99" w:unhideWhenUsed="1"/>
    <w:lsdException w:name="Smart Link" w:semiHidden="1" w:uiPriority="99" w:unhideWhenUsed="1"/>
  </w:latentStyles>
  <w:style w:type="paragraph" w:default="1" w:styleId="Normal">
    <w:name w:val="Normal"/>
    <w:qFormat/>
    <w:rsid w:val="000C3F75"/>
    <w:rPr>
      <w:sz w:val="24"/>
      <w:szCs w:val="24"/>
      <w:lang w:eastAsia="en-US"/>
    </w:rPr>
  </w:style>
  <w:style w:type="paragraph" w:styleId="Heading1">
    <w:name w:val="heading 1"/>
    <w:basedOn w:val="Normal"/>
    <w:next w:val="NICEnormal"/>
    <w:link w:val="Heading1Char"/>
    <w:qFormat/>
    <w:locked/>
    <w:rsid w:val="007A4EEE"/>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locked/>
    <w:rsid w:val="00CA33E1"/>
    <w:pPr>
      <w:keepNext/>
      <w:spacing w:before="240" w:after="60" w:line="360" w:lineRule="auto"/>
      <w:outlineLvl w:val="1"/>
    </w:pPr>
    <w:rPr>
      <w:rFonts w:ascii="Arial" w:hAnsi="Arial" w:cs="Arial"/>
      <w:b/>
      <w:bCs/>
      <w:sz w:val="28"/>
      <w:szCs w:val="28"/>
    </w:rPr>
  </w:style>
  <w:style w:type="paragraph" w:styleId="Heading3">
    <w:name w:val="heading 3"/>
    <w:basedOn w:val="Normal"/>
    <w:next w:val="NICEnormal"/>
    <w:qFormat/>
    <w:locked/>
    <w:rsid w:val="005A5E10"/>
    <w:pPr>
      <w:keepNext/>
      <w:spacing w:before="240" w:after="60" w:line="360" w:lineRule="auto"/>
      <w:outlineLvl w:val="2"/>
    </w:pPr>
    <w:rPr>
      <w:rFonts w:ascii="Arial" w:hAnsi="Arial" w:cs="Arial"/>
      <w:b/>
      <w:bCs/>
      <w:sz w:val="26"/>
      <w:szCs w:val="26"/>
    </w:rPr>
  </w:style>
  <w:style w:type="paragraph" w:styleId="Heading4">
    <w:name w:val="heading 4"/>
    <w:basedOn w:val="Normal"/>
    <w:next w:val="NICEnormal"/>
    <w:qFormat/>
    <w:locked/>
    <w:rsid w:val="00CA33E1"/>
    <w:pPr>
      <w:keepNext/>
      <w:spacing w:before="240" w:after="60" w:line="360" w:lineRule="auto"/>
      <w:outlineLvl w:val="3"/>
    </w:pPr>
    <w:rPr>
      <w:rFonts w:ascii="Arial" w:hAnsi="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7A174B"/>
    <w:pPr>
      <w:spacing w:after="240" w:line="360" w:lineRule="auto"/>
    </w:pPr>
    <w:rPr>
      <w:rFonts w:ascii="Arial" w:hAnsi="Arial"/>
      <w:sz w:val="24"/>
      <w:szCs w:val="24"/>
      <w:lang w:eastAsia="en-US"/>
    </w:rPr>
  </w:style>
  <w:style w:type="character" w:customStyle="1" w:styleId="Heading1Char">
    <w:name w:val="Heading 1 Char"/>
    <w:link w:val="Heading1"/>
    <w:rsid w:val="00AB2948"/>
    <w:rPr>
      <w:rFonts w:ascii="Arial" w:hAnsi="Arial" w:cs="Arial"/>
      <w:b/>
      <w:bCs/>
      <w:kern w:val="32"/>
      <w:sz w:val="32"/>
      <w:szCs w:val="32"/>
      <w:lang w:val="en-US" w:eastAsia="en-US" w:bidi="ar-SA"/>
    </w:rPr>
  </w:style>
  <w:style w:type="character" w:customStyle="1" w:styleId="Heading2Char">
    <w:name w:val="Heading 2 Char"/>
    <w:link w:val="Heading2"/>
    <w:rsid w:val="00CA33E1"/>
    <w:rPr>
      <w:rFonts w:ascii="Arial" w:hAnsi="Arial" w:cs="Arial"/>
      <w:b/>
      <w:bCs/>
      <w:sz w:val="28"/>
      <w:szCs w:val="28"/>
      <w:lang w:eastAsia="en-US"/>
    </w:rPr>
  </w:style>
  <w:style w:type="paragraph" w:customStyle="1" w:styleId="NICEnormalsinglespacing">
    <w:name w:val="NICE normal single spacing"/>
    <w:basedOn w:val="NICEnormal"/>
    <w:rsid w:val="005C762E"/>
    <w:pPr>
      <w:spacing w:line="240" w:lineRule="auto"/>
    </w:pPr>
  </w:style>
  <w:style w:type="paragraph" w:customStyle="1" w:styleId="Title2">
    <w:name w:val="Title2"/>
    <w:basedOn w:val="Normal"/>
    <w:locked/>
    <w:rsid w:val="005614AA"/>
    <w:pPr>
      <w:keepNext/>
      <w:spacing w:before="240" w:after="240"/>
      <w:jc w:val="center"/>
      <w:outlineLvl w:val="0"/>
    </w:pPr>
    <w:rPr>
      <w:rFonts w:ascii="Arial" w:hAnsi="Arial" w:cs="Arial"/>
      <w:b/>
      <w:bCs/>
      <w:kern w:val="28"/>
      <w:sz w:val="32"/>
      <w:szCs w:val="32"/>
    </w:rPr>
  </w:style>
  <w:style w:type="paragraph" w:customStyle="1" w:styleId="Introtext">
    <w:name w:val="Intro text"/>
    <w:basedOn w:val="NICEnormalsinglespacing"/>
    <w:locked/>
    <w:rsid w:val="005C762E"/>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locked/>
    <w:rsid w:val="00F26E68"/>
    <w:pPr>
      <w:numPr>
        <w:numId w:val="15"/>
      </w:numPr>
    </w:pPr>
    <w:rPr>
      <w:szCs w:val="24"/>
    </w:rPr>
  </w:style>
  <w:style w:type="character" w:customStyle="1" w:styleId="Numberedheading1CharChar">
    <w:name w:val="Numbered heading 1 Char Char"/>
    <w:link w:val="Numberedheading1"/>
    <w:rsid w:val="00C51429"/>
    <w:rPr>
      <w:rFonts w:ascii="Arial" w:hAnsi="Arial" w:cs="Arial"/>
      <w:b/>
      <w:bCs/>
      <w:kern w:val="32"/>
      <w:sz w:val="32"/>
      <w:szCs w:val="24"/>
      <w:lang w:eastAsia="en-US"/>
    </w:rPr>
  </w:style>
  <w:style w:type="paragraph" w:customStyle="1" w:styleId="Numberedheading2">
    <w:name w:val="Numbered heading 2"/>
    <w:basedOn w:val="Heading2"/>
    <w:next w:val="NICEnormal"/>
    <w:link w:val="Numberedheading2Char"/>
    <w:locked/>
    <w:rsid w:val="00F26E68"/>
    <w:pPr>
      <w:numPr>
        <w:ilvl w:val="1"/>
        <w:numId w:val="15"/>
      </w:numPr>
    </w:pPr>
  </w:style>
  <w:style w:type="character" w:customStyle="1" w:styleId="Numberedheading2Char">
    <w:name w:val="Numbered heading 2 Char"/>
    <w:basedOn w:val="Heading2Char"/>
    <w:link w:val="Numberedheading2"/>
    <w:rsid w:val="00D37703"/>
    <w:rPr>
      <w:rFonts w:ascii="Arial" w:hAnsi="Arial" w:cs="Arial"/>
      <w:b/>
      <w:bCs/>
      <w:sz w:val="28"/>
      <w:szCs w:val="28"/>
      <w:lang w:eastAsia="en-US"/>
    </w:rPr>
  </w:style>
  <w:style w:type="paragraph" w:customStyle="1" w:styleId="Numberedheading3">
    <w:name w:val="Numbered heading 3"/>
    <w:basedOn w:val="Heading3"/>
    <w:next w:val="NICEnormal"/>
    <w:locked/>
    <w:rsid w:val="00F26E68"/>
    <w:pPr>
      <w:numPr>
        <w:ilvl w:val="2"/>
        <w:numId w:val="15"/>
      </w:numPr>
    </w:pPr>
  </w:style>
  <w:style w:type="paragraph" w:customStyle="1" w:styleId="Numberedlevel4text">
    <w:name w:val="Numbered level 4 text"/>
    <w:basedOn w:val="NICEnormal"/>
    <w:next w:val="NICEnormal"/>
    <w:locked/>
    <w:rsid w:val="00F26E68"/>
    <w:pPr>
      <w:numPr>
        <w:ilvl w:val="3"/>
        <w:numId w:val="15"/>
      </w:numPr>
    </w:pPr>
  </w:style>
  <w:style w:type="paragraph" w:customStyle="1" w:styleId="Numberedlevel3text">
    <w:name w:val="Numbered level 3 text"/>
    <w:basedOn w:val="Numberedheading3"/>
    <w:locked/>
    <w:rsid w:val="00DE643F"/>
    <w:pPr>
      <w:spacing w:before="0" w:after="240"/>
    </w:pPr>
    <w:rPr>
      <w:b w:val="0"/>
      <w:sz w:val="24"/>
    </w:rPr>
  </w:style>
  <w:style w:type="paragraph" w:customStyle="1" w:styleId="Bulletindent2">
    <w:name w:val="Bullet indent 2"/>
    <w:basedOn w:val="NICEnormal"/>
    <w:rsid w:val="00D3612A"/>
    <w:pPr>
      <w:numPr>
        <w:ilvl w:val="1"/>
        <w:numId w:val="3"/>
      </w:numPr>
      <w:spacing w:after="0"/>
      <w:ind w:left="1702" w:hanging="284"/>
    </w:pPr>
  </w:style>
  <w:style w:type="paragraph" w:customStyle="1" w:styleId="Title16ptleft">
    <w:name w:val="Title 16 pt left"/>
    <w:basedOn w:val="Title2"/>
    <w:locked/>
    <w:rsid w:val="00D37F25"/>
    <w:pPr>
      <w:jc w:val="left"/>
    </w:pPr>
  </w:style>
  <w:style w:type="paragraph" w:customStyle="1" w:styleId="Bulletleft1">
    <w:name w:val="Bullet left 1"/>
    <w:basedOn w:val="NICEnormal"/>
    <w:rsid w:val="00D37F25"/>
    <w:pPr>
      <w:numPr>
        <w:numId w:val="5"/>
      </w:numPr>
      <w:spacing w:after="0"/>
    </w:pPr>
  </w:style>
  <w:style w:type="paragraph" w:customStyle="1" w:styleId="Bulletleft2">
    <w:name w:val="Bullet left 2"/>
    <w:basedOn w:val="NICEnormal"/>
    <w:rsid w:val="008505C3"/>
    <w:pPr>
      <w:numPr>
        <w:ilvl w:val="1"/>
        <w:numId w:val="1"/>
      </w:numPr>
      <w:spacing w:after="0"/>
      <w:ind w:left="568" w:hanging="284"/>
    </w:pPr>
  </w:style>
  <w:style w:type="paragraph" w:customStyle="1" w:styleId="Bulletleft3">
    <w:name w:val="Bullet left 3"/>
    <w:basedOn w:val="NICEnormal"/>
    <w:rsid w:val="008505C3"/>
    <w:pPr>
      <w:numPr>
        <w:ilvl w:val="2"/>
        <w:numId w:val="2"/>
      </w:numPr>
      <w:spacing w:after="0"/>
    </w:pPr>
  </w:style>
  <w:style w:type="paragraph" w:customStyle="1" w:styleId="Bulletindent1">
    <w:name w:val="Bullet indent 1"/>
    <w:basedOn w:val="NICEnormal"/>
    <w:rsid w:val="00F26E68"/>
    <w:pPr>
      <w:numPr>
        <w:numId w:val="17"/>
      </w:numPr>
      <w:spacing w:after="0"/>
    </w:pPr>
  </w:style>
  <w:style w:type="paragraph" w:customStyle="1" w:styleId="Bulletindent3">
    <w:name w:val="Bullet indent 3"/>
    <w:basedOn w:val="NICEnormal"/>
    <w:rsid w:val="00D3612A"/>
    <w:pPr>
      <w:numPr>
        <w:ilvl w:val="2"/>
        <w:numId w:val="4"/>
      </w:numPr>
      <w:spacing w:after="0"/>
    </w:pPr>
  </w:style>
  <w:style w:type="paragraph" w:customStyle="1" w:styleId="Numberedlevel2text">
    <w:name w:val="Numbered level 2 text"/>
    <w:basedOn w:val="Numberedheading2"/>
    <w:locked/>
    <w:rsid w:val="00CA33E1"/>
    <w:pPr>
      <w:spacing w:before="0" w:after="240"/>
    </w:pPr>
    <w:rPr>
      <w:b w:val="0"/>
      <w:sz w:val="24"/>
    </w:rPr>
  </w:style>
  <w:style w:type="paragraph" w:customStyle="1" w:styleId="Bulletleft1last">
    <w:name w:val="Bullet left 1 last"/>
    <w:basedOn w:val="NICEnormal"/>
    <w:link w:val="Bulletleft1lastChar"/>
    <w:rsid w:val="00953ADF"/>
    <w:pPr>
      <w:numPr>
        <w:numId w:val="6"/>
      </w:numPr>
    </w:pPr>
    <w:rPr>
      <w:rFonts w:cs="Arial"/>
    </w:rPr>
  </w:style>
  <w:style w:type="paragraph" w:customStyle="1" w:styleId="boxedtext">
    <w:name w:val="boxed text"/>
    <w:basedOn w:val="NICEnormal"/>
    <w:locked/>
    <w:rsid w:val="00D37F25"/>
    <w:pPr>
      <w:pBdr>
        <w:top w:val="single" w:sz="4" w:space="1" w:color="auto"/>
        <w:left w:val="single" w:sz="4" w:space="4" w:color="auto"/>
        <w:bottom w:val="single" w:sz="4" w:space="1" w:color="auto"/>
        <w:right w:val="single" w:sz="4" w:space="4" w:color="auto"/>
      </w:pBdr>
      <w:shd w:val="clear" w:color="auto" w:fill="E6E6E6"/>
    </w:pPr>
  </w:style>
  <w:style w:type="paragraph" w:styleId="Header">
    <w:name w:val="header"/>
    <w:basedOn w:val="NICEnormalsinglespacing"/>
    <w:link w:val="HeaderChar"/>
    <w:uiPriority w:val="99"/>
    <w:rsid w:val="00F33119"/>
    <w:pPr>
      <w:tabs>
        <w:tab w:val="center" w:pos="4153"/>
        <w:tab w:val="right" w:pos="8306"/>
      </w:tabs>
      <w:ind w:left="4153"/>
    </w:pPr>
    <w:rPr>
      <w:b/>
    </w:rPr>
  </w:style>
  <w:style w:type="paragraph" w:styleId="Footer">
    <w:name w:val="footer"/>
    <w:basedOn w:val="NICEnormalsinglespacing"/>
    <w:link w:val="FooterChar"/>
    <w:rsid w:val="00F33119"/>
    <w:pPr>
      <w:tabs>
        <w:tab w:val="center" w:pos="4153"/>
        <w:tab w:val="right" w:pos="8306"/>
      </w:tabs>
      <w:spacing w:after="0"/>
    </w:pPr>
    <w:rPr>
      <w:sz w:val="16"/>
    </w:rPr>
  </w:style>
  <w:style w:type="character" w:styleId="PageNumber">
    <w:name w:val="page number"/>
    <w:locked/>
    <w:rsid w:val="00A86D3D"/>
    <w:rPr>
      <w:rFonts w:ascii="Arial" w:hAnsi="Arial"/>
      <w:sz w:val="24"/>
    </w:rPr>
  </w:style>
  <w:style w:type="paragraph" w:customStyle="1" w:styleId="Bulletindent1last">
    <w:name w:val="Bullet indent 1 last"/>
    <w:basedOn w:val="NICEnormal"/>
    <w:next w:val="NICEnormal"/>
    <w:rsid w:val="00F26E68"/>
    <w:pPr>
      <w:numPr>
        <w:numId w:val="18"/>
      </w:numPr>
    </w:pPr>
  </w:style>
  <w:style w:type="paragraph" w:customStyle="1" w:styleId="NICEnormalindented">
    <w:name w:val="NICE normal indented"/>
    <w:basedOn w:val="NICEnormal"/>
    <w:rsid w:val="00BD0372"/>
    <w:pPr>
      <w:tabs>
        <w:tab w:val="left" w:pos="1134"/>
      </w:tabs>
      <w:ind w:left="1134"/>
    </w:pPr>
  </w:style>
  <w:style w:type="paragraph" w:customStyle="1" w:styleId="Tabletext">
    <w:name w:val="Table text"/>
    <w:basedOn w:val="NICEnormalsinglespacing"/>
    <w:link w:val="TabletextChar"/>
    <w:qFormat/>
    <w:rsid w:val="00BD0372"/>
    <w:pPr>
      <w:keepNext/>
      <w:spacing w:after="60"/>
    </w:pPr>
    <w:rPr>
      <w:sz w:val="22"/>
    </w:rPr>
  </w:style>
  <w:style w:type="paragraph" w:customStyle="1" w:styleId="Tabletext9pt">
    <w:name w:val="Table text 9 pt"/>
    <w:basedOn w:val="Tabletext"/>
    <w:locked/>
    <w:rsid w:val="00F26E68"/>
    <w:rPr>
      <w:sz w:val="18"/>
    </w:rPr>
  </w:style>
  <w:style w:type="paragraph" w:customStyle="1" w:styleId="Section2paragraphs">
    <w:name w:val="Section 2 paragraphs"/>
    <w:basedOn w:val="NICEnormal"/>
    <w:locked/>
    <w:rsid w:val="00603E56"/>
    <w:pPr>
      <w:numPr>
        <w:numId w:val="19"/>
      </w:numPr>
    </w:pPr>
  </w:style>
  <w:style w:type="paragraph" w:customStyle="1" w:styleId="Section3paragraphs">
    <w:name w:val="Section 3 paragraphs"/>
    <w:basedOn w:val="NICEnormal"/>
    <w:locked/>
    <w:rsid w:val="00D37703"/>
    <w:pPr>
      <w:numPr>
        <w:numId w:val="7"/>
      </w:numPr>
    </w:pPr>
  </w:style>
  <w:style w:type="paragraph" w:customStyle="1" w:styleId="Section411paragraphs">
    <w:name w:val="Section 4.1.1 paragraphs"/>
    <w:basedOn w:val="NICEnormal"/>
    <w:locked/>
    <w:rsid w:val="00D37703"/>
    <w:pPr>
      <w:numPr>
        <w:numId w:val="8"/>
      </w:numPr>
    </w:pPr>
  </w:style>
  <w:style w:type="paragraph" w:customStyle="1" w:styleId="Section412paragraphs">
    <w:name w:val="Section 4.1.2 paragraphs"/>
    <w:basedOn w:val="NICEnormal"/>
    <w:locked/>
    <w:rsid w:val="00D37703"/>
    <w:pPr>
      <w:numPr>
        <w:numId w:val="9"/>
      </w:numPr>
    </w:pPr>
  </w:style>
  <w:style w:type="paragraph" w:customStyle="1" w:styleId="Section42paragraphs">
    <w:name w:val="Section 4.2 paragraphs"/>
    <w:basedOn w:val="NICEnormal"/>
    <w:locked/>
    <w:rsid w:val="00D37703"/>
    <w:pPr>
      <w:numPr>
        <w:numId w:val="10"/>
      </w:numPr>
    </w:pPr>
  </w:style>
  <w:style w:type="paragraph" w:customStyle="1" w:styleId="Section43paragraphs">
    <w:name w:val="Section 4.3 paragraphs"/>
    <w:basedOn w:val="NICEnormal"/>
    <w:locked/>
    <w:rsid w:val="00AB39FA"/>
    <w:pPr>
      <w:numPr>
        <w:numId w:val="11"/>
      </w:numPr>
    </w:pPr>
  </w:style>
  <w:style w:type="paragraph" w:customStyle="1" w:styleId="Appendixlevel1">
    <w:name w:val="Appendix level 1"/>
    <w:basedOn w:val="NICEnormal"/>
    <w:autoRedefine/>
    <w:locked/>
    <w:rsid w:val="004B514C"/>
    <w:pPr>
      <w:numPr>
        <w:numId w:val="12"/>
      </w:numPr>
      <w:spacing w:before="240"/>
    </w:pPr>
  </w:style>
  <w:style w:type="paragraph" w:customStyle="1" w:styleId="Appendixlevel2">
    <w:name w:val="Appendix level 2"/>
    <w:basedOn w:val="NICEnormal"/>
    <w:locked/>
    <w:rsid w:val="004B514C"/>
    <w:pPr>
      <w:numPr>
        <w:numId w:val="13"/>
      </w:numPr>
      <w:spacing w:before="240"/>
    </w:pPr>
  </w:style>
  <w:style w:type="paragraph" w:customStyle="1" w:styleId="Appendixbullet">
    <w:name w:val="Appendix bullet"/>
    <w:basedOn w:val="NICEnormal"/>
    <w:locked/>
    <w:rsid w:val="004B514C"/>
    <w:pPr>
      <w:numPr>
        <w:numId w:val="14"/>
      </w:numPr>
      <w:spacing w:after="0" w:line="240" w:lineRule="auto"/>
    </w:pPr>
  </w:style>
  <w:style w:type="paragraph" w:customStyle="1" w:styleId="Evidencestatement">
    <w:name w:val="Evidence statement"/>
    <w:basedOn w:val="Numberedlevel4text"/>
    <w:next w:val="NICEnormal"/>
    <w:qFormat/>
    <w:locked/>
    <w:rsid w:val="00F26E68"/>
    <w:pPr>
      <w:numPr>
        <w:ilvl w:val="0"/>
        <w:numId w:val="0"/>
      </w:numPr>
    </w:pPr>
    <w:rPr>
      <w:i/>
    </w:rPr>
  </w:style>
  <w:style w:type="paragraph" w:styleId="TOC1">
    <w:name w:val="toc 1"/>
    <w:basedOn w:val="Normal"/>
    <w:next w:val="Normal"/>
    <w:locked/>
    <w:rsid w:val="00F26E68"/>
    <w:rPr>
      <w:rFonts w:ascii="Arial" w:hAnsi="Arial"/>
    </w:rPr>
  </w:style>
  <w:style w:type="paragraph" w:styleId="TOC2">
    <w:name w:val="toc 2"/>
    <w:basedOn w:val="Normal"/>
    <w:next w:val="Normal"/>
    <w:locked/>
    <w:rsid w:val="00F26E68"/>
    <w:pPr>
      <w:ind w:left="240"/>
    </w:pPr>
    <w:rPr>
      <w:rFonts w:ascii="Arial" w:hAnsi="Arial"/>
    </w:rPr>
  </w:style>
  <w:style w:type="paragraph" w:customStyle="1" w:styleId="AppendixBheading">
    <w:name w:val="Appendix B heading"/>
    <w:basedOn w:val="Heading1"/>
    <w:next w:val="NICEnormal"/>
    <w:qFormat/>
    <w:locked/>
    <w:rsid w:val="00F26E68"/>
    <w:pPr>
      <w:numPr>
        <w:numId w:val="16"/>
      </w:numPr>
    </w:pPr>
  </w:style>
  <w:style w:type="paragraph" w:customStyle="1" w:styleId="Evidencebullet">
    <w:name w:val="Evidence bullet"/>
    <w:basedOn w:val="Bulletindent1"/>
    <w:qFormat/>
    <w:locked/>
    <w:rsid w:val="00F26E68"/>
    <w:pPr>
      <w:numPr>
        <w:numId w:val="0"/>
      </w:numPr>
    </w:pPr>
    <w:rPr>
      <w:i/>
    </w:rPr>
  </w:style>
  <w:style w:type="paragraph" w:customStyle="1" w:styleId="Evidencebulletlast">
    <w:name w:val="Evidence bullet last"/>
    <w:basedOn w:val="Bulletindent1last"/>
    <w:qFormat/>
    <w:locked/>
    <w:rsid w:val="00F26E68"/>
    <w:pPr>
      <w:numPr>
        <w:numId w:val="0"/>
      </w:numPr>
    </w:pPr>
    <w:rPr>
      <w:i/>
    </w:rPr>
  </w:style>
  <w:style w:type="paragraph" w:customStyle="1" w:styleId="Section21paragraphs">
    <w:name w:val="Section 2.1 paragraphs"/>
    <w:basedOn w:val="NICEnormal"/>
    <w:qFormat/>
    <w:locked/>
    <w:rsid w:val="00603E56"/>
    <w:pPr>
      <w:numPr>
        <w:numId w:val="20"/>
      </w:numPr>
      <w:tabs>
        <w:tab w:val="left" w:pos="1134"/>
      </w:tabs>
    </w:pPr>
  </w:style>
  <w:style w:type="paragraph" w:customStyle="1" w:styleId="Section22paragraphs">
    <w:name w:val="Section 2.2 paragraphs"/>
    <w:basedOn w:val="Section21paragraphs"/>
    <w:qFormat/>
    <w:locked/>
    <w:rsid w:val="00603E56"/>
    <w:pPr>
      <w:numPr>
        <w:numId w:val="0"/>
      </w:numPr>
    </w:pPr>
  </w:style>
  <w:style w:type="paragraph" w:customStyle="1" w:styleId="Guidanceissuedate">
    <w:name w:val="Guidance issue date"/>
    <w:basedOn w:val="Normal"/>
    <w:qFormat/>
    <w:rsid w:val="00737F9C"/>
    <w:pPr>
      <w:spacing w:after="240" w:line="360" w:lineRule="auto"/>
    </w:pPr>
    <w:rPr>
      <w:rFonts w:ascii="Arial" w:hAnsi="Arial"/>
    </w:rPr>
  </w:style>
  <w:style w:type="paragraph" w:customStyle="1" w:styleId="Documentissuedate">
    <w:name w:val="Document issue date"/>
    <w:basedOn w:val="Guidanceissuedate"/>
    <w:qFormat/>
    <w:locked/>
    <w:rsid w:val="00737F9C"/>
  </w:style>
  <w:style w:type="paragraph" w:customStyle="1" w:styleId="Title20">
    <w:name w:val="Title 2"/>
    <w:basedOn w:val="Normal"/>
    <w:qFormat/>
    <w:rsid w:val="003D3B28"/>
    <w:pPr>
      <w:keepNext/>
      <w:spacing w:before="240" w:after="240"/>
      <w:jc w:val="center"/>
      <w:outlineLvl w:val="0"/>
    </w:pPr>
    <w:rPr>
      <w:rFonts w:ascii="Arial" w:hAnsi="Arial" w:cs="Arial"/>
      <w:b/>
      <w:kern w:val="28"/>
      <w:sz w:val="32"/>
      <w:szCs w:val="32"/>
    </w:rPr>
  </w:style>
  <w:style w:type="paragraph" w:styleId="Caption">
    <w:name w:val="caption"/>
    <w:basedOn w:val="Heading3"/>
    <w:next w:val="NICEnormal"/>
    <w:unhideWhenUsed/>
    <w:qFormat/>
    <w:rsid w:val="006E0F0C"/>
    <w:pPr>
      <w:spacing w:after="200"/>
    </w:pPr>
    <w:rPr>
      <w:bCs w:val="0"/>
      <w:iCs/>
      <w:sz w:val="24"/>
      <w:szCs w:val="18"/>
    </w:rPr>
  </w:style>
  <w:style w:type="table" w:styleId="TableGrid">
    <w:name w:val="Table Grid"/>
    <w:basedOn w:val="TableNormal"/>
    <w:locked/>
    <w:rsid w:val="00BF47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boardreport">
    <w:name w:val="Table heading board report"/>
    <w:basedOn w:val="Tabletext"/>
    <w:qFormat/>
    <w:rsid w:val="006E0F0C"/>
    <w:rPr>
      <w:b/>
    </w:rPr>
  </w:style>
  <w:style w:type="paragraph" w:customStyle="1" w:styleId="Tablebullet">
    <w:name w:val="Table bullet"/>
    <w:basedOn w:val="Tabletext"/>
    <w:qFormat/>
    <w:rsid w:val="00BF4768"/>
    <w:pPr>
      <w:numPr>
        <w:numId w:val="21"/>
      </w:numPr>
    </w:pPr>
  </w:style>
  <w:style w:type="paragraph" w:styleId="Quote">
    <w:name w:val="Quote"/>
    <w:basedOn w:val="NICEnormal"/>
    <w:next w:val="NICEnormal"/>
    <w:link w:val="QuoteChar"/>
    <w:uiPriority w:val="29"/>
    <w:qFormat/>
    <w:locked/>
    <w:rsid w:val="00CB6BEB"/>
    <w:pPr>
      <w:spacing w:before="200" w:after="160"/>
      <w:ind w:left="864" w:right="864"/>
      <w:jc w:val="center"/>
    </w:pPr>
    <w:rPr>
      <w:iCs/>
    </w:rPr>
  </w:style>
  <w:style w:type="character" w:customStyle="1" w:styleId="QuoteChar">
    <w:name w:val="Quote Char"/>
    <w:basedOn w:val="DefaultParagraphFont"/>
    <w:link w:val="Quote"/>
    <w:uiPriority w:val="29"/>
    <w:rsid w:val="00CB6BEB"/>
    <w:rPr>
      <w:rFonts w:ascii="Arial" w:hAnsi="Arial"/>
      <w:iCs/>
      <w:sz w:val="24"/>
      <w:szCs w:val="24"/>
      <w:lang w:eastAsia="en-US"/>
    </w:rPr>
  </w:style>
  <w:style w:type="character" w:styleId="SubtleReference">
    <w:name w:val="Subtle Reference"/>
    <w:basedOn w:val="DefaultParagraphFont"/>
    <w:uiPriority w:val="31"/>
    <w:qFormat/>
    <w:locked/>
    <w:rsid w:val="00D60D8D"/>
  </w:style>
  <w:style w:type="character" w:customStyle="1" w:styleId="NICEnormalChar">
    <w:name w:val="NICE normal Char"/>
    <w:link w:val="NICEnormal"/>
    <w:rsid w:val="000C4168"/>
    <w:rPr>
      <w:rFonts w:ascii="Arial" w:hAnsi="Arial"/>
      <w:sz w:val="24"/>
      <w:szCs w:val="24"/>
      <w:lang w:eastAsia="en-US"/>
    </w:rPr>
  </w:style>
  <w:style w:type="table" w:customStyle="1" w:styleId="PanelDefault">
    <w:name w:val="Panel (Default)"/>
    <w:basedOn w:val="TableNormal"/>
    <w:uiPriority w:val="99"/>
    <w:rsid w:val="000C4168"/>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Primary">
    <w:name w:val="Panel (Primary)"/>
    <w:basedOn w:val="TableNormal"/>
    <w:uiPriority w:val="99"/>
    <w:rsid w:val="000C4168"/>
    <w:pPr>
      <w:spacing w:after="240"/>
    </w:pPr>
    <w:tblPr>
      <w:tblBorders>
        <w:top w:val="single" w:sz="24" w:space="0" w:color="A2BDC1"/>
        <w:left w:val="single" w:sz="24" w:space="0" w:color="A2BDC1"/>
        <w:bottom w:val="single" w:sz="24" w:space="0" w:color="A2BDC1"/>
        <w:right w:val="single" w:sz="24" w:space="0" w:color="A2BDC1"/>
      </w:tblBorders>
    </w:tblPr>
  </w:style>
  <w:style w:type="table" w:customStyle="1" w:styleId="PanelImpact">
    <w:name w:val="Panel (Impact)"/>
    <w:basedOn w:val="TableNormal"/>
    <w:uiPriority w:val="99"/>
    <w:rsid w:val="000C4168"/>
    <w:rPr>
      <w:color w:val="FFFFFF"/>
    </w:rPr>
    <w:tblPr>
      <w:tblBorders>
        <w:top w:val="single" w:sz="8" w:space="0" w:color="314C60"/>
        <w:left w:val="single" w:sz="8" w:space="0" w:color="314C60"/>
        <w:bottom w:val="single" w:sz="8" w:space="0" w:color="314C60"/>
        <w:right w:val="single" w:sz="8" w:space="0" w:color="314C60"/>
      </w:tblBorders>
    </w:tblPr>
    <w:tcPr>
      <w:shd w:val="clear" w:color="auto" w:fill="517489"/>
    </w:tcPr>
  </w:style>
  <w:style w:type="character" w:styleId="Hyperlink">
    <w:name w:val="Hyperlink"/>
    <w:basedOn w:val="DefaultParagraphFont"/>
    <w:unhideWhenUsed/>
    <w:rsid w:val="00A24C1C"/>
    <w:rPr>
      <w:color w:val="0563C1" w:themeColor="hyperlink"/>
      <w:u w:val="single"/>
    </w:rPr>
  </w:style>
  <w:style w:type="paragraph" w:customStyle="1" w:styleId="Panelhyperlink">
    <w:name w:val="Panel hyperlink"/>
    <w:basedOn w:val="NICEnormal"/>
    <w:next w:val="NICEnormal"/>
    <w:qFormat/>
    <w:locked/>
    <w:rsid w:val="00A24C1C"/>
    <w:rPr>
      <w:color w:val="FFFFFF" w:themeColor="background1"/>
      <w:u w:val="single"/>
    </w:rPr>
  </w:style>
  <w:style w:type="paragraph" w:customStyle="1" w:styleId="Panelbullet1">
    <w:name w:val="Panel bullet 1"/>
    <w:basedOn w:val="ListParagraph"/>
    <w:qFormat/>
    <w:locked/>
    <w:rsid w:val="00A24C1C"/>
    <w:pPr>
      <w:numPr>
        <w:numId w:val="22"/>
      </w:numPr>
      <w:tabs>
        <w:tab w:val="num" w:pos="360"/>
        <w:tab w:val="num" w:pos="1134"/>
      </w:tabs>
      <w:ind w:left="1134" w:hanging="454"/>
    </w:pPr>
    <w:rPr>
      <w:rFonts w:ascii="Arial" w:hAnsi="Arial"/>
    </w:rPr>
  </w:style>
  <w:style w:type="paragraph" w:styleId="ListParagraph">
    <w:name w:val="List Paragraph"/>
    <w:basedOn w:val="Normal"/>
    <w:uiPriority w:val="34"/>
    <w:qFormat/>
    <w:locked/>
    <w:rsid w:val="00A24C1C"/>
    <w:pPr>
      <w:ind w:left="720"/>
      <w:contextualSpacing/>
    </w:pPr>
  </w:style>
  <w:style w:type="character" w:styleId="SubtleEmphasis">
    <w:name w:val="Subtle Emphasis"/>
    <w:basedOn w:val="DefaultParagraphFont"/>
    <w:uiPriority w:val="19"/>
    <w:qFormat/>
    <w:locked/>
    <w:rsid w:val="002169E7"/>
    <w:rPr>
      <w:i/>
      <w:iCs/>
      <w:color w:val="404040" w:themeColor="text1" w:themeTint="BF"/>
    </w:rPr>
  </w:style>
  <w:style w:type="character" w:customStyle="1" w:styleId="StyleSubtleReferenceArialAutoNotSmallcaps">
    <w:name w:val="Style Subtle Reference + Arial Auto Not Small caps"/>
    <w:basedOn w:val="SubtleReference"/>
    <w:locked/>
    <w:rsid w:val="00CB6BEB"/>
    <w:rPr>
      <w:rFonts w:ascii="Arial" w:hAnsi="Arial"/>
      <w:smallCaps/>
      <w:color w:val="auto"/>
    </w:rPr>
  </w:style>
  <w:style w:type="paragraph" w:customStyle="1" w:styleId="Title1">
    <w:name w:val="Title 1"/>
    <w:basedOn w:val="Normal"/>
    <w:qFormat/>
    <w:rsid w:val="003D3B28"/>
    <w:pPr>
      <w:keepNext/>
      <w:spacing w:before="240" w:after="240"/>
      <w:jc w:val="center"/>
      <w:outlineLvl w:val="0"/>
    </w:pPr>
    <w:rPr>
      <w:rFonts w:ascii="Arial" w:hAnsi="Arial" w:cs="Arial"/>
      <w:b/>
      <w:bCs/>
      <w:kern w:val="28"/>
      <w:sz w:val="40"/>
      <w:szCs w:val="32"/>
    </w:rPr>
  </w:style>
  <w:style w:type="character" w:customStyle="1" w:styleId="Bulletleft1lastChar">
    <w:name w:val="Bullet left 1 last Char"/>
    <w:link w:val="Bulletleft1last"/>
    <w:rsid w:val="00B84BC1"/>
    <w:rPr>
      <w:rFonts w:ascii="Arial" w:hAnsi="Arial" w:cs="Arial"/>
      <w:sz w:val="24"/>
      <w:szCs w:val="24"/>
      <w:lang w:eastAsia="en-US"/>
    </w:rPr>
  </w:style>
  <w:style w:type="character" w:styleId="Emphasis">
    <w:name w:val="Emphasis"/>
    <w:basedOn w:val="DefaultParagraphFont"/>
    <w:qFormat/>
    <w:rsid w:val="002535B1"/>
    <w:rPr>
      <w:i/>
      <w:iCs/>
    </w:rPr>
  </w:style>
  <w:style w:type="paragraph" w:styleId="BalloonText">
    <w:name w:val="Balloon Text"/>
    <w:basedOn w:val="Normal"/>
    <w:link w:val="BalloonTextChar"/>
    <w:locked/>
    <w:rsid w:val="004914C0"/>
    <w:rPr>
      <w:rFonts w:ascii="Segoe UI" w:hAnsi="Segoe UI" w:cs="Segoe UI"/>
      <w:sz w:val="18"/>
      <w:szCs w:val="18"/>
    </w:rPr>
  </w:style>
  <w:style w:type="character" w:customStyle="1" w:styleId="BalloonTextChar">
    <w:name w:val="Balloon Text Char"/>
    <w:basedOn w:val="DefaultParagraphFont"/>
    <w:link w:val="BalloonText"/>
    <w:rsid w:val="004914C0"/>
    <w:rPr>
      <w:rFonts w:ascii="Segoe UI" w:hAnsi="Segoe UI" w:cs="Segoe UI"/>
      <w:sz w:val="18"/>
      <w:szCs w:val="18"/>
      <w:lang w:eastAsia="en-US"/>
    </w:rPr>
  </w:style>
  <w:style w:type="paragraph" w:customStyle="1" w:styleId="Heading1boardreport">
    <w:name w:val="Heading 1 board report"/>
    <w:basedOn w:val="Heading1"/>
    <w:next w:val="NICEnormal"/>
    <w:link w:val="Heading1boardreportChar"/>
    <w:qFormat/>
    <w:rsid w:val="003D3B28"/>
  </w:style>
  <w:style w:type="paragraph" w:styleId="BodyText3">
    <w:name w:val="Body Text 3"/>
    <w:basedOn w:val="Normal"/>
    <w:link w:val="BodyText3Char"/>
    <w:locked/>
    <w:rsid w:val="004914C0"/>
    <w:pPr>
      <w:spacing w:after="120"/>
    </w:pPr>
    <w:rPr>
      <w:sz w:val="16"/>
      <w:szCs w:val="16"/>
    </w:rPr>
  </w:style>
  <w:style w:type="character" w:customStyle="1" w:styleId="BodyText3Char">
    <w:name w:val="Body Text 3 Char"/>
    <w:basedOn w:val="DefaultParagraphFont"/>
    <w:link w:val="BodyText3"/>
    <w:rsid w:val="004914C0"/>
    <w:rPr>
      <w:sz w:val="16"/>
      <w:szCs w:val="16"/>
      <w:lang w:eastAsia="en-US"/>
    </w:rPr>
  </w:style>
  <w:style w:type="paragraph" w:customStyle="1" w:styleId="Heading2boardreport">
    <w:name w:val="Heading 2 board report"/>
    <w:basedOn w:val="Heading2"/>
    <w:next w:val="NICEnormal"/>
    <w:qFormat/>
    <w:rsid w:val="006E0F0C"/>
  </w:style>
  <w:style w:type="paragraph" w:customStyle="1" w:styleId="Heading3boardreport">
    <w:name w:val="Heading 3 board report"/>
    <w:basedOn w:val="Heading3"/>
    <w:next w:val="NICEnormal"/>
    <w:qFormat/>
    <w:rsid w:val="006E0F0C"/>
  </w:style>
  <w:style w:type="paragraph" w:customStyle="1" w:styleId="Paragraph">
    <w:name w:val="Paragraph"/>
    <w:basedOn w:val="Paragraphnonumbers"/>
    <w:uiPriority w:val="99"/>
    <w:qFormat/>
    <w:locked/>
    <w:rsid w:val="009B1D56"/>
    <w:pPr>
      <w:numPr>
        <w:numId w:val="25"/>
      </w:numPr>
      <w:tabs>
        <w:tab w:val="left" w:pos="426"/>
      </w:tabs>
      <w:ind w:left="360"/>
    </w:pPr>
    <w:rPr>
      <w:noProof/>
    </w:rPr>
  </w:style>
  <w:style w:type="paragraph" w:customStyle="1" w:styleId="Bullets">
    <w:name w:val="Bullets"/>
    <w:basedOn w:val="Normal"/>
    <w:uiPriority w:val="5"/>
    <w:qFormat/>
    <w:locked/>
    <w:rsid w:val="009C6E2D"/>
    <w:pPr>
      <w:numPr>
        <w:numId w:val="23"/>
      </w:numPr>
      <w:spacing w:after="120" w:line="276" w:lineRule="auto"/>
    </w:pPr>
    <w:rPr>
      <w:rFonts w:ascii="Arial" w:hAnsi="Arial"/>
      <w:lang w:eastAsia="en-GB"/>
    </w:rPr>
  </w:style>
  <w:style w:type="character" w:customStyle="1" w:styleId="HeaderChar">
    <w:name w:val="Header Char"/>
    <w:link w:val="Header"/>
    <w:uiPriority w:val="99"/>
    <w:rsid w:val="00F33119"/>
    <w:rPr>
      <w:rFonts w:ascii="Arial" w:hAnsi="Arial"/>
      <w:b/>
      <w:sz w:val="24"/>
      <w:szCs w:val="24"/>
      <w:lang w:eastAsia="en-US"/>
    </w:rPr>
  </w:style>
  <w:style w:type="character" w:customStyle="1" w:styleId="FooterChar">
    <w:name w:val="Footer Char"/>
    <w:link w:val="Footer"/>
    <w:rsid w:val="00F33119"/>
    <w:rPr>
      <w:rFonts w:ascii="Arial" w:hAnsi="Arial"/>
      <w:sz w:val="16"/>
      <w:szCs w:val="24"/>
      <w:lang w:eastAsia="en-US"/>
    </w:rPr>
  </w:style>
  <w:style w:type="paragraph" w:customStyle="1" w:styleId="Subbullets">
    <w:name w:val="Sub bullets"/>
    <w:basedOn w:val="Normal"/>
    <w:uiPriority w:val="6"/>
    <w:qFormat/>
    <w:locked/>
    <w:rsid w:val="00EB1C36"/>
    <w:pPr>
      <w:numPr>
        <w:numId w:val="24"/>
      </w:numPr>
      <w:spacing w:after="120" w:line="276" w:lineRule="auto"/>
      <w:ind w:left="1418" w:hanging="284"/>
    </w:pPr>
    <w:rPr>
      <w:rFonts w:ascii="Arial" w:hAnsi="Arial"/>
      <w:lang w:eastAsia="en-GB"/>
    </w:rPr>
  </w:style>
  <w:style w:type="paragraph" w:customStyle="1" w:styleId="Paragraphnonumbers">
    <w:name w:val="Paragraph no numbers"/>
    <w:basedOn w:val="Normal"/>
    <w:link w:val="ParagraphnonumbersChar"/>
    <w:uiPriority w:val="99"/>
    <w:qFormat/>
    <w:locked/>
    <w:rsid w:val="00EB1C36"/>
    <w:pPr>
      <w:spacing w:after="240" w:line="276" w:lineRule="auto"/>
    </w:pPr>
    <w:rPr>
      <w:rFonts w:ascii="Arial" w:hAnsi="Arial"/>
      <w:lang w:eastAsia="en-GB"/>
    </w:rPr>
  </w:style>
  <w:style w:type="character" w:customStyle="1" w:styleId="Heading1boardreportChar">
    <w:name w:val="Heading 1 board report Char"/>
    <w:basedOn w:val="Heading1Char"/>
    <w:link w:val="Heading1boardreport"/>
    <w:rsid w:val="003D3B28"/>
    <w:rPr>
      <w:rFonts w:ascii="Arial" w:hAnsi="Arial" w:cs="Arial"/>
      <w:b/>
      <w:bCs/>
      <w:kern w:val="32"/>
      <w:sz w:val="32"/>
      <w:szCs w:val="32"/>
      <w:lang w:val="en-US" w:eastAsia="en-US" w:bidi="ar-SA"/>
    </w:rPr>
  </w:style>
  <w:style w:type="character" w:customStyle="1" w:styleId="ParagraphnonumbersChar">
    <w:name w:val="Paragraph no numbers Char"/>
    <w:basedOn w:val="DefaultParagraphFont"/>
    <w:link w:val="Paragraphnonumbers"/>
    <w:uiPriority w:val="99"/>
    <w:rsid w:val="00EB1C36"/>
    <w:rPr>
      <w:rFonts w:ascii="Arial" w:hAnsi="Arial"/>
      <w:sz w:val="24"/>
      <w:szCs w:val="24"/>
    </w:rPr>
  </w:style>
  <w:style w:type="paragraph" w:customStyle="1" w:styleId="Tablecolumnheading">
    <w:name w:val="Table column heading"/>
    <w:basedOn w:val="Tabletext"/>
    <w:link w:val="TablecolumnheadingChar"/>
    <w:qFormat/>
    <w:locked/>
    <w:rsid w:val="00EB1C36"/>
    <w:pPr>
      <w:keepNext w:val="0"/>
      <w:spacing w:before="60" w:line="276" w:lineRule="auto"/>
    </w:pPr>
    <w:rPr>
      <w:b/>
    </w:rPr>
  </w:style>
  <w:style w:type="paragraph" w:customStyle="1" w:styleId="Tableandgraphheading">
    <w:name w:val="Table and graph heading"/>
    <w:basedOn w:val="Heading3"/>
    <w:link w:val="TableandgraphheadingChar"/>
    <w:qFormat/>
    <w:locked/>
    <w:rsid w:val="00EB1C36"/>
    <w:pPr>
      <w:spacing w:before="0" w:line="240" w:lineRule="auto"/>
    </w:pPr>
    <w:rPr>
      <w:rFonts w:cs="Times New Roman"/>
      <w:color w:val="00506A"/>
      <w:sz w:val="24"/>
      <w:lang w:eastAsia="en-GB"/>
    </w:rPr>
  </w:style>
  <w:style w:type="character" w:customStyle="1" w:styleId="TabletextChar">
    <w:name w:val="Table text Char"/>
    <w:basedOn w:val="DefaultParagraphFont"/>
    <w:link w:val="Tabletext"/>
    <w:rsid w:val="00EB1C36"/>
    <w:rPr>
      <w:rFonts w:ascii="Arial" w:hAnsi="Arial"/>
      <w:sz w:val="22"/>
      <w:szCs w:val="24"/>
      <w:lang w:eastAsia="en-US"/>
    </w:rPr>
  </w:style>
  <w:style w:type="character" w:customStyle="1" w:styleId="TablecolumnheadingChar">
    <w:name w:val="Table column heading Char"/>
    <w:basedOn w:val="TabletextChar"/>
    <w:link w:val="Tablecolumnheading"/>
    <w:rsid w:val="00EB1C36"/>
    <w:rPr>
      <w:rFonts w:ascii="Arial" w:hAnsi="Arial"/>
      <w:b/>
      <w:sz w:val="22"/>
      <w:szCs w:val="24"/>
      <w:lang w:eastAsia="en-US"/>
    </w:rPr>
  </w:style>
  <w:style w:type="character" w:customStyle="1" w:styleId="TableandgraphheadingChar">
    <w:name w:val="Table and graph heading Char"/>
    <w:basedOn w:val="DefaultParagraphFont"/>
    <w:link w:val="Tableandgraphheading"/>
    <w:rsid w:val="00EB1C36"/>
    <w:rPr>
      <w:rFonts w:ascii="Arial" w:hAnsi="Arial"/>
      <w:b/>
      <w:bCs/>
      <w:color w:val="00506A"/>
      <w:sz w:val="24"/>
      <w:szCs w:val="26"/>
    </w:rPr>
  </w:style>
  <w:style w:type="paragraph" w:customStyle="1" w:styleId="Bulletslast">
    <w:name w:val="Bullets last"/>
    <w:basedOn w:val="Bullets"/>
    <w:qFormat/>
    <w:locked/>
    <w:rsid w:val="00EB1C36"/>
    <w:pPr>
      <w:spacing w:after="240"/>
    </w:pPr>
    <w:rPr>
      <w:szCs w:val="20"/>
    </w:rPr>
  </w:style>
  <w:style w:type="paragraph" w:customStyle="1" w:styleId="NICEnormalnumbered">
    <w:name w:val="NICE normal numbered"/>
    <w:basedOn w:val="Paragraph"/>
    <w:qFormat/>
    <w:rsid w:val="009871F3"/>
    <w:pPr>
      <w:spacing w:line="360" w:lineRule="auto"/>
    </w:pPr>
  </w:style>
  <w:style w:type="character" w:styleId="UnresolvedMention">
    <w:name w:val="Unresolved Mention"/>
    <w:basedOn w:val="DefaultParagraphFont"/>
    <w:uiPriority w:val="99"/>
    <w:semiHidden/>
    <w:unhideWhenUsed/>
    <w:locked/>
    <w:rsid w:val="00FB73D3"/>
    <w:rPr>
      <w:color w:val="605E5C"/>
      <w:shd w:val="clear" w:color="auto" w:fill="E1DFDD"/>
    </w:rPr>
  </w:style>
  <w:style w:type="character" w:styleId="CommentReference">
    <w:name w:val="annotation reference"/>
    <w:rsid w:val="00377E36"/>
    <w:rPr>
      <w:sz w:val="16"/>
      <w:szCs w:val="16"/>
    </w:rPr>
  </w:style>
  <w:style w:type="paragraph" w:styleId="CommentText">
    <w:name w:val="annotation text"/>
    <w:basedOn w:val="Normal"/>
    <w:link w:val="CommentTextChar"/>
    <w:rsid w:val="00377E36"/>
    <w:rPr>
      <w:sz w:val="20"/>
      <w:szCs w:val="20"/>
      <w:lang w:eastAsia="en-GB"/>
    </w:rPr>
  </w:style>
  <w:style w:type="character" w:customStyle="1" w:styleId="CommentTextChar">
    <w:name w:val="Comment Text Char"/>
    <w:basedOn w:val="DefaultParagraphFont"/>
    <w:link w:val="CommentText"/>
    <w:rsid w:val="00377E36"/>
  </w:style>
  <w:style w:type="paragraph" w:customStyle="1" w:styleId="Subbulletslast">
    <w:name w:val="Sub bullets last"/>
    <w:basedOn w:val="Subbullets"/>
    <w:qFormat/>
    <w:locked/>
    <w:rsid w:val="00BD246E"/>
    <w:pPr>
      <w:numPr>
        <w:numId w:val="0"/>
      </w:numPr>
      <w:tabs>
        <w:tab w:val="num" w:pos="1418"/>
      </w:tabs>
      <w:spacing w:after="240"/>
      <w:ind w:left="1418" w:hanging="284"/>
    </w:pPr>
    <w:rPr>
      <w:szCs w:val="20"/>
    </w:rPr>
  </w:style>
  <w:style w:type="paragraph" w:customStyle="1" w:styleId="Bulletindent2last">
    <w:name w:val="Bullet indent 2 last"/>
    <w:basedOn w:val="Bulletindent2"/>
    <w:next w:val="NICEnormal"/>
    <w:qFormat/>
    <w:rsid w:val="00485B88"/>
  </w:style>
  <w:style w:type="paragraph" w:customStyle="1" w:styleId="Commenttextred">
    <w:name w:val="Comment text red"/>
    <w:basedOn w:val="CommentText"/>
    <w:qFormat/>
    <w:rsid w:val="002526E6"/>
    <w:rPr>
      <w:color w:val="FF0000"/>
      <w:lang w:eastAsia="en-US"/>
    </w:rPr>
  </w:style>
  <w:style w:type="paragraph" w:customStyle="1" w:styleId="Commenttextbold">
    <w:name w:val="Comment text bold"/>
    <w:basedOn w:val="CommentText"/>
    <w:qFormat/>
    <w:rsid w:val="002526E6"/>
    <w:rPr>
      <w:b/>
      <w:lang w:val="x-none" w:eastAsia="en-US"/>
    </w:rPr>
  </w:style>
  <w:style w:type="paragraph" w:customStyle="1" w:styleId="Commenttextcyan">
    <w:name w:val="Comment text cyan"/>
    <w:basedOn w:val="CommentText"/>
    <w:qFormat/>
    <w:rsid w:val="002526E6"/>
    <w:rPr>
      <w:color w:val="0070C0"/>
      <w:lang w:val="x-none" w:eastAsia="en-US"/>
    </w:rPr>
  </w:style>
  <w:style w:type="paragraph" w:customStyle="1" w:styleId="Commenttextgreen">
    <w:name w:val="Comment text green"/>
    <w:basedOn w:val="CommentText"/>
    <w:qFormat/>
    <w:rsid w:val="002526E6"/>
    <w:rPr>
      <w:color w:val="00B050"/>
      <w:lang w:val="x-none" w:eastAsia="en-US"/>
    </w:rPr>
  </w:style>
  <w:style w:type="paragraph" w:customStyle="1" w:styleId="Commenttextitalic">
    <w:name w:val="Comment text italic"/>
    <w:basedOn w:val="CommentText"/>
    <w:qFormat/>
    <w:rsid w:val="002526E6"/>
    <w:rPr>
      <w:i/>
      <w:lang w:val="x-none" w:eastAsia="en-US"/>
    </w:rPr>
  </w:style>
  <w:style w:type="character" w:customStyle="1" w:styleId="Characterbold">
    <w:name w:val="Character bold"/>
    <w:basedOn w:val="DefaultParagraphFont"/>
    <w:uiPriority w:val="1"/>
    <w:qFormat/>
    <w:rsid w:val="002526E6"/>
    <w:rPr>
      <w:b/>
    </w:rPr>
  </w:style>
  <w:style w:type="character" w:customStyle="1" w:styleId="Characteritalic">
    <w:name w:val="Character italic"/>
    <w:basedOn w:val="Characterbold"/>
    <w:uiPriority w:val="1"/>
    <w:qFormat/>
    <w:rsid w:val="002526E6"/>
    <w:rPr>
      <w:b w:val="0"/>
      <w:i/>
    </w:rPr>
  </w:style>
  <w:style w:type="character" w:customStyle="1" w:styleId="Characterpurple">
    <w:name w:val="Character purple"/>
    <w:basedOn w:val="DefaultParagraphFont"/>
    <w:uiPriority w:val="1"/>
    <w:qFormat/>
    <w:rsid w:val="00251D56"/>
    <w:rPr>
      <w:color w:val="990099"/>
    </w:rPr>
  </w:style>
  <w:style w:type="paragraph" w:customStyle="1" w:styleId="Commenttextnavy">
    <w:name w:val="Comment text navy"/>
    <w:basedOn w:val="Commenttextred"/>
    <w:rsid w:val="00FB47DD"/>
    <w:rPr>
      <w:color w:val="000066"/>
    </w:rPr>
  </w:style>
  <w:style w:type="paragraph" w:customStyle="1" w:styleId="Commenttextpurple">
    <w:name w:val="Comment text purple"/>
    <w:basedOn w:val="Commenttextgreen"/>
    <w:rsid w:val="00FB47DD"/>
    <w:rPr>
      <w:color w:val="990099"/>
    </w:rPr>
  </w:style>
  <w:style w:type="character" w:customStyle="1" w:styleId="StyleCharacterpurpleArialCustomColorRGB1530153">
    <w:name w:val="Style Character purple + Arial Custom Color(RGB(1530153))"/>
    <w:basedOn w:val="Characterpurple"/>
    <w:locked/>
    <w:rsid w:val="00251D56"/>
    <w:rPr>
      <w:rFonts w:ascii="Arial" w:hAnsi="Arial"/>
      <w:color w:val="990099"/>
    </w:rPr>
  </w:style>
  <w:style w:type="paragraph" w:customStyle="1" w:styleId="Cyan">
    <w:name w:val="Cyan"/>
    <w:basedOn w:val="NICEnormal"/>
    <w:qFormat/>
    <w:rsid w:val="000242AA"/>
  </w:style>
  <w:style w:type="character" w:customStyle="1" w:styleId="Charactercyan">
    <w:name w:val="Character cyan"/>
    <w:basedOn w:val="Characterpurple"/>
    <w:rsid w:val="000242AA"/>
    <w:rPr>
      <w:rFonts w:ascii="Arial" w:hAnsi="Arial"/>
      <w:color w:val="0070C0"/>
    </w:rPr>
  </w:style>
  <w:style w:type="character" w:customStyle="1" w:styleId="Characternavy">
    <w:name w:val="Character navy"/>
    <w:basedOn w:val="Charactercyan"/>
    <w:rsid w:val="000242AA"/>
    <w:rPr>
      <w:rFonts w:ascii="Arial" w:hAnsi="Arial"/>
      <w:color w:val="000066"/>
    </w:rPr>
  </w:style>
  <w:style w:type="paragraph" w:customStyle="1" w:styleId="StyleNICEnormalBold">
    <w:name w:val="Style NICE normal + Bold"/>
    <w:basedOn w:val="NICEnormal"/>
    <w:rsid w:val="00BA51EA"/>
    <w:rPr>
      <w:b/>
      <w:bCs/>
    </w:rPr>
  </w:style>
  <w:style w:type="paragraph" w:customStyle="1" w:styleId="Title16pt">
    <w:name w:val="Title 16 pt"/>
    <w:basedOn w:val="Normal"/>
    <w:rsid w:val="005614AA"/>
    <w:pPr>
      <w:keepNext/>
      <w:spacing w:before="240" w:after="240"/>
      <w:jc w:val="center"/>
      <w:outlineLvl w:val="0"/>
    </w:pPr>
    <w:rPr>
      <w:rFonts w:ascii="Arial" w:hAnsi="Arial" w:cs="Arial"/>
      <w:b/>
      <w:bCs/>
      <w:kern w:val="28"/>
      <w:sz w:val="32"/>
      <w:szCs w:val="32"/>
    </w:rPr>
  </w:style>
  <w:style w:type="table" w:styleId="TableGridLight">
    <w:name w:val="Grid Table Light"/>
    <w:basedOn w:val="TableNormal"/>
    <w:uiPriority w:val="40"/>
    <w:locked/>
    <w:rsid w:val="003C054C"/>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odyTextIndent3">
    <w:name w:val="Body Text Indent 3"/>
    <w:basedOn w:val="Normal"/>
    <w:link w:val="BodyTextIndent3Char"/>
    <w:locked/>
    <w:rsid w:val="007B7208"/>
    <w:pPr>
      <w:ind w:left="567"/>
    </w:pPr>
    <w:rPr>
      <w:rFonts w:ascii="Arial" w:hAnsi="Arial"/>
      <w:u w:val="single"/>
      <w:lang w:eastAsia="en-GB"/>
    </w:rPr>
  </w:style>
  <w:style w:type="character" w:customStyle="1" w:styleId="BodyTextIndent3Char">
    <w:name w:val="Body Text Indent 3 Char"/>
    <w:basedOn w:val="DefaultParagraphFont"/>
    <w:link w:val="BodyTextIndent3"/>
    <w:rsid w:val="007B7208"/>
    <w:rPr>
      <w:rFonts w:ascii="Arial" w:hAnsi="Arial"/>
      <w:sz w:val="24"/>
      <w:szCs w:val="24"/>
      <w:u w:val="single"/>
    </w:rPr>
  </w:style>
  <w:style w:type="paragraph" w:styleId="Revision">
    <w:name w:val="Revision"/>
    <w:hidden/>
    <w:uiPriority w:val="99"/>
    <w:semiHidden/>
    <w:rsid w:val="002A02AE"/>
    <w:rPr>
      <w:sz w:val="24"/>
      <w:szCs w:val="24"/>
      <w:lang w:eastAsia="en-US"/>
    </w:rPr>
  </w:style>
  <w:style w:type="paragraph" w:styleId="CommentSubject">
    <w:name w:val="annotation subject"/>
    <w:basedOn w:val="CommentText"/>
    <w:next w:val="CommentText"/>
    <w:link w:val="CommentSubjectChar"/>
    <w:rsid w:val="002A02AE"/>
    <w:rPr>
      <w:b/>
      <w:bCs/>
      <w:lang w:eastAsia="en-US"/>
    </w:rPr>
  </w:style>
  <w:style w:type="character" w:customStyle="1" w:styleId="CommentSubjectChar">
    <w:name w:val="Comment Subject Char"/>
    <w:basedOn w:val="CommentTextChar"/>
    <w:link w:val="CommentSubject"/>
    <w:rsid w:val="002A02AE"/>
    <w:rPr>
      <w:b/>
      <w:bCs/>
      <w:lang w:eastAsia="en-US"/>
    </w:rPr>
  </w:style>
  <w:style w:type="paragraph" w:customStyle="1" w:styleId="Default">
    <w:name w:val="Default"/>
    <w:rsid w:val="00603EC3"/>
    <w:pPr>
      <w:autoSpaceDE w:val="0"/>
      <w:autoSpaceDN w:val="0"/>
      <w:adjustRightInd w:val="0"/>
    </w:pPr>
    <w:rPr>
      <w:color w:val="000000"/>
      <w:sz w:val="24"/>
      <w:szCs w:val="24"/>
    </w:rPr>
  </w:style>
  <w:style w:type="character" w:styleId="Strong">
    <w:name w:val="Strong"/>
    <w:basedOn w:val="DefaultParagraphFont"/>
    <w:uiPriority w:val="22"/>
    <w:qFormat/>
    <w:locked/>
    <w:rsid w:val="000E680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hfma.org.uk/publications/nhs-audit-committee-handbook?_cldee=WqFreOYkLMdOb31mnz2U_xO5XQady6cwpKHt5aSK_yWjPTLemfreD-KSNQxzpxNYK2nld0mYjLI8FCGBokx5YQ&amp;recipientid=contact-e0489a918b24ed11b83d0022489b04a4-429223ed3ffe45b1a4b8e2f9f832cbe6&amp;esid=61a51d72-41e1-ee11-904c-0022489de52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assets.publishing.service.gov.uk/media/5a8066a040f0b623026934a8/PU1934_Audit_committee_handbook.pdf" TargetMode="Externa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nice.org.uk/terms-and-conditions" TargetMode="External"/><Relationship Id="rId14"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E2F098893DC34484FEBB01E743F540" ma:contentTypeVersion="15" ma:contentTypeDescription="Create a new document." ma:contentTypeScope="" ma:versionID="8b6e5f3d63751665857e4728c8991a82">
  <xsd:schema xmlns:xsd="http://www.w3.org/2001/XMLSchema" xmlns:xs="http://www.w3.org/2001/XMLSchema" xmlns:p="http://schemas.microsoft.com/office/2006/metadata/properties" xmlns:ns2="5adc4af7-6c61-4d83-a8fe-e6380333cf6e" xmlns:ns3="d882c45d-a7ed-40e7-aeed-44a62b97a77e" xmlns:ns4="0eb656aa-4e79-4e95-9076-bc119a23e0cc" targetNamespace="http://schemas.microsoft.com/office/2006/metadata/properties" ma:root="true" ma:fieldsID="f3148cae1e578c7cfdd8b5d8b46b25cc" ns2:_="" ns3:_="" ns4:_="">
    <xsd:import namespace="5adc4af7-6c61-4d83-a8fe-e6380333cf6e"/>
    <xsd:import namespace="d882c45d-a7ed-40e7-aeed-44a62b97a77e"/>
    <xsd:import namespace="0eb656aa-4e79-4e95-9076-bc119a23e0c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4: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dc4af7-6c61-4d83-a8fe-e6380333cf6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82c45d-a7ed-40e7-aeed-44a62b97a77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abb4586-6e39-4769-a9e9-e64cee0e77fc"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b656aa-4e79-4e95-9076-bc119a23e0c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5bc1b7c-c3fe-485e-9a31-d1f03cec93d9}" ma:internalName="TaxCatchAll" ma:showField="CatchAllData" ma:web="5adc4af7-6c61-4d83-a8fe-e6380333cf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882c45d-a7ed-40e7-aeed-44a62b97a77e">
      <Terms xmlns="http://schemas.microsoft.com/office/infopath/2007/PartnerControls"/>
    </lcf76f155ced4ddcb4097134ff3c332f>
    <TaxCatchAll xmlns="0eb656aa-4e79-4e95-9076-bc119a23e0cc" xsi:nil="true"/>
  </documentManagement>
</p:properties>
</file>

<file path=customXml/itemProps1.xml><?xml version="1.0" encoding="utf-8"?>
<ds:datastoreItem xmlns:ds="http://schemas.openxmlformats.org/officeDocument/2006/customXml" ds:itemID="{8730A5F1-1DAE-4DDF-AC96-704D510AB3C0}"/>
</file>

<file path=customXml/itemProps2.xml><?xml version="1.0" encoding="utf-8"?>
<ds:datastoreItem xmlns:ds="http://schemas.openxmlformats.org/officeDocument/2006/customXml" ds:itemID="{60094F36-D190-4286-ADE4-096EBC9BE3EC}"/>
</file>

<file path=customXml/itemProps3.xml><?xml version="1.0" encoding="utf-8"?>
<ds:datastoreItem xmlns:ds="http://schemas.openxmlformats.org/officeDocument/2006/customXml" ds:itemID="{BB40C4E8-3056-45A2-9F83-C6BEF25E84FD}"/>
</file>

<file path=docProps/app.xml><?xml version="1.0" encoding="utf-8"?>
<Properties xmlns="http://schemas.openxmlformats.org/officeDocument/2006/extended-properties" xmlns:vt="http://schemas.openxmlformats.org/officeDocument/2006/docPropsVTypes">
  <Template>Normal</Template>
  <TotalTime>0</TotalTime>
  <Pages>14</Pages>
  <Words>3646</Words>
  <Characters>19926</Characters>
  <Application>Microsoft Office Word</Application>
  <DocSecurity>0</DocSecurity>
  <Lines>166</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23525</CharactersWithSpaces>
  <SharedDoc>false</SharedDoc>
  <HLinks>
    <vt:vector size="18" baseType="variant">
      <vt:variant>
        <vt:i4>4194324</vt:i4>
      </vt:variant>
      <vt:variant>
        <vt:i4>6</vt:i4>
      </vt:variant>
      <vt:variant>
        <vt:i4>0</vt:i4>
      </vt:variant>
      <vt:variant>
        <vt:i4>5</vt:i4>
      </vt:variant>
      <vt:variant>
        <vt:lpwstr>https://www.nice.org.uk/terms-and-conditions</vt:lpwstr>
      </vt:variant>
      <vt:variant>
        <vt:lpwstr>notice-of-rights</vt:lpwstr>
      </vt:variant>
      <vt:variant>
        <vt:i4>7798790</vt:i4>
      </vt:variant>
      <vt:variant>
        <vt:i4>3</vt:i4>
      </vt:variant>
      <vt:variant>
        <vt:i4>0</vt:i4>
      </vt:variant>
      <vt:variant>
        <vt:i4>5</vt:i4>
      </vt:variant>
      <vt:variant>
        <vt:lpwstr>https://www.hfma.org.uk/publications/nhs-audit-committee-handbook?_cldee=WqFreOYkLMdOb31mnz2U_xO5XQady6cwpKHt5aSK_yWjPTLemfreD-KSNQxzpxNYK2nld0mYjLI8FCGBokx5YQ&amp;recipientid=contact-e0489a918b24ed11b83d0022489b04a4-429223ed3ffe45b1a4b8e2f9f832cbe6&amp;esid=61a51d72-41e1-ee11-904c-0022489de52a</vt:lpwstr>
      </vt:variant>
      <vt:variant>
        <vt:lpwstr/>
      </vt:variant>
      <vt:variant>
        <vt:i4>2490383</vt:i4>
      </vt:variant>
      <vt:variant>
        <vt:i4>0</vt:i4>
      </vt:variant>
      <vt:variant>
        <vt:i4>0</vt:i4>
      </vt:variant>
      <vt:variant>
        <vt:i4>5</vt:i4>
      </vt:variant>
      <vt:variant>
        <vt:lpwstr>https://assets.publishing.service.gov.uk/media/5a8066a040f0b623026934a8/PU1934_Audit_committee_handbook.pdf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2024-05-14T09:51:00Z</dcterms:created>
  <dcterms:modified xsi:type="dcterms:W3CDTF">2024-05-14T09:52:00Z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2024-05-14T09:52:41Z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b68a9859-a956-4e43-bb20-fb04c268860a</vt:lpwstr>
  </property>
  <property fmtid="{D5CDD505-2E9C-101B-9397-08002B2CF9AE}" pid="8" name="MSIP_Label_c69d85d5-6d9e-4305-a294-1f636ec0f2d6_ContentBits">
    <vt:lpwstr>0</vt:lpwstr>
  </property>
  <property fmtid="{D5CDD505-2E9C-101B-9397-08002B2CF9AE}" pid="9" name="Order">
    <vt:r8>100</vt:r8>
  </property>
  <property fmtid="{D5CDD505-2E9C-101B-9397-08002B2CF9AE}" pid="10" name="ContentTypeId">
    <vt:lpwstr>0x01010026E2F098893DC34484FEBB01E743F540</vt:lpwstr>
  </property>
  <property fmtid="{D5CDD505-2E9C-101B-9397-08002B2CF9AE}" pid="11" name="MediaServiceImageTags">
    <vt:lpwstr/>
  </property>
</Properties>
</file>