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5CFC" w14:textId="213643FF" w:rsidR="00057044" w:rsidRPr="00022EFF" w:rsidRDefault="00057044" w:rsidP="003D3B28">
      <w:pPr>
        <w:pStyle w:val="Title1"/>
      </w:pPr>
      <w:r w:rsidRPr="00022EFF">
        <w:t xml:space="preserve">Board </w:t>
      </w:r>
      <w:proofErr w:type="gramStart"/>
      <w:r w:rsidRPr="00022EFF">
        <w:t>meeting</w:t>
      </w:r>
      <w:proofErr w:type="gramEnd"/>
    </w:p>
    <w:p w14:paraId="109FFCBA" w14:textId="23743515" w:rsidR="004B4705" w:rsidRPr="00022EFF" w:rsidRDefault="00C4351C" w:rsidP="003D3B28">
      <w:pPr>
        <w:pStyle w:val="Title20"/>
      </w:pPr>
      <w:r w:rsidRPr="00022EFF">
        <w:t>15 May 2024</w:t>
      </w:r>
    </w:p>
    <w:p w14:paraId="69C3B6CE" w14:textId="77777777" w:rsidR="00C4351C" w:rsidRPr="00022EFF" w:rsidRDefault="00C4351C" w:rsidP="00C4351C">
      <w:pPr>
        <w:pStyle w:val="Title1"/>
      </w:pPr>
      <w:r w:rsidRPr="00022EFF">
        <w:t>Review of the proposed approach to NICE-wide topic prioritisation and the strategic principles</w:t>
      </w:r>
    </w:p>
    <w:p w14:paraId="2DCB1B15" w14:textId="77777777" w:rsidR="009B1D56" w:rsidRPr="00022EFF" w:rsidRDefault="009B1D56" w:rsidP="003D3B28">
      <w:pPr>
        <w:pStyle w:val="Heading1boardreport"/>
      </w:pPr>
      <w:r w:rsidRPr="00022EFF">
        <w:t>Purpose of paper</w:t>
      </w:r>
    </w:p>
    <w:p w14:paraId="63DAD044" w14:textId="75FD2950" w:rsidR="009B1D56" w:rsidRPr="00022EFF" w:rsidRDefault="00383E4E" w:rsidP="003830CE">
      <w:pPr>
        <w:pStyle w:val="NICEnormal"/>
      </w:pPr>
      <w:r w:rsidRPr="00022EFF">
        <w:t>For decision</w:t>
      </w:r>
    </w:p>
    <w:p w14:paraId="5C74A029" w14:textId="77777777" w:rsidR="009B1D56" w:rsidRPr="00022EFF" w:rsidRDefault="009B1D56" w:rsidP="003D3B28">
      <w:pPr>
        <w:pStyle w:val="Heading1boardreport"/>
      </w:pPr>
      <w:r w:rsidRPr="00022EFF">
        <w:t xml:space="preserve">Board action </w:t>
      </w:r>
      <w:proofErr w:type="gramStart"/>
      <w:r w:rsidRPr="00022EFF">
        <w:t>required</w:t>
      </w:r>
      <w:proofErr w:type="gramEnd"/>
    </w:p>
    <w:p w14:paraId="0CC1C404" w14:textId="1CAC3B7F" w:rsidR="009B1D56" w:rsidRPr="00022EFF" w:rsidRDefault="00950795" w:rsidP="5F04D595">
      <w:pPr>
        <w:pStyle w:val="NICEnormal"/>
      </w:pPr>
      <w:r w:rsidRPr="00022EFF">
        <w:t>T</w:t>
      </w:r>
      <w:r w:rsidR="009B1D56" w:rsidRPr="00022EFF">
        <w:t>he board is asked to</w:t>
      </w:r>
      <w:r w:rsidR="275B674C" w:rsidRPr="00022EFF">
        <w:t>:</w:t>
      </w:r>
    </w:p>
    <w:p w14:paraId="2479FFDB" w14:textId="77777777" w:rsidR="00C91B25" w:rsidRPr="00C91B25" w:rsidRDefault="00C91B25" w:rsidP="00532563">
      <w:pPr>
        <w:pStyle w:val="NICEnormalnumbered"/>
      </w:pPr>
      <w:r w:rsidRPr="00C91B25">
        <w:t>Review and approve the consultation themes and responses arising from the public consultation on the proposed approach to NICE-wide topic prioritisation, and the strategic principles for public health, social care and rare diseases,</w:t>
      </w:r>
    </w:p>
    <w:p w14:paraId="77594926" w14:textId="77777777" w:rsidR="00C91B25" w:rsidRPr="00C91B25" w:rsidRDefault="00C91B25" w:rsidP="00532563">
      <w:pPr>
        <w:pStyle w:val="NICEnormalnumbered"/>
      </w:pPr>
      <w:r w:rsidRPr="00C91B25">
        <w:t xml:space="preserve">Delegate to Guidance Executive approval of any subsequent changes to the associated topic prioritisation manual and strategic principles. </w:t>
      </w:r>
    </w:p>
    <w:p w14:paraId="56D088CF" w14:textId="77777777" w:rsidR="009B1D56" w:rsidRPr="00022EFF" w:rsidRDefault="009B1D56" w:rsidP="003D3B28">
      <w:pPr>
        <w:pStyle w:val="Heading1boardreport"/>
      </w:pPr>
      <w:proofErr w:type="gramStart"/>
      <w:r w:rsidRPr="00022EFF">
        <w:t>Brief summary</w:t>
      </w:r>
      <w:proofErr w:type="gramEnd"/>
    </w:p>
    <w:p w14:paraId="191D5787" w14:textId="00901718" w:rsidR="009B1D56" w:rsidRPr="00022EFF" w:rsidRDefault="3F9EEBEA" w:rsidP="003830CE">
      <w:pPr>
        <w:pStyle w:val="NICEnormal"/>
      </w:pPr>
      <w:r w:rsidRPr="00022EFF">
        <w:t>This paper summari</w:t>
      </w:r>
      <w:r w:rsidR="608EB509" w:rsidRPr="00022EFF">
        <w:t>s</w:t>
      </w:r>
      <w:r w:rsidRPr="00022EFF">
        <w:t xml:space="preserve">es the themes received from the public consultation on the </w:t>
      </w:r>
      <w:hyperlink r:id="rId7" w:history="1">
        <w:r w:rsidR="004641DE" w:rsidRPr="00022EFF">
          <w:rPr>
            <w:rStyle w:val="Hyperlink"/>
          </w:rPr>
          <w:t>p</w:t>
        </w:r>
        <w:r w:rsidR="2C9FEA53" w:rsidRPr="00022EFF">
          <w:rPr>
            <w:rStyle w:val="Hyperlink"/>
          </w:rPr>
          <w:t>roposed approach to NICE-wide topic prioritisation and the strategic principles for public health, social care and rare diseases</w:t>
        </w:r>
      </w:hyperlink>
      <w:r w:rsidR="2C9FEA53" w:rsidRPr="00022EFF">
        <w:t>.</w:t>
      </w:r>
      <w:r w:rsidR="06B38627" w:rsidRPr="00022EFF">
        <w:t xml:space="preserve">  Th</w:t>
      </w:r>
      <w:r w:rsidR="28E38078" w:rsidRPr="00022EFF">
        <w:t>is</w:t>
      </w:r>
      <w:r w:rsidR="06B38627" w:rsidRPr="00022EFF">
        <w:t xml:space="preserve"> approach has been developed to support the strategic ambition</w:t>
      </w:r>
      <w:r w:rsidR="78114DD3" w:rsidRPr="00022EFF">
        <w:t>s</w:t>
      </w:r>
      <w:r w:rsidR="06B38627" w:rsidRPr="00022EFF">
        <w:t xml:space="preserve"> of </w:t>
      </w:r>
      <w:r w:rsidR="3C89B3ED" w:rsidRPr="00022EFF">
        <w:t xml:space="preserve">relevant, timely, </w:t>
      </w:r>
      <w:proofErr w:type="gramStart"/>
      <w:r w:rsidR="3C89B3ED" w:rsidRPr="00022EFF">
        <w:t>useful</w:t>
      </w:r>
      <w:proofErr w:type="gramEnd"/>
      <w:r w:rsidR="3C89B3ED" w:rsidRPr="00022EFF">
        <w:t xml:space="preserve"> and usable guidance and to provide clarity on the </w:t>
      </w:r>
      <w:r w:rsidR="6A1B4031" w:rsidRPr="00022EFF">
        <w:t>principles NICE will ado</w:t>
      </w:r>
      <w:r w:rsidR="7DD7E618" w:rsidRPr="00022EFF">
        <w:t xml:space="preserve">pt when prioritising topics relevant to </w:t>
      </w:r>
      <w:r w:rsidR="3C89B3ED" w:rsidRPr="00022EFF">
        <w:t>public health, social care and r</w:t>
      </w:r>
      <w:r w:rsidR="6AB2DD72" w:rsidRPr="00022EFF">
        <w:t>are disease topics</w:t>
      </w:r>
      <w:r w:rsidR="3C89B3ED" w:rsidRPr="00022EFF">
        <w:t>.</w:t>
      </w:r>
      <w:r w:rsidR="06B38627" w:rsidRPr="00022EFF">
        <w:t xml:space="preserve"> </w:t>
      </w:r>
    </w:p>
    <w:p w14:paraId="15B38B52" w14:textId="77777777" w:rsidR="009B1D56" w:rsidRPr="00022EFF" w:rsidRDefault="009B1D56" w:rsidP="003D3B28">
      <w:pPr>
        <w:pStyle w:val="Heading1boardreport"/>
      </w:pPr>
      <w:r w:rsidRPr="00022EFF">
        <w:t xml:space="preserve">Board </w:t>
      </w:r>
      <w:proofErr w:type="gramStart"/>
      <w:r w:rsidRPr="00022EFF">
        <w:t>sponsor</w:t>
      </w:r>
      <w:proofErr w:type="gramEnd"/>
    </w:p>
    <w:p w14:paraId="23F481E3" w14:textId="1B36AD68" w:rsidR="009B1D56" w:rsidRPr="00022EFF" w:rsidRDefault="2210E540" w:rsidP="003830CE">
      <w:pPr>
        <w:pStyle w:val="NICEnormal"/>
      </w:pPr>
      <w:r w:rsidRPr="00022EFF">
        <w:t xml:space="preserve">Professor </w:t>
      </w:r>
      <w:r w:rsidR="0032663A" w:rsidRPr="00022EFF">
        <w:t>Jo</w:t>
      </w:r>
      <w:r w:rsidR="003C65CA" w:rsidRPr="00022EFF">
        <w:t>nathan Benger – Chief Medical Officer</w:t>
      </w:r>
    </w:p>
    <w:p w14:paraId="7627A4AC" w14:textId="77777777" w:rsidR="004B4705" w:rsidRPr="00022EFF" w:rsidRDefault="004B4705" w:rsidP="004511A7">
      <w:pPr>
        <w:pStyle w:val="NICEnormal"/>
      </w:pPr>
      <w:r w:rsidRPr="00022EFF">
        <w:br w:type="page"/>
      </w:r>
    </w:p>
    <w:p w14:paraId="6B204747" w14:textId="73CF9151" w:rsidR="00D73975" w:rsidRPr="00022EFF" w:rsidRDefault="00D73975" w:rsidP="00732739">
      <w:pPr>
        <w:pStyle w:val="Title1"/>
      </w:pPr>
      <w:r w:rsidRPr="00022EFF">
        <w:lastRenderedPageBreak/>
        <w:t>Review of the proposed approach to NICE-wide topic prioritisation and the strategic principles</w:t>
      </w:r>
    </w:p>
    <w:p w14:paraId="36C1BC79" w14:textId="01445185" w:rsidR="00D73975" w:rsidRPr="00022EFF" w:rsidRDefault="00D73975" w:rsidP="00732739">
      <w:pPr>
        <w:pStyle w:val="Heading1boardreport"/>
      </w:pPr>
      <w:r w:rsidRPr="00022EFF">
        <w:t>Introduction</w:t>
      </w:r>
    </w:p>
    <w:p w14:paraId="41684ACB" w14:textId="77777777" w:rsidR="00D73975" w:rsidRPr="00022EFF" w:rsidRDefault="00D73975" w:rsidP="007A7727">
      <w:pPr>
        <w:pStyle w:val="Paragraph"/>
        <w:numPr>
          <w:ilvl w:val="0"/>
          <w:numId w:val="32"/>
        </w:numPr>
        <w:rPr>
          <w:noProof w:val="0"/>
        </w:rPr>
      </w:pPr>
      <w:r w:rsidRPr="00022EFF">
        <w:rPr>
          <w:noProof w:val="0"/>
        </w:rPr>
        <w:t xml:space="preserve">To support NICE’s strategic objective to focus on what matters most we are implementing an organisation-wide approach to prioritisation and topic selection. This will be overseen by a single prioritisation board that will guide the selection and coordination of our guidance development.  </w:t>
      </w:r>
    </w:p>
    <w:p w14:paraId="590A299B" w14:textId="4884DF42" w:rsidR="00D73975" w:rsidRPr="00022EFF" w:rsidRDefault="00D73975" w:rsidP="005141CA">
      <w:pPr>
        <w:pStyle w:val="NICEnormalnumbered"/>
        <w:rPr>
          <w:rStyle w:val="SubtleReference"/>
          <w:noProof w:val="0"/>
        </w:rPr>
      </w:pPr>
      <w:r w:rsidRPr="00022EFF">
        <w:rPr>
          <w:noProof w:val="0"/>
        </w:rPr>
        <w:t xml:space="preserve">The process for how new guidance topics and updates to existing NICE guidance are identified, </w:t>
      </w:r>
      <w:proofErr w:type="gramStart"/>
      <w:r w:rsidRPr="00022EFF">
        <w:rPr>
          <w:noProof w:val="0"/>
        </w:rPr>
        <w:t>prioritised</w:t>
      </w:r>
      <w:proofErr w:type="gramEnd"/>
      <w:r w:rsidRPr="00022EFF">
        <w:rPr>
          <w:noProof w:val="0"/>
        </w:rPr>
        <w:t xml:space="preserve"> and routed at NICE, and the decision-making framework that will be used by the NICE prioritisation board, is set out in the new NICE-wide topic prioritisation manual. This manual will </w:t>
      </w:r>
      <w:r w:rsidRPr="00022EFF">
        <w:rPr>
          <w:rStyle w:val="SubtleReference"/>
          <w:noProof w:val="0"/>
        </w:rPr>
        <w:t xml:space="preserve">replace the </w:t>
      </w:r>
      <w:hyperlink r:id="rId8">
        <w:r w:rsidRPr="00022EFF">
          <w:rPr>
            <w:rStyle w:val="Hyperlink"/>
            <w:noProof w:val="0"/>
          </w:rPr>
          <w:t>NICE health technology evaluation topic selection: the manual (PMG 37)</w:t>
        </w:r>
      </w:hyperlink>
      <w:r w:rsidRPr="00022EFF">
        <w:rPr>
          <w:rStyle w:val="SubtleReference"/>
          <w:noProof w:val="0"/>
        </w:rPr>
        <w:t>.</w:t>
      </w:r>
    </w:p>
    <w:p w14:paraId="75EB13AB" w14:textId="5677C865" w:rsidR="00D73975" w:rsidRPr="00022EFF" w:rsidRDefault="00D73975" w:rsidP="005141CA">
      <w:pPr>
        <w:pStyle w:val="NICEnormalnumbered"/>
        <w:rPr>
          <w:noProof w:val="0"/>
          <w:color w:val="FF0000"/>
        </w:rPr>
      </w:pPr>
      <w:r w:rsidRPr="00022EFF">
        <w:rPr>
          <w:noProof w:val="0"/>
        </w:rPr>
        <w:t xml:space="preserve">To complement and assist the prioritisation of topics related to public health, social care and rare diseases, the prioritisation board will also utilise NICE’s strategic principles for the prioritisation of public health, social </w:t>
      </w:r>
      <w:proofErr w:type="gramStart"/>
      <w:r w:rsidRPr="00022EFF">
        <w:rPr>
          <w:noProof w:val="0"/>
        </w:rPr>
        <w:t>care</w:t>
      </w:r>
      <w:proofErr w:type="gramEnd"/>
      <w:r w:rsidRPr="00022EFF">
        <w:rPr>
          <w:noProof w:val="0"/>
        </w:rPr>
        <w:t xml:space="preserve"> and rare diseases.  These principles will guide the application of the prioritisation framework to ensure that decisions made balance the needs of the system and give clearer direction as to NICE</w:t>
      </w:r>
      <w:r w:rsidR="00AF0462" w:rsidRPr="00022EFF">
        <w:rPr>
          <w:noProof w:val="0"/>
        </w:rPr>
        <w:t>’</w:t>
      </w:r>
      <w:r w:rsidRPr="00022EFF">
        <w:rPr>
          <w:noProof w:val="0"/>
        </w:rPr>
        <w:t xml:space="preserve">s role in those areas.  </w:t>
      </w:r>
    </w:p>
    <w:p w14:paraId="565E8AB2" w14:textId="6F5A6ED4" w:rsidR="00D73975" w:rsidRPr="00022EFF" w:rsidRDefault="00D73975" w:rsidP="00E803B7">
      <w:pPr>
        <w:pStyle w:val="NICEnormalnumbered"/>
      </w:pPr>
      <w:r w:rsidRPr="00022EFF">
        <w:t xml:space="preserve">This paper provides an overview of the public consultation on the approach to prioritisation and the </w:t>
      </w:r>
      <w:r w:rsidR="5095787B" w:rsidRPr="00022EFF">
        <w:t xml:space="preserve">prioritisation principles for </w:t>
      </w:r>
      <w:r w:rsidRPr="00022EFF">
        <w:t xml:space="preserve">Public Health, Social Care and </w:t>
      </w:r>
      <w:r w:rsidR="345E77C2" w:rsidRPr="00022EFF">
        <w:t>r</w:t>
      </w:r>
      <w:r w:rsidRPr="00022EFF">
        <w:t>are disease</w:t>
      </w:r>
      <w:r w:rsidR="2FDC6591" w:rsidRPr="00022EFF">
        <w:t>s</w:t>
      </w:r>
      <w:r w:rsidRPr="00022EFF">
        <w:t>.  It summarises, by theme, the comments received during the consultation, along with the planned response to those comments, including any p</w:t>
      </w:r>
      <w:r w:rsidR="1A911DB5" w:rsidRPr="00022EFF">
        <w:t>lanned</w:t>
      </w:r>
      <w:r w:rsidRPr="00022EFF">
        <w:t xml:space="preserve"> changes to the proposals.</w:t>
      </w:r>
      <w:r w:rsidR="00E803B7">
        <w:t xml:space="preserve"> </w:t>
      </w:r>
      <w:r w:rsidR="00E803B7" w:rsidRPr="00E803B7">
        <w:rPr>
          <w:noProof w:val="0"/>
        </w:rPr>
        <w:t>The themes and responses contained in this paper will be published on the NICE website alongside the final topic prioritisation manual and strategic principles.</w:t>
      </w:r>
    </w:p>
    <w:p w14:paraId="03FBA702" w14:textId="77777777" w:rsidR="00D73975" w:rsidRPr="00022EFF" w:rsidRDefault="00D73975" w:rsidP="005141CA">
      <w:pPr>
        <w:pStyle w:val="Heading1boardreport"/>
      </w:pPr>
      <w:r w:rsidRPr="00022EFF">
        <w:t>Engagement and consultation overview</w:t>
      </w:r>
    </w:p>
    <w:p w14:paraId="6842B11F" w14:textId="2A083D4F" w:rsidR="00D73975" w:rsidRPr="00022EFF" w:rsidRDefault="00D73975" w:rsidP="00D16260">
      <w:pPr>
        <w:pStyle w:val="NICEnormalnumbered"/>
        <w:rPr>
          <w:noProof w:val="0"/>
        </w:rPr>
      </w:pPr>
      <w:r w:rsidRPr="00022EFF">
        <w:rPr>
          <w:noProof w:val="0"/>
        </w:rPr>
        <w:t xml:space="preserve">A public consultation on the proposed approach to topic prioritisation and the strategic principles for public health, social care and rare diseases was held between 5 March and 4 April 2024. </w:t>
      </w:r>
    </w:p>
    <w:p w14:paraId="6191D158" w14:textId="5FF228A4" w:rsidR="00D73975" w:rsidRPr="00022EFF" w:rsidRDefault="00D73975" w:rsidP="00D16260">
      <w:pPr>
        <w:pStyle w:val="NICEnormalnumbered"/>
        <w:rPr>
          <w:noProof w:val="0"/>
          <w:color w:val="FF0000"/>
        </w:rPr>
      </w:pPr>
      <w:r w:rsidRPr="00022EFF">
        <w:rPr>
          <w:noProof w:val="0"/>
        </w:rPr>
        <w:lastRenderedPageBreak/>
        <w:t xml:space="preserve">A series of internal and external stakeholder events and meetings were held ahead of the consultation, to inform the development of the approach and the associated consultation document. </w:t>
      </w:r>
      <w:r w:rsidRPr="00022EFF">
        <w:rPr>
          <w:rStyle w:val="normaltextrun"/>
          <w:noProof w:val="0"/>
          <w:color w:val="000000"/>
          <w:shd w:val="clear" w:color="auto" w:fill="FFFFFF"/>
        </w:rPr>
        <w:t>The external stakeholders engaged in pre-consultation activities included</w:t>
      </w:r>
      <w:r w:rsidR="33457E91" w:rsidRPr="00022EFF">
        <w:rPr>
          <w:rStyle w:val="normaltextrun"/>
          <w:noProof w:val="0"/>
          <w:color w:val="000000"/>
          <w:shd w:val="clear" w:color="auto" w:fill="FFFFFF"/>
        </w:rPr>
        <w:t>:</w:t>
      </w:r>
      <w:r w:rsidRPr="00022EFF">
        <w:rPr>
          <w:rStyle w:val="normaltextrun"/>
          <w:noProof w:val="0"/>
          <w:color w:val="000000"/>
          <w:shd w:val="clear" w:color="auto" w:fill="FFFFFF"/>
        </w:rPr>
        <w:t xml:space="preserve"> representatives from the voluntary and community sector; patient advocacy groups; professional membership organisations; topic-specific advisory groups, </w:t>
      </w:r>
      <w:proofErr w:type="gramStart"/>
      <w:r w:rsidRPr="00022EFF">
        <w:rPr>
          <w:rStyle w:val="normaltextrun"/>
          <w:noProof w:val="0"/>
          <w:color w:val="000000"/>
          <w:shd w:val="clear" w:color="auto" w:fill="FFFFFF"/>
        </w:rPr>
        <w:t>boards</w:t>
      </w:r>
      <w:proofErr w:type="gramEnd"/>
      <w:r w:rsidRPr="00022EFF">
        <w:rPr>
          <w:rStyle w:val="normaltextrun"/>
          <w:noProof w:val="0"/>
          <w:color w:val="000000"/>
          <w:shd w:val="clear" w:color="auto" w:fill="FFFFFF"/>
        </w:rPr>
        <w:t xml:space="preserve"> and forums; local, regional and national government bodies; public health, health and social care partners; academia; other arms-length bodies.</w:t>
      </w:r>
    </w:p>
    <w:p w14:paraId="32190A11" w14:textId="77777777" w:rsidR="00D73975" w:rsidRPr="00022EFF" w:rsidRDefault="00D73975" w:rsidP="00D16260">
      <w:pPr>
        <w:pStyle w:val="NICEnormalnumbered"/>
        <w:rPr>
          <w:noProof w:val="0"/>
        </w:rPr>
      </w:pPr>
      <w:r w:rsidRPr="00022EFF">
        <w:rPr>
          <w:noProof w:val="0"/>
        </w:rPr>
        <w:t>The consultation comprised two elements:</w:t>
      </w:r>
    </w:p>
    <w:p w14:paraId="05A3F3A3" w14:textId="6B03D3D7" w:rsidR="00D73975" w:rsidRPr="00022EFF" w:rsidRDefault="00D73975" w:rsidP="004F6467">
      <w:pPr>
        <w:pStyle w:val="Bullets"/>
      </w:pPr>
      <w:r w:rsidRPr="00022EFF">
        <w:t>NICE’s integrated topic prioritisation manual</w:t>
      </w:r>
      <w:r w:rsidR="62C11312" w:rsidRPr="00022EFF">
        <w:t xml:space="preserve"> (</w:t>
      </w:r>
      <w:r w:rsidR="4FE6EDB0" w:rsidRPr="00022EFF">
        <w:t>p</w:t>
      </w:r>
      <w:r w:rsidR="62C11312" w:rsidRPr="00022EFF">
        <w:t>rioritisation approach)</w:t>
      </w:r>
      <w:r w:rsidRPr="00022EFF">
        <w:t>, and</w:t>
      </w:r>
    </w:p>
    <w:p w14:paraId="7DC6764C" w14:textId="49E4BD4C" w:rsidR="00D73975" w:rsidRPr="00022EFF" w:rsidRDefault="00D73975" w:rsidP="004F6467">
      <w:pPr>
        <w:pStyle w:val="Bulletslast"/>
      </w:pPr>
      <w:r w:rsidRPr="00022EFF">
        <w:t xml:space="preserve">NICE’s strategic principles for the prioritisation of public health, social </w:t>
      </w:r>
      <w:proofErr w:type="gramStart"/>
      <w:r w:rsidRPr="00022EFF">
        <w:t>care</w:t>
      </w:r>
      <w:proofErr w:type="gramEnd"/>
      <w:r w:rsidRPr="00022EFF">
        <w:t xml:space="preserve"> and rare diseases</w:t>
      </w:r>
      <w:r w:rsidR="787DDC30" w:rsidRPr="00022EFF">
        <w:t xml:space="preserve"> (strategic principles)</w:t>
      </w:r>
      <w:r w:rsidRPr="00022EFF">
        <w:t>.</w:t>
      </w:r>
    </w:p>
    <w:p w14:paraId="41B549C1" w14:textId="4507D804" w:rsidR="00D73975" w:rsidRPr="00022EFF" w:rsidRDefault="004A5D25" w:rsidP="004F6467">
      <w:pPr>
        <w:pStyle w:val="NICEnormalnumbered"/>
        <w:rPr>
          <w:noProof w:val="0"/>
        </w:rPr>
      </w:pPr>
      <w:r w:rsidRPr="00022EFF">
        <w:rPr>
          <w:noProof w:val="0"/>
        </w:rPr>
        <w:t>Respondent</w:t>
      </w:r>
      <w:r w:rsidR="00D73975" w:rsidRPr="00022EFF">
        <w:rPr>
          <w:noProof w:val="0"/>
        </w:rPr>
        <w:t xml:space="preserve">s were given the opportunity to provide detailed comments on all sections of the consultation document and the supporting documentation. </w:t>
      </w:r>
      <w:r w:rsidR="00D52A1F" w:rsidRPr="00022EFF">
        <w:rPr>
          <w:noProof w:val="0"/>
        </w:rPr>
        <w:t>55</w:t>
      </w:r>
      <w:r w:rsidR="00D73975" w:rsidRPr="00022EFF">
        <w:rPr>
          <w:noProof w:val="0"/>
        </w:rPr>
        <w:t xml:space="preserve"> </w:t>
      </w:r>
      <w:r w:rsidR="00B72D09" w:rsidRPr="00022EFF">
        <w:rPr>
          <w:noProof w:val="0"/>
        </w:rPr>
        <w:t>re</w:t>
      </w:r>
      <w:r w:rsidR="00D73975" w:rsidRPr="00022EFF">
        <w:rPr>
          <w:noProof w:val="0"/>
        </w:rPr>
        <w:t>s</w:t>
      </w:r>
      <w:r w:rsidR="00B72D09" w:rsidRPr="00022EFF">
        <w:rPr>
          <w:noProof w:val="0"/>
        </w:rPr>
        <w:t>pondents</w:t>
      </w:r>
      <w:r w:rsidR="00D73975" w:rsidRPr="00022EFF">
        <w:rPr>
          <w:noProof w:val="0"/>
        </w:rPr>
        <w:t xml:space="preserve"> provided comments, </w:t>
      </w:r>
      <w:r w:rsidRPr="00022EFF">
        <w:rPr>
          <w:noProof w:val="0"/>
        </w:rPr>
        <w:t>5</w:t>
      </w:r>
      <w:r w:rsidR="00D73975" w:rsidRPr="00022EFF">
        <w:rPr>
          <w:noProof w:val="0"/>
        </w:rPr>
        <w:t xml:space="preserve">1 of which were </w:t>
      </w:r>
      <w:r w:rsidR="00B72D09" w:rsidRPr="00022EFF">
        <w:rPr>
          <w:noProof w:val="0"/>
        </w:rPr>
        <w:t>provided</w:t>
      </w:r>
      <w:r w:rsidR="00D73975" w:rsidRPr="00022EFF">
        <w:rPr>
          <w:noProof w:val="0"/>
        </w:rPr>
        <w:t xml:space="preserve"> on behalf of an organisation (</w:t>
      </w:r>
      <w:hyperlink w:anchor="TABLE1">
        <w:r w:rsidR="00D73975" w:rsidRPr="00022EFF">
          <w:rPr>
            <w:rStyle w:val="Hyperlink"/>
            <w:noProof w:val="0"/>
          </w:rPr>
          <w:t xml:space="preserve">see </w:t>
        </w:r>
        <w:r w:rsidR="006448B3" w:rsidRPr="00022EFF">
          <w:rPr>
            <w:rStyle w:val="Hyperlink"/>
            <w:noProof w:val="0"/>
          </w:rPr>
          <w:t>t</w:t>
        </w:r>
        <w:r w:rsidR="00D73975" w:rsidRPr="00022EFF">
          <w:rPr>
            <w:rStyle w:val="Hyperlink"/>
            <w:noProof w:val="0"/>
          </w:rPr>
          <w:t>able 1</w:t>
        </w:r>
      </w:hyperlink>
      <w:r w:rsidR="00D73975" w:rsidRPr="00022EFF">
        <w:rPr>
          <w:noProof w:val="0"/>
        </w:rPr>
        <w:t>).</w:t>
      </w:r>
    </w:p>
    <w:p w14:paraId="12168178" w14:textId="77777777" w:rsidR="00D73975" w:rsidRPr="00022EFF" w:rsidRDefault="00D73975" w:rsidP="00D73975">
      <w:pPr>
        <w:pStyle w:val="Caption"/>
      </w:pPr>
      <w:bookmarkStart w:id="0" w:name="TABLE1"/>
      <w:bookmarkEnd w:id="0"/>
      <w:r w:rsidRPr="00022EFF">
        <w:t xml:space="preserve">Table </w:t>
      </w:r>
      <w:r w:rsidRPr="00022EFF">
        <w:fldChar w:fldCharType="begin"/>
      </w:r>
      <w:r w:rsidRPr="00022EFF">
        <w:instrText>SEQ Table \* ARABIC</w:instrText>
      </w:r>
      <w:r w:rsidRPr="00022EFF">
        <w:fldChar w:fldCharType="separate"/>
      </w:r>
      <w:r w:rsidRPr="00022EFF">
        <w:t>1</w:t>
      </w:r>
      <w:r w:rsidRPr="00022EFF">
        <w:fldChar w:fldCharType="end"/>
      </w:r>
      <w:r w:rsidRPr="00022EFF">
        <w:t xml:space="preserve"> Consultation responses by organisation type</w:t>
      </w:r>
    </w:p>
    <w:tbl>
      <w:tblPr>
        <w:tblStyle w:val="TableGrid"/>
        <w:tblW w:w="7933" w:type="dxa"/>
        <w:jc w:val="center"/>
        <w:tblLook w:val="04A0" w:firstRow="1" w:lastRow="0" w:firstColumn="1" w:lastColumn="0" w:noHBand="0" w:noVBand="1"/>
        <w:tblCaption w:val="Consultation reponses by organisation type"/>
        <w:tblDescription w:val="Table describing the percentage of consultation responses by organisation or individuals"/>
      </w:tblPr>
      <w:tblGrid>
        <w:gridCol w:w="3188"/>
        <w:gridCol w:w="1775"/>
        <w:gridCol w:w="2970"/>
      </w:tblGrid>
      <w:tr w:rsidR="00961CCE" w:rsidRPr="00022EFF" w14:paraId="5AD72E04" w14:textId="77777777" w:rsidTr="00E61035">
        <w:trPr>
          <w:tblHeader/>
          <w:jc w:val="center"/>
        </w:trPr>
        <w:tc>
          <w:tcPr>
            <w:tcW w:w="3188" w:type="dxa"/>
          </w:tcPr>
          <w:p w14:paraId="0471A40D" w14:textId="77777777" w:rsidR="00961CCE" w:rsidRPr="00022EFF" w:rsidRDefault="00961CCE" w:rsidP="007B14A4">
            <w:pPr>
              <w:pStyle w:val="Tableheading"/>
            </w:pPr>
            <w:r w:rsidRPr="00022EFF">
              <w:t>Respondent</w:t>
            </w:r>
          </w:p>
        </w:tc>
        <w:tc>
          <w:tcPr>
            <w:tcW w:w="1775" w:type="dxa"/>
            <w:vAlign w:val="center"/>
          </w:tcPr>
          <w:p w14:paraId="4C41C067" w14:textId="694F557D" w:rsidR="00961CCE" w:rsidRPr="00022EFF" w:rsidRDefault="00E01EBA" w:rsidP="005312DF">
            <w:pPr>
              <w:pStyle w:val="Tableheading"/>
            </w:pPr>
            <w:r w:rsidRPr="00022EFF">
              <w:t xml:space="preserve">Number of organisations </w:t>
            </w:r>
            <w:r w:rsidR="00D864BF" w:rsidRPr="00022EFF">
              <w:t>(</w:t>
            </w:r>
            <w:r w:rsidRPr="00022EFF">
              <w:t>or individuals</w:t>
            </w:r>
            <w:r w:rsidR="00D864BF" w:rsidRPr="00022EFF">
              <w:t>)</w:t>
            </w:r>
          </w:p>
        </w:tc>
        <w:tc>
          <w:tcPr>
            <w:tcW w:w="2970" w:type="dxa"/>
          </w:tcPr>
          <w:p w14:paraId="16AF36D4" w14:textId="7921CE3F" w:rsidR="00961CCE" w:rsidRPr="00022EFF" w:rsidRDefault="00961CCE" w:rsidP="007B14A4">
            <w:pPr>
              <w:pStyle w:val="Tableheading"/>
            </w:pPr>
            <w:r w:rsidRPr="00022EFF">
              <w:t xml:space="preserve">Percentage </w:t>
            </w:r>
            <w:r w:rsidRPr="00022EFF">
              <w:rPr>
                <w:sz w:val="20"/>
                <w:szCs w:val="22"/>
              </w:rPr>
              <w:t xml:space="preserve">(of </w:t>
            </w:r>
            <w:r w:rsidR="009401C1" w:rsidRPr="00022EFF">
              <w:rPr>
                <w:sz w:val="20"/>
                <w:szCs w:val="22"/>
              </w:rPr>
              <w:t xml:space="preserve">769 </w:t>
            </w:r>
            <w:r w:rsidRPr="00022EFF">
              <w:rPr>
                <w:sz w:val="20"/>
                <w:szCs w:val="22"/>
              </w:rPr>
              <w:t>comments)</w:t>
            </w:r>
          </w:p>
        </w:tc>
      </w:tr>
      <w:tr w:rsidR="00961CCE" w:rsidRPr="00022EFF" w14:paraId="23677BBB" w14:textId="77777777" w:rsidTr="00E61035">
        <w:trPr>
          <w:tblHeader/>
          <w:jc w:val="center"/>
        </w:trPr>
        <w:tc>
          <w:tcPr>
            <w:tcW w:w="3188" w:type="dxa"/>
          </w:tcPr>
          <w:p w14:paraId="0C0D48D7" w14:textId="77777777" w:rsidR="00961CCE" w:rsidRPr="00022EFF" w:rsidRDefault="00961CCE" w:rsidP="007B14A4">
            <w:pPr>
              <w:pStyle w:val="Tabletext"/>
            </w:pPr>
            <w:r w:rsidRPr="00022EFF">
              <w:t>Industry</w:t>
            </w:r>
          </w:p>
        </w:tc>
        <w:tc>
          <w:tcPr>
            <w:tcW w:w="1775" w:type="dxa"/>
            <w:vAlign w:val="center"/>
          </w:tcPr>
          <w:p w14:paraId="621C9CC8" w14:textId="0972EE7A" w:rsidR="00961CCE" w:rsidRPr="00022EFF" w:rsidRDefault="006D466C" w:rsidP="005312DF">
            <w:pPr>
              <w:pStyle w:val="Tabletext"/>
            </w:pPr>
            <w:r w:rsidRPr="00022EFF">
              <w:t>25</w:t>
            </w:r>
          </w:p>
        </w:tc>
        <w:tc>
          <w:tcPr>
            <w:tcW w:w="2970" w:type="dxa"/>
          </w:tcPr>
          <w:p w14:paraId="74B01D78" w14:textId="4C9201C2" w:rsidR="00961CCE" w:rsidRPr="00022EFF" w:rsidRDefault="00586CA7" w:rsidP="007B14A4">
            <w:pPr>
              <w:pStyle w:val="Tabletext"/>
            </w:pPr>
            <w:r w:rsidRPr="00022EFF">
              <w:t>54</w:t>
            </w:r>
            <w:r w:rsidR="00961CCE" w:rsidRPr="00022EFF">
              <w:t>% (413)</w:t>
            </w:r>
          </w:p>
        </w:tc>
      </w:tr>
      <w:tr w:rsidR="00961CCE" w:rsidRPr="00022EFF" w14:paraId="30D99BC1" w14:textId="77777777" w:rsidTr="00E61035">
        <w:trPr>
          <w:tblHeader/>
          <w:jc w:val="center"/>
        </w:trPr>
        <w:tc>
          <w:tcPr>
            <w:tcW w:w="3188" w:type="dxa"/>
          </w:tcPr>
          <w:p w14:paraId="3258A201" w14:textId="77777777" w:rsidR="00961CCE" w:rsidRPr="00022EFF" w:rsidRDefault="00961CCE" w:rsidP="007B14A4">
            <w:pPr>
              <w:pStyle w:val="Tabletext"/>
            </w:pPr>
            <w:r w:rsidRPr="00022EFF">
              <w:rPr>
                <w:rStyle w:val="ui-provider"/>
              </w:rPr>
              <w:t>Voluntary and community sector organisation</w:t>
            </w:r>
            <w:r w:rsidRPr="00022EFF">
              <w:t>s</w:t>
            </w:r>
          </w:p>
        </w:tc>
        <w:tc>
          <w:tcPr>
            <w:tcW w:w="1775" w:type="dxa"/>
            <w:vAlign w:val="center"/>
          </w:tcPr>
          <w:p w14:paraId="157AAD6F" w14:textId="5310EF64" w:rsidR="00961CCE" w:rsidRPr="00022EFF" w:rsidRDefault="007B6D19" w:rsidP="005312DF">
            <w:pPr>
              <w:pStyle w:val="Tabletext"/>
            </w:pPr>
            <w:r w:rsidRPr="00022EFF">
              <w:t>14</w:t>
            </w:r>
          </w:p>
        </w:tc>
        <w:tc>
          <w:tcPr>
            <w:tcW w:w="2970" w:type="dxa"/>
          </w:tcPr>
          <w:p w14:paraId="0D4BD290" w14:textId="589392ED" w:rsidR="00961CCE" w:rsidRPr="00022EFF" w:rsidRDefault="00961CCE" w:rsidP="007B14A4">
            <w:pPr>
              <w:pStyle w:val="Tabletext"/>
            </w:pPr>
            <w:r w:rsidRPr="00022EFF">
              <w:t>1</w:t>
            </w:r>
            <w:r w:rsidR="00586CA7" w:rsidRPr="00022EFF">
              <w:t>7</w:t>
            </w:r>
            <w:r w:rsidRPr="00022EFF">
              <w:t>% (130)</w:t>
            </w:r>
          </w:p>
        </w:tc>
      </w:tr>
      <w:tr w:rsidR="00961CCE" w:rsidRPr="00022EFF" w14:paraId="1C768F84" w14:textId="77777777" w:rsidTr="00E61035">
        <w:trPr>
          <w:tblHeader/>
          <w:jc w:val="center"/>
        </w:trPr>
        <w:tc>
          <w:tcPr>
            <w:tcW w:w="3188" w:type="dxa"/>
            <w:shd w:val="clear" w:color="auto" w:fill="auto"/>
          </w:tcPr>
          <w:p w14:paraId="273912DB" w14:textId="77777777" w:rsidR="00961CCE" w:rsidRPr="00022EFF" w:rsidRDefault="00961CCE" w:rsidP="007B14A4">
            <w:pPr>
              <w:pStyle w:val="Tabletext"/>
              <w:rPr>
                <w:rStyle w:val="ui-provider"/>
              </w:rPr>
            </w:pPr>
            <w:r w:rsidRPr="00022EFF">
              <w:rPr>
                <w:rStyle w:val="ui-provider"/>
              </w:rPr>
              <w:t>NHSE &amp; DHSE</w:t>
            </w:r>
          </w:p>
        </w:tc>
        <w:tc>
          <w:tcPr>
            <w:tcW w:w="1775" w:type="dxa"/>
            <w:vAlign w:val="center"/>
          </w:tcPr>
          <w:p w14:paraId="12E46451" w14:textId="10C7FAB7" w:rsidR="00961CCE" w:rsidRPr="00022EFF" w:rsidRDefault="00A75195" w:rsidP="005312DF">
            <w:pPr>
              <w:pStyle w:val="Tabletext"/>
            </w:pPr>
            <w:r w:rsidRPr="00022EFF">
              <w:t>2</w:t>
            </w:r>
          </w:p>
        </w:tc>
        <w:tc>
          <w:tcPr>
            <w:tcW w:w="2970" w:type="dxa"/>
            <w:shd w:val="clear" w:color="auto" w:fill="auto"/>
          </w:tcPr>
          <w:p w14:paraId="539529EF" w14:textId="3F1DF39E" w:rsidR="00961CCE" w:rsidRPr="00022EFF" w:rsidRDefault="00961CCE" w:rsidP="007B14A4">
            <w:pPr>
              <w:pStyle w:val="Tabletext"/>
            </w:pPr>
            <w:r w:rsidRPr="00022EFF">
              <w:t>1</w:t>
            </w:r>
            <w:r w:rsidR="00E34150" w:rsidRPr="00022EFF">
              <w:t>5</w:t>
            </w:r>
            <w:r w:rsidRPr="00022EFF">
              <w:t>% (112)</w:t>
            </w:r>
          </w:p>
        </w:tc>
      </w:tr>
      <w:tr w:rsidR="00961CCE" w:rsidRPr="00022EFF" w14:paraId="5F403983" w14:textId="77777777" w:rsidTr="00E61035">
        <w:trPr>
          <w:tblHeader/>
          <w:jc w:val="center"/>
        </w:trPr>
        <w:tc>
          <w:tcPr>
            <w:tcW w:w="3188" w:type="dxa"/>
          </w:tcPr>
          <w:p w14:paraId="0B6C7EB1" w14:textId="77777777" w:rsidR="00961CCE" w:rsidRPr="00022EFF" w:rsidRDefault="00961CCE" w:rsidP="007B14A4">
            <w:pPr>
              <w:pStyle w:val="Tabletext"/>
            </w:pPr>
            <w:r w:rsidRPr="00022EFF">
              <w:t>Royal colleges, academic &amp; professional societies</w:t>
            </w:r>
          </w:p>
        </w:tc>
        <w:tc>
          <w:tcPr>
            <w:tcW w:w="1775" w:type="dxa"/>
            <w:vAlign w:val="center"/>
          </w:tcPr>
          <w:p w14:paraId="5C4CEE9C" w14:textId="64168F47" w:rsidR="00961CCE" w:rsidRPr="00022EFF" w:rsidRDefault="00265C8D" w:rsidP="005312DF">
            <w:pPr>
              <w:pStyle w:val="Tabletext"/>
            </w:pPr>
            <w:r w:rsidRPr="00022EFF">
              <w:t>6</w:t>
            </w:r>
          </w:p>
        </w:tc>
        <w:tc>
          <w:tcPr>
            <w:tcW w:w="2970" w:type="dxa"/>
          </w:tcPr>
          <w:p w14:paraId="5C450791" w14:textId="5AC5D20A" w:rsidR="00961CCE" w:rsidRPr="00022EFF" w:rsidRDefault="00E34150" w:rsidP="007B14A4">
            <w:pPr>
              <w:pStyle w:val="Tabletext"/>
            </w:pPr>
            <w:r w:rsidRPr="00022EFF">
              <w:t>9</w:t>
            </w:r>
            <w:r w:rsidR="00961CCE" w:rsidRPr="00022EFF">
              <w:t>% (69)</w:t>
            </w:r>
          </w:p>
        </w:tc>
      </w:tr>
      <w:tr w:rsidR="00961CCE" w:rsidRPr="00022EFF" w14:paraId="6D49AF89" w14:textId="77777777" w:rsidTr="00E61035">
        <w:trPr>
          <w:tblHeader/>
          <w:jc w:val="center"/>
        </w:trPr>
        <w:tc>
          <w:tcPr>
            <w:tcW w:w="3188" w:type="dxa"/>
          </w:tcPr>
          <w:p w14:paraId="3DEB4FC0" w14:textId="77777777" w:rsidR="00961CCE" w:rsidRPr="00022EFF" w:rsidRDefault="00961CCE" w:rsidP="007B14A4">
            <w:pPr>
              <w:pStyle w:val="Tabletext"/>
            </w:pPr>
            <w:r w:rsidRPr="00022EFF">
              <w:t>Individuals (external to NICE)</w:t>
            </w:r>
          </w:p>
        </w:tc>
        <w:tc>
          <w:tcPr>
            <w:tcW w:w="1775" w:type="dxa"/>
            <w:vAlign w:val="center"/>
          </w:tcPr>
          <w:p w14:paraId="50D39183" w14:textId="6154ECD5" w:rsidR="00961CCE" w:rsidRPr="00022EFF" w:rsidRDefault="001473CF" w:rsidP="005312DF">
            <w:pPr>
              <w:pStyle w:val="Tabletext"/>
            </w:pPr>
            <w:r w:rsidRPr="00022EFF">
              <w:t>4</w:t>
            </w:r>
          </w:p>
        </w:tc>
        <w:tc>
          <w:tcPr>
            <w:tcW w:w="2970" w:type="dxa"/>
          </w:tcPr>
          <w:p w14:paraId="075F4794" w14:textId="4C0E049B" w:rsidR="00961CCE" w:rsidRPr="00022EFF" w:rsidRDefault="00961CCE" w:rsidP="007B14A4">
            <w:pPr>
              <w:pStyle w:val="Tabletext"/>
            </w:pPr>
            <w:r w:rsidRPr="00022EFF">
              <w:t>3% (26)</w:t>
            </w:r>
          </w:p>
        </w:tc>
      </w:tr>
      <w:tr w:rsidR="00961CCE" w:rsidRPr="00022EFF" w14:paraId="776B9179" w14:textId="77777777" w:rsidTr="00E61035">
        <w:trPr>
          <w:tblHeader/>
          <w:jc w:val="center"/>
        </w:trPr>
        <w:tc>
          <w:tcPr>
            <w:tcW w:w="3188" w:type="dxa"/>
          </w:tcPr>
          <w:p w14:paraId="3EE01281" w14:textId="77777777" w:rsidR="00961CCE" w:rsidRPr="00022EFF" w:rsidRDefault="00961CCE" w:rsidP="007B14A4">
            <w:pPr>
              <w:pStyle w:val="Tabletext"/>
            </w:pPr>
            <w:r w:rsidRPr="00022EFF">
              <w:t>Arms-length bodies, NHS trusts, ICB/ICS &amp; NHS Wales</w:t>
            </w:r>
          </w:p>
        </w:tc>
        <w:tc>
          <w:tcPr>
            <w:tcW w:w="1775" w:type="dxa"/>
            <w:vAlign w:val="center"/>
          </w:tcPr>
          <w:p w14:paraId="1D16E8D9" w14:textId="0D1A0A4E" w:rsidR="00961CCE" w:rsidRPr="00022EFF" w:rsidRDefault="00173485" w:rsidP="005312DF">
            <w:pPr>
              <w:pStyle w:val="Tabletext"/>
            </w:pPr>
            <w:r w:rsidRPr="00022EFF">
              <w:t>4</w:t>
            </w:r>
          </w:p>
        </w:tc>
        <w:tc>
          <w:tcPr>
            <w:tcW w:w="2970" w:type="dxa"/>
          </w:tcPr>
          <w:p w14:paraId="3532C2E5" w14:textId="5D55FDDD" w:rsidR="00961CCE" w:rsidRPr="00022EFF" w:rsidRDefault="00961CCE" w:rsidP="007B14A4">
            <w:pPr>
              <w:pStyle w:val="Tabletext"/>
            </w:pPr>
            <w:r w:rsidRPr="00022EFF">
              <w:t>2% (1</w:t>
            </w:r>
            <w:r w:rsidR="00E33A79" w:rsidRPr="00022EFF">
              <w:t>7</w:t>
            </w:r>
            <w:r w:rsidRPr="00022EFF">
              <w:t>)</w:t>
            </w:r>
          </w:p>
        </w:tc>
      </w:tr>
    </w:tbl>
    <w:p w14:paraId="74B8B754" w14:textId="77777777" w:rsidR="00D73975" w:rsidRPr="00022EFF" w:rsidRDefault="00D73975" w:rsidP="00D73975">
      <w:pPr>
        <w:pStyle w:val="Bulletleft1"/>
        <w:numPr>
          <w:ilvl w:val="0"/>
          <w:numId w:val="0"/>
        </w:numPr>
        <w:rPr>
          <w:color w:val="0070C0"/>
        </w:rPr>
      </w:pPr>
    </w:p>
    <w:p w14:paraId="6D5E12C4" w14:textId="6AD7ECDE" w:rsidR="00D73975" w:rsidRPr="00022EFF" w:rsidRDefault="126E5E24" w:rsidP="00E06B2F">
      <w:pPr>
        <w:pStyle w:val="NICEnormalnumbered"/>
        <w:rPr>
          <w:noProof w:val="0"/>
        </w:rPr>
      </w:pPr>
      <w:r w:rsidRPr="00022EFF">
        <w:rPr>
          <w:noProof w:val="0"/>
        </w:rPr>
        <w:t>Overal</w:t>
      </w:r>
      <w:r w:rsidR="00D73975" w:rsidRPr="00022EFF">
        <w:rPr>
          <w:noProof w:val="0"/>
        </w:rPr>
        <w:t xml:space="preserve">l, the proposed new approach to the prioritisation of topics and the strategic principles was welcomed by respondents, with comments primarily focused on seeking further detail. </w:t>
      </w:r>
      <w:r w:rsidR="009F77B1" w:rsidRPr="00022EFF">
        <w:rPr>
          <w:noProof w:val="0"/>
        </w:rPr>
        <w:t>Key themes that emerged from the consultation were</w:t>
      </w:r>
      <w:r w:rsidR="00D73975" w:rsidRPr="00022EFF">
        <w:rPr>
          <w:noProof w:val="0"/>
        </w:rPr>
        <w:t>:</w:t>
      </w:r>
    </w:p>
    <w:p w14:paraId="7171324C" w14:textId="65FFF8DC" w:rsidR="00D73975" w:rsidRPr="00022EFF" w:rsidRDefault="46797E67" w:rsidP="000C2FC7">
      <w:pPr>
        <w:pStyle w:val="Bullets"/>
      </w:pPr>
      <w:r w:rsidRPr="00022EFF">
        <w:lastRenderedPageBreak/>
        <w:t>Detail</w:t>
      </w:r>
      <w:r w:rsidR="1BD206A7" w:rsidRPr="00022EFF">
        <w:t>s</w:t>
      </w:r>
      <w:r w:rsidR="00AC0C7C" w:rsidRPr="00022EFF">
        <w:t xml:space="preserve"> on specifics of the strategic principles </w:t>
      </w:r>
    </w:p>
    <w:p w14:paraId="4D02CFC8" w14:textId="601019C8" w:rsidR="00D73975" w:rsidRPr="00022EFF" w:rsidRDefault="00D73975" w:rsidP="000C2FC7">
      <w:pPr>
        <w:pStyle w:val="Bullets"/>
      </w:pPr>
      <w:r w:rsidRPr="00022EFF">
        <w:t>Application of the prioritisation framework</w:t>
      </w:r>
    </w:p>
    <w:p w14:paraId="4DF900CB" w14:textId="2ADD8FCF" w:rsidR="00D73975" w:rsidRPr="00022EFF" w:rsidRDefault="387AA8D3" w:rsidP="000C2FC7">
      <w:pPr>
        <w:pStyle w:val="Bullets"/>
      </w:pPr>
      <w:r w:rsidRPr="00022EFF">
        <w:t>R</w:t>
      </w:r>
      <w:r w:rsidR="00D73975" w:rsidRPr="00022EFF">
        <w:t>elationship between the framework and the strategic principles</w:t>
      </w:r>
    </w:p>
    <w:p w14:paraId="170B86DF" w14:textId="3C749B7F" w:rsidR="006D2C4E" w:rsidRPr="00022EFF" w:rsidRDefault="608F9A6D" w:rsidP="006D2C4E">
      <w:pPr>
        <w:pStyle w:val="Bullets"/>
      </w:pPr>
      <w:r w:rsidRPr="00022EFF">
        <w:t>I</w:t>
      </w:r>
      <w:r w:rsidR="006D2C4E" w:rsidRPr="00022EFF">
        <w:t xml:space="preserve">dentifying </w:t>
      </w:r>
      <w:r w:rsidR="2BC1C98E" w:rsidRPr="00022EFF">
        <w:t xml:space="preserve">system </w:t>
      </w:r>
      <w:r w:rsidR="006D2C4E" w:rsidRPr="00022EFF">
        <w:t>priorities</w:t>
      </w:r>
    </w:p>
    <w:p w14:paraId="1BC977BC" w14:textId="6ED3189B" w:rsidR="006D2C4E" w:rsidRPr="00022EFF" w:rsidRDefault="7E934422" w:rsidP="006D2C4E">
      <w:pPr>
        <w:pStyle w:val="Bullets"/>
      </w:pPr>
      <w:r w:rsidRPr="00022EFF">
        <w:t xml:space="preserve">Interpretation of proposals in relation to the </w:t>
      </w:r>
      <w:r w:rsidR="006D2C4E" w:rsidRPr="00022EFF">
        <w:t xml:space="preserve">voluntary scheme for branded medicines pricing, </w:t>
      </w:r>
      <w:proofErr w:type="gramStart"/>
      <w:r w:rsidR="006D2C4E" w:rsidRPr="00022EFF">
        <w:t>access</w:t>
      </w:r>
      <w:proofErr w:type="gramEnd"/>
      <w:r w:rsidR="006D2C4E" w:rsidRPr="00022EFF">
        <w:t xml:space="preserve"> and growth (VPAG) </w:t>
      </w:r>
    </w:p>
    <w:p w14:paraId="328C9F84" w14:textId="50BE1E65" w:rsidR="006D2C4E" w:rsidRPr="00022EFF" w:rsidRDefault="006D2C4E" w:rsidP="006D2C4E">
      <w:pPr>
        <w:pStyle w:val="Bullets"/>
      </w:pPr>
      <w:r w:rsidRPr="00022EFF">
        <w:t>Highly Specialised Technologies (HST) criteria</w:t>
      </w:r>
      <w:r w:rsidR="06DA1C98" w:rsidRPr="00022EFF">
        <w:t xml:space="preserve"> and</w:t>
      </w:r>
      <w:r w:rsidRPr="00022EFF">
        <w:t xml:space="preserve"> routing</w:t>
      </w:r>
    </w:p>
    <w:p w14:paraId="750A4C9B" w14:textId="30581612" w:rsidR="00D73975" w:rsidRPr="00022EFF" w:rsidRDefault="00D73975" w:rsidP="000C2FC7">
      <w:pPr>
        <w:pStyle w:val="Bullets"/>
      </w:pPr>
      <w:r w:rsidRPr="00022EFF">
        <w:t xml:space="preserve">Communicating </w:t>
      </w:r>
      <w:r w:rsidR="6327A84E" w:rsidRPr="00022EFF">
        <w:t>p</w:t>
      </w:r>
      <w:r w:rsidRPr="00022EFF">
        <w:t xml:space="preserve">rioritisation </w:t>
      </w:r>
      <w:r w:rsidR="4347F83C" w:rsidRPr="00022EFF">
        <w:t>b</w:t>
      </w:r>
      <w:r w:rsidRPr="00022EFF">
        <w:t>oard decisions</w:t>
      </w:r>
    </w:p>
    <w:p w14:paraId="215B0743" w14:textId="77777777" w:rsidR="00D73975" w:rsidRPr="00022EFF" w:rsidRDefault="00D73975" w:rsidP="000C2FC7">
      <w:pPr>
        <w:pStyle w:val="Bullets"/>
      </w:pPr>
      <w:r w:rsidRPr="00022EFF">
        <w:t>Clarification process and timings</w:t>
      </w:r>
    </w:p>
    <w:p w14:paraId="70067A3C" w14:textId="6CC78CB0" w:rsidR="00D73975" w:rsidRPr="00022EFF" w:rsidRDefault="00D73975" w:rsidP="5F04D595">
      <w:pPr>
        <w:pStyle w:val="Bullets"/>
      </w:pPr>
      <w:r w:rsidRPr="00022EFF">
        <w:t xml:space="preserve">Prioritisation board </w:t>
      </w:r>
      <w:r w:rsidR="43F9DACC" w:rsidRPr="00022EFF">
        <w:t>governance</w:t>
      </w:r>
    </w:p>
    <w:p w14:paraId="6ACA05EE" w14:textId="77777777" w:rsidR="00D020D6" w:rsidRPr="00022EFF" w:rsidRDefault="00D73975" w:rsidP="00D020D6">
      <w:pPr>
        <w:pStyle w:val="Bullets"/>
      </w:pPr>
      <w:r w:rsidRPr="00022EFF">
        <w:t>Terminology</w:t>
      </w:r>
      <w:r w:rsidR="00D020D6" w:rsidRPr="00022EFF">
        <w:t xml:space="preserve"> </w:t>
      </w:r>
    </w:p>
    <w:p w14:paraId="438C40DD" w14:textId="27F963C0" w:rsidR="00D73975" w:rsidRPr="00022EFF" w:rsidRDefault="00D020D6" w:rsidP="00D020D6">
      <w:pPr>
        <w:pStyle w:val="Bulletslast"/>
      </w:pPr>
      <w:r w:rsidRPr="00022EFF">
        <w:t xml:space="preserve">Key methods work for </w:t>
      </w:r>
      <w:proofErr w:type="gramStart"/>
      <w:r w:rsidRPr="00022EFF">
        <w:t>NICE</w:t>
      </w:r>
      <w:proofErr w:type="gramEnd"/>
    </w:p>
    <w:p w14:paraId="76A13BDE" w14:textId="77777777" w:rsidR="00D73975" w:rsidRPr="00022EFF" w:rsidRDefault="00D73975" w:rsidP="000B02E8">
      <w:pPr>
        <w:pStyle w:val="NICEnormalnumbered"/>
        <w:rPr>
          <w:noProof w:val="0"/>
        </w:rPr>
      </w:pPr>
      <w:r w:rsidRPr="00022EFF">
        <w:rPr>
          <w:noProof w:val="0"/>
        </w:rPr>
        <w:t>It should be noted that there were concurrent NICE consultations during the period of this consultation, the outcomes of which (where relevant) will be considered in the final approach to NICE-wide topic prioritisation. The other consultations were:</w:t>
      </w:r>
    </w:p>
    <w:p w14:paraId="15BB719D" w14:textId="77777777" w:rsidR="001B7CB3" w:rsidRPr="00022EFF" w:rsidRDefault="00ED3E9F" w:rsidP="00C67CD1">
      <w:pPr>
        <w:pStyle w:val="Bullets"/>
        <w:rPr>
          <w:color w:val="0563C1" w:themeColor="hyperlink"/>
          <w:u w:val="single"/>
        </w:rPr>
      </w:pPr>
      <w:hyperlink r:id="rId9">
        <w:r w:rsidR="00D73975" w:rsidRPr="00022EFF">
          <w:rPr>
            <w:rStyle w:val="Hyperlink"/>
          </w:rPr>
          <w:t>Methods and processes for including NICE technology appraisal recommendations in guidelines</w:t>
        </w:r>
      </w:hyperlink>
      <w:r w:rsidR="00D73975" w:rsidRPr="00022EFF">
        <w:t xml:space="preserve">, </w:t>
      </w:r>
    </w:p>
    <w:p w14:paraId="2282AED5" w14:textId="62CED33F" w:rsidR="00D73975" w:rsidRPr="00022EFF" w:rsidRDefault="00ED3E9F" w:rsidP="00C67CD1">
      <w:pPr>
        <w:pStyle w:val="Bullets"/>
        <w:rPr>
          <w:rStyle w:val="Hyperlink"/>
        </w:rPr>
      </w:pPr>
      <w:hyperlink r:id="rId10">
        <w:r w:rsidR="001B7CB3" w:rsidRPr="00022EFF">
          <w:rPr>
            <w:rStyle w:val="Hyperlink"/>
          </w:rPr>
          <w:t>Interim</w:t>
        </w:r>
        <w:r w:rsidR="005A47BE" w:rsidRPr="00022EFF">
          <w:rPr>
            <w:rStyle w:val="Hyperlink"/>
          </w:rPr>
          <w:t xml:space="preserve"> meth</w:t>
        </w:r>
        <w:r w:rsidR="003C2892" w:rsidRPr="00022EFF">
          <w:rPr>
            <w:rStyle w:val="Hyperlink"/>
          </w:rPr>
          <w:t>o</w:t>
        </w:r>
        <w:r w:rsidR="005A47BE" w:rsidRPr="00022EFF">
          <w:rPr>
            <w:rStyle w:val="Hyperlink"/>
          </w:rPr>
          <w:t xml:space="preserve">ds and </w:t>
        </w:r>
        <w:r w:rsidR="003C2892" w:rsidRPr="00022EFF">
          <w:rPr>
            <w:rStyle w:val="Hyperlink"/>
          </w:rPr>
          <w:t xml:space="preserve">processes for </w:t>
        </w:r>
        <w:proofErr w:type="gramStart"/>
        <w:r w:rsidR="003C2892" w:rsidRPr="00022EFF">
          <w:rPr>
            <w:rStyle w:val="Hyperlink"/>
          </w:rPr>
          <w:t>L</w:t>
        </w:r>
        <w:r w:rsidR="001B7CB3" w:rsidRPr="00022EFF">
          <w:rPr>
            <w:rStyle w:val="Hyperlink"/>
          </w:rPr>
          <w:t xml:space="preserve">ate </w:t>
        </w:r>
        <w:r w:rsidR="003C2892" w:rsidRPr="00022EFF">
          <w:rPr>
            <w:rStyle w:val="Hyperlink"/>
          </w:rPr>
          <w:t>S</w:t>
        </w:r>
        <w:r w:rsidR="001B7CB3" w:rsidRPr="00022EFF">
          <w:rPr>
            <w:rStyle w:val="Hyperlink"/>
          </w:rPr>
          <w:t>tage</w:t>
        </w:r>
        <w:proofErr w:type="gramEnd"/>
        <w:r w:rsidR="001B7CB3" w:rsidRPr="00022EFF">
          <w:rPr>
            <w:rStyle w:val="Hyperlink"/>
          </w:rPr>
          <w:t xml:space="preserve"> </w:t>
        </w:r>
        <w:r w:rsidR="003C2892" w:rsidRPr="00022EFF">
          <w:rPr>
            <w:rStyle w:val="Hyperlink"/>
          </w:rPr>
          <w:t>A</w:t>
        </w:r>
        <w:r w:rsidR="001B7CB3" w:rsidRPr="00022EFF">
          <w:rPr>
            <w:rStyle w:val="Hyperlink"/>
          </w:rPr>
          <w:t>ss</w:t>
        </w:r>
        <w:r w:rsidR="006E1A9D" w:rsidRPr="00022EFF">
          <w:rPr>
            <w:rStyle w:val="Hyperlink"/>
          </w:rPr>
          <w:t>essment</w:t>
        </w:r>
        <w:r w:rsidR="003C2892" w:rsidRPr="00022EFF">
          <w:rPr>
            <w:rStyle w:val="Hyperlink"/>
          </w:rPr>
          <w:t xml:space="preserve"> (LSA) in HealthTech</w:t>
        </w:r>
      </w:hyperlink>
      <w:r w:rsidR="006E1A9D" w:rsidRPr="00022EFF">
        <w:t xml:space="preserve">, </w:t>
      </w:r>
      <w:r w:rsidR="00D73975" w:rsidRPr="00022EFF">
        <w:t>and</w:t>
      </w:r>
    </w:p>
    <w:p w14:paraId="0A79EC89" w14:textId="08B7941C" w:rsidR="00D73975" w:rsidRPr="00022EFF" w:rsidRDefault="00ED3E9F" w:rsidP="00C67CD1">
      <w:pPr>
        <w:pStyle w:val="Bulletslast"/>
        <w:rPr>
          <w:rStyle w:val="Hyperlink"/>
        </w:rPr>
      </w:pPr>
      <w:hyperlink r:id="rId11" w:history="1">
        <w:r w:rsidR="00D73975" w:rsidRPr="00022EFF">
          <w:rPr>
            <w:rStyle w:val="Hyperlink"/>
          </w:rPr>
          <w:t>Working alongside people and communities at NICE: a strategy</w:t>
        </w:r>
      </w:hyperlink>
    </w:p>
    <w:p w14:paraId="0273FE5E" w14:textId="05B9A109" w:rsidR="00D73975" w:rsidRPr="00022EFF" w:rsidRDefault="00D73975" w:rsidP="00C67CD1">
      <w:pPr>
        <w:pStyle w:val="NICEnormalnumbered"/>
        <w:rPr>
          <w:noProof w:val="0"/>
        </w:rPr>
      </w:pPr>
      <w:r w:rsidRPr="00022EFF">
        <w:rPr>
          <w:noProof w:val="0"/>
        </w:rPr>
        <w:t xml:space="preserve">Furthermore, NHS England and NICE have been commissioned to develop an integrated, rules-based approach to the assessment and commissioning of new medical technologies including devices, diagnostics and digital. NICE and NHS England will shortly launch a joint consultation on proposals to develop this new pathway. </w:t>
      </w:r>
    </w:p>
    <w:p w14:paraId="0D3F4DD6" w14:textId="18B949B6" w:rsidR="007B6560" w:rsidRPr="00022EFF" w:rsidRDefault="00D73975" w:rsidP="00C67CD1">
      <w:pPr>
        <w:pStyle w:val="NICEnormalnumbered"/>
        <w:rPr>
          <w:noProof w:val="0"/>
        </w:rPr>
      </w:pPr>
      <w:r>
        <w:rPr>
          <w:noProof w:val="0"/>
        </w:rPr>
        <w:t xml:space="preserve">To deliver </w:t>
      </w:r>
      <w:proofErr w:type="gramStart"/>
      <w:r>
        <w:rPr>
          <w:noProof w:val="0"/>
        </w:rPr>
        <w:t xml:space="preserve">this </w:t>
      </w:r>
      <w:r w:rsidR="3E888CF4">
        <w:rPr>
          <w:noProof w:val="0"/>
        </w:rPr>
        <w:t>new medical technologies</w:t>
      </w:r>
      <w:proofErr w:type="gramEnd"/>
      <w:r w:rsidR="3E888CF4">
        <w:rPr>
          <w:noProof w:val="0"/>
        </w:rPr>
        <w:t xml:space="preserve"> pathway</w:t>
      </w:r>
      <w:r>
        <w:rPr>
          <w:noProof w:val="0"/>
        </w:rPr>
        <w:t xml:space="preserve"> a tripartite joint prioritisation process </w:t>
      </w:r>
      <w:r w:rsidR="44F949F6">
        <w:rPr>
          <w:noProof w:val="0"/>
        </w:rPr>
        <w:t>involving</w:t>
      </w:r>
      <w:r>
        <w:rPr>
          <w:noProof w:val="0"/>
        </w:rPr>
        <w:t xml:space="preserve"> NICE, DHSC and NHS England will select technologies for the pathway against a set of agreed criteria. This will include an assessment of budget impact, overall affordability as well </w:t>
      </w:r>
      <w:r w:rsidR="1BD4F072">
        <w:rPr>
          <w:noProof w:val="0"/>
        </w:rPr>
        <w:t xml:space="preserve">as </w:t>
      </w:r>
      <w:r>
        <w:rPr>
          <w:noProof w:val="0"/>
        </w:rPr>
        <w:t xml:space="preserve">selecting a limited number of technologies per annum. Further work will confirm how this will operate in </w:t>
      </w:r>
      <w:r>
        <w:rPr>
          <w:noProof w:val="0"/>
        </w:rPr>
        <w:lastRenderedPageBreak/>
        <w:t>practice, but all parties are clear that the process will be aligned with and integrated into the prioritisation process, as set out in the NICE-wide topic prioritisation and strategic principles consultation.</w:t>
      </w:r>
      <w:bookmarkStart w:id="1" w:name="Section_4_findings"/>
    </w:p>
    <w:p w14:paraId="7F8D7BF3" w14:textId="1677CEA5" w:rsidR="00D73975" w:rsidRPr="00022EFF" w:rsidRDefault="00D73975" w:rsidP="007B6560">
      <w:pPr>
        <w:pStyle w:val="Heading1boardreport"/>
      </w:pPr>
      <w:r w:rsidRPr="00022EFF">
        <w:t>Findings from the topic prioritisation and strategic principles consultation, implications for proposals and next steps</w:t>
      </w:r>
    </w:p>
    <w:p w14:paraId="689F92AB" w14:textId="563F11C7" w:rsidR="00A812CE" w:rsidRPr="00022EFF" w:rsidRDefault="00A812CE" w:rsidP="5F04D595">
      <w:pPr>
        <w:pStyle w:val="Heading2boardreport"/>
      </w:pPr>
      <w:bookmarkStart w:id="2" w:name="strategic_principles_specifics"/>
      <w:bookmarkEnd w:id="1"/>
      <w:bookmarkEnd w:id="2"/>
      <w:r w:rsidRPr="00022EFF">
        <w:t xml:space="preserve">Details on specifics of the strategic principles </w:t>
      </w:r>
    </w:p>
    <w:p w14:paraId="28E030F3" w14:textId="5D23B3E1" w:rsidR="00A812CE" w:rsidRPr="00022EFF" w:rsidRDefault="00A812CE" w:rsidP="5F04D595">
      <w:pPr>
        <w:pStyle w:val="Heading2boardreport"/>
      </w:pPr>
      <w:r w:rsidRPr="00022EFF">
        <w:t xml:space="preserve">Summary of comments received for public </w:t>
      </w:r>
      <w:proofErr w:type="gramStart"/>
      <w:r w:rsidRPr="00022EFF">
        <w:t>health</w:t>
      </w:r>
      <w:proofErr w:type="gramEnd"/>
    </w:p>
    <w:p w14:paraId="3BC2958C" w14:textId="77777777" w:rsidR="00A812CE" w:rsidRPr="00022EFF" w:rsidRDefault="00A812CE" w:rsidP="00A812CE">
      <w:pPr>
        <w:pStyle w:val="NICEnormalnumbered"/>
        <w:rPr>
          <w:noProof w:val="0"/>
        </w:rPr>
      </w:pPr>
      <w:proofErr w:type="gramStart"/>
      <w:r w:rsidRPr="00022EFF">
        <w:rPr>
          <w:noProof w:val="0"/>
        </w:rPr>
        <w:t>The majority of</w:t>
      </w:r>
      <w:proofErr w:type="gramEnd"/>
      <w:r w:rsidRPr="00022EFF">
        <w:rPr>
          <w:noProof w:val="0"/>
        </w:rPr>
        <w:t xml:space="preserve"> comments from respondents on the public health principles were related to the definition of Public Health. Comments were focused on the lack of breadth in the definition, specifically:</w:t>
      </w:r>
    </w:p>
    <w:p w14:paraId="32EFE956" w14:textId="3FE26D9D" w:rsidR="00A812CE" w:rsidRPr="00022EFF" w:rsidRDefault="00A812CE" w:rsidP="00A812CE">
      <w:pPr>
        <w:pStyle w:val="Bullets"/>
      </w:pPr>
      <w:r w:rsidRPr="00022EFF">
        <w:t>That public health also includes ag</w:t>
      </w:r>
      <w:r w:rsidR="7C4BAD48" w:rsidRPr="00022EFF">
        <w:t>e</w:t>
      </w:r>
      <w:r w:rsidRPr="00022EFF">
        <w:t xml:space="preserve">ing well, mental health and wellbeing, and preventing deterioration (through healthcare public health interventions), and early intervention. </w:t>
      </w:r>
    </w:p>
    <w:p w14:paraId="38D75B0A" w14:textId="77777777" w:rsidR="00A812CE" w:rsidRPr="00022EFF" w:rsidRDefault="00A812CE" w:rsidP="00A812CE">
      <w:pPr>
        <w:pStyle w:val="Bullets"/>
      </w:pPr>
      <w:r w:rsidRPr="00022EFF">
        <w:t xml:space="preserve">A lack of focus on population health  </w:t>
      </w:r>
    </w:p>
    <w:p w14:paraId="38CC5D75" w14:textId="659E03F6" w:rsidR="00A812CE" w:rsidRPr="00022EFF" w:rsidRDefault="00A812CE" w:rsidP="00A812CE">
      <w:pPr>
        <w:pStyle w:val="Bulletslast"/>
      </w:pPr>
      <w:r w:rsidRPr="00022EFF">
        <w:t>Lack of a mention of inequalities (in the definition of public health and within the principles themselves)</w:t>
      </w:r>
      <w:r w:rsidR="00A21E13" w:rsidRPr="00022EFF">
        <w:t>.</w:t>
      </w:r>
    </w:p>
    <w:p w14:paraId="0BA11869" w14:textId="6AA39C22" w:rsidR="00A21E13" w:rsidRPr="00022EFF" w:rsidRDefault="00A21E13" w:rsidP="00D52A1F">
      <w:pPr>
        <w:pStyle w:val="NICEnormalnumbered"/>
        <w:rPr>
          <w:noProof w:val="0"/>
        </w:rPr>
      </w:pPr>
      <w:proofErr w:type="gramStart"/>
      <w:r w:rsidRPr="00022EFF">
        <w:rPr>
          <w:noProof w:val="0"/>
        </w:rPr>
        <w:t>The majority of</w:t>
      </w:r>
      <w:proofErr w:type="gramEnd"/>
      <w:r w:rsidRPr="00022EFF">
        <w:rPr>
          <w:noProof w:val="0"/>
        </w:rPr>
        <w:t xml:space="preserve"> comments on the public health principles themselves</w:t>
      </w:r>
      <w:r w:rsidR="00FB122B" w:rsidRPr="00022EFF">
        <w:rPr>
          <w:noProof w:val="0"/>
        </w:rPr>
        <w:t>,</w:t>
      </w:r>
      <w:r w:rsidRPr="00022EFF">
        <w:rPr>
          <w:noProof w:val="0"/>
        </w:rPr>
        <w:t xml:space="preserve"> requested increased specificity or clarity of wording.</w:t>
      </w:r>
    </w:p>
    <w:p w14:paraId="544C1AF3" w14:textId="77777777" w:rsidR="00A812CE" w:rsidRPr="00022EFF" w:rsidRDefault="00A812CE" w:rsidP="00A812CE">
      <w:pPr>
        <w:pStyle w:val="Heading3boardreport"/>
      </w:pPr>
      <w:r w:rsidRPr="00022EFF">
        <w:t>Our response and any changes to proposals for public health</w:t>
      </w:r>
    </w:p>
    <w:p w14:paraId="2966757C" w14:textId="319DD5AC" w:rsidR="00A21E13" w:rsidRPr="00022EFF" w:rsidRDefault="00A812CE" w:rsidP="00A21E13">
      <w:pPr>
        <w:pStyle w:val="NICEnormalnumbered"/>
        <w:rPr>
          <w:noProof w:val="0"/>
        </w:rPr>
      </w:pPr>
      <w:r w:rsidRPr="00022EFF">
        <w:rPr>
          <w:noProof w:val="0"/>
        </w:rPr>
        <w:t xml:space="preserve">We are in the process of reviewing and updating the definition of public health used by NICE and published in our </w:t>
      </w:r>
      <w:hyperlink r:id="rId12" w:anchor="Public%20health">
        <w:r w:rsidRPr="00022EFF">
          <w:rPr>
            <w:rStyle w:val="Hyperlink"/>
            <w:noProof w:val="0"/>
          </w:rPr>
          <w:t>glossary</w:t>
        </w:r>
      </w:hyperlink>
      <w:r w:rsidR="00161EB7" w:rsidRPr="00022EFF">
        <w:rPr>
          <w:rStyle w:val="Hyperlink"/>
          <w:noProof w:val="0"/>
        </w:rPr>
        <w:t xml:space="preserve"> definition</w:t>
      </w:r>
      <w:r w:rsidRPr="00022EFF">
        <w:rPr>
          <w:noProof w:val="0"/>
        </w:rPr>
        <w:t xml:space="preserve">; the feedback on the definition of public health received during this consultation will be </w:t>
      </w:r>
      <w:proofErr w:type="spellStart"/>
      <w:r w:rsidR="5B52166A" w:rsidRPr="00022EFF">
        <w:rPr>
          <w:noProof w:val="0"/>
        </w:rPr>
        <w:t>incoporated</w:t>
      </w:r>
      <w:proofErr w:type="spellEnd"/>
      <w:r w:rsidR="5B52166A" w:rsidRPr="00022EFF">
        <w:rPr>
          <w:noProof w:val="0"/>
        </w:rPr>
        <w:t xml:space="preserve"> into an updated definition</w:t>
      </w:r>
      <w:r w:rsidRPr="00022EFF">
        <w:rPr>
          <w:noProof w:val="0"/>
        </w:rPr>
        <w:t>.</w:t>
      </w:r>
      <w:r w:rsidR="009D20FF" w:rsidRPr="00022EFF">
        <w:rPr>
          <w:noProof w:val="0"/>
        </w:rPr>
        <w:t xml:space="preserve"> </w:t>
      </w:r>
      <w:r w:rsidR="00FF052B" w:rsidRPr="00022EFF">
        <w:rPr>
          <w:noProof w:val="0"/>
        </w:rPr>
        <w:t>The principles for public health</w:t>
      </w:r>
      <w:r w:rsidR="00963125" w:rsidRPr="00022EFF">
        <w:rPr>
          <w:noProof w:val="0"/>
        </w:rPr>
        <w:t xml:space="preserve"> will also be reviewed and updated based on consultation feedback.</w:t>
      </w:r>
    </w:p>
    <w:p w14:paraId="12829D3E" w14:textId="77777777" w:rsidR="00A812CE" w:rsidRPr="00022EFF" w:rsidRDefault="00A812CE" w:rsidP="00A812CE">
      <w:pPr>
        <w:pStyle w:val="Heading3boardreport"/>
      </w:pPr>
      <w:r w:rsidRPr="00022EFF">
        <w:t xml:space="preserve">Summary of comments received for social </w:t>
      </w:r>
      <w:proofErr w:type="gramStart"/>
      <w:r w:rsidRPr="00022EFF">
        <w:t>care</w:t>
      </w:r>
      <w:proofErr w:type="gramEnd"/>
    </w:p>
    <w:p w14:paraId="37D71DC7" w14:textId="77777777" w:rsidR="00A812CE" w:rsidRPr="00022EFF" w:rsidRDefault="00A812CE" w:rsidP="00A812CE">
      <w:pPr>
        <w:pStyle w:val="NICEnormalnumbered"/>
        <w:rPr>
          <w:noProof w:val="0"/>
        </w:rPr>
      </w:pPr>
      <w:r w:rsidRPr="00022EFF">
        <w:rPr>
          <w:noProof w:val="0"/>
        </w:rPr>
        <w:t xml:space="preserve">Respondents reiterated the usefulness of NICE guidance as a valued reference point within social care. They were pleased to see an </w:t>
      </w:r>
      <w:r w:rsidRPr="00022EFF">
        <w:rPr>
          <w:noProof w:val="0"/>
        </w:rPr>
        <w:lastRenderedPageBreak/>
        <w:t>acknowledgement of the distinct considerations and specific challenges involved in producing social care guidance.</w:t>
      </w:r>
    </w:p>
    <w:p w14:paraId="6FF73FAB" w14:textId="227323F8" w:rsidR="00A812CE" w:rsidRPr="00022EFF" w:rsidRDefault="00A812CE" w:rsidP="00A812CE">
      <w:pPr>
        <w:pStyle w:val="NICEnormalnumbered"/>
        <w:rPr>
          <w:noProof w:val="0"/>
        </w:rPr>
      </w:pPr>
      <w:r w:rsidRPr="00022EFF">
        <w:rPr>
          <w:noProof w:val="0"/>
        </w:rPr>
        <w:t>The emphasis on integration of health and social care guidance (including thinking beyond implementation in traditional healthcare settings) was welcomed. However, some questioned how this would work in practice. Stakeholders requested clarity on how terms such as ‘significant’ or ‘sufficient’ evidence’ and ‘clear routes to implementation’ would be defined and interpreted. Respondents also emphasised the need for flexible treatment of evidence, acknowledging the different nature of evidence within social care in comparison to clinical practice</w:t>
      </w:r>
      <w:r w:rsidR="19688430" w:rsidRPr="00022EFF">
        <w:rPr>
          <w:noProof w:val="0"/>
        </w:rPr>
        <w:t>.</w:t>
      </w:r>
    </w:p>
    <w:p w14:paraId="1A71CAA3" w14:textId="0F1AEA06" w:rsidR="00A812CE" w:rsidRPr="00022EFF" w:rsidRDefault="00A812CE" w:rsidP="00A812CE">
      <w:pPr>
        <w:pStyle w:val="NICEnormalnumbered"/>
        <w:rPr>
          <w:noProof w:val="0"/>
        </w:rPr>
      </w:pPr>
      <w:r w:rsidRPr="00022EFF">
        <w:rPr>
          <w:noProof w:val="0"/>
        </w:rPr>
        <w:t>Given the above, some respondents stressed the need for standalone social care guidance in certain instances. On a more general level, respondents queried how these principles would be integrated effectively into the overarching prioritisation process</w:t>
      </w:r>
      <w:r w:rsidR="55D687B8" w:rsidRPr="00022EFF">
        <w:rPr>
          <w:noProof w:val="0"/>
        </w:rPr>
        <w:t xml:space="preserve"> and highlighted the need for social care expertise on the</w:t>
      </w:r>
      <w:r w:rsidR="004D6843" w:rsidRPr="00022EFF">
        <w:rPr>
          <w:noProof w:val="0"/>
        </w:rPr>
        <w:t xml:space="preserve"> </w:t>
      </w:r>
      <w:proofErr w:type="gramStart"/>
      <w:r w:rsidR="55D687B8" w:rsidRPr="00022EFF">
        <w:rPr>
          <w:noProof w:val="0"/>
        </w:rPr>
        <w:t>prioritisation  board</w:t>
      </w:r>
      <w:proofErr w:type="gramEnd"/>
      <w:r w:rsidRPr="00022EFF">
        <w:rPr>
          <w:noProof w:val="0"/>
        </w:rPr>
        <w:t xml:space="preserve">. This is covered under </w:t>
      </w:r>
      <w:r w:rsidR="00332D2E" w:rsidRPr="00022EFF">
        <w:rPr>
          <w:noProof w:val="0"/>
        </w:rPr>
        <w:t xml:space="preserve">the </w:t>
      </w:r>
      <w:hyperlink w:anchor="Theme3_relationship_Framework_principles">
        <w:r w:rsidRPr="00022EFF">
          <w:rPr>
            <w:rStyle w:val="Hyperlink"/>
            <w:noProof w:val="0"/>
          </w:rPr>
          <w:t>section</w:t>
        </w:r>
        <w:r w:rsidR="00332D2E" w:rsidRPr="00022EFF">
          <w:rPr>
            <w:rStyle w:val="Hyperlink"/>
            <w:noProof w:val="0"/>
          </w:rPr>
          <w:t>: T</w:t>
        </w:r>
        <w:r w:rsidRPr="00022EFF">
          <w:rPr>
            <w:rStyle w:val="Hyperlink"/>
            <w:noProof w:val="0"/>
          </w:rPr>
          <w:t>he relationship between the framework and the strategic principles</w:t>
        </w:r>
      </w:hyperlink>
      <w:r w:rsidRPr="00022EFF">
        <w:rPr>
          <w:rStyle w:val="Hyperlink"/>
          <w:noProof w:val="0"/>
        </w:rPr>
        <w:t>.</w:t>
      </w:r>
    </w:p>
    <w:p w14:paraId="1A779C3E" w14:textId="77777777" w:rsidR="00A812CE" w:rsidRPr="00022EFF" w:rsidRDefault="00A812CE" w:rsidP="00A812CE">
      <w:pPr>
        <w:pStyle w:val="Heading3boardreport"/>
      </w:pPr>
      <w:r w:rsidRPr="00022EFF">
        <w:t>Our response and proposed changes to proposals for social care</w:t>
      </w:r>
    </w:p>
    <w:p w14:paraId="79B1C5DF" w14:textId="62EAB4BF" w:rsidR="00A812CE" w:rsidRPr="00022EFF" w:rsidRDefault="00A812CE" w:rsidP="00A812CE">
      <w:pPr>
        <w:pStyle w:val="NICEnormalnumbered"/>
        <w:rPr>
          <w:noProof w:val="0"/>
        </w:rPr>
      </w:pPr>
      <w:r w:rsidRPr="00022EFF">
        <w:rPr>
          <w:noProof w:val="0"/>
        </w:rPr>
        <w:t xml:space="preserve">As part of a broader review of the membership, and in response to consultation </w:t>
      </w:r>
      <w:r w:rsidR="005F17DA" w:rsidRPr="00022EFF">
        <w:rPr>
          <w:noProof w:val="0"/>
        </w:rPr>
        <w:t>feedback</w:t>
      </w:r>
      <w:r w:rsidRPr="00022EFF">
        <w:rPr>
          <w:noProof w:val="0"/>
        </w:rPr>
        <w:t xml:space="preserve">, the </w:t>
      </w:r>
      <w:r w:rsidR="00BD2075" w:rsidRPr="00022EFF">
        <w:rPr>
          <w:noProof w:val="0"/>
        </w:rPr>
        <w:t>p</w:t>
      </w:r>
      <w:r w:rsidRPr="00022EFF">
        <w:rPr>
          <w:noProof w:val="0"/>
        </w:rPr>
        <w:t xml:space="preserve">rioritisation </w:t>
      </w:r>
      <w:r w:rsidR="00BD2075" w:rsidRPr="00022EFF">
        <w:rPr>
          <w:noProof w:val="0"/>
        </w:rPr>
        <w:t>b</w:t>
      </w:r>
      <w:r w:rsidRPr="00022EFF">
        <w:rPr>
          <w:noProof w:val="0"/>
        </w:rPr>
        <w:t xml:space="preserve">oard has been expanded to include </w:t>
      </w:r>
      <w:r w:rsidR="4AB7E43F" w:rsidRPr="00022EFF">
        <w:rPr>
          <w:noProof w:val="0"/>
        </w:rPr>
        <w:t>NICE’s</w:t>
      </w:r>
      <w:r w:rsidRPr="00022EFF">
        <w:rPr>
          <w:noProof w:val="0"/>
        </w:rPr>
        <w:t xml:space="preserve"> Social Care Advisor. This will offer a social care perspective and support the interpretation of the social care strategic principles, particularly regarding what ‘sufficient’ or ‘significant new’ evidence might look like in relation to social care. The use of the term ‘clear route to implementation’ alludes to there being a clear audience that is positioned to progress key recommendations, and ideally the presence of system levers to incentivise action. Social care representation will assist in clarifying where this is the case.</w:t>
      </w:r>
    </w:p>
    <w:p w14:paraId="3400E390" w14:textId="77777777" w:rsidR="00A812CE" w:rsidRPr="00022EFF" w:rsidRDefault="00A812CE" w:rsidP="00A812CE">
      <w:pPr>
        <w:pStyle w:val="NICEnormalnumbered"/>
        <w:rPr>
          <w:noProof w:val="0"/>
        </w:rPr>
      </w:pPr>
      <w:r w:rsidRPr="00022EFF">
        <w:rPr>
          <w:noProof w:val="0"/>
        </w:rPr>
        <w:t xml:space="preserve">NICE recognises the distinction between social care and social work. For simplicity the term ‘social care’ has been used in the broadest sense in relation to these principles. As part of this work our </w:t>
      </w:r>
      <w:hyperlink r:id="rId13" w:anchor="Social%20care">
        <w:r w:rsidRPr="00022EFF">
          <w:rPr>
            <w:rStyle w:val="Hyperlink"/>
            <w:noProof w:val="0"/>
          </w:rPr>
          <w:t>glossary definition</w:t>
        </w:r>
      </w:hyperlink>
      <w:r w:rsidRPr="00022EFF">
        <w:rPr>
          <w:noProof w:val="0"/>
        </w:rPr>
        <w:t xml:space="preserve"> has been revised with input from our Social Care Advisor.  </w:t>
      </w:r>
    </w:p>
    <w:p w14:paraId="2126E65A" w14:textId="36ED1E9E" w:rsidR="00A812CE" w:rsidRPr="00022EFF" w:rsidRDefault="00A812CE" w:rsidP="00A812CE">
      <w:pPr>
        <w:pStyle w:val="NICEnormalnumbered"/>
        <w:rPr>
          <w:noProof w:val="0"/>
          <w:color w:val="FF0000"/>
        </w:rPr>
      </w:pPr>
      <w:r w:rsidRPr="00022EFF">
        <w:rPr>
          <w:noProof w:val="0"/>
        </w:rPr>
        <w:lastRenderedPageBreak/>
        <w:t xml:space="preserve">While we aim to integrate social care recommendations within the NICE portfolio, we recognise there will be situations where this is not useful or usable. In cases where there is a compelling reason to do so, the </w:t>
      </w:r>
      <w:r w:rsidR="00BD2075" w:rsidRPr="00022EFF">
        <w:rPr>
          <w:noProof w:val="0"/>
        </w:rPr>
        <w:t>p</w:t>
      </w:r>
      <w:r w:rsidRPr="00022EFF">
        <w:rPr>
          <w:noProof w:val="0"/>
        </w:rPr>
        <w:t xml:space="preserve">rioritisation </w:t>
      </w:r>
      <w:r w:rsidR="00BD2075" w:rsidRPr="00022EFF">
        <w:rPr>
          <w:noProof w:val="0"/>
        </w:rPr>
        <w:t>b</w:t>
      </w:r>
      <w:r w:rsidRPr="00022EFF">
        <w:rPr>
          <w:noProof w:val="0"/>
        </w:rPr>
        <w:t>oard will retain the authority to consider standalone social care guidance as an option.</w:t>
      </w:r>
    </w:p>
    <w:p w14:paraId="6C5FD8C5" w14:textId="77777777" w:rsidR="00A812CE" w:rsidRPr="00022EFF" w:rsidRDefault="00A812CE" w:rsidP="00A812CE">
      <w:pPr>
        <w:pStyle w:val="Heading3boardreport"/>
      </w:pPr>
      <w:r w:rsidRPr="00022EFF">
        <w:t xml:space="preserve">Summary of comments received for rare </w:t>
      </w:r>
      <w:proofErr w:type="gramStart"/>
      <w:r w:rsidRPr="00022EFF">
        <w:t>diseases</w:t>
      </w:r>
      <w:proofErr w:type="gramEnd"/>
    </w:p>
    <w:p w14:paraId="340BE1BF" w14:textId="5B8E4712" w:rsidR="00A812CE" w:rsidRPr="00022EFF" w:rsidRDefault="3F9113A1" w:rsidP="00A812CE">
      <w:pPr>
        <w:pStyle w:val="NICEnormalnumbered"/>
        <w:rPr>
          <w:noProof w:val="0"/>
        </w:rPr>
      </w:pPr>
      <w:r w:rsidRPr="00022EFF">
        <w:rPr>
          <w:noProof w:val="0"/>
        </w:rPr>
        <w:t>Responde</w:t>
      </w:r>
      <w:r w:rsidR="00944227" w:rsidRPr="00022EFF">
        <w:rPr>
          <w:noProof w:val="0"/>
        </w:rPr>
        <w:t>nt</w:t>
      </w:r>
      <w:r w:rsidRPr="00022EFF">
        <w:rPr>
          <w:noProof w:val="0"/>
        </w:rPr>
        <w:t>s</w:t>
      </w:r>
      <w:r w:rsidR="00A812CE" w:rsidRPr="00022EFF">
        <w:rPr>
          <w:noProof w:val="0"/>
        </w:rPr>
        <w:t xml:space="preserve"> were pleased to see that NICE acknowledges the need for a defined approach to rare diseases. They agreed with the definitions stated, although it was noted that these do not wholly align with previous documentation, and alignment with the rare disease framework was proposed. </w:t>
      </w:r>
    </w:p>
    <w:p w14:paraId="46E030AE" w14:textId="26589FE3" w:rsidR="00A812CE" w:rsidRPr="00022EFF" w:rsidRDefault="00A812CE" w:rsidP="00A812CE">
      <w:pPr>
        <w:pStyle w:val="NICEnormalnumbered"/>
        <w:rPr>
          <w:noProof w:val="0"/>
        </w:rPr>
      </w:pPr>
      <w:r w:rsidRPr="00022EFF">
        <w:rPr>
          <w:noProof w:val="0"/>
        </w:rPr>
        <w:t xml:space="preserve">There were some concerns regarding the principle of commonality to produce guidelines for rare diseases and some </w:t>
      </w:r>
      <w:r w:rsidR="00944227" w:rsidRPr="00022EFF">
        <w:rPr>
          <w:noProof w:val="0"/>
        </w:rPr>
        <w:t>respond</w:t>
      </w:r>
      <w:r w:rsidRPr="00022EFF">
        <w:rPr>
          <w:noProof w:val="0"/>
        </w:rPr>
        <w:t xml:space="preserve">ers felt that some rare diseases may be disadvantaged by this approach. </w:t>
      </w:r>
      <w:r w:rsidR="75D529B0" w:rsidRPr="00022EFF">
        <w:rPr>
          <w:noProof w:val="0"/>
        </w:rPr>
        <w:t xml:space="preserve">Consultation </w:t>
      </w:r>
      <w:r w:rsidR="00FF3CA5" w:rsidRPr="00022EFF">
        <w:rPr>
          <w:noProof w:val="0"/>
        </w:rPr>
        <w:t>responses</w:t>
      </w:r>
      <w:r w:rsidRPr="00022EFF">
        <w:rPr>
          <w:noProof w:val="0"/>
        </w:rPr>
        <w:t xml:space="preserve"> also highlighted a tension between the principle of increased engagement and the principle of common products.</w:t>
      </w:r>
    </w:p>
    <w:p w14:paraId="21B86A50" w14:textId="77777777" w:rsidR="00A812CE" w:rsidRPr="00022EFF" w:rsidRDefault="00A812CE" w:rsidP="00A812CE">
      <w:pPr>
        <w:pStyle w:val="NICEnormalnumbered"/>
        <w:rPr>
          <w:noProof w:val="0"/>
          <w:color w:val="FF0000"/>
        </w:rPr>
      </w:pPr>
      <w:r w:rsidRPr="00022EFF">
        <w:rPr>
          <w:noProof w:val="0"/>
        </w:rPr>
        <w:t xml:space="preserve">Clarity was sought on how NICE will create an attractive environment for innovation in rare diseases and how collaboration will lead to an increased evidence base. Stakeholders also requested a review of the HST criteria and the use of modifiers. </w:t>
      </w:r>
    </w:p>
    <w:p w14:paraId="3AD35681" w14:textId="77777777" w:rsidR="00A812CE" w:rsidRPr="00022EFF" w:rsidRDefault="00A812CE" w:rsidP="00A812CE">
      <w:pPr>
        <w:pStyle w:val="Heading3boardreport"/>
      </w:pPr>
      <w:r w:rsidRPr="00022EFF">
        <w:t>Our response and any changes to proposals for rare diseases</w:t>
      </w:r>
    </w:p>
    <w:p w14:paraId="58AA6BBA" w14:textId="24DE10AB" w:rsidR="00A812CE" w:rsidRPr="00022EFF" w:rsidRDefault="74301B49" w:rsidP="00A812CE">
      <w:pPr>
        <w:pStyle w:val="NICEnormalnumbered"/>
        <w:rPr>
          <w:noProof w:val="0"/>
        </w:rPr>
      </w:pPr>
      <w:r w:rsidRPr="00022EFF">
        <w:rPr>
          <w:noProof w:val="0"/>
        </w:rPr>
        <w:t>We are</w:t>
      </w:r>
      <w:r w:rsidR="00A812CE" w:rsidRPr="00022EFF">
        <w:rPr>
          <w:noProof w:val="0"/>
        </w:rPr>
        <w:t xml:space="preserve"> pleased to see a positive response to the definitions </w:t>
      </w:r>
      <w:proofErr w:type="gramStart"/>
      <w:r w:rsidR="00A812CE" w:rsidRPr="00022EFF">
        <w:rPr>
          <w:noProof w:val="0"/>
        </w:rPr>
        <w:t>provided</w:t>
      </w:r>
      <w:r w:rsidR="62622087" w:rsidRPr="00022EFF">
        <w:rPr>
          <w:noProof w:val="0"/>
        </w:rPr>
        <w:t>,</w:t>
      </w:r>
      <w:r w:rsidR="00A812CE" w:rsidRPr="00022EFF">
        <w:rPr>
          <w:noProof w:val="0"/>
        </w:rPr>
        <w:t xml:space="preserve"> and</w:t>
      </w:r>
      <w:proofErr w:type="gramEnd"/>
      <w:r w:rsidR="00A812CE" w:rsidRPr="00022EFF">
        <w:rPr>
          <w:noProof w:val="0"/>
        </w:rPr>
        <w:t xml:space="preserve"> acknowledge </w:t>
      </w:r>
      <w:r w:rsidR="4FFBE8A2" w:rsidRPr="00022EFF">
        <w:rPr>
          <w:noProof w:val="0"/>
        </w:rPr>
        <w:t xml:space="preserve">that </w:t>
      </w:r>
      <w:r w:rsidR="00A812CE" w:rsidRPr="00022EFF">
        <w:rPr>
          <w:noProof w:val="0"/>
        </w:rPr>
        <w:t xml:space="preserve">these are an update from previous documentation; corresponding documents will be reviewed and updated to align with this work in due course. We will continue to align with the rare disease framework and NICE staff will continue to sit on the steering group to ensure this </w:t>
      </w:r>
      <w:r w:rsidR="23C6EBA0" w:rsidRPr="00022EFF">
        <w:rPr>
          <w:noProof w:val="0"/>
        </w:rPr>
        <w:t>happens</w:t>
      </w:r>
      <w:r w:rsidR="00A812CE" w:rsidRPr="00022EFF">
        <w:rPr>
          <w:noProof w:val="0"/>
        </w:rPr>
        <w:t>.</w:t>
      </w:r>
    </w:p>
    <w:p w14:paraId="1CF3A8BF" w14:textId="2CD92A45" w:rsidR="00A812CE" w:rsidRPr="00022EFF" w:rsidRDefault="00A812CE" w:rsidP="00A812CE">
      <w:pPr>
        <w:pStyle w:val="NICEnormalnumbered"/>
        <w:rPr>
          <w:noProof w:val="0"/>
        </w:rPr>
      </w:pPr>
      <w:r w:rsidRPr="00022EFF">
        <w:rPr>
          <w:noProof w:val="0"/>
        </w:rPr>
        <w:t xml:space="preserve">Resource constraints mean NICE cannot commit to writing guidelines for all individual rare disease topic </w:t>
      </w:r>
      <w:proofErr w:type="gramStart"/>
      <w:r w:rsidRPr="00022EFF">
        <w:rPr>
          <w:noProof w:val="0"/>
        </w:rPr>
        <w:t>areas, and</w:t>
      </w:r>
      <w:proofErr w:type="gramEnd"/>
      <w:r w:rsidRPr="00022EFF">
        <w:rPr>
          <w:noProof w:val="0"/>
        </w:rPr>
        <w:t xml:space="preserve"> may not always be best placed to do so. Our system intelligence team will continue to engage with stakeholders to understand the impact of our work in this area. We will work closely with </w:t>
      </w:r>
      <w:r w:rsidRPr="00022EFF">
        <w:rPr>
          <w:noProof w:val="0"/>
        </w:rPr>
        <w:lastRenderedPageBreak/>
        <w:t xml:space="preserve">stakeholders to understand where a commonalities approach is feasible and appropriate to ensure equity and impact. </w:t>
      </w:r>
    </w:p>
    <w:p w14:paraId="4A9D699F" w14:textId="6C2CA261" w:rsidR="00A812CE" w:rsidRPr="00022EFF" w:rsidRDefault="00A812CE" w:rsidP="00A812CE">
      <w:pPr>
        <w:pStyle w:val="NICEnormalnumbered"/>
        <w:rPr>
          <w:noProof w:val="0"/>
        </w:rPr>
      </w:pPr>
      <w:r w:rsidRPr="00022EFF">
        <w:rPr>
          <w:noProof w:val="0"/>
        </w:rPr>
        <w:t xml:space="preserve">We hope that engagement will also allow stakeholders to understand NICE methods and processes within technology appraisal, Highly Specialised </w:t>
      </w:r>
      <w:proofErr w:type="gramStart"/>
      <w:r w:rsidRPr="00022EFF">
        <w:rPr>
          <w:noProof w:val="0"/>
        </w:rPr>
        <w:t>Technologies</w:t>
      </w:r>
      <w:proofErr w:type="gramEnd"/>
      <w:r w:rsidRPr="00022EFF">
        <w:rPr>
          <w:noProof w:val="0"/>
        </w:rPr>
        <w:t xml:space="preserve"> and guideline creation. We believe better understanding of NICE processes will help organisations to produce their own useful and usable guidelines and relieve some of the tensions highlighted during consultation. Ensuring stakeholders have a better understanding of technology appraisals will also </w:t>
      </w:r>
      <w:r w:rsidR="4B8B72D0" w:rsidRPr="00022EFF">
        <w:rPr>
          <w:noProof w:val="0"/>
        </w:rPr>
        <w:t xml:space="preserve">unite </w:t>
      </w:r>
      <w:r w:rsidRPr="00022EFF">
        <w:rPr>
          <w:noProof w:val="0"/>
        </w:rPr>
        <w:t xml:space="preserve">stakeholders and research groups to combine registries and avoid silo research in these areas.  </w:t>
      </w:r>
    </w:p>
    <w:p w14:paraId="13E9E87C" w14:textId="5FC203C7" w:rsidR="00A812CE" w:rsidRPr="00022EFF" w:rsidRDefault="00A812CE" w:rsidP="00A812CE">
      <w:pPr>
        <w:pStyle w:val="NICEnormalnumbered"/>
        <w:rPr>
          <w:noProof w:val="0"/>
        </w:rPr>
      </w:pPr>
      <w:r w:rsidRPr="00022EFF">
        <w:rPr>
          <w:noProof w:val="0"/>
        </w:rPr>
        <w:t>NICE will continue to appraise all new medicines for rare diseases that come to market.  Highly Specialised Technology Appraisals (HST) will continue to provide an attractive environment for innovation in ultra rare, severe diseases. More detail on NICE’s response to the need to review HST criteria can be found in</w:t>
      </w:r>
      <w:r w:rsidR="00904BEF" w:rsidRPr="00022EFF">
        <w:rPr>
          <w:noProof w:val="0"/>
        </w:rPr>
        <w:t xml:space="preserve"> the</w:t>
      </w:r>
      <w:r w:rsidRPr="00022EFF">
        <w:rPr>
          <w:noProof w:val="0"/>
        </w:rPr>
        <w:t xml:space="preserve"> </w:t>
      </w:r>
      <w:hyperlink w:anchor="HST">
        <w:r w:rsidRPr="00022EFF">
          <w:rPr>
            <w:rStyle w:val="Hyperlink"/>
            <w:noProof w:val="0"/>
          </w:rPr>
          <w:t>section</w:t>
        </w:r>
        <w:r w:rsidR="008463A7" w:rsidRPr="00022EFF">
          <w:rPr>
            <w:rStyle w:val="Hyperlink"/>
            <w:noProof w:val="0"/>
          </w:rPr>
          <w:t xml:space="preserve">: </w:t>
        </w:r>
        <w:r w:rsidR="00BA5915" w:rsidRPr="00022EFF">
          <w:rPr>
            <w:rStyle w:val="Hyperlink"/>
            <w:noProof w:val="0"/>
          </w:rPr>
          <w:t>Highly Specialised Technologies (HST) criteria</w:t>
        </w:r>
        <w:r w:rsidR="00DA4B5F" w:rsidRPr="00022EFF">
          <w:rPr>
            <w:rStyle w:val="Hyperlink"/>
            <w:noProof w:val="0"/>
          </w:rPr>
          <w:t xml:space="preserve"> and </w:t>
        </w:r>
        <w:r w:rsidR="00BA5915" w:rsidRPr="00022EFF">
          <w:rPr>
            <w:rStyle w:val="Hyperlink"/>
            <w:noProof w:val="0"/>
          </w:rPr>
          <w:t>routing</w:t>
        </w:r>
      </w:hyperlink>
      <w:r w:rsidRPr="00022EFF">
        <w:rPr>
          <w:noProof w:val="0"/>
        </w:rPr>
        <w:t xml:space="preserve"> and comments regarding the use of modifiers will feed into any future methodological work being undertaken in this area. </w:t>
      </w:r>
    </w:p>
    <w:p w14:paraId="71D92218" w14:textId="747F51CF" w:rsidR="00D73975" w:rsidRPr="00022EFF" w:rsidRDefault="00D73975" w:rsidP="00A0507A">
      <w:pPr>
        <w:pStyle w:val="Heading2boardreport"/>
      </w:pPr>
      <w:r w:rsidRPr="00022EFF">
        <w:t>Application of the Prioritisation framework</w:t>
      </w:r>
    </w:p>
    <w:p w14:paraId="31FDE6A2" w14:textId="77777777" w:rsidR="00D73975" w:rsidRPr="00022EFF" w:rsidRDefault="00D73975" w:rsidP="00A0507A">
      <w:pPr>
        <w:pStyle w:val="Heading3boardreport"/>
      </w:pPr>
      <w:r w:rsidRPr="00022EFF">
        <w:t xml:space="preserve">Summary of comments </w:t>
      </w:r>
      <w:proofErr w:type="gramStart"/>
      <w:r w:rsidRPr="00022EFF">
        <w:t>received</w:t>
      </w:r>
      <w:proofErr w:type="gramEnd"/>
    </w:p>
    <w:p w14:paraId="7485AEB0" w14:textId="2749BFD0" w:rsidR="00D73975" w:rsidRPr="00022EFF" w:rsidRDefault="00D73975" w:rsidP="00A0507A">
      <w:pPr>
        <w:pStyle w:val="NICEnormalnumbered"/>
        <w:rPr>
          <w:noProof w:val="0"/>
        </w:rPr>
      </w:pPr>
      <w:proofErr w:type="gramStart"/>
      <w:r w:rsidRPr="00022EFF">
        <w:rPr>
          <w:noProof w:val="0"/>
        </w:rPr>
        <w:t>The majority of</w:t>
      </w:r>
      <w:proofErr w:type="gramEnd"/>
      <w:r w:rsidRPr="00022EFF">
        <w:rPr>
          <w:noProof w:val="0"/>
        </w:rPr>
        <w:t xml:space="preserve"> </w:t>
      </w:r>
      <w:r w:rsidR="3933BA51" w:rsidRPr="00022EFF">
        <w:rPr>
          <w:noProof w:val="0"/>
        </w:rPr>
        <w:t>responses</w:t>
      </w:r>
      <w:r w:rsidRPr="00022EFF">
        <w:rPr>
          <w:noProof w:val="0"/>
        </w:rPr>
        <w:t xml:space="preserve"> did not raise concerns over the proposed criteria within the prioritisation framework</w:t>
      </w:r>
      <w:r w:rsidR="00642EEA" w:rsidRPr="00022EFF">
        <w:rPr>
          <w:noProof w:val="0"/>
        </w:rPr>
        <w:t>.  Additionally, there was support for the appropriateness of the criteria at a high level and no strong cases were made for alternative criteria or removal of any criteria from the draft framework.</w:t>
      </w:r>
    </w:p>
    <w:p w14:paraId="478B8DF9" w14:textId="0250F7A2" w:rsidR="00D73975" w:rsidRPr="00022EFF" w:rsidRDefault="687D80EB" w:rsidP="00A0507A">
      <w:pPr>
        <w:pStyle w:val="NICEnormalnumbered"/>
        <w:rPr>
          <w:noProof w:val="0"/>
        </w:rPr>
      </w:pPr>
      <w:r w:rsidRPr="00022EFF">
        <w:rPr>
          <w:noProof w:val="0"/>
        </w:rPr>
        <w:t>Re</w:t>
      </w:r>
      <w:r w:rsidR="003F0A48" w:rsidRPr="00022EFF">
        <w:rPr>
          <w:noProof w:val="0"/>
        </w:rPr>
        <w:t>sp</w:t>
      </w:r>
      <w:r w:rsidRPr="00022EFF">
        <w:rPr>
          <w:noProof w:val="0"/>
        </w:rPr>
        <w:t>ond</w:t>
      </w:r>
      <w:r w:rsidR="002B75F2" w:rsidRPr="00022EFF">
        <w:rPr>
          <w:noProof w:val="0"/>
        </w:rPr>
        <w:t>e</w:t>
      </w:r>
      <w:r w:rsidRPr="00022EFF">
        <w:rPr>
          <w:noProof w:val="0"/>
        </w:rPr>
        <w:t>nts</w:t>
      </w:r>
      <w:r w:rsidR="00D73975" w:rsidRPr="00022EFF">
        <w:rPr>
          <w:noProof w:val="0"/>
        </w:rPr>
        <w:t xml:space="preserve"> commented that there is a lack of detail on how the proposed criteria in the prioritisation framework will be operationalised by the </w:t>
      </w:r>
      <w:r w:rsidR="00BD2075" w:rsidRPr="00022EFF">
        <w:rPr>
          <w:noProof w:val="0"/>
        </w:rPr>
        <w:t>p</w:t>
      </w:r>
      <w:r w:rsidR="00D73975" w:rsidRPr="00022EFF">
        <w:rPr>
          <w:noProof w:val="0"/>
        </w:rPr>
        <w:t xml:space="preserve">rioritisation </w:t>
      </w:r>
      <w:r w:rsidR="00BD2075" w:rsidRPr="00022EFF">
        <w:rPr>
          <w:noProof w:val="0"/>
        </w:rPr>
        <w:t>b</w:t>
      </w:r>
      <w:r w:rsidR="00D73975" w:rsidRPr="00022EFF">
        <w:rPr>
          <w:noProof w:val="0"/>
        </w:rPr>
        <w:t xml:space="preserve">oard. For example, what is the </w:t>
      </w:r>
      <w:r w:rsidR="00BD2075" w:rsidRPr="00022EFF">
        <w:rPr>
          <w:noProof w:val="0"/>
        </w:rPr>
        <w:t>p</w:t>
      </w:r>
      <w:r w:rsidR="00D73975" w:rsidRPr="00022EFF">
        <w:rPr>
          <w:noProof w:val="0"/>
        </w:rPr>
        <w:t xml:space="preserve">rioritisation </w:t>
      </w:r>
      <w:r w:rsidR="00BD2075" w:rsidRPr="00022EFF">
        <w:rPr>
          <w:noProof w:val="0"/>
        </w:rPr>
        <w:t>b</w:t>
      </w:r>
      <w:r w:rsidR="00D73975" w:rsidRPr="00022EFF">
        <w:rPr>
          <w:noProof w:val="0"/>
        </w:rPr>
        <w:t xml:space="preserve">oard’s decision-making process, which sources are used to retrieve data or intelligence to assess the proposed criteria, how </w:t>
      </w:r>
      <w:r w:rsidR="0613174A" w:rsidRPr="00022EFF">
        <w:rPr>
          <w:noProof w:val="0"/>
        </w:rPr>
        <w:t xml:space="preserve">are the </w:t>
      </w:r>
      <w:r w:rsidR="00D73975" w:rsidRPr="00022EFF">
        <w:rPr>
          <w:noProof w:val="0"/>
        </w:rPr>
        <w:t xml:space="preserve">rare diseases principles </w:t>
      </w:r>
      <w:r w:rsidR="3C7A26CD" w:rsidRPr="00022EFF">
        <w:rPr>
          <w:noProof w:val="0"/>
        </w:rPr>
        <w:t xml:space="preserve">incorporated </w:t>
      </w:r>
      <w:r w:rsidR="00D73975" w:rsidRPr="00022EFF">
        <w:rPr>
          <w:noProof w:val="0"/>
        </w:rPr>
        <w:t xml:space="preserve">into the prioritisation framework (see </w:t>
      </w:r>
      <w:hyperlink w:anchor="strategic_principles_specifics">
        <w:r w:rsidR="00D73975" w:rsidRPr="00022EFF">
          <w:rPr>
            <w:rStyle w:val="Hyperlink"/>
            <w:noProof w:val="0"/>
          </w:rPr>
          <w:t>section</w:t>
        </w:r>
        <w:r w:rsidR="007520B7" w:rsidRPr="00022EFF">
          <w:rPr>
            <w:rStyle w:val="Hyperlink"/>
            <w:noProof w:val="0"/>
          </w:rPr>
          <w:t xml:space="preserve">: </w:t>
        </w:r>
        <w:r w:rsidR="00982F8C" w:rsidRPr="00022EFF">
          <w:rPr>
            <w:rStyle w:val="Hyperlink"/>
            <w:noProof w:val="0"/>
          </w:rPr>
          <w:t>D</w:t>
        </w:r>
        <w:r w:rsidR="00994155" w:rsidRPr="00022EFF">
          <w:rPr>
            <w:rStyle w:val="Hyperlink"/>
            <w:noProof w:val="0"/>
          </w:rPr>
          <w:t xml:space="preserve">etails on </w:t>
        </w:r>
        <w:r w:rsidR="00982F8C" w:rsidRPr="00022EFF">
          <w:rPr>
            <w:rStyle w:val="Hyperlink"/>
            <w:noProof w:val="0"/>
          </w:rPr>
          <w:t>specifics of the strategic principles</w:t>
        </w:r>
      </w:hyperlink>
      <w:r w:rsidR="00D73975" w:rsidRPr="00022EFF">
        <w:rPr>
          <w:noProof w:val="0"/>
        </w:rPr>
        <w:t>)</w:t>
      </w:r>
      <w:r w:rsidR="42BA17B6" w:rsidRPr="00022EFF">
        <w:rPr>
          <w:noProof w:val="0"/>
        </w:rPr>
        <w:t>,</w:t>
      </w:r>
      <w:r w:rsidR="00D73975" w:rsidRPr="00022EFF">
        <w:rPr>
          <w:noProof w:val="0"/>
        </w:rPr>
        <w:t xml:space="preserve"> and how </w:t>
      </w:r>
      <w:r w:rsidR="0AB3EE8C" w:rsidRPr="00022EFF">
        <w:rPr>
          <w:noProof w:val="0"/>
        </w:rPr>
        <w:t xml:space="preserve">will the </w:t>
      </w:r>
      <w:r w:rsidR="00D73975" w:rsidRPr="00022EFF">
        <w:rPr>
          <w:noProof w:val="0"/>
        </w:rPr>
        <w:t>criteria be weighted</w:t>
      </w:r>
      <w:r w:rsidR="42C51F74" w:rsidRPr="00022EFF">
        <w:rPr>
          <w:noProof w:val="0"/>
        </w:rPr>
        <w:t>?</w:t>
      </w:r>
      <w:r w:rsidR="00D73975" w:rsidRPr="00022EFF">
        <w:rPr>
          <w:noProof w:val="0"/>
        </w:rPr>
        <w:t xml:space="preserve"> </w:t>
      </w:r>
    </w:p>
    <w:p w14:paraId="4FD262FF" w14:textId="3833F80A" w:rsidR="00D73975" w:rsidRPr="00022EFF" w:rsidRDefault="1C171E01" w:rsidP="00A0507A">
      <w:pPr>
        <w:pStyle w:val="NICEnormalnumbered"/>
        <w:rPr>
          <w:noProof w:val="0"/>
        </w:rPr>
      </w:pPr>
      <w:bookmarkStart w:id="3" w:name="_Hlk164177488"/>
      <w:r w:rsidRPr="00022EFF">
        <w:rPr>
          <w:noProof w:val="0"/>
        </w:rPr>
        <w:lastRenderedPageBreak/>
        <w:t>Respond</w:t>
      </w:r>
      <w:r w:rsidR="002B75F2" w:rsidRPr="00022EFF">
        <w:rPr>
          <w:noProof w:val="0"/>
        </w:rPr>
        <w:t>e</w:t>
      </w:r>
      <w:r w:rsidRPr="00022EFF">
        <w:rPr>
          <w:noProof w:val="0"/>
        </w:rPr>
        <w:t>nts</w:t>
      </w:r>
      <w:r w:rsidR="00D73975" w:rsidRPr="00022EFF">
        <w:rPr>
          <w:noProof w:val="0"/>
        </w:rPr>
        <w:t xml:space="preserve"> also requested more information on the proposed possible outcomes for new topics or updates of existing guidance that are not considered a priority; for example, more clarification on methods and processes for using guidance produced by external organisations and the criteria for standing down content.</w:t>
      </w:r>
      <w:bookmarkEnd w:id="3"/>
    </w:p>
    <w:p w14:paraId="552CACCC" w14:textId="4D3AC4A1" w:rsidR="00D73975" w:rsidRPr="00022EFF" w:rsidRDefault="00D73975" w:rsidP="00A0507A">
      <w:pPr>
        <w:pStyle w:val="NICEnormalnumbered"/>
        <w:rPr>
          <w:noProof w:val="0"/>
        </w:rPr>
      </w:pPr>
      <w:r w:rsidRPr="00022EFF">
        <w:rPr>
          <w:noProof w:val="0"/>
        </w:rPr>
        <w:t xml:space="preserve">There was particular concern </w:t>
      </w:r>
      <w:r w:rsidR="00EC0BCE" w:rsidRPr="00022EFF">
        <w:rPr>
          <w:noProof w:val="0"/>
        </w:rPr>
        <w:t xml:space="preserve">from </w:t>
      </w:r>
      <w:r w:rsidR="29250D4B" w:rsidRPr="00022EFF">
        <w:rPr>
          <w:noProof w:val="0"/>
        </w:rPr>
        <w:t>respond</w:t>
      </w:r>
      <w:r w:rsidR="002B75F2" w:rsidRPr="00022EFF">
        <w:rPr>
          <w:noProof w:val="0"/>
        </w:rPr>
        <w:t>e</w:t>
      </w:r>
      <w:r w:rsidR="29250D4B" w:rsidRPr="00022EFF">
        <w:rPr>
          <w:noProof w:val="0"/>
        </w:rPr>
        <w:t>nts (particularly from Industry and patient groups)</w:t>
      </w:r>
      <w:r w:rsidR="00EC0BCE" w:rsidRPr="00022EFF">
        <w:rPr>
          <w:noProof w:val="0"/>
        </w:rPr>
        <w:t xml:space="preserve"> </w:t>
      </w:r>
      <w:r w:rsidRPr="00022EFF">
        <w:rPr>
          <w:noProof w:val="0"/>
        </w:rPr>
        <w:t>about the application of the framework to rare diseases with challenge around the population impact and evidence criteri</w:t>
      </w:r>
      <w:r w:rsidR="52C443D9" w:rsidRPr="00022EFF">
        <w:rPr>
          <w:noProof w:val="0"/>
        </w:rPr>
        <w:t>a,</w:t>
      </w:r>
      <w:r w:rsidRPr="00022EFF">
        <w:rPr>
          <w:noProof w:val="0"/>
        </w:rPr>
        <w:t xml:space="preserve"> and a concern that </w:t>
      </w:r>
      <w:r w:rsidR="3DE94906" w:rsidRPr="00022EFF">
        <w:rPr>
          <w:noProof w:val="0"/>
        </w:rPr>
        <w:t>rare</w:t>
      </w:r>
      <w:r w:rsidRPr="00022EFF">
        <w:rPr>
          <w:noProof w:val="0"/>
        </w:rPr>
        <w:t xml:space="preserve"> conditions would be disadvantaged. </w:t>
      </w:r>
      <w:r w:rsidR="595D8E88" w:rsidRPr="00022EFF">
        <w:rPr>
          <w:noProof w:val="0"/>
        </w:rPr>
        <w:t>However, t</w:t>
      </w:r>
      <w:r w:rsidRPr="00022EFF">
        <w:rPr>
          <w:noProof w:val="0"/>
        </w:rPr>
        <w:t xml:space="preserve">his is the main reason that we developed, </w:t>
      </w:r>
      <w:proofErr w:type="gramStart"/>
      <w:r w:rsidRPr="00022EFF">
        <w:rPr>
          <w:noProof w:val="0"/>
        </w:rPr>
        <w:t>and also</w:t>
      </w:r>
      <w:proofErr w:type="gramEnd"/>
      <w:r w:rsidRPr="00022EFF">
        <w:rPr>
          <w:noProof w:val="0"/>
        </w:rPr>
        <w:t xml:space="preserve"> consulted on, strategic principles relating to the prioritisation of rare diseases</w:t>
      </w:r>
      <w:r w:rsidR="395BF7E3" w:rsidRPr="00022EFF">
        <w:rPr>
          <w:noProof w:val="0"/>
        </w:rPr>
        <w:t xml:space="preserve">, and these principles will be applied to support and supplement the </w:t>
      </w:r>
      <w:r w:rsidR="30EDAF2D" w:rsidRPr="00022EFF">
        <w:rPr>
          <w:noProof w:val="0"/>
        </w:rPr>
        <w:t xml:space="preserve">application of the </w:t>
      </w:r>
      <w:r w:rsidR="395BF7E3" w:rsidRPr="00022EFF">
        <w:rPr>
          <w:noProof w:val="0"/>
        </w:rPr>
        <w:t>framework</w:t>
      </w:r>
      <w:r w:rsidRPr="00022EFF">
        <w:rPr>
          <w:noProof w:val="0"/>
        </w:rPr>
        <w:t>.</w:t>
      </w:r>
    </w:p>
    <w:p w14:paraId="2DEDF7FC" w14:textId="77777777" w:rsidR="00D73975" w:rsidRPr="00022EFF" w:rsidRDefault="00D73975" w:rsidP="00A0507A">
      <w:pPr>
        <w:pStyle w:val="Heading3boardreport"/>
      </w:pPr>
      <w:r w:rsidRPr="00022EFF">
        <w:t>Our response and any changes to proposals</w:t>
      </w:r>
    </w:p>
    <w:p w14:paraId="1D4F4B47" w14:textId="7576A023" w:rsidR="00D73975" w:rsidRPr="00022EFF" w:rsidRDefault="00D73975" w:rsidP="00A0507A">
      <w:pPr>
        <w:pStyle w:val="NICEnormalnumbered"/>
        <w:rPr>
          <w:noProof w:val="0"/>
        </w:rPr>
      </w:pPr>
      <w:r w:rsidRPr="00022EFF">
        <w:rPr>
          <w:noProof w:val="0"/>
        </w:rPr>
        <w:t xml:space="preserve">In response, more detail on how the proposed criteria will be operationalised has been added.  This includes explaining that individual criterion will have different levels of impact based on the topic area of interest, and that a fixed scoring and weighting approach will not be applied. For example, there should not be a fixed numerical score or weighting for population impact as a proposed criterion when assessing the priority of high prevalence but self-limiting upper respiratory tract infections, in comparison to low prevalence but debilitating conditions such as motor neurone disease. The manual has been updated to emphasise that the decision-making approach is a combination of the framework and </w:t>
      </w:r>
      <w:r w:rsidR="00BD2075" w:rsidRPr="00022EFF">
        <w:rPr>
          <w:noProof w:val="0"/>
        </w:rPr>
        <w:t>p</w:t>
      </w:r>
      <w:r w:rsidRPr="00022EFF">
        <w:rPr>
          <w:noProof w:val="0"/>
        </w:rPr>
        <w:t xml:space="preserve">rioritisation </w:t>
      </w:r>
      <w:r w:rsidR="00BD2075" w:rsidRPr="00022EFF">
        <w:rPr>
          <w:noProof w:val="0"/>
        </w:rPr>
        <w:t>b</w:t>
      </w:r>
      <w:r w:rsidRPr="00022EFF">
        <w:rPr>
          <w:noProof w:val="0"/>
        </w:rPr>
        <w:t xml:space="preserve">oard (PB) members’ deliberations and trade-offs among the different criteria specific to the topic area of interest, with a final formal voting process. </w:t>
      </w:r>
    </w:p>
    <w:p w14:paraId="06079646" w14:textId="2B4878AC" w:rsidR="00D73975" w:rsidRPr="00022EFF" w:rsidRDefault="00D73975" w:rsidP="00A0507A">
      <w:pPr>
        <w:pStyle w:val="NICEnormalnumbered"/>
        <w:rPr>
          <w:noProof w:val="0"/>
        </w:rPr>
      </w:pPr>
      <w:r w:rsidRPr="00022EFF">
        <w:rPr>
          <w:noProof w:val="0"/>
        </w:rPr>
        <w:t xml:space="preserve">The </w:t>
      </w:r>
      <w:r w:rsidR="00EF3E15" w:rsidRPr="00022EFF">
        <w:rPr>
          <w:noProof w:val="0"/>
        </w:rPr>
        <w:t>t</w:t>
      </w:r>
      <w:r w:rsidRPr="00022EFF">
        <w:rPr>
          <w:noProof w:val="0"/>
        </w:rPr>
        <w:t xml:space="preserve">opic </w:t>
      </w:r>
      <w:r w:rsidR="00EF3E15" w:rsidRPr="00022EFF">
        <w:rPr>
          <w:noProof w:val="0"/>
        </w:rPr>
        <w:t>i</w:t>
      </w:r>
      <w:r w:rsidRPr="00022EFF">
        <w:rPr>
          <w:noProof w:val="0"/>
        </w:rPr>
        <w:t xml:space="preserve">ntelligence and </w:t>
      </w:r>
      <w:r w:rsidR="00EF3E15" w:rsidRPr="00022EFF">
        <w:rPr>
          <w:noProof w:val="0"/>
        </w:rPr>
        <w:t>m</w:t>
      </w:r>
      <w:r w:rsidRPr="00022EFF">
        <w:rPr>
          <w:noProof w:val="0"/>
        </w:rPr>
        <w:t xml:space="preserve">onitoring team is working closely with </w:t>
      </w:r>
      <w:r w:rsidR="73C12B5E" w:rsidRPr="00022EFF">
        <w:rPr>
          <w:noProof w:val="0"/>
        </w:rPr>
        <w:t xml:space="preserve">the </w:t>
      </w:r>
      <w:r w:rsidRPr="00022EFF">
        <w:rPr>
          <w:noProof w:val="0"/>
        </w:rPr>
        <w:t xml:space="preserve">NICE </w:t>
      </w:r>
      <w:r w:rsidR="00EF3E15" w:rsidRPr="00022EFF">
        <w:rPr>
          <w:noProof w:val="0"/>
        </w:rPr>
        <w:t>i</w:t>
      </w:r>
      <w:r w:rsidRPr="00022EFF">
        <w:rPr>
          <w:noProof w:val="0"/>
        </w:rPr>
        <w:t xml:space="preserve">mpact and </w:t>
      </w:r>
      <w:r w:rsidR="00EF3E15" w:rsidRPr="00022EFF">
        <w:rPr>
          <w:noProof w:val="0"/>
        </w:rPr>
        <w:t>p</w:t>
      </w:r>
      <w:r w:rsidRPr="00022EFF">
        <w:rPr>
          <w:noProof w:val="0"/>
        </w:rPr>
        <w:t xml:space="preserve">artnerships </w:t>
      </w:r>
      <w:r w:rsidR="00EF3E15" w:rsidRPr="00022EFF">
        <w:rPr>
          <w:noProof w:val="0"/>
        </w:rPr>
        <w:t>d</w:t>
      </w:r>
      <w:r w:rsidRPr="00022EFF">
        <w:rPr>
          <w:noProof w:val="0"/>
        </w:rPr>
        <w:t xml:space="preserve">irectorate and </w:t>
      </w:r>
      <w:r w:rsidR="00EF3E15" w:rsidRPr="00022EFF">
        <w:rPr>
          <w:noProof w:val="0"/>
        </w:rPr>
        <w:t>d</w:t>
      </w:r>
      <w:r w:rsidRPr="00022EFF">
        <w:rPr>
          <w:noProof w:val="0"/>
        </w:rPr>
        <w:t xml:space="preserve">ata and </w:t>
      </w:r>
      <w:r w:rsidR="00EF3E15" w:rsidRPr="00022EFF">
        <w:rPr>
          <w:noProof w:val="0"/>
        </w:rPr>
        <w:t>a</w:t>
      </w:r>
      <w:r w:rsidRPr="00022EFF">
        <w:rPr>
          <w:noProof w:val="0"/>
        </w:rPr>
        <w:t>nalytics team to ensure appropriate sources are used to retrieve data and intelligence to assess the proposed criteria. Also, more information has been added to the population impact criterion to ensure the rare disease principles are considered and deliberated by PB members where appropriate.</w:t>
      </w:r>
    </w:p>
    <w:p w14:paraId="6C1CA6BC" w14:textId="302FA528" w:rsidR="00D73975" w:rsidRPr="00022EFF" w:rsidRDefault="00D73975" w:rsidP="00A0507A">
      <w:pPr>
        <w:pStyle w:val="NICEnormalnumbered"/>
        <w:rPr>
          <w:noProof w:val="0"/>
          <w:color w:val="FF0000"/>
        </w:rPr>
      </w:pPr>
      <w:r w:rsidRPr="00022EFF">
        <w:rPr>
          <w:noProof w:val="0"/>
        </w:rPr>
        <w:lastRenderedPageBreak/>
        <w:t xml:space="preserve">To ensure robustness and transparency, more NICE-wide methods and process work is required on how and when to use guidance/recommendations produced by external organisations (see </w:t>
      </w:r>
      <w:hyperlink w:anchor="KEY_Methids_Work">
        <w:r w:rsidRPr="00022EFF">
          <w:rPr>
            <w:rStyle w:val="Hyperlink"/>
            <w:noProof w:val="0"/>
          </w:rPr>
          <w:t>section</w:t>
        </w:r>
        <w:r w:rsidR="00D35E20" w:rsidRPr="00022EFF">
          <w:rPr>
            <w:rStyle w:val="Hyperlink"/>
            <w:noProof w:val="0"/>
          </w:rPr>
          <w:t>: Key methods work for NICE</w:t>
        </w:r>
      </w:hyperlink>
      <w:r w:rsidRPr="00022EFF">
        <w:rPr>
          <w:noProof w:val="0"/>
        </w:rPr>
        <w:t>). This has been included in the relevant Directorate business plans for the coming (24/25) year.</w:t>
      </w:r>
    </w:p>
    <w:p w14:paraId="15131990" w14:textId="7651855A" w:rsidR="00D73975" w:rsidRPr="00022EFF" w:rsidRDefault="4BACA6B0" w:rsidP="00921950">
      <w:pPr>
        <w:pStyle w:val="Heading2boardreport"/>
      </w:pPr>
      <w:bookmarkStart w:id="4" w:name="Theme3_relationship_Framework_principles"/>
      <w:bookmarkEnd w:id="4"/>
      <w:r w:rsidRPr="00022EFF">
        <w:t>R</w:t>
      </w:r>
      <w:r w:rsidR="00D73975" w:rsidRPr="00022EFF">
        <w:t>elationship between the framework and the strategic principles</w:t>
      </w:r>
    </w:p>
    <w:p w14:paraId="18C8658B" w14:textId="77777777" w:rsidR="00D73975" w:rsidRPr="00022EFF" w:rsidRDefault="00D73975" w:rsidP="00BC159A">
      <w:pPr>
        <w:pStyle w:val="Heading3boardreport"/>
      </w:pPr>
      <w:r w:rsidRPr="00022EFF">
        <w:t xml:space="preserve">Summary of comments </w:t>
      </w:r>
      <w:proofErr w:type="gramStart"/>
      <w:r w:rsidRPr="00022EFF">
        <w:t>received</w:t>
      </w:r>
      <w:proofErr w:type="gramEnd"/>
    </w:p>
    <w:p w14:paraId="5AEC5571" w14:textId="5FCB1447" w:rsidR="00D73975" w:rsidRPr="00022EFF" w:rsidRDefault="00D73975" w:rsidP="00BC159A">
      <w:pPr>
        <w:pStyle w:val="NICEnormalnumbered"/>
        <w:rPr>
          <w:noProof w:val="0"/>
        </w:rPr>
      </w:pPr>
      <w:r w:rsidRPr="00022EFF">
        <w:rPr>
          <w:noProof w:val="0"/>
        </w:rPr>
        <w:t>Respondents requested clarity on how the strategic principles w</w:t>
      </w:r>
      <w:r w:rsidR="2DE511CB" w:rsidRPr="00022EFF">
        <w:rPr>
          <w:noProof w:val="0"/>
        </w:rPr>
        <w:t>ill</w:t>
      </w:r>
      <w:r w:rsidRPr="00022EFF">
        <w:rPr>
          <w:noProof w:val="0"/>
        </w:rPr>
        <w:t xml:space="preserve"> be integrated into the broader prioritisation framework, with concern that the principles for public health, social care and rare diseases seemed subsidiary and potentially, in some instances, contradictory to the </w:t>
      </w:r>
      <w:r w:rsidR="705B6182" w:rsidRPr="00022EFF">
        <w:rPr>
          <w:noProof w:val="0"/>
        </w:rPr>
        <w:t xml:space="preserve">new </w:t>
      </w:r>
      <w:r w:rsidRPr="00022EFF">
        <w:rPr>
          <w:noProof w:val="0"/>
        </w:rPr>
        <w:t xml:space="preserve">approach to </w:t>
      </w:r>
      <w:r w:rsidR="153D0F1C" w:rsidRPr="00022EFF">
        <w:rPr>
          <w:noProof w:val="0"/>
        </w:rPr>
        <w:t xml:space="preserve">the </w:t>
      </w:r>
      <w:r w:rsidRPr="00022EFF">
        <w:rPr>
          <w:noProof w:val="0"/>
        </w:rPr>
        <w:t>prioritisation of topics.</w:t>
      </w:r>
    </w:p>
    <w:p w14:paraId="3796C8FC" w14:textId="77777777" w:rsidR="00D73975" w:rsidRPr="00022EFF" w:rsidRDefault="00D73975" w:rsidP="00BC159A">
      <w:pPr>
        <w:pStyle w:val="Heading3boardreport"/>
      </w:pPr>
      <w:r w:rsidRPr="00022EFF">
        <w:t>Our response and any changes to proposals</w:t>
      </w:r>
    </w:p>
    <w:p w14:paraId="2EA94BD5" w14:textId="77777777" w:rsidR="00D73975" w:rsidRPr="00022EFF" w:rsidRDefault="00D73975" w:rsidP="00BC159A">
      <w:pPr>
        <w:pStyle w:val="NICEnormalnumbered"/>
        <w:rPr>
          <w:noProof w:val="0"/>
        </w:rPr>
      </w:pPr>
      <w:r w:rsidRPr="00022EFF">
        <w:rPr>
          <w:noProof w:val="0"/>
        </w:rPr>
        <w:t>The intention is that the overarching framework will be used for all topics considered by the prioritisation board. The principles are designed to work alongside the prioritisation framework.  Specifically, the principles offer additional nuance and context to interpretation and application of the framework criteria to certain topic areas (for example social care). These principles recognise that certain criteria (for example ‘evidence quality’) may look different for these topic areas and therefore additional consideration is required to ensure these areas are not marginalised by the new prioritisation process.  The manual will be updated to add clarity on this and to clearly link the two components.</w:t>
      </w:r>
    </w:p>
    <w:p w14:paraId="022CFC54" w14:textId="16710B00" w:rsidR="00181F7E" w:rsidRPr="00022EFF" w:rsidRDefault="00181F7E" w:rsidP="00181F7E">
      <w:pPr>
        <w:pStyle w:val="Heading2boardreport"/>
      </w:pPr>
      <w:r w:rsidRPr="00022EFF">
        <w:t xml:space="preserve"> </w:t>
      </w:r>
      <w:r w:rsidR="6812FC29" w:rsidRPr="00022EFF">
        <w:t>I</w:t>
      </w:r>
      <w:r w:rsidRPr="00022EFF">
        <w:t>dentifying</w:t>
      </w:r>
      <w:r w:rsidR="2112EC56" w:rsidRPr="00022EFF">
        <w:t xml:space="preserve"> system</w:t>
      </w:r>
      <w:r w:rsidRPr="00022EFF">
        <w:t xml:space="preserve"> priorities</w:t>
      </w:r>
    </w:p>
    <w:p w14:paraId="12D8E6DA" w14:textId="77777777" w:rsidR="00181F7E" w:rsidRPr="00022EFF" w:rsidRDefault="00181F7E" w:rsidP="00181F7E">
      <w:pPr>
        <w:pStyle w:val="Heading3boardreport"/>
      </w:pPr>
      <w:r w:rsidRPr="00022EFF">
        <w:t xml:space="preserve">Summary of comments </w:t>
      </w:r>
      <w:proofErr w:type="gramStart"/>
      <w:r w:rsidRPr="00022EFF">
        <w:t>received</w:t>
      </w:r>
      <w:proofErr w:type="gramEnd"/>
    </w:p>
    <w:p w14:paraId="261D05DA" w14:textId="197C2DE3" w:rsidR="00181F7E" w:rsidRPr="00022EFF" w:rsidRDefault="0D698B27" w:rsidP="00181F7E">
      <w:pPr>
        <w:pStyle w:val="NICEnormalnumbered"/>
        <w:rPr>
          <w:noProof w:val="0"/>
        </w:rPr>
      </w:pPr>
      <w:r w:rsidRPr="00022EFF">
        <w:rPr>
          <w:noProof w:val="0"/>
        </w:rPr>
        <w:t>Respond</w:t>
      </w:r>
      <w:r w:rsidR="00F73ABF" w:rsidRPr="00022EFF">
        <w:rPr>
          <w:noProof w:val="0"/>
        </w:rPr>
        <w:t>e</w:t>
      </w:r>
      <w:r w:rsidRPr="00022EFF">
        <w:rPr>
          <w:noProof w:val="0"/>
        </w:rPr>
        <w:t>nts</w:t>
      </w:r>
      <w:r w:rsidR="00181F7E" w:rsidRPr="00022EFF">
        <w:rPr>
          <w:noProof w:val="0"/>
        </w:rPr>
        <w:t xml:space="preserve"> welcomed the general approach of prioritising guidance based on priorities for the health and care system. However, there was an acknowledgement that the process for establishing the priorities needs to be clear and transparent. It was queried if stakeholders such as companies and patient, voluntary and community sector organisations will be involved in any </w:t>
      </w:r>
      <w:r w:rsidR="00181F7E" w:rsidRPr="00022EFF">
        <w:rPr>
          <w:noProof w:val="0"/>
        </w:rPr>
        <w:lastRenderedPageBreak/>
        <w:t xml:space="preserve">part of the process and how they would be communicated </w:t>
      </w:r>
      <w:r w:rsidR="50909B43" w:rsidRPr="00022EFF">
        <w:rPr>
          <w:noProof w:val="0"/>
        </w:rPr>
        <w:t>with</w:t>
      </w:r>
      <w:r w:rsidR="00181F7E" w:rsidRPr="00022EFF">
        <w:rPr>
          <w:noProof w:val="0"/>
        </w:rPr>
        <w:t xml:space="preserve">.  </w:t>
      </w:r>
      <w:r w:rsidR="055DA0D6" w:rsidRPr="00022EFF">
        <w:rPr>
          <w:noProof w:val="0"/>
        </w:rPr>
        <w:t>F</w:t>
      </w:r>
      <w:r w:rsidR="00181F7E" w:rsidRPr="00022EFF">
        <w:rPr>
          <w:noProof w:val="0"/>
        </w:rPr>
        <w:t xml:space="preserve">eedback highlighted a challenge </w:t>
      </w:r>
      <w:r w:rsidR="2E1C0863" w:rsidRPr="00022EFF">
        <w:rPr>
          <w:noProof w:val="0"/>
        </w:rPr>
        <w:t>in</w:t>
      </w:r>
      <w:r w:rsidR="00181F7E" w:rsidRPr="00022EFF">
        <w:rPr>
          <w:noProof w:val="0"/>
        </w:rPr>
        <w:t xml:space="preserve"> defining priorities and the variety of perspectives that could be taken and who could be engaged.  </w:t>
      </w:r>
    </w:p>
    <w:p w14:paraId="42763FB5" w14:textId="2E2A5472" w:rsidR="00181F7E" w:rsidRPr="00022EFF" w:rsidRDefault="00181F7E" w:rsidP="00181F7E">
      <w:pPr>
        <w:pStyle w:val="NICEnormalnumbered"/>
        <w:rPr>
          <w:noProof w:val="0"/>
        </w:rPr>
      </w:pPr>
      <w:r w:rsidRPr="00022EFF">
        <w:rPr>
          <w:noProof w:val="0"/>
        </w:rPr>
        <w:t xml:space="preserve">Various </w:t>
      </w:r>
      <w:r w:rsidR="7E38555B" w:rsidRPr="00022EFF">
        <w:rPr>
          <w:noProof w:val="0"/>
        </w:rPr>
        <w:t>respond</w:t>
      </w:r>
      <w:r w:rsidR="005D5A9F" w:rsidRPr="00022EFF">
        <w:rPr>
          <w:noProof w:val="0"/>
        </w:rPr>
        <w:t>e</w:t>
      </w:r>
      <w:r w:rsidR="7E38555B" w:rsidRPr="00022EFF">
        <w:rPr>
          <w:noProof w:val="0"/>
        </w:rPr>
        <w:t>nts</w:t>
      </w:r>
      <w:r w:rsidRPr="00022EFF">
        <w:rPr>
          <w:noProof w:val="0"/>
        </w:rPr>
        <w:t xml:space="preserve"> queried whether they would be able to notify NICE about new topics, including companies, patient groups, voluntary and community sector organisations, </w:t>
      </w:r>
      <w:proofErr w:type="gramStart"/>
      <w:r w:rsidRPr="00022EFF">
        <w:rPr>
          <w:noProof w:val="0"/>
        </w:rPr>
        <w:t>charities</w:t>
      </w:r>
      <w:proofErr w:type="gramEnd"/>
      <w:r w:rsidRPr="00022EFF">
        <w:rPr>
          <w:noProof w:val="0"/>
        </w:rPr>
        <w:t xml:space="preserve"> and other public bodies</w:t>
      </w:r>
      <w:r w:rsidR="009376FA" w:rsidRPr="00022EFF">
        <w:rPr>
          <w:noProof w:val="0"/>
        </w:rPr>
        <w:t>.</w:t>
      </w:r>
      <w:r w:rsidRPr="00022EFF">
        <w:rPr>
          <w:noProof w:val="0"/>
        </w:rPr>
        <w:t xml:space="preserve"> It was noted that detail is lacking with regards to the alerting process for topics not prioritised against the pre-stage 1 criteria, specifically with regards to the process and the responsibility for alerting.</w:t>
      </w:r>
    </w:p>
    <w:p w14:paraId="4D76CF7B" w14:textId="258CFB2F" w:rsidR="00181F7E" w:rsidRPr="00022EFF" w:rsidRDefault="0FBB6CF3" w:rsidP="00181F7E">
      <w:pPr>
        <w:pStyle w:val="NICEnormalnumbered"/>
        <w:rPr>
          <w:noProof w:val="0"/>
        </w:rPr>
      </w:pPr>
      <w:r w:rsidRPr="00022EFF">
        <w:rPr>
          <w:noProof w:val="0"/>
        </w:rPr>
        <w:t>C</w:t>
      </w:r>
      <w:r w:rsidR="00181F7E" w:rsidRPr="00022EFF">
        <w:rPr>
          <w:noProof w:val="0"/>
        </w:rPr>
        <w:t>oncerns</w:t>
      </w:r>
      <w:r w:rsidR="24D0F2F8" w:rsidRPr="00022EFF">
        <w:rPr>
          <w:noProof w:val="0"/>
        </w:rPr>
        <w:t xml:space="preserve"> were also raised</w:t>
      </w:r>
      <w:r w:rsidR="00181F7E" w:rsidRPr="00022EFF">
        <w:rPr>
          <w:noProof w:val="0"/>
        </w:rPr>
        <w:t xml:space="preserve"> about prioritisation and system intelligence with regards to updates of existing guidance. There was an acknowledgement that there are robust monitoring mechanisms as part of NICE’s existing processes. However, it was queried whether and how stakeholders external to NICE can proactively notify NICE when they consider that an update is necessary. Members of the healthcare system also noted that it is unclear if unpublished system intelligence can be used to notify NICE.</w:t>
      </w:r>
    </w:p>
    <w:p w14:paraId="1449955B" w14:textId="77777777" w:rsidR="00181F7E" w:rsidRPr="00022EFF" w:rsidRDefault="00181F7E" w:rsidP="00181F7E">
      <w:pPr>
        <w:pStyle w:val="Heading3boardreport"/>
      </w:pPr>
      <w:r w:rsidRPr="00022EFF">
        <w:t>Our response and any changes to proposals</w:t>
      </w:r>
    </w:p>
    <w:p w14:paraId="65F37715" w14:textId="263665CB" w:rsidR="00181F7E" w:rsidRPr="00022EFF" w:rsidRDefault="00181F7E" w:rsidP="00181F7E">
      <w:pPr>
        <w:pStyle w:val="NICEnormalnumbered"/>
        <w:rPr>
          <w:noProof w:val="0"/>
        </w:rPr>
      </w:pPr>
      <w:r w:rsidRPr="00022EFF">
        <w:rPr>
          <w:noProof w:val="0"/>
        </w:rPr>
        <w:t xml:space="preserve">Strategically, NICE is aiming to build the foundations of a national learning healthcare system.  Internal transformation activity will support a focus on what matters most – through this activity and strategic engagement mechanisms we aim to be able to identify system priorities to play into the </w:t>
      </w:r>
      <w:r w:rsidR="001556C0" w:rsidRPr="00022EFF">
        <w:rPr>
          <w:noProof w:val="0"/>
        </w:rPr>
        <w:t>p</w:t>
      </w:r>
      <w:r w:rsidRPr="00022EFF">
        <w:rPr>
          <w:noProof w:val="0"/>
        </w:rPr>
        <w:t xml:space="preserve">rioritisation </w:t>
      </w:r>
      <w:r w:rsidR="001556C0" w:rsidRPr="00022EFF">
        <w:rPr>
          <w:noProof w:val="0"/>
        </w:rPr>
        <w:t>b</w:t>
      </w:r>
      <w:r w:rsidRPr="00022EFF">
        <w:rPr>
          <w:noProof w:val="0"/>
        </w:rPr>
        <w:t>oard deliberations and the membership of the board covers the breadth of the organisation</w:t>
      </w:r>
      <w:r w:rsidR="458BEFB7" w:rsidRPr="00022EFF">
        <w:rPr>
          <w:noProof w:val="0"/>
        </w:rPr>
        <w:t xml:space="preserve"> accordingly</w:t>
      </w:r>
      <w:r w:rsidRPr="00022EFF">
        <w:rPr>
          <w:noProof w:val="0"/>
        </w:rPr>
        <w:t xml:space="preserve">.  </w:t>
      </w:r>
    </w:p>
    <w:p w14:paraId="482C5538" w14:textId="12497475" w:rsidR="00181F7E" w:rsidRPr="00022EFF" w:rsidRDefault="00181F7E" w:rsidP="00181F7E">
      <w:pPr>
        <w:pStyle w:val="NICEnormalnumbered"/>
        <w:rPr>
          <w:noProof w:val="0"/>
        </w:rPr>
      </w:pPr>
      <w:r w:rsidRPr="00022EFF">
        <w:rPr>
          <w:noProof w:val="0"/>
        </w:rPr>
        <w:t xml:space="preserve">The proposal is to have an accessible approach to the suggestion of suitable topics for prioritisation board consideration.  All suggestions will be considered in a consistent manner.  We recognise the role the system plays in supporting NICE to ensure that our guidance reflects service needs in addition to evidence changes.  Bringing the </w:t>
      </w:r>
      <w:r w:rsidR="003F0A48" w:rsidRPr="00022EFF">
        <w:rPr>
          <w:noProof w:val="0"/>
        </w:rPr>
        <w:t>s</w:t>
      </w:r>
      <w:r w:rsidRPr="00022EFF">
        <w:rPr>
          <w:noProof w:val="0"/>
        </w:rPr>
        <w:t xml:space="preserve">urveillance </w:t>
      </w:r>
      <w:r w:rsidR="38C81060" w:rsidRPr="00022EFF">
        <w:rPr>
          <w:noProof w:val="0"/>
        </w:rPr>
        <w:t xml:space="preserve">and topic </w:t>
      </w:r>
      <w:proofErr w:type="spellStart"/>
      <w:r w:rsidR="38C81060" w:rsidRPr="00022EFF">
        <w:rPr>
          <w:noProof w:val="0"/>
        </w:rPr>
        <w:t>intellligence</w:t>
      </w:r>
      <w:proofErr w:type="spellEnd"/>
      <w:r w:rsidR="38C81060" w:rsidRPr="00022EFF">
        <w:rPr>
          <w:noProof w:val="0"/>
        </w:rPr>
        <w:t xml:space="preserve"> </w:t>
      </w:r>
      <w:r w:rsidRPr="00022EFF">
        <w:rPr>
          <w:noProof w:val="0"/>
        </w:rPr>
        <w:t>function</w:t>
      </w:r>
      <w:r w:rsidR="0EB58F0C" w:rsidRPr="00022EFF">
        <w:rPr>
          <w:noProof w:val="0"/>
        </w:rPr>
        <w:t>s</w:t>
      </w:r>
      <w:r w:rsidRPr="00022EFF">
        <w:rPr>
          <w:noProof w:val="0"/>
        </w:rPr>
        <w:t xml:space="preserve"> to work alongside the prioritisation function will allow NICE information flows and intelligence to be acted on consistently and more effectively. </w:t>
      </w:r>
    </w:p>
    <w:p w14:paraId="136E455D" w14:textId="6DE74D12" w:rsidR="00181F7E" w:rsidRPr="00022EFF" w:rsidRDefault="00181F7E" w:rsidP="5F04D595">
      <w:pPr>
        <w:pStyle w:val="Heading2boardreport"/>
      </w:pPr>
      <w:bookmarkStart w:id="5" w:name="VPAG"/>
      <w:bookmarkEnd w:id="5"/>
      <w:r w:rsidRPr="00022EFF">
        <w:lastRenderedPageBreak/>
        <w:t>I</w:t>
      </w:r>
      <w:r w:rsidR="60074E7B" w:rsidRPr="00022EFF">
        <w:t xml:space="preserve">nterpretation of proposals in relation to the voluntary scheme for branded medicines pricing, </w:t>
      </w:r>
      <w:proofErr w:type="gramStart"/>
      <w:r w:rsidR="60074E7B" w:rsidRPr="00022EFF">
        <w:t>access</w:t>
      </w:r>
      <w:proofErr w:type="gramEnd"/>
      <w:r w:rsidR="60074E7B" w:rsidRPr="00022EFF">
        <w:t xml:space="preserve"> and growth (VPAG)</w:t>
      </w:r>
    </w:p>
    <w:p w14:paraId="266095CB" w14:textId="77777777" w:rsidR="00181F7E" w:rsidRPr="00022EFF" w:rsidRDefault="00181F7E" w:rsidP="00181F7E">
      <w:pPr>
        <w:pStyle w:val="Heading3boardreport"/>
      </w:pPr>
      <w:r w:rsidRPr="00022EFF">
        <w:t xml:space="preserve">Summary of comments </w:t>
      </w:r>
      <w:proofErr w:type="gramStart"/>
      <w:r w:rsidRPr="00022EFF">
        <w:t>received</w:t>
      </w:r>
      <w:proofErr w:type="gramEnd"/>
    </w:p>
    <w:p w14:paraId="625F4E88" w14:textId="712F3B92" w:rsidR="00181F7E" w:rsidRPr="00022EFF" w:rsidRDefault="00181F7E" w:rsidP="00181F7E">
      <w:pPr>
        <w:pStyle w:val="NICEnormalnumbered"/>
        <w:rPr>
          <w:noProof w:val="0"/>
        </w:rPr>
      </w:pPr>
      <w:proofErr w:type="gramStart"/>
      <w:r w:rsidRPr="00022EFF">
        <w:rPr>
          <w:noProof w:val="0"/>
        </w:rPr>
        <w:t>A number of</w:t>
      </w:r>
      <w:proofErr w:type="gramEnd"/>
      <w:r w:rsidRPr="00022EFF">
        <w:rPr>
          <w:noProof w:val="0"/>
        </w:rPr>
        <w:t xml:space="preserve"> </w:t>
      </w:r>
      <w:r w:rsidR="66ECD2B3" w:rsidRPr="00022EFF">
        <w:rPr>
          <w:noProof w:val="0"/>
        </w:rPr>
        <w:t>responses</w:t>
      </w:r>
      <w:r w:rsidRPr="00022EFF">
        <w:rPr>
          <w:noProof w:val="0"/>
        </w:rPr>
        <w:t xml:space="preserve"> raised queries with regards to how the prioritisation of medicines would relate to the Voluntary Scheme for Pricing, Access and Growth (VPAG). </w:t>
      </w:r>
      <w:r w:rsidR="00FA3044" w:rsidRPr="00022EFF">
        <w:rPr>
          <w:noProof w:val="0"/>
        </w:rPr>
        <w:t>Respondents</w:t>
      </w:r>
      <w:r w:rsidRPr="00022EFF">
        <w:rPr>
          <w:noProof w:val="0"/>
        </w:rPr>
        <w:t xml:space="preserve"> expressed concern that the current wording in the manual is ambiguous in that it suggests that new medicines and significant extensions falling under VPAG could be routed to stage 2 criteria for </w:t>
      </w:r>
      <w:r w:rsidR="53F03CFA" w:rsidRPr="00022EFF">
        <w:rPr>
          <w:noProof w:val="0"/>
        </w:rPr>
        <w:t xml:space="preserve">further consideration by </w:t>
      </w:r>
      <w:r w:rsidRPr="00022EFF">
        <w:rPr>
          <w:noProof w:val="0"/>
        </w:rPr>
        <w:t>the prioritisation board.</w:t>
      </w:r>
    </w:p>
    <w:p w14:paraId="7D54A3AD" w14:textId="77777777" w:rsidR="00181F7E" w:rsidRPr="00022EFF" w:rsidRDefault="00181F7E" w:rsidP="00181F7E">
      <w:pPr>
        <w:pStyle w:val="NICEnormalnumbered"/>
        <w:rPr>
          <w:noProof w:val="0"/>
        </w:rPr>
      </w:pPr>
      <w:r w:rsidRPr="00022EFF">
        <w:rPr>
          <w:noProof w:val="0"/>
        </w:rPr>
        <w:t>It was also noted that more clarity should be added regarding the case when medicines falling under VPAG would not be prioritised, for example when they are covered by an existing policy (such as NHSE's policy on commissioning medicines for children in specialised services) or when a new policy can be developed (for example, when not enough people are eligible to receive the technology for NICE guidance to be developed).</w:t>
      </w:r>
    </w:p>
    <w:p w14:paraId="33180FBF" w14:textId="2860DF96" w:rsidR="00181F7E" w:rsidRPr="00022EFF" w:rsidRDefault="00FA3044" w:rsidP="00181F7E">
      <w:pPr>
        <w:pStyle w:val="NICEnormalnumbered"/>
        <w:rPr>
          <w:noProof w:val="0"/>
        </w:rPr>
      </w:pPr>
      <w:r w:rsidRPr="00022EFF">
        <w:rPr>
          <w:noProof w:val="0"/>
        </w:rPr>
        <w:t>Respondent</w:t>
      </w:r>
      <w:r w:rsidR="00181F7E" w:rsidRPr="00022EFF">
        <w:rPr>
          <w:noProof w:val="0"/>
        </w:rPr>
        <w:t xml:space="preserve">s from industry also </w:t>
      </w:r>
      <w:r w:rsidR="7B68ECA8" w:rsidRPr="00022EFF">
        <w:rPr>
          <w:noProof w:val="0"/>
        </w:rPr>
        <w:t xml:space="preserve">noted </w:t>
      </w:r>
      <w:r w:rsidR="00181F7E" w:rsidRPr="00022EFF">
        <w:rPr>
          <w:noProof w:val="0"/>
        </w:rPr>
        <w:t xml:space="preserve">that the example provided in </w:t>
      </w:r>
      <w:hyperlink r:id="rId14" w:anchor="combination-or-integrated-topics">
        <w:r w:rsidR="00181F7E" w:rsidRPr="00022EFF">
          <w:rPr>
            <w:rStyle w:val="Hyperlink"/>
            <w:rFonts w:cs="Arial"/>
            <w:noProof w:val="0"/>
          </w:rPr>
          <w:t>section 2.4 of the consultation document</w:t>
        </w:r>
      </w:hyperlink>
      <w:r w:rsidR="00181F7E" w:rsidRPr="00022EFF">
        <w:rPr>
          <w:noProof w:val="0"/>
        </w:rPr>
        <w:t xml:space="preserve"> </w:t>
      </w:r>
      <w:r w:rsidR="07807B19" w:rsidRPr="00022EFF">
        <w:rPr>
          <w:noProof w:val="0"/>
        </w:rPr>
        <w:t>(</w:t>
      </w:r>
      <w:r w:rsidR="00181F7E" w:rsidRPr="00022EFF">
        <w:rPr>
          <w:noProof w:val="0"/>
        </w:rPr>
        <w:t>which discusses using several medicines with distinct mechanisms of action to form a combination regimen</w:t>
      </w:r>
      <w:r w:rsidR="74E7BAD0" w:rsidRPr="00022EFF">
        <w:rPr>
          <w:noProof w:val="0"/>
        </w:rPr>
        <w:t>)</w:t>
      </w:r>
      <w:r w:rsidR="00181F7E" w:rsidRPr="00022EFF">
        <w:rPr>
          <w:noProof w:val="0"/>
        </w:rPr>
        <w:t xml:space="preserve"> could c</w:t>
      </w:r>
      <w:r w:rsidR="5583C6E7" w:rsidRPr="00022EFF">
        <w:rPr>
          <w:noProof w:val="0"/>
        </w:rPr>
        <w:t>reate</w:t>
      </w:r>
      <w:r w:rsidR="00181F7E" w:rsidRPr="00022EFF">
        <w:rPr>
          <w:noProof w:val="0"/>
        </w:rPr>
        <w:t xml:space="preserve"> confusion, given that combination therapies are considered under the VPAG agreement</w:t>
      </w:r>
      <w:r w:rsidR="55FDF96B" w:rsidRPr="00022EFF">
        <w:rPr>
          <w:noProof w:val="0"/>
        </w:rPr>
        <w:t xml:space="preserve">. This example could </w:t>
      </w:r>
      <w:r w:rsidR="00181F7E" w:rsidRPr="00022EFF">
        <w:rPr>
          <w:noProof w:val="0"/>
        </w:rPr>
        <w:t>imply</w:t>
      </w:r>
      <w:r w:rsidR="7336480C" w:rsidRPr="00022EFF">
        <w:rPr>
          <w:noProof w:val="0"/>
        </w:rPr>
        <w:t xml:space="preserve"> that combination therapies</w:t>
      </w:r>
      <w:r w:rsidR="00181F7E" w:rsidRPr="00022EFF">
        <w:rPr>
          <w:noProof w:val="0"/>
        </w:rPr>
        <w:t xml:space="preserve"> are subject to </w:t>
      </w:r>
      <w:r w:rsidR="4714EB83" w:rsidRPr="00022EFF">
        <w:rPr>
          <w:noProof w:val="0"/>
        </w:rPr>
        <w:t>separate</w:t>
      </w:r>
      <w:r w:rsidR="00181F7E" w:rsidRPr="00022EFF">
        <w:rPr>
          <w:noProof w:val="0"/>
        </w:rPr>
        <w:t xml:space="preserve"> arrangements.</w:t>
      </w:r>
    </w:p>
    <w:p w14:paraId="3D20DB71" w14:textId="77777777" w:rsidR="00181F7E" w:rsidRPr="00022EFF" w:rsidRDefault="00181F7E" w:rsidP="00181F7E">
      <w:pPr>
        <w:pStyle w:val="Heading3boardreport"/>
      </w:pPr>
      <w:r w:rsidRPr="00022EFF">
        <w:t>Our response and any changes to proposals</w:t>
      </w:r>
    </w:p>
    <w:p w14:paraId="308F5BB6" w14:textId="7E34AE7D" w:rsidR="00181F7E" w:rsidRPr="00022EFF" w:rsidRDefault="310CDD1E" w:rsidP="00181F7E">
      <w:pPr>
        <w:pStyle w:val="NICEnormalnumbered"/>
        <w:rPr>
          <w:noProof w:val="0"/>
        </w:rPr>
      </w:pPr>
      <w:r w:rsidRPr="00022EFF">
        <w:rPr>
          <w:noProof w:val="0"/>
        </w:rPr>
        <w:t xml:space="preserve">The </w:t>
      </w:r>
      <w:r w:rsidR="00FF3CA5" w:rsidRPr="00022EFF">
        <w:rPr>
          <w:noProof w:val="0"/>
        </w:rPr>
        <w:t>prioritisation</w:t>
      </w:r>
      <w:r w:rsidRPr="00022EFF">
        <w:rPr>
          <w:noProof w:val="0"/>
        </w:rPr>
        <w:t xml:space="preserve"> </w:t>
      </w:r>
      <w:r w:rsidR="001556C0" w:rsidRPr="00022EFF">
        <w:rPr>
          <w:noProof w:val="0"/>
        </w:rPr>
        <w:t>b</w:t>
      </w:r>
      <w:r w:rsidRPr="00022EFF">
        <w:rPr>
          <w:noProof w:val="0"/>
        </w:rPr>
        <w:t xml:space="preserve">oard will </w:t>
      </w:r>
      <w:r w:rsidR="27D43BBE" w:rsidRPr="00022EFF">
        <w:rPr>
          <w:noProof w:val="0"/>
        </w:rPr>
        <w:t>work in coordinati</w:t>
      </w:r>
      <w:r w:rsidR="7A855573" w:rsidRPr="00022EFF">
        <w:rPr>
          <w:noProof w:val="0"/>
        </w:rPr>
        <w:t>o</w:t>
      </w:r>
      <w:r w:rsidR="27D43BBE" w:rsidRPr="00022EFF">
        <w:rPr>
          <w:noProof w:val="0"/>
        </w:rPr>
        <w:t>n with th</w:t>
      </w:r>
      <w:r w:rsidR="1EE87478" w:rsidRPr="00022EFF">
        <w:rPr>
          <w:noProof w:val="0"/>
        </w:rPr>
        <w:t>e</w:t>
      </w:r>
      <w:r w:rsidR="27D43BBE" w:rsidRPr="00022EFF">
        <w:rPr>
          <w:noProof w:val="0"/>
        </w:rPr>
        <w:t xml:space="preserve"> </w:t>
      </w:r>
      <w:r w:rsidRPr="00022EFF">
        <w:rPr>
          <w:noProof w:val="0"/>
        </w:rPr>
        <w:t xml:space="preserve">VPAG </w:t>
      </w:r>
      <w:proofErr w:type="gramStart"/>
      <w:r w:rsidRPr="00022EFF">
        <w:rPr>
          <w:noProof w:val="0"/>
        </w:rPr>
        <w:t>arrangeme</w:t>
      </w:r>
      <w:r w:rsidR="187A64A3" w:rsidRPr="00022EFF">
        <w:rPr>
          <w:noProof w:val="0"/>
        </w:rPr>
        <w:t>nts</w:t>
      </w:r>
      <w:r w:rsidR="2E3992E5" w:rsidRPr="00022EFF">
        <w:rPr>
          <w:noProof w:val="0"/>
        </w:rPr>
        <w:t>, and</w:t>
      </w:r>
      <w:proofErr w:type="gramEnd"/>
      <w:r w:rsidR="2E3992E5" w:rsidRPr="00022EFF">
        <w:rPr>
          <w:noProof w:val="0"/>
        </w:rPr>
        <w:t xml:space="preserve"> will not alter these</w:t>
      </w:r>
      <w:r w:rsidR="187A64A3" w:rsidRPr="00022EFF">
        <w:rPr>
          <w:noProof w:val="0"/>
        </w:rPr>
        <w:t xml:space="preserve">. </w:t>
      </w:r>
      <w:r w:rsidR="00181F7E" w:rsidRPr="00022EFF">
        <w:rPr>
          <w:noProof w:val="0"/>
        </w:rPr>
        <w:t xml:space="preserve">The </w:t>
      </w:r>
      <w:r w:rsidR="001556C0" w:rsidRPr="00022EFF">
        <w:rPr>
          <w:noProof w:val="0"/>
        </w:rPr>
        <w:t>p</w:t>
      </w:r>
      <w:r w:rsidR="00181F7E" w:rsidRPr="00022EFF">
        <w:rPr>
          <w:noProof w:val="0"/>
        </w:rPr>
        <w:t xml:space="preserve">rioritisation </w:t>
      </w:r>
      <w:r w:rsidR="001556C0" w:rsidRPr="00022EFF">
        <w:rPr>
          <w:noProof w:val="0"/>
        </w:rPr>
        <w:t>b</w:t>
      </w:r>
      <w:r w:rsidR="00181F7E" w:rsidRPr="00022EFF">
        <w:rPr>
          <w:noProof w:val="0"/>
        </w:rPr>
        <w:t xml:space="preserve">oard will only consider new medicines and line extensions where there is uncertainty over the substance meeting the VPAG commitment.  In such cases, those medicines will be considered using the Stage 2 prioritisation framework. </w:t>
      </w:r>
    </w:p>
    <w:p w14:paraId="06BE30E8" w14:textId="354E5A26" w:rsidR="00181F7E" w:rsidRPr="00022EFF" w:rsidRDefault="00181F7E" w:rsidP="00181F7E">
      <w:pPr>
        <w:pStyle w:val="NICEnormalnumbered"/>
        <w:rPr>
          <w:noProof w:val="0"/>
        </w:rPr>
      </w:pPr>
      <w:r w:rsidRPr="00022EFF">
        <w:rPr>
          <w:noProof w:val="0"/>
        </w:rPr>
        <w:t xml:space="preserve">The previous CHTE topic selection manual highlighted an interpretation of “clear rationale not to do so” which </w:t>
      </w:r>
      <w:r w:rsidR="48C00A93" w:rsidRPr="00022EFF">
        <w:rPr>
          <w:noProof w:val="0"/>
        </w:rPr>
        <w:t xml:space="preserve">remains </w:t>
      </w:r>
      <w:r w:rsidRPr="00022EFF">
        <w:rPr>
          <w:noProof w:val="0"/>
        </w:rPr>
        <w:t xml:space="preserve">relevant and </w:t>
      </w:r>
      <w:proofErr w:type="gramStart"/>
      <w:r w:rsidRPr="00022EFF">
        <w:rPr>
          <w:noProof w:val="0"/>
        </w:rPr>
        <w:t>appropriate</w:t>
      </w:r>
      <w:r w:rsidR="7558B3CF" w:rsidRPr="00022EFF">
        <w:rPr>
          <w:noProof w:val="0"/>
        </w:rPr>
        <w:t>,</w:t>
      </w:r>
      <w:r w:rsidRPr="00022EFF">
        <w:rPr>
          <w:noProof w:val="0"/>
        </w:rPr>
        <w:t xml:space="preserve"> and</w:t>
      </w:r>
      <w:proofErr w:type="gramEnd"/>
      <w:r w:rsidRPr="00022EFF">
        <w:rPr>
          <w:noProof w:val="0"/>
        </w:rPr>
        <w:t xml:space="preserve"> will be clarified within the updated </w:t>
      </w:r>
      <w:r w:rsidR="003021E6" w:rsidRPr="00022EFF">
        <w:rPr>
          <w:noProof w:val="0"/>
        </w:rPr>
        <w:t>NICE-wide t</w:t>
      </w:r>
      <w:r w:rsidRPr="00022EFF">
        <w:rPr>
          <w:noProof w:val="0"/>
        </w:rPr>
        <w:t xml:space="preserve">opic </w:t>
      </w:r>
      <w:r w:rsidR="003021E6" w:rsidRPr="00022EFF">
        <w:rPr>
          <w:noProof w:val="0"/>
        </w:rPr>
        <w:t>p</w:t>
      </w:r>
      <w:r w:rsidRPr="00022EFF">
        <w:rPr>
          <w:noProof w:val="0"/>
        </w:rPr>
        <w:t xml:space="preserve">rioritisation </w:t>
      </w:r>
      <w:r w:rsidR="003021E6" w:rsidRPr="00022EFF">
        <w:rPr>
          <w:noProof w:val="0"/>
        </w:rPr>
        <w:t>m</w:t>
      </w:r>
      <w:r w:rsidRPr="00022EFF">
        <w:rPr>
          <w:noProof w:val="0"/>
        </w:rPr>
        <w:t xml:space="preserve">anual. In </w:t>
      </w:r>
      <w:r w:rsidRPr="00022EFF">
        <w:rPr>
          <w:noProof w:val="0"/>
        </w:rPr>
        <w:lastRenderedPageBreak/>
        <w:t>response to concerns about combination topics we have adjusted the text</w:t>
      </w:r>
      <w:r w:rsidR="1D705411" w:rsidRPr="00022EFF">
        <w:rPr>
          <w:noProof w:val="0"/>
        </w:rPr>
        <w:t xml:space="preserve"> accordingly</w:t>
      </w:r>
      <w:r w:rsidR="000A66F9" w:rsidRPr="00022EFF">
        <w:rPr>
          <w:noProof w:val="0"/>
        </w:rPr>
        <w:t>.</w:t>
      </w:r>
    </w:p>
    <w:p w14:paraId="6C6A1EFB" w14:textId="00D83E04" w:rsidR="00D73975" w:rsidRPr="00022EFF" w:rsidRDefault="00D73975" w:rsidP="00B4436B">
      <w:pPr>
        <w:pStyle w:val="Heading2boardreport"/>
        <w:tabs>
          <w:tab w:val="left" w:pos="3402"/>
        </w:tabs>
      </w:pPr>
      <w:bookmarkStart w:id="6" w:name="HST"/>
      <w:r w:rsidRPr="00022EFF">
        <w:t>Highly Specialised Technologies (HST) criteria</w:t>
      </w:r>
      <w:r w:rsidR="049BB545" w:rsidRPr="00022EFF">
        <w:t xml:space="preserve"> and </w:t>
      </w:r>
      <w:r w:rsidRPr="00022EFF">
        <w:t>routing</w:t>
      </w:r>
    </w:p>
    <w:bookmarkEnd w:id="6"/>
    <w:p w14:paraId="3E338410" w14:textId="77777777" w:rsidR="00D73975" w:rsidRPr="00022EFF" w:rsidRDefault="00D73975" w:rsidP="00A6761E">
      <w:pPr>
        <w:pStyle w:val="Heading3boardreport"/>
      </w:pPr>
      <w:r w:rsidRPr="00022EFF">
        <w:t xml:space="preserve">Summary of comments </w:t>
      </w:r>
      <w:proofErr w:type="gramStart"/>
      <w:r w:rsidRPr="00022EFF">
        <w:t>received</w:t>
      </w:r>
      <w:proofErr w:type="gramEnd"/>
    </w:p>
    <w:p w14:paraId="67B0223B" w14:textId="2F9ADE3C" w:rsidR="00B31DF1" w:rsidRPr="00022EFF" w:rsidRDefault="003021E6" w:rsidP="5F04D595">
      <w:pPr>
        <w:pStyle w:val="NICEnormalnumbered"/>
        <w:rPr>
          <w:noProof w:val="0"/>
        </w:rPr>
      </w:pPr>
      <w:r w:rsidRPr="00022EFF">
        <w:rPr>
          <w:noProof w:val="0"/>
        </w:rPr>
        <w:t>R</w:t>
      </w:r>
      <w:r w:rsidR="00153827" w:rsidRPr="00022EFF">
        <w:rPr>
          <w:noProof w:val="0"/>
        </w:rPr>
        <w:t>e</w:t>
      </w:r>
      <w:r w:rsidRPr="00022EFF">
        <w:rPr>
          <w:noProof w:val="0"/>
        </w:rPr>
        <w:t>spondent</w:t>
      </w:r>
      <w:r w:rsidR="00D73975" w:rsidRPr="00022EFF">
        <w:rPr>
          <w:noProof w:val="0"/>
        </w:rPr>
        <w:t xml:space="preserve">s noted that clarification is needed as to whether all medicines identified by companies as potentially appropriate for Highly Specialised Technologies (HST) guidance will have the option to be considered by the NICE prioritisation board for HST routing, noting concerns that the Single Technology Appraisal (STA) process will be the default. </w:t>
      </w:r>
      <w:r w:rsidR="00153827" w:rsidRPr="00022EFF">
        <w:rPr>
          <w:noProof w:val="0"/>
        </w:rPr>
        <w:t>Respondent</w:t>
      </w:r>
      <w:r w:rsidR="00D73975" w:rsidRPr="00022EFF">
        <w:rPr>
          <w:noProof w:val="0"/>
        </w:rPr>
        <w:t xml:space="preserve">s welcomed the suggestion that HST routing decisions will be taken by the prioritisation board but expressed objection to medicines potentially appropriate for HST guidance being considered within the context of the stage 2 prioritisation framework and not the HST criteria. </w:t>
      </w:r>
      <w:r w:rsidR="00646982" w:rsidRPr="00022EFF">
        <w:rPr>
          <w:noProof w:val="0"/>
        </w:rPr>
        <w:t>Respondent</w:t>
      </w:r>
      <w:r w:rsidR="00D73975" w:rsidRPr="00022EFF">
        <w:rPr>
          <w:noProof w:val="0"/>
        </w:rPr>
        <w:t xml:space="preserve">s noted that those should rather be automatically eligible for a NICE technology appraisal as per the VPAG commitment (see </w:t>
      </w:r>
      <w:hyperlink w:anchor="VPAG">
        <w:r w:rsidR="00D73975" w:rsidRPr="00022EFF">
          <w:rPr>
            <w:rStyle w:val="Hyperlink"/>
            <w:noProof w:val="0"/>
          </w:rPr>
          <w:t>section</w:t>
        </w:r>
        <w:r w:rsidR="00773700" w:rsidRPr="00022EFF">
          <w:rPr>
            <w:rStyle w:val="Hyperlink"/>
            <w:noProof w:val="0"/>
          </w:rPr>
          <w:t xml:space="preserve">: </w:t>
        </w:r>
        <w:r w:rsidR="00B31DF1" w:rsidRPr="00022EFF">
          <w:rPr>
            <w:rStyle w:val="Hyperlink"/>
            <w:noProof w:val="0"/>
          </w:rPr>
          <w:t>In</w:t>
        </w:r>
        <w:r w:rsidR="000A66F9" w:rsidRPr="00022EFF">
          <w:rPr>
            <w:rStyle w:val="Hyperlink"/>
            <w:noProof w:val="0"/>
          </w:rPr>
          <w:t>terpretation of proposals in relation to</w:t>
        </w:r>
        <w:r w:rsidR="00B31DF1" w:rsidRPr="00022EFF">
          <w:rPr>
            <w:rStyle w:val="Hyperlink"/>
            <w:noProof w:val="0"/>
          </w:rPr>
          <w:t xml:space="preserve"> VPAG</w:t>
        </w:r>
      </w:hyperlink>
      <w:r w:rsidR="00136DC9" w:rsidRPr="00022EFF">
        <w:rPr>
          <w:noProof w:val="0"/>
        </w:rPr>
        <w:t>)</w:t>
      </w:r>
      <w:r w:rsidR="00D73975" w:rsidRPr="00022EFF">
        <w:rPr>
          <w:noProof w:val="0"/>
        </w:rPr>
        <w:t xml:space="preserve">. </w:t>
      </w:r>
      <w:r w:rsidR="00FE0E03" w:rsidRPr="00022EFF">
        <w:rPr>
          <w:noProof w:val="0"/>
        </w:rPr>
        <w:t>Respondent</w:t>
      </w:r>
      <w:r w:rsidR="00D73975" w:rsidRPr="00022EFF">
        <w:rPr>
          <w:noProof w:val="0"/>
        </w:rPr>
        <w:t xml:space="preserve">s thus felt that the circumstances under which new medicines need further ratification by the prioritisation board before being routed to HST, as described in </w:t>
      </w:r>
      <w:hyperlink r:id="rId15" w:anchor="pre-stage-1-eligibility-criteria-for-new-topics">
        <w:r w:rsidR="00D73975" w:rsidRPr="00022EFF">
          <w:rPr>
            <w:rStyle w:val="Hyperlink"/>
            <w:noProof w:val="0"/>
          </w:rPr>
          <w:t>section 6.3.3</w:t>
        </w:r>
        <w:r w:rsidR="00C95DC4" w:rsidRPr="00022EFF">
          <w:rPr>
            <w:rStyle w:val="Hyperlink"/>
            <w:noProof w:val="0"/>
          </w:rPr>
          <w:t xml:space="preserve"> ‘</w:t>
        </w:r>
        <w:r w:rsidR="00CA05F0" w:rsidRPr="00022EFF">
          <w:rPr>
            <w:rStyle w:val="Hyperlink"/>
            <w:noProof w:val="0"/>
          </w:rPr>
          <w:t xml:space="preserve">Eligibility </w:t>
        </w:r>
        <w:proofErr w:type="spellStart"/>
        <w:r w:rsidR="00CA05F0" w:rsidRPr="00022EFF">
          <w:rPr>
            <w:rStyle w:val="Hyperlink"/>
            <w:noProof w:val="0"/>
          </w:rPr>
          <w:t>citeria</w:t>
        </w:r>
        <w:proofErr w:type="spellEnd"/>
        <w:r w:rsidR="00CA05F0" w:rsidRPr="00022EFF">
          <w:rPr>
            <w:rStyle w:val="Hyperlink"/>
            <w:noProof w:val="0"/>
          </w:rPr>
          <w:t xml:space="preserve"> for new medicine topics’</w:t>
        </w:r>
        <w:r w:rsidR="00E8013A" w:rsidRPr="00022EFF">
          <w:rPr>
            <w:rStyle w:val="Hyperlink"/>
            <w:noProof w:val="0"/>
          </w:rPr>
          <w:t xml:space="preserve"> of the consultation document</w:t>
        </w:r>
      </w:hyperlink>
      <w:r w:rsidR="00D73975" w:rsidRPr="00022EFF">
        <w:rPr>
          <w:noProof w:val="0"/>
        </w:rPr>
        <w:t xml:space="preserve">, </w:t>
      </w:r>
      <w:r w:rsidR="2DB643B8" w:rsidRPr="00022EFF">
        <w:rPr>
          <w:noProof w:val="0"/>
        </w:rPr>
        <w:t>required</w:t>
      </w:r>
      <w:r w:rsidR="00D73975" w:rsidRPr="00022EFF">
        <w:rPr>
          <w:noProof w:val="0"/>
        </w:rPr>
        <w:t xml:space="preserve"> clarification.</w:t>
      </w:r>
    </w:p>
    <w:p w14:paraId="0A9D85A0" w14:textId="07FBD707" w:rsidR="00D73975" w:rsidRPr="00022EFF" w:rsidRDefault="51B57586" w:rsidP="00A6761E">
      <w:pPr>
        <w:pStyle w:val="NICEnormalnumbered"/>
        <w:rPr>
          <w:noProof w:val="0"/>
        </w:rPr>
      </w:pPr>
      <w:r>
        <w:rPr>
          <w:noProof w:val="0"/>
        </w:rPr>
        <w:t>Respond</w:t>
      </w:r>
      <w:r w:rsidR="00B02BC4">
        <w:rPr>
          <w:noProof w:val="0"/>
        </w:rPr>
        <w:t>e</w:t>
      </w:r>
      <w:r>
        <w:rPr>
          <w:noProof w:val="0"/>
        </w:rPr>
        <w:t>nts</w:t>
      </w:r>
      <w:r w:rsidR="00D73975">
        <w:rPr>
          <w:noProof w:val="0"/>
        </w:rPr>
        <w:t xml:space="preserve"> from industry requested a review and consultation on a revision to the current HST criteria, also noting that this is linked to an action outlined in the 2024 England Rare Diseases Action Plan. Some </w:t>
      </w:r>
      <w:r w:rsidR="00FE0E03">
        <w:rPr>
          <w:noProof w:val="0"/>
        </w:rPr>
        <w:t>respondents</w:t>
      </w:r>
      <w:r w:rsidR="00D73975">
        <w:rPr>
          <w:noProof w:val="0"/>
        </w:rPr>
        <w:t xml:space="preserve"> expressed dissatisfaction with the current HST </w:t>
      </w:r>
      <w:proofErr w:type="gramStart"/>
      <w:r w:rsidR="00D73975">
        <w:rPr>
          <w:noProof w:val="0"/>
        </w:rPr>
        <w:t>criteria</w:t>
      </w:r>
      <w:proofErr w:type="gramEnd"/>
      <w:r w:rsidR="00D73975">
        <w:rPr>
          <w:noProof w:val="0"/>
        </w:rPr>
        <w:t xml:space="preserve"> and an example was given regard</w:t>
      </w:r>
      <w:r w:rsidR="250CF1C3">
        <w:rPr>
          <w:noProof w:val="0"/>
        </w:rPr>
        <w:t>ing</w:t>
      </w:r>
      <w:r w:rsidR="00D73975">
        <w:rPr>
          <w:noProof w:val="0"/>
        </w:rPr>
        <w:t xml:space="preserve"> subpopulations with a specific genetic mutation not </w:t>
      </w:r>
      <w:r w:rsidR="040AD2E9">
        <w:rPr>
          <w:noProof w:val="0"/>
        </w:rPr>
        <w:t xml:space="preserve">being </w:t>
      </w:r>
      <w:r w:rsidR="00D73975">
        <w:rPr>
          <w:noProof w:val="0"/>
        </w:rPr>
        <w:t xml:space="preserve">eligible for HST </w:t>
      </w:r>
      <w:r w:rsidR="63F5278E">
        <w:rPr>
          <w:noProof w:val="0"/>
        </w:rPr>
        <w:t xml:space="preserve">because </w:t>
      </w:r>
      <w:r w:rsidR="00D73975">
        <w:rPr>
          <w:noProof w:val="0"/>
        </w:rPr>
        <w:t>the overall population does not fit the e</w:t>
      </w:r>
      <w:r w:rsidR="70FD2FB8">
        <w:rPr>
          <w:noProof w:val="0"/>
        </w:rPr>
        <w:t>l</w:t>
      </w:r>
      <w:r w:rsidR="00D73975">
        <w:rPr>
          <w:noProof w:val="0"/>
        </w:rPr>
        <w:t>i</w:t>
      </w:r>
      <w:r w:rsidR="50D4F85F">
        <w:rPr>
          <w:noProof w:val="0"/>
        </w:rPr>
        <w:t>gi</w:t>
      </w:r>
      <w:r w:rsidR="00D73975">
        <w:rPr>
          <w:noProof w:val="0"/>
        </w:rPr>
        <w:t>bility criteria.</w:t>
      </w:r>
    </w:p>
    <w:p w14:paraId="581BF65C" w14:textId="17769339" w:rsidR="00D73975" w:rsidRPr="00022EFF" w:rsidRDefault="7883C782" w:rsidP="00A6761E">
      <w:pPr>
        <w:pStyle w:val="NICEnormalnumbered"/>
        <w:rPr>
          <w:noProof w:val="0"/>
          <w:color w:val="538135" w:themeColor="accent6" w:themeShade="BF"/>
        </w:rPr>
      </w:pPr>
      <w:r w:rsidRPr="00022EFF">
        <w:rPr>
          <w:noProof w:val="0"/>
        </w:rPr>
        <w:t>Respond</w:t>
      </w:r>
      <w:r w:rsidR="00B02BC4" w:rsidRPr="00022EFF">
        <w:rPr>
          <w:noProof w:val="0"/>
        </w:rPr>
        <w:t>e</w:t>
      </w:r>
      <w:r w:rsidRPr="00022EFF">
        <w:rPr>
          <w:noProof w:val="0"/>
        </w:rPr>
        <w:t>nts</w:t>
      </w:r>
      <w:r w:rsidR="00D73975" w:rsidRPr="00022EFF">
        <w:rPr>
          <w:noProof w:val="0"/>
        </w:rPr>
        <w:t xml:space="preserve"> from the public sector noted that clarification is needed </w:t>
      </w:r>
      <w:r w:rsidR="003240C1" w:rsidRPr="00022EFF">
        <w:rPr>
          <w:noProof w:val="0"/>
        </w:rPr>
        <w:t xml:space="preserve">as to </w:t>
      </w:r>
      <w:r w:rsidR="00D73975" w:rsidRPr="00022EFF">
        <w:rPr>
          <w:noProof w:val="0"/>
        </w:rPr>
        <w:t>whether health technologies specifically could be eligible for HST guidance.</w:t>
      </w:r>
    </w:p>
    <w:p w14:paraId="43C6F9D8" w14:textId="77777777" w:rsidR="00D73975" w:rsidRPr="00022EFF" w:rsidRDefault="00D73975" w:rsidP="00A6761E">
      <w:pPr>
        <w:pStyle w:val="Heading3boardreport"/>
      </w:pPr>
      <w:r w:rsidRPr="00022EFF">
        <w:lastRenderedPageBreak/>
        <w:t>Our response and any changes to proposals</w:t>
      </w:r>
    </w:p>
    <w:p w14:paraId="436BA5D1" w14:textId="23D39BC4" w:rsidR="00D73975" w:rsidRPr="00022EFF" w:rsidRDefault="00D73975" w:rsidP="00A6761E">
      <w:pPr>
        <w:pStyle w:val="NICEnormalnumbered"/>
        <w:rPr>
          <w:noProof w:val="0"/>
        </w:rPr>
      </w:pPr>
      <w:r w:rsidRPr="00022EFF">
        <w:rPr>
          <w:noProof w:val="0"/>
        </w:rPr>
        <w:t xml:space="preserve">We understand the concerns raised in relation to the application of the approach to HST and will clarify the position clearly </w:t>
      </w:r>
      <w:r w:rsidR="56E49ED2" w:rsidRPr="00022EFF">
        <w:rPr>
          <w:noProof w:val="0"/>
        </w:rPr>
        <w:t>since</w:t>
      </w:r>
      <w:r w:rsidRPr="00022EFF">
        <w:rPr>
          <w:noProof w:val="0"/>
        </w:rPr>
        <w:t xml:space="preserve">, on reflection, it was unclear in the consultation.  Medicines that are to be considered for HST routing will be assessed by the </w:t>
      </w:r>
      <w:r w:rsidR="00830A5F" w:rsidRPr="00022EFF">
        <w:rPr>
          <w:noProof w:val="0"/>
        </w:rPr>
        <w:t>p</w:t>
      </w:r>
      <w:r w:rsidRPr="00022EFF">
        <w:rPr>
          <w:noProof w:val="0"/>
        </w:rPr>
        <w:t xml:space="preserve">rioritisation </w:t>
      </w:r>
      <w:r w:rsidR="00830A5F" w:rsidRPr="00022EFF">
        <w:rPr>
          <w:noProof w:val="0"/>
        </w:rPr>
        <w:t>b</w:t>
      </w:r>
      <w:r w:rsidRPr="00022EFF">
        <w:rPr>
          <w:noProof w:val="0"/>
        </w:rPr>
        <w:t>oard against the existing HST criteria and not against the stage 2 framework.</w:t>
      </w:r>
    </w:p>
    <w:p w14:paraId="13C50E4F" w14:textId="77777777" w:rsidR="00D73975" w:rsidRPr="00022EFF" w:rsidRDefault="00D73975" w:rsidP="00A6761E">
      <w:pPr>
        <w:pStyle w:val="NICEnormalnumbered"/>
        <w:rPr>
          <w:noProof w:val="0"/>
        </w:rPr>
      </w:pPr>
      <w:r w:rsidRPr="00022EFF">
        <w:rPr>
          <w:noProof w:val="0"/>
        </w:rPr>
        <w:t>A review of the HST criteria is planned for this business year and comments received around the criteria will feed into that work.</w:t>
      </w:r>
    </w:p>
    <w:p w14:paraId="43EE21BA" w14:textId="77777777" w:rsidR="008D3585" w:rsidRPr="00022EFF" w:rsidRDefault="008D3585" w:rsidP="008D3585">
      <w:pPr>
        <w:pStyle w:val="Heading2boardreport"/>
      </w:pPr>
      <w:bookmarkStart w:id="7" w:name="communicating_decisions"/>
      <w:r w:rsidRPr="00022EFF">
        <w:t>Communicating prioritisation board decisions</w:t>
      </w:r>
    </w:p>
    <w:bookmarkEnd w:id="7"/>
    <w:p w14:paraId="2190A687" w14:textId="77777777" w:rsidR="008D3585" w:rsidRPr="00022EFF" w:rsidRDefault="008D3585" w:rsidP="008D3585">
      <w:pPr>
        <w:pStyle w:val="Heading3boardreport"/>
      </w:pPr>
      <w:r w:rsidRPr="00022EFF">
        <w:t xml:space="preserve">Summary of comments </w:t>
      </w:r>
      <w:proofErr w:type="gramStart"/>
      <w:r w:rsidRPr="00022EFF">
        <w:t>received</w:t>
      </w:r>
      <w:proofErr w:type="gramEnd"/>
    </w:p>
    <w:p w14:paraId="4551473C" w14:textId="0F125926" w:rsidR="008D3585" w:rsidRPr="00022EFF" w:rsidRDefault="008D3585" w:rsidP="008D3585">
      <w:pPr>
        <w:pStyle w:val="NICEnormalnumbered"/>
        <w:rPr>
          <w:noProof w:val="0"/>
        </w:rPr>
      </w:pPr>
      <w:r w:rsidRPr="00022EFF">
        <w:rPr>
          <w:noProof w:val="0"/>
        </w:rPr>
        <w:t xml:space="preserve">NICE’s commitment to transparency </w:t>
      </w:r>
      <w:r w:rsidR="1E76D984" w:rsidRPr="00022EFF">
        <w:rPr>
          <w:noProof w:val="0"/>
        </w:rPr>
        <w:t>was welcomed by re</w:t>
      </w:r>
      <w:r w:rsidR="00BA1008" w:rsidRPr="00022EFF">
        <w:rPr>
          <w:noProof w:val="0"/>
        </w:rPr>
        <w:t>sp</w:t>
      </w:r>
      <w:r w:rsidR="1E76D984" w:rsidRPr="00022EFF">
        <w:rPr>
          <w:noProof w:val="0"/>
        </w:rPr>
        <w:t>ond</w:t>
      </w:r>
      <w:r w:rsidR="00BA1008" w:rsidRPr="00022EFF">
        <w:rPr>
          <w:noProof w:val="0"/>
        </w:rPr>
        <w:t>e</w:t>
      </w:r>
      <w:r w:rsidR="1E76D984" w:rsidRPr="00022EFF">
        <w:rPr>
          <w:noProof w:val="0"/>
        </w:rPr>
        <w:t xml:space="preserve">nts </w:t>
      </w:r>
      <w:r w:rsidRPr="00022EFF">
        <w:rPr>
          <w:noProof w:val="0"/>
        </w:rPr>
        <w:t>but</w:t>
      </w:r>
      <w:r w:rsidR="3FB027E7" w:rsidRPr="00022EFF">
        <w:rPr>
          <w:noProof w:val="0"/>
        </w:rPr>
        <w:t xml:space="preserve"> they</w:t>
      </w:r>
      <w:r w:rsidRPr="00022EFF">
        <w:rPr>
          <w:noProof w:val="0"/>
        </w:rPr>
        <w:t xml:space="preserve"> requested further clarity around how decisions will be communicated, and the method of communication </w:t>
      </w:r>
      <w:r w:rsidR="62DFD3D5" w:rsidRPr="00022EFF">
        <w:rPr>
          <w:noProof w:val="0"/>
        </w:rPr>
        <w:t xml:space="preserve">that will be </w:t>
      </w:r>
      <w:r w:rsidRPr="00022EFF">
        <w:rPr>
          <w:noProof w:val="0"/>
        </w:rPr>
        <w:t>used by the prioritisation board.</w:t>
      </w:r>
    </w:p>
    <w:p w14:paraId="5A26997E" w14:textId="770EA93A" w:rsidR="008D3585" w:rsidRPr="00022EFF" w:rsidRDefault="5F6FF0C5" w:rsidP="008D3585">
      <w:pPr>
        <w:pStyle w:val="NICEnormalnumbered"/>
        <w:rPr>
          <w:noProof w:val="0"/>
        </w:rPr>
      </w:pPr>
      <w:r w:rsidRPr="00022EFF">
        <w:rPr>
          <w:noProof w:val="0"/>
        </w:rPr>
        <w:t>Respond</w:t>
      </w:r>
      <w:r w:rsidR="00BA1008" w:rsidRPr="00022EFF">
        <w:rPr>
          <w:noProof w:val="0"/>
        </w:rPr>
        <w:t>e</w:t>
      </w:r>
      <w:r w:rsidRPr="00022EFF">
        <w:rPr>
          <w:noProof w:val="0"/>
        </w:rPr>
        <w:t>nts</w:t>
      </w:r>
      <w:r w:rsidR="008D3585" w:rsidRPr="00022EFF">
        <w:rPr>
          <w:noProof w:val="0"/>
        </w:rPr>
        <w:t xml:space="preserve"> queried how decisions will be communicated about new topics, updates or when topics are retired or stood down. Further information has also been requested about how NICE will engage externally to communicate with stakeholder organisations about upcoming updates or future priority areas.</w:t>
      </w:r>
    </w:p>
    <w:p w14:paraId="15DB68AB" w14:textId="67D0EF41" w:rsidR="008D3585" w:rsidRPr="00022EFF" w:rsidRDefault="008D3585" w:rsidP="008D3585">
      <w:pPr>
        <w:pStyle w:val="NICEnormalnumbered"/>
        <w:rPr>
          <w:noProof w:val="0"/>
        </w:rPr>
      </w:pPr>
      <w:r w:rsidRPr="00022EFF">
        <w:rPr>
          <w:noProof w:val="0"/>
        </w:rPr>
        <w:t xml:space="preserve">Responses also included questions about how the prioritisation board will communicate with companies when there are factual inaccuracies or when more information is required, and whether a list of proposals that </w:t>
      </w:r>
      <w:r w:rsidR="62A8BE96" w:rsidRPr="00022EFF">
        <w:rPr>
          <w:noProof w:val="0"/>
        </w:rPr>
        <w:t xml:space="preserve">have not been prioritised </w:t>
      </w:r>
      <w:r w:rsidRPr="00022EFF">
        <w:rPr>
          <w:noProof w:val="0"/>
        </w:rPr>
        <w:t xml:space="preserve">will also be published. </w:t>
      </w:r>
      <w:r w:rsidR="176468DC" w:rsidRPr="00022EFF">
        <w:rPr>
          <w:noProof w:val="0"/>
        </w:rPr>
        <w:t>F</w:t>
      </w:r>
      <w:r w:rsidRPr="00022EFF">
        <w:rPr>
          <w:noProof w:val="0"/>
        </w:rPr>
        <w:t>urther clarification was requested by stakeholders on what information would be needed to allow reconsideration of a topic area.</w:t>
      </w:r>
    </w:p>
    <w:p w14:paraId="1D4B1F32" w14:textId="59EE1AA3" w:rsidR="008D3585" w:rsidRPr="00022EFF" w:rsidRDefault="008D3585" w:rsidP="008D3585">
      <w:pPr>
        <w:pStyle w:val="NICEnormalnumbered"/>
        <w:rPr>
          <w:noProof w:val="0"/>
        </w:rPr>
      </w:pPr>
      <w:r w:rsidRPr="00022EFF">
        <w:rPr>
          <w:noProof w:val="0"/>
        </w:rPr>
        <w:t xml:space="preserve">The prioritisation board has been asked how the Welsh context will be considered during topic prioritisation and how guidance will be applied to healthcare delivery in Wales, </w:t>
      </w:r>
      <w:proofErr w:type="gramStart"/>
      <w:r w:rsidRPr="00022EFF">
        <w:rPr>
          <w:noProof w:val="0"/>
        </w:rPr>
        <w:t>and also</w:t>
      </w:r>
      <w:proofErr w:type="gramEnd"/>
      <w:r w:rsidRPr="00022EFF">
        <w:rPr>
          <w:noProof w:val="0"/>
        </w:rPr>
        <w:t xml:space="preserve"> why it only plans to share pre-publication decisions with DHSC and NHSE, and not with Welsh counterparts. </w:t>
      </w:r>
    </w:p>
    <w:p w14:paraId="65F8880B" w14:textId="77777777" w:rsidR="008D3585" w:rsidRPr="00022EFF" w:rsidRDefault="008D3585" w:rsidP="008D3585">
      <w:pPr>
        <w:pStyle w:val="Heading3boardreport"/>
      </w:pPr>
      <w:r w:rsidRPr="00022EFF">
        <w:lastRenderedPageBreak/>
        <w:t>Our response and any changes to proposals</w:t>
      </w:r>
    </w:p>
    <w:p w14:paraId="0A8807C2" w14:textId="2F1BA9ED" w:rsidR="008D3585" w:rsidRPr="00022EFF" w:rsidRDefault="008D3585" w:rsidP="008D3585">
      <w:pPr>
        <w:pStyle w:val="NICEnormalnumbered"/>
        <w:rPr>
          <w:noProof w:val="0"/>
        </w:rPr>
      </w:pPr>
      <w:r w:rsidRPr="00022EFF">
        <w:rPr>
          <w:noProof w:val="0"/>
        </w:rPr>
        <w:t xml:space="preserve">All </w:t>
      </w:r>
      <w:r w:rsidR="00BD2075" w:rsidRPr="00022EFF">
        <w:rPr>
          <w:noProof w:val="0"/>
        </w:rPr>
        <w:t>p</w:t>
      </w:r>
      <w:r w:rsidRPr="00022EFF">
        <w:rPr>
          <w:noProof w:val="0"/>
        </w:rPr>
        <w:t xml:space="preserve">rioritisation </w:t>
      </w:r>
      <w:r w:rsidR="00BD2075" w:rsidRPr="00022EFF">
        <w:rPr>
          <w:noProof w:val="0"/>
        </w:rPr>
        <w:t>b</w:t>
      </w:r>
      <w:r w:rsidRPr="00022EFF">
        <w:rPr>
          <w:noProof w:val="0"/>
        </w:rPr>
        <w:t xml:space="preserve">oard decisions will be published on the NICE website.  For each topic under consideration the outcome and a concise and clear rationale will be published routinely.  This will include decisions to stand down guidance/recommendations or cross refer to the content of other reputable guidance-producing organisations. </w:t>
      </w:r>
    </w:p>
    <w:p w14:paraId="1F9E5753" w14:textId="33DD3ED4" w:rsidR="008D3585" w:rsidRPr="00022EFF" w:rsidRDefault="008D3585" w:rsidP="008D3585">
      <w:pPr>
        <w:pStyle w:val="NICEnormalnumbered"/>
        <w:rPr>
          <w:noProof w:val="0"/>
        </w:rPr>
      </w:pPr>
      <w:r w:rsidRPr="00022EFF">
        <w:rPr>
          <w:noProof w:val="0"/>
        </w:rPr>
        <w:t xml:space="preserve">We understand the apprehension expressed by some </w:t>
      </w:r>
      <w:r w:rsidR="00BA1008" w:rsidRPr="00022EFF">
        <w:rPr>
          <w:noProof w:val="0"/>
        </w:rPr>
        <w:t>respondent</w:t>
      </w:r>
      <w:r w:rsidRPr="00022EFF">
        <w:rPr>
          <w:noProof w:val="0"/>
        </w:rPr>
        <w:t xml:space="preserve">s around the information considered by </w:t>
      </w:r>
      <w:r w:rsidR="00BA1008" w:rsidRPr="00022EFF">
        <w:rPr>
          <w:noProof w:val="0"/>
        </w:rPr>
        <w:t>p</w:t>
      </w:r>
      <w:r w:rsidRPr="00022EFF">
        <w:rPr>
          <w:noProof w:val="0"/>
        </w:rPr>
        <w:t xml:space="preserve">rioritisation </w:t>
      </w:r>
      <w:r w:rsidR="00BA1008" w:rsidRPr="00022EFF">
        <w:rPr>
          <w:noProof w:val="0"/>
        </w:rPr>
        <w:t>b</w:t>
      </w:r>
      <w:r w:rsidRPr="00022EFF">
        <w:rPr>
          <w:noProof w:val="0"/>
        </w:rPr>
        <w:t xml:space="preserve">oard.  It is anticipated that a robust approach to developing briefing papers and suitable external engagement in the </w:t>
      </w:r>
      <w:r w:rsidR="34A7087F" w:rsidRPr="00022EFF">
        <w:rPr>
          <w:noProof w:val="0"/>
        </w:rPr>
        <w:t>preparation</w:t>
      </w:r>
      <w:r w:rsidRPr="00022EFF">
        <w:rPr>
          <w:noProof w:val="0"/>
        </w:rPr>
        <w:t xml:space="preserve"> of topics </w:t>
      </w:r>
      <w:r w:rsidR="51FE414D" w:rsidRPr="00022EFF">
        <w:rPr>
          <w:noProof w:val="0"/>
        </w:rPr>
        <w:t>will</w:t>
      </w:r>
      <w:r w:rsidRPr="00022EFF">
        <w:rPr>
          <w:noProof w:val="0"/>
        </w:rPr>
        <w:t xml:space="preserve"> mitigate the risk raised by stakeholders.  </w:t>
      </w:r>
    </w:p>
    <w:p w14:paraId="1888C753" w14:textId="16A1AF61" w:rsidR="008D3585" w:rsidRPr="00022EFF" w:rsidRDefault="008D3585" w:rsidP="008D3585">
      <w:pPr>
        <w:pStyle w:val="NICEnormalnumbered"/>
        <w:rPr>
          <w:noProof w:val="0"/>
        </w:rPr>
      </w:pPr>
      <w:r w:rsidRPr="00022EFF">
        <w:rPr>
          <w:noProof w:val="0"/>
        </w:rPr>
        <w:t>We will arrange to share pre-</w:t>
      </w:r>
      <w:r w:rsidR="00E12BED" w:rsidRPr="00022EFF">
        <w:rPr>
          <w:noProof w:val="0"/>
        </w:rPr>
        <w:t>b</w:t>
      </w:r>
      <w:r w:rsidRPr="00022EFF">
        <w:rPr>
          <w:noProof w:val="0"/>
        </w:rPr>
        <w:t>oard information with the Welsh government for comment ahead of each meeting, alongside the DHSC and NHS England.</w:t>
      </w:r>
      <w:r w:rsidR="7B928585" w:rsidRPr="00022EFF">
        <w:rPr>
          <w:noProof w:val="0"/>
        </w:rPr>
        <w:t xml:space="preserve">  C</w:t>
      </w:r>
      <w:r w:rsidR="14F10E59" w:rsidRPr="00022EFF">
        <w:rPr>
          <w:noProof w:val="0"/>
        </w:rPr>
        <w:t>o</w:t>
      </w:r>
      <w:r w:rsidR="7B928585" w:rsidRPr="00022EFF">
        <w:rPr>
          <w:noProof w:val="0"/>
        </w:rPr>
        <w:t>nsideration will also be given to communication with Scotland and Northern</w:t>
      </w:r>
      <w:r w:rsidR="0CE2785A" w:rsidRPr="00022EFF">
        <w:rPr>
          <w:noProof w:val="0"/>
        </w:rPr>
        <w:t xml:space="preserve"> Ireland administrations where relevant.</w:t>
      </w:r>
    </w:p>
    <w:p w14:paraId="4C74E8E7" w14:textId="7080279F" w:rsidR="00D73975" w:rsidRPr="00022EFF" w:rsidRDefault="00D73975" w:rsidP="00DC351B">
      <w:pPr>
        <w:pStyle w:val="Heading2boardreport"/>
      </w:pPr>
      <w:r w:rsidRPr="00022EFF">
        <w:t>Clarification process and timings</w:t>
      </w:r>
    </w:p>
    <w:p w14:paraId="3C17C05B" w14:textId="77777777" w:rsidR="00D73975" w:rsidRPr="00022EFF" w:rsidRDefault="00D73975" w:rsidP="00DC351B">
      <w:pPr>
        <w:pStyle w:val="Heading3boardreport"/>
      </w:pPr>
      <w:r w:rsidRPr="00022EFF">
        <w:t xml:space="preserve">Summary of comments </w:t>
      </w:r>
      <w:proofErr w:type="gramStart"/>
      <w:r w:rsidRPr="00022EFF">
        <w:t>received</w:t>
      </w:r>
      <w:proofErr w:type="gramEnd"/>
    </w:p>
    <w:p w14:paraId="763B461C" w14:textId="375D856A" w:rsidR="00D73975" w:rsidRPr="00022EFF" w:rsidRDefault="00D73975" w:rsidP="00DC351B">
      <w:pPr>
        <w:pStyle w:val="NICEnormalnumbered"/>
        <w:rPr>
          <w:noProof w:val="0"/>
        </w:rPr>
      </w:pPr>
      <w:r w:rsidRPr="00022EFF">
        <w:rPr>
          <w:noProof w:val="0"/>
        </w:rPr>
        <w:t xml:space="preserve">Two main areas of concern were highlighted by </w:t>
      </w:r>
      <w:r w:rsidR="00E12BED" w:rsidRPr="00022EFF">
        <w:rPr>
          <w:noProof w:val="0"/>
        </w:rPr>
        <w:t>respondent</w:t>
      </w:r>
      <w:r w:rsidRPr="00022EFF">
        <w:rPr>
          <w:noProof w:val="0"/>
        </w:rPr>
        <w:t xml:space="preserve">s in relation to the clarification process: </w:t>
      </w:r>
      <w:proofErr w:type="gramStart"/>
      <w:r w:rsidRPr="00022EFF">
        <w:rPr>
          <w:noProof w:val="0"/>
        </w:rPr>
        <w:t>firstly</w:t>
      </w:r>
      <w:proofErr w:type="gramEnd"/>
      <w:r w:rsidRPr="00022EFF">
        <w:rPr>
          <w:noProof w:val="0"/>
        </w:rPr>
        <w:t xml:space="preserve"> the proposed new clarification process may not be appropriate for Highly Specialised Technologies (HST) routing as there is no opportunity to appeal, and secondly the timeframe for organisations to seek clarification is insufficient given the complexity of the subject matter.</w:t>
      </w:r>
    </w:p>
    <w:p w14:paraId="5AFDA551" w14:textId="6752C0EC" w:rsidR="00D73975" w:rsidRPr="00022EFF" w:rsidRDefault="00D73975" w:rsidP="00DC351B">
      <w:pPr>
        <w:pStyle w:val="NICEnormalnumbered"/>
        <w:rPr>
          <w:noProof w:val="0"/>
        </w:rPr>
      </w:pPr>
      <w:r w:rsidRPr="00022EFF">
        <w:rPr>
          <w:noProof w:val="0"/>
        </w:rPr>
        <w:t xml:space="preserve">To allow a comprehensive review of the decisions made by the prioritisation board, a formal appeals process with clear criteria, pre-decision engagement with stakeholders and transparency of rationale for a decision was suggested by </w:t>
      </w:r>
      <w:r w:rsidR="05930299" w:rsidRPr="00022EFF">
        <w:rPr>
          <w:noProof w:val="0"/>
        </w:rPr>
        <w:t xml:space="preserve">some </w:t>
      </w:r>
      <w:r w:rsidRPr="00022EFF">
        <w:rPr>
          <w:noProof w:val="0"/>
        </w:rPr>
        <w:t>respondents.</w:t>
      </w:r>
    </w:p>
    <w:p w14:paraId="4FBC0C16" w14:textId="03C64EE1" w:rsidR="00D73975" w:rsidRPr="00022EFF" w:rsidRDefault="00D73975" w:rsidP="00DC351B">
      <w:pPr>
        <w:pStyle w:val="NICEnormalnumbered"/>
        <w:rPr>
          <w:noProof w:val="0"/>
        </w:rPr>
      </w:pPr>
      <w:r w:rsidRPr="00022EFF">
        <w:rPr>
          <w:noProof w:val="0"/>
        </w:rPr>
        <w:t xml:space="preserve">Comments highlighted that the </w:t>
      </w:r>
      <w:r w:rsidR="00E12BED" w:rsidRPr="00022EFF">
        <w:rPr>
          <w:noProof w:val="0"/>
        </w:rPr>
        <w:t>NICE-wide topic</w:t>
      </w:r>
      <w:r w:rsidRPr="00022EFF">
        <w:rPr>
          <w:noProof w:val="0"/>
        </w:rPr>
        <w:t xml:space="preserve"> prioritisation manual suggests that companies will need to wait 6 months before they can apply for the topic to be reconsidered by the prioritisation board. Although there is recognition </w:t>
      </w:r>
      <w:r w:rsidRPr="00022EFF">
        <w:rPr>
          <w:noProof w:val="0"/>
        </w:rPr>
        <w:lastRenderedPageBreak/>
        <w:t>that this will provide companies an opportunity to gather evidence, NICE is requested to consider a shorter window of 3 months.</w:t>
      </w:r>
    </w:p>
    <w:p w14:paraId="7C2884E6" w14:textId="77777777" w:rsidR="00D73975" w:rsidRPr="00022EFF" w:rsidRDefault="00D73975" w:rsidP="00DC351B">
      <w:pPr>
        <w:pStyle w:val="Heading3boardreport"/>
      </w:pPr>
      <w:r w:rsidRPr="00022EFF">
        <w:t>Our response and any changes to proposals</w:t>
      </w:r>
    </w:p>
    <w:p w14:paraId="397F74C0" w14:textId="407678B2" w:rsidR="00D73975" w:rsidRPr="00022EFF" w:rsidRDefault="00D73975" w:rsidP="00DC351B">
      <w:pPr>
        <w:pStyle w:val="NICEnormalnumbered"/>
        <w:rPr>
          <w:noProof w:val="0"/>
        </w:rPr>
      </w:pPr>
      <w:r>
        <w:rPr>
          <w:noProof w:val="0"/>
        </w:rPr>
        <w:t>NICE has proposed the new clarification process with the intention of providing consistency and clarity about our rationale for decision-making</w:t>
      </w:r>
      <w:r w:rsidR="48B32CE2">
        <w:rPr>
          <w:noProof w:val="0"/>
        </w:rPr>
        <w:t>, and doing so in a way that uses NICE resources efficiently</w:t>
      </w:r>
      <w:r>
        <w:rPr>
          <w:noProof w:val="0"/>
        </w:rPr>
        <w:t>. It will use existing structures for governance</w:t>
      </w:r>
      <w:r w:rsidR="043F5B65">
        <w:rPr>
          <w:noProof w:val="0"/>
        </w:rPr>
        <w:t xml:space="preserve"> within NICE</w:t>
      </w:r>
      <w:r w:rsidR="6A6E94CC">
        <w:rPr>
          <w:noProof w:val="0"/>
        </w:rPr>
        <w:t>,</w:t>
      </w:r>
      <w:r>
        <w:rPr>
          <w:noProof w:val="0"/>
        </w:rPr>
        <w:t xml:space="preserve"> and still allows the opportunity for challenge from stakeholders.  Using a digitally available proforma on our website, stakeholders will be given an opportunity to submit questions about areas on which they require further clarity, and if dissatisfied with NICE’s initial response, the approach allows further opportunity to seek clarity (second stage). At this second stage, the request for further clarification will be escalated to the chair of the prioritisation board, and discussed at NICE’s guidance executive before a final clarification</w:t>
      </w:r>
      <w:r w:rsidR="009A1EC2">
        <w:rPr>
          <w:noProof w:val="0"/>
        </w:rPr>
        <w:t xml:space="preserve"> will be </w:t>
      </w:r>
      <w:r>
        <w:rPr>
          <w:noProof w:val="0"/>
        </w:rPr>
        <w:t>provided.</w:t>
      </w:r>
    </w:p>
    <w:p w14:paraId="69AEB3B4" w14:textId="77777777" w:rsidR="00D73975" w:rsidRPr="00022EFF" w:rsidRDefault="00D73975" w:rsidP="00DC351B">
      <w:pPr>
        <w:pStyle w:val="NICEnormalnumbered"/>
        <w:rPr>
          <w:noProof w:val="0"/>
        </w:rPr>
      </w:pPr>
      <w:r w:rsidRPr="00022EFF">
        <w:rPr>
          <w:noProof w:val="0"/>
        </w:rPr>
        <w:t>The response to a clarification request will be communicated directly to the stakeholder and will also be published on the website to ensure transparency.</w:t>
      </w:r>
    </w:p>
    <w:p w14:paraId="6E30E4F1" w14:textId="77777777" w:rsidR="00D73975" w:rsidRPr="00022EFF" w:rsidRDefault="00D73975" w:rsidP="00DC351B">
      <w:pPr>
        <w:pStyle w:val="NICEnormalnumbered"/>
        <w:rPr>
          <w:noProof w:val="0"/>
        </w:rPr>
      </w:pPr>
      <w:r w:rsidRPr="00022EFF">
        <w:rPr>
          <w:noProof w:val="0"/>
        </w:rPr>
        <w:t>Having considered the points made by our stakeholders, NICE will now extend the period for seeking clarification after the publication of its prioritisation decision to 20 working days, and this will be updated within the manual.</w:t>
      </w:r>
    </w:p>
    <w:p w14:paraId="64CBE89C" w14:textId="20EDD216" w:rsidR="00D73975" w:rsidRPr="00022EFF" w:rsidRDefault="00D73975" w:rsidP="00DC351B">
      <w:pPr>
        <w:pStyle w:val="NICEnormalnumbered"/>
        <w:rPr>
          <w:noProof w:val="0"/>
        </w:rPr>
      </w:pPr>
      <w:r w:rsidRPr="00022EFF">
        <w:rPr>
          <w:noProof w:val="0"/>
        </w:rPr>
        <w:t xml:space="preserve">NICE will not revisit topics that have not been selected </w:t>
      </w:r>
      <w:r w:rsidR="71A27AA2" w:rsidRPr="00022EFF">
        <w:rPr>
          <w:noProof w:val="0"/>
        </w:rPr>
        <w:t>in less than</w:t>
      </w:r>
      <w:r w:rsidRPr="00022EFF">
        <w:rPr>
          <w:noProof w:val="0"/>
        </w:rPr>
        <w:t xml:space="preserve"> six months if </w:t>
      </w:r>
      <w:r w:rsidR="4080F147" w:rsidRPr="00022EFF">
        <w:rPr>
          <w:noProof w:val="0"/>
        </w:rPr>
        <w:t xml:space="preserve">no </w:t>
      </w:r>
      <w:r w:rsidRPr="00022EFF">
        <w:rPr>
          <w:noProof w:val="0"/>
        </w:rPr>
        <w:t xml:space="preserve">new evidence is available. Equally, it will not be possible to immediately review a topic as soon as a stakeholder submits new evidence due to the scheduling of other topics in the pipeline for discussion at the prioritisation board. Therefore, a six-month period is considered a pragmatic way forward. However, there will be consideration of an earlier </w:t>
      </w:r>
      <w:proofErr w:type="gramStart"/>
      <w:r w:rsidRPr="00022EFF">
        <w:rPr>
          <w:noProof w:val="0"/>
        </w:rPr>
        <w:t>review, if</w:t>
      </w:r>
      <w:proofErr w:type="gramEnd"/>
      <w:r w:rsidRPr="00022EFF">
        <w:rPr>
          <w:noProof w:val="0"/>
        </w:rPr>
        <w:t xml:space="preserve"> a slot becomes available.</w:t>
      </w:r>
    </w:p>
    <w:p w14:paraId="7DA79AA2" w14:textId="503730B2" w:rsidR="00D73975" w:rsidRPr="00022EFF" w:rsidRDefault="00D73975" w:rsidP="00DC351B">
      <w:pPr>
        <w:pStyle w:val="NICEnormalnumbered"/>
        <w:rPr>
          <w:noProof w:val="0"/>
        </w:rPr>
      </w:pPr>
      <w:r w:rsidRPr="00022EFF">
        <w:rPr>
          <w:noProof w:val="0"/>
        </w:rPr>
        <w:t xml:space="preserve">In response to concerns about the suitability of the clarification process for HST, we feel that the proposed approach is proportionate.  We understand that there have previously been concerns about the application of the HST </w:t>
      </w:r>
      <w:r w:rsidRPr="00022EFF">
        <w:rPr>
          <w:noProof w:val="0"/>
        </w:rPr>
        <w:lastRenderedPageBreak/>
        <w:t xml:space="preserve">criteria and concerns with the criteria themselves.  The application of the criteria will be </w:t>
      </w:r>
      <w:r w:rsidR="6CF3EBDB" w:rsidRPr="00022EFF">
        <w:rPr>
          <w:noProof w:val="0"/>
        </w:rPr>
        <w:t xml:space="preserve">included in </w:t>
      </w:r>
      <w:r w:rsidRPr="00022EFF">
        <w:rPr>
          <w:noProof w:val="0"/>
        </w:rPr>
        <w:t xml:space="preserve">the proposed clarification process and plans </w:t>
      </w:r>
      <w:r w:rsidR="7084D14C" w:rsidRPr="00022EFF">
        <w:rPr>
          <w:noProof w:val="0"/>
        </w:rPr>
        <w:t>are in place</w:t>
      </w:r>
      <w:r w:rsidRPr="00022EFF">
        <w:rPr>
          <w:noProof w:val="0"/>
        </w:rPr>
        <w:t xml:space="preserve"> to review</w:t>
      </w:r>
      <w:r w:rsidR="238F38F3" w:rsidRPr="00022EFF">
        <w:rPr>
          <w:noProof w:val="0"/>
        </w:rPr>
        <w:t xml:space="preserve"> and consult on</w:t>
      </w:r>
      <w:r w:rsidRPr="00022EFF">
        <w:rPr>
          <w:noProof w:val="0"/>
        </w:rPr>
        <w:t xml:space="preserve"> the HST criteria in the coming business year.</w:t>
      </w:r>
    </w:p>
    <w:p w14:paraId="6126E89D" w14:textId="0D5C8D4E" w:rsidR="00D73975" w:rsidRPr="00022EFF" w:rsidRDefault="00D73975" w:rsidP="00A9214E">
      <w:pPr>
        <w:pStyle w:val="Heading2boardreport"/>
      </w:pPr>
      <w:r w:rsidRPr="00022EFF">
        <w:t xml:space="preserve">Prioritisation board </w:t>
      </w:r>
      <w:r w:rsidR="6A390F64" w:rsidRPr="00022EFF">
        <w:t>governance</w:t>
      </w:r>
    </w:p>
    <w:p w14:paraId="2CB6B11E" w14:textId="77777777" w:rsidR="00D73975" w:rsidRPr="00022EFF" w:rsidRDefault="00D73975" w:rsidP="00D60037">
      <w:pPr>
        <w:pStyle w:val="Heading2boardreport"/>
      </w:pPr>
      <w:r w:rsidRPr="00022EFF">
        <w:t xml:space="preserve">Summary of comments </w:t>
      </w:r>
      <w:proofErr w:type="gramStart"/>
      <w:r w:rsidRPr="00022EFF">
        <w:t>received</w:t>
      </w:r>
      <w:proofErr w:type="gramEnd"/>
    </w:p>
    <w:p w14:paraId="0D4E04BA" w14:textId="268C3FB3" w:rsidR="00D73975" w:rsidRPr="00022EFF" w:rsidRDefault="3B517C63" w:rsidP="00D60037">
      <w:pPr>
        <w:pStyle w:val="NICEnormalnumbered"/>
        <w:rPr>
          <w:noProof w:val="0"/>
        </w:rPr>
      </w:pPr>
      <w:r w:rsidRPr="00022EFF">
        <w:rPr>
          <w:noProof w:val="0"/>
        </w:rPr>
        <w:t>Respond</w:t>
      </w:r>
      <w:r w:rsidR="00BD2075" w:rsidRPr="00022EFF">
        <w:rPr>
          <w:noProof w:val="0"/>
        </w:rPr>
        <w:t>e</w:t>
      </w:r>
      <w:r w:rsidRPr="00022EFF">
        <w:rPr>
          <w:noProof w:val="0"/>
        </w:rPr>
        <w:t>nts</w:t>
      </w:r>
      <w:r w:rsidR="00D73975" w:rsidRPr="00022EFF">
        <w:rPr>
          <w:noProof w:val="0"/>
        </w:rPr>
        <w:t xml:space="preserve"> highlighted some concerns and suggestions regarding the membership of the prioritisation board.</w:t>
      </w:r>
      <w:r w:rsidR="38B3E962" w:rsidRPr="00022EFF">
        <w:rPr>
          <w:noProof w:val="0"/>
        </w:rPr>
        <w:t xml:space="preserve">  </w:t>
      </w:r>
      <w:r w:rsidR="00D73975" w:rsidRPr="00022EFF">
        <w:rPr>
          <w:noProof w:val="0"/>
        </w:rPr>
        <w:t xml:space="preserve">A key concern highlighted </w:t>
      </w:r>
      <w:r w:rsidR="51179CAE" w:rsidRPr="00022EFF">
        <w:rPr>
          <w:noProof w:val="0"/>
        </w:rPr>
        <w:t>through consultation was</w:t>
      </w:r>
      <w:r w:rsidR="00D73975" w:rsidRPr="00022EFF">
        <w:rPr>
          <w:noProof w:val="0"/>
        </w:rPr>
        <w:t xml:space="preserve"> </w:t>
      </w:r>
      <w:r w:rsidR="65089D76" w:rsidRPr="00022EFF">
        <w:rPr>
          <w:noProof w:val="0"/>
        </w:rPr>
        <w:t xml:space="preserve">related to </w:t>
      </w:r>
      <w:r w:rsidR="00D73975" w:rsidRPr="00022EFF">
        <w:rPr>
          <w:noProof w:val="0"/>
        </w:rPr>
        <w:t xml:space="preserve">the limited patient and public voice and </w:t>
      </w:r>
      <w:proofErr w:type="spellStart"/>
      <w:r w:rsidR="29B4017A" w:rsidRPr="00022EFF">
        <w:rPr>
          <w:noProof w:val="0"/>
        </w:rPr>
        <w:t>asscoiated</w:t>
      </w:r>
      <w:proofErr w:type="spellEnd"/>
      <w:r w:rsidR="29B4017A" w:rsidRPr="00022EFF">
        <w:rPr>
          <w:noProof w:val="0"/>
        </w:rPr>
        <w:t xml:space="preserve"> </w:t>
      </w:r>
      <w:r w:rsidR="00D73975" w:rsidRPr="00022EFF">
        <w:rPr>
          <w:noProof w:val="0"/>
        </w:rPr>
        <w:t xml:space="preserve">input into the decision-making process to prioritise topics, which currently </w:t>
      </w:r>
      <w:r w:rsidR="29C1E10A" w:rsidRPr="00022EFF">
        <w:rPr>
          <w:noProof w:val="0"/>
        </w:rPr>
        <w:t>includes</w:t>
      </w:r>
      <w:r w:rsidR="00D73975" w:rsidRPr="00022EFF">
        <w:rPr>
          <w:noProof w:val="0"/>
        </w:rPr>
        <w:t xml:space="preserve"> two lay members. Another concern </w:t>
      </w:r>
      <w:r w:rsidR="5E65715F" w:rsidRPr="00022EFF">
        <w:rPr>
          <w:noProof w:val="0"/>
        </w:rPr>
        <w:t>wa</w:t>
      </w:r>
      <w:r w:rsidR="00D73975" w:rsidRPr="00022EFF">
        <w:rPr>
          <w:noProof w:val="0"/>
        </w:rPr>
        <w:t xml:space="preserve">s the absence of DHSC and NHSE within the board membership </w:t>
      </w:r>
      <w:r w:rsidR="4893711B" w:rsidRPr="00022EFF">
        <w:rPr>
          <w:noProof w:val="0"/>
        </w:rPr>
        <w:t xml:space="preserve">and </w:t>
      </w:r>
      <w:r w:rsidR="00D73975" w:rsidRPr="00022EFF">
        <w:rPr>
          <w:noProof w:val="0"/>
        </w:rPr>
        <w:t>input from the wider stakeholder community.</w:t>
      </w:r>
    </w:p>
    <w:p w14:paraId="4E8E764E" w14:textId="15201A2E" w:rsidR="00D73975" w:rsidRPr="00022EFF" w:rsidRDefault="006F7B99" w:rsidP="00D60037">
      <w:pPr>
        <w:pStyle w:val="NICEnormalnumbered"/>
        <w:rPr>
          <w:noProof w:val="0"/>
        </w:rPr>
      </w:pPr>
      <w:r w:rsidRPr="00022EFF">
        <w:rPr>
          <w:noProof w:val="0"/>
        </w:rPr>
        <w:t>Respondent</w:t>
      </w:r>
      <w:r w:rsidR="00D73975" w:rsidRPr="00022EFF">
        <w:rPr>
          <w:noProof w:val="0"/>
        </w:rPr>
        <w:t xml:space="preserve">s also queried how the following roles and expertise are contributing to the </w:t>
      </w:r>
      <w:r w:rsidRPr="00022EFF">
        <w:rPr>
          <w:noProof w:val="0"/>
        </w:rPr>
        <w:t>p</w:t>
      </w:r>
      <w:r w:rsidR="00D73975" w:rsidRPr="00022EFF">
        <w:rPr>
          <w:noProof w:val="0"/>
        </w:rPr>
        <w:t xml:space="preserve">rioritisation </w:t>
      </w:r>
      <w:r w:rsidRPr="00022EFF">
        <w:rPr>
          <w:noProof w:val="0"/>
        </w:rPr>
        <w:t>b</w:t>
      </w:r>
      <w:r w:rsidR="00D73975" w:rsidRPr="00022EFF">
        <w:rPr>
          <w:noProof w:val="0"/>
        </w:rPr>
        <w:t xml:space="preserve">oard – </w:t>
      </w:r>
      <w:r w:rsidR="555543B6" w:rsidRPr="00022EFF">
        <w:rPr>
          <w:noProof w:val="0"/>
        </w:rPr>
        <w:t xml:space="preserve">namely social care professionals, </w:t>
      </w:r>
      <w:r w:rsidR="00D73975" w:rsidRPr="00022EFF">
        <w:rPr>
          <w:noProof w:val="0"/>
        </w:rPr>
        <w:t xml:space="preserve">public health experts, pharmacists, patient safety experts and </w:t>
      </w:r>
      <w:r w:rsidR="79226580" w:rsidRPr="00022EFF">
        <w:rPr>
          <w:noProof w:val="0"/>
        </w:rPr>
        <w:t xml:space="preserve">more generally the </w:t>
      </w:r>
      <w:r w:rsidR="00D73975" w:rsidRPr="00022EFF">
        <w:rPr>
          <w:noProof w:val="0"/>
        </w:rPr>
        <w:t xml:space="preserve">diversity of clinical voices (i.e., doctors, </w:t>
      </w:r>
      <w:proofErr w:type="gramStart"/>
      <w:r w:rsidR="00D73975" w:rsidRPr="00022EFF">
        <w:rPr>
          <w:noProof w:val="0"/>
        </w:rPr>
        <w:t>nurses</w:t>
      </w:r>
      <w:proofErr w:type="gramEnd"/>
      <w:r w:rsidR="00D73975" w:rsidRPr="00022EFF">
        <w:rPr>
          <w:noProof w:val="0"/>
        </w:rPr>
        <w:t xml:space="preserve"> and other health care professionals).</w:t>
      </w:r>
      <w:r w:rsidR="01C2DF6B" w:rsidRPr="00022EFF">
        <w:rPr>
          <w:noProof w:val="0"/>
        </w:rPr>
        <w:t xml:space="preserve">  </w:t>
      </w:r>
    </w:p>
    <w:p w14:paraId="0485B809" w14:textId="2E434BCB" w:rsidR="00D73975" w:rsidRPr="00022EFF" w:rsidRDefault="00D73975" w:rsidP="00D60037">
      <w:pPr>
        <w:pStyle w:val="NICEnormalnumbered"/>
        <w:rPr>
          <w:noProof w:val="0"/>
        </w:rPr>
      </w:pPr>
      <w:r w:rsidRPr="00022EFF">
        <w:rPr>
          <w:noProof w:val="0"/>
        </w:rPr>
        <w:t xml:space="preserve">A suggestion was noted that the </w:t>
      </w:r>
      <w:r w:rsidR="006F7B99" w:rsidRPr="00022EFF">
        <w:rPr>
          <w:noProof w:val="0"/>
        </w:rPr>
        <w:t>a</w:t>
      </w:r>
      <w:r w:rsidRPr="00022EFF">
        <w:rPr>
          <w:noProof w:val="0"/>
        </w:rPr>
        <w:t xml:space="preserve">ssociate </w:t>
      </w:r>
      <w:r w:rsidR="006F7B99" w:rsidRPr="00022EFF">
        <w:rPr>
          <w:noProof w:val="0"/>
        </w:rPr>
        <w:t>d</w:t>
      </w:r>
      <w:r w:rsidRPr="00022EFF">
        <w:rPr>
          <w:noProof w:val="0"/>
        </w:rPr>
        <w:t>irector of NICE advice, a member of the prioritisation board, should have a right to vote on topics that are prioritised by the board to support innovation</w:t>
      </w:r>
      <w:r w:rsidR="1467617F" w:rsidRPr="00022EFF">
        <w:rPr>
          <w:noProof w:val="0"/>
        </w:rPr>
        <w:t>.</w:t>
      </w:r>
    </w:p>
    <w:p w14:paraId="369163AD" w14:textId="3586BF60" w:rsidR="05D61909" w:rsidRPr="00022EFF" w:rsidRDefault="05D61909" w:rsidP="5F04D595">
      <w:pPr>
        <w:pStyle w:val="NICEnormalnumbered"/>
        <w:rPr>
          <w:noProof w:val="0"/>
        </w:rPr>
      </w:pPr>
      <w:r w:rsidRPr="00022EFF">
        <w:rPr>
          <w:noProof w:val="0"/>
        </w:rPr>
        <w:t>Respond</w:t>
      </w:r>
      <w:r w:rsidR="00FF369B" w:rsidRPr="00022EFF">
        <w:rPr>
          <w:noProof w:val="0"/>
        </w:rPr>
        <w:t>e</w:t>
      </w:r>
      <w:r w:rsidRPr="00022EFF">
        <w:rPr>
          <w:noProof w:val="0"/>
        </w:rPr>
        <w:t xml:space="preserve">nts expressed a broad range of queries regarding the terms of reference of the prioritisation board. The main queries were related to how decisions regarding ‘standing down or retiring topics’ would be communicated (see </w:t>
      </w:r>
      <w:hyperlink w:anchor="communicating_decisions">
        <w:r w:rsidRPr="00022EFF">
          <w:rPr>
            <w:rStyle w:val="Hyperlink"/>
            <w:noProof w:val="0"/>
          </w:rPr>
          <w:t>section: Communicating prioritisation board decisions</w:t>
        </w:r>
      </w:hyperlink>
      <w:r w:rsidRPr="00022EFF">
        <w:rPr>
          <w:noProof w:val="0"/>
        </w:rPr>
        <w:t xml:space="preserve">) and NICEs’ mandated duties, particularly with regards to medicines (see </w:t>
      </w:r>
      <w:hyperlink w:anchor="VPAG">
        <w:r w:rsidR="00FF369B" w:rsidRPr="00022EFF">
          <w:rPr>
            <w:rStyle w:val="Hyperlink"/>
            <w:noProof w:val="0"/>
          </w:rPr>
          <w:t>section: Interpretation of proposals in relation to VPAG</w:t>
        </w:r>
      </w:hyperlink>
      <w:r w:rsidRPr="00022EFF">
        <w:rPr>
          <w:noProof w:val="0"/>
        </w:rPr>
        <w:t>).</w:t>
      </w:r>
    </w:p>
    <w:p w14:paraId="0C75A345" w14:textId="43727797" w:rsidR="05D61909" w:rsidRPr="00022EFF" w:rsidRDefault="05D61909" w:rsidP="5F04D595">
      <w:pPr>
        <w:pStyle w:val="NICEnormalnumbered"/>
        <w:rPr>
          <w:noProof w:val="0"/>
        </w:rPr>
      </w:pPr>
      <w:r w:rsidRPr="00022EFF">
        <w:rPr>
          <w:noProof w:val="0"/>
        </w:rPr>
        <w:t>There were also questions requesting further clarity about the processes to select topics outside board meetings and the capacity for scheduling new topics.</w:t>
      </w:r>
    </w:p>
    <w:p w14:paraId="18F1F5FB" w14:textId="77777777" w:rsidR="00D73975" w:rsidRPr="00022EFF" w:rsidRDefault="00D73975" w:rsidP="00D60037">
      <w:pPr>
        <w:pStyle w:val="Heading3boardreport"/>
      </w:pPr>
      <w:r w:rsidRPr="00022EFF">
        <w:lastRenderedPageBreak/>
        <w:t>Our response and any changes to proposals</w:t>
      </w:r>
    </w:p>
    <w:p w14:paraId="15766751" w14:textId="4CC7273B" w:rsidR="00D73975" w:rsidRPr="00022EFF" w:rsidRDefault="00D73975" w:rsidP="00092911">
      <w:pPr>
        <w:pStyle w:val="NICEnormalnumbered"/>
        <w:rPr>
          <w:noProof w:val="0"/>
        </w:rPr>
      </w:pPr>
      <w:r w:rsidRPr="00022EFF">
        <w:rPr>
          <w:noProof w:val="0"/>
        </w:rPr>
        <w:t xml:space="preserve">NICE is committed to ensuring that it considers the voice of patients and public, as well as input from the wider stakeholder community. In addition to the inclusion of two lay members on the prioritisation board, a broader view of the voluntary and community sector will be considered through engagement with our </w:t>
      </w:r>
      <w:r w:rsidR="05FCA44C" w:rsidRPr="00022EFF">
        <w:rPr>
          <w:noProof w:val="0"/>
        </w:rPr>
        <w:t>people and communities invol</w:t>
      </w:r>
      <w:r w:rsidR="00022EFF" w:rsidRPr="00022EFF">
        <w:rPr>
          <w:noProof w:val="0"/>
        </w:rPr>
        <w:t>v</w:t>
      </w:r>
      <w:r w:rsidR="05FCA44C" w:rsidRPr="00022EFF">
        <w:rPr>
          <w:noProof w:val="0"/>
        </w:rPr>
        <w:t>ement</w:t>
      </w:r>
      <w:r w:rsidRPr="00022EFF">
        <w:rPr>
          <w:noProof w:val="0"/>
        </w:rPr>
        <w:t xml:space="preserve"> team. Similarly, the views of the wider stakeholder community will be fed into the prioritisation board’s decision-making through the work of the </w:t>
      </w:r>
      <w:r w:rsidR="2307230A" w:rsidRPr="00022EFF">
        <w:rPr>
          <w:noProof w:val="0"/>
        </w:rPr>
        <w:t>implementation and insight</w:t>
      </w:r>
      <w:r w:rsidRPr="00022EFF">
        <w:rPr>
          <w:noProof w:val="0"/>
        </w:rPr>
        <w:t xml:space="preserve"> function that sits in NICE’s implementation and partnerships directorate.</w:t>
      </w:r>
    </w:p>
    <w:p w14:paraId="7A664CB0" w14:textId="77777777" w:rsidR="00D73975" w:rsidRPr="00022EFF" w:rsidRDefault="00D73975" w:rsidP="00092911">
      <w:pPr>
        <w:pStyle w:val="NICEnormalnumbered"/>
        <w:rPr>
          <w:noProof w:val="0"/>
        </w:rPr>
      </w:pPr>
      <w:r w:rsidRPr="00022EFF">
        <w:rPr>
          <w:noProof w:val="0"/>
        </w:rPr>
        <w:t>NICE is committed to making independent decisions, and although DHSC and NHSE are not members of the prioritisation board, we will continue to work closely with our sponsor teams at DHSC and NHSE, with a clear channel of communication pre and post prioritisation board meetings, and a process for considering any referrals (with no changes to current regulation).</w:t>
      </w:r>
    </w:p>
    <w:p w14:paraId="4198F9F8" w14:textId="7D040668" w:rsidR="00D73975" w:rsidRPr="00022EFF" w:rsidRDefault="00D73975" w:rsidP="00092911">
      <w:pPr>
        <w:pStyle w:val="NICEnormalnumbered"/>
        <w:rPr>
          <w:noProof w:val="0"/>
        </w:rPr>
      </w:pPr>
      <w:r w:rsidRPr="00022EFF">
        <w:rPr>
          <w:noProof w:val="0"/>
        </w:rPr>
        <w:t>NICE w</w:t>
      </w:r>
      <w:r w:rsidR="20F2CF1E" w:rsidRPr="00022EFF">
        <w:rPr>
          <w:noProof w:val="0"/>
        </w:rPr>
        <w:t xml:space="preserve">ill </w:t>
      </w:r>
      <w:r w:rsidRPr="00022EFF">
        <w:rPr>
          <w:noProof w:val="0"/>
        </w:rPr>
        <w:t>also reassure stakeholders that the prioritisation board includes public health experts with expertise in health inequalities</w:t>
      </w:r>
      <w:r w:rsidR="60FFF3EC" w:rsidRPr="00022EFF">
        <w:rPr>
          <w:noProof w:val="0"/>
        </w:rPr>
        <w:t>. S</w:t>
      </w:r>
      <w:r w:rsidRPr="00022EFF">
        <w:rPr>
          <w:noProof w:val="0"/>
        </w:rPr>
        <w:t xml:space="preserve">imilarly, there are two pharmacists and a strong clinical voice on the board through the involvement of our consultant clinical advisers and the clinical expertise of the </w:t>
      </w:r>
      <w:r w:rsidR="00D82179" w:rsidRPr="00022EFF">
        <w:rPr>
          <w:noProof w:val="0"/>
        </w:rPr>
        <w:t>p</w:t>
      </w:r>
      <w:r w:rsidRPr="00022EFF">
        <w:rPr>
          <w:noProof w:val="0"/>
        </w:rPr>
        <w:t xml:space="preserve">rogramme </w:t>
      </w:r>
      <w:r w:rsidR="00D82179" w:rsidRPr="00022EFF">
        <w:rPr>
          <w:noProof w:val="0"/>
        </w:rPr>
        <w:t>d</w:t>
      </w:r>
      <w:r w:rsidRPr="00022EFF">
        <w:rPr>
          <w:noProof w:val="0"/>
        </w:rPr>
        <w:t xml:space="preserve">irector in the </w:t>
      </w:r>
      <w:r w:rsidR="00D82179" w:rsidRPr="00022EFF">
        <w:rPr>
          <w:noProof w:val="0"/>
        </w:rPr>
        <w:t>m</w:t>
      </w:r>
      <w:r w:rsidRPr="00022EFF">
        <w:rPr>
          <w:noProof w:val="0"/>
        </w:rPr>
        <w:t xml:space="preserve">edical </w:t>
      </w:r>
      <w:r w:rsidR="00D82179" w:rsidRPr="00022EFF">
        <w:rPr>
          <w:noProof w:val="0"/>
        </w:rPr>
        <w:t>d</w:t>
      </w:r>
      <w:r w:rsidRPr="00022EFF">
        <w:rPr>
          <w:noProof w:val="0"/>
        </w:rPr>
        <w:t xml:space="preserve">irectorate. The </w:t>
      </w:r>
      <w:r w:rsidR="007E57D2" w:rsidRPr="00022EFF">
        <w:rPr>
          <w:noProof w:val="0"/>
        </w:rPr>
        <w:t>b</w:t>
      </w:r>
      <w:r w:rsidRPr="00022EFF">
        <w:rPr>
          <w:noProof w:val="0"/>
        </w:rPr>
        <w:t>oard is chaired by NICE’s chief medical officer, a practising emergency medicine consultant.</w:t>
      </w:r>
    </w:p>
    <w:p w14:paraId="24BA66A7" w14:textId="4B91A028" w:rsidR="00D73975" w:rsidRPr="00022EFF" w:rsidRDefault="00D73975" w:rsidP="00092911">
      <w:pPr>
        <w:pStyle w:val="NICEnormalnumbered"/>
        <w:rPr>
          <w:noProof w:val="0"/>
        </w:rPr>
      </w:pPr>
      <w:r w:rsidRPr="00022EFF">
        <w:rPr>
          <w:noProof w:val="0"/>
        </w:rPr>
        <w:t xml:space="preserve">It was agreed that the associate director for NICE </w:t>
      </w:r>
      <w:r w:rsidR="007E57D2" w:rsidRPr="00022EFF">
        <w:rPr>
          <w:noProof w:val="0"/>
        </w:rPr>
        <w:t>a</w:t>
      </w:r>
      <w:r w:rsidRPr="00022EFF">
        <w:rPr>
          <w:noProof w:val="0"/>
        </w:rPr>
        <w:t xml:space="preserve">dvice would not be a voting member of the prioritisation board to avoid any conflicts of interest </w:t>
      </w:r>
      <w:proofErr w:type="gramStart"/>
      <w:r w:rsidRPr="00022EFF">
        <w:rPr>
          <w:noProof w:val="0"/>
        </w:rPr>
        <w:t>as a result of</w:t>
      </w:r>
      <w:proofErr w:type="gramEnd"/>
      <w:r w:rsidRPr="00022EFF">
        <w:rPr>
          <w:noProof w:val="0"/>
        </w:rPr>
        <w:t xml:space="preserve"> the support they provide to our industry partners.</w:t>
      </w:r>
      <w:r w:rsidR="3A059596" w:rsidRPr="00022EFF">
        <w:rPr>
          <w:noProof w:val="0"/>
        </w:rPr>
        <w:t xml:space="preserve"> </w:t>
      </w:r>
    </w:p>
    <w:p w14:paraId="1E00DA0E" w14:textId="77777777" w:rsidR="00D73975" w:rsidRPr="00022EFF" w:rsidRDefault="00D73975" w:rsidP="00092911">
      <w:pPr>
        <w:pStyle w:val="NICEnormalnumbered"/>
        <w:rPr>
          <w:noProof w:val="0"/>
        </w:rPr>
      </w:pPr>
      <w:r w:rsidRPr="00022EFF">
        <w:rPr>
          <w:noProof w:val="0"/>
        </w:rPr>
        <w:t xml:space="preserve">Our recently appointed social care advisor will now be a member of the prioritisation board and this will be reflected within our updated membership. </w:t>
      </w:r>
    </w:p>
    <w:p w14:paraId="21BA0635" w14:textId="42A8275B" w:rsidR="00D73975" w:rsidRPr="00022EFF" w:rsidRDefault="00D73975" w:rsidP="00092911">
      <w:pPr>
        <w:pStyle w:val="NICEnormalnumbered"/>
        <w:rPr>
          <w:noProof w:val="0"/>
        </w:rPr>
      </w:pPr>
      <w:r w:rsidRPr="00022EFF">
        <w:rPr>
          <w:noProof w:val="0"/>
        </w:rPr>
        <w:t xml:space="preserve">The chair of the prioritisation board is NICE’s </w:t>
      </w:r>
      <w:r w:rsidR="007E57D2" w:rsidRPr="00022EFF">
        <w:rPr>
          <w:noProof w:val="0"/>
        </w:rPr>
        <w:t>C</w:t>
      </w:r>
      <w:r w:rsidRPr="00022EFF">
        <w:rPr>
          <w:noProof w:val="0"/>
        </w:rPr>
        <w:t xml:space="preserve">aldicott guardian with responsibility for clinical and patient safety </w:t>
      </w:r>
      <w:proofErr w:type="gramStart"/>
      <w:r w:rsidRPr="00022EFF">
        <w:rPr>
          <w:noProof w:val="0"/>
        </w:rPr>
        <w:t>and also</w:t>
      </w:r>
      <w:proofErr w:type="gramEnd"/>
      <w:r w:rsidRPr="00022EFF">
        <w:rPr>
          <w:noProof w:val="0"/>
        </w:rPr>
        <w:t xml:space="preserve"> sits on NICE’s internal patient safety oversight group. A specific consideration of patient safety is included in the preparation of all topics for stage two consideration. Therefore, </w:t>
      </w:r>
      <w:r w:rsidRPr="00022EFF">
        <w:rPr>
          <w:noProof w:val="0"/>
        </w:rPr>
        <w:lastRenderedPageBreak/>
        <w:t>there is a clear mechanism to consider patient safety within our decision-making.</w:t>
      </w:r>
    </w:p>
    <w:p w14:paraId="7E7181CE" w14:textId="638DC687" w:rsidR="00B02BC4" w:rsidRPr="00022EFF" w:rsidRDefault="00D73975" w:rsidP="00726B3C">
      <w:pPr>
        <w:pStyle w:val="NICEnormalnumbered"/>
        <w:rPr>
          <w:noProof w:val="0"/>
        </w:rPr>
      </w:pPr>
      <w:r w:rsidRPr="00022EFF">
        <w:rPr>
          <w:noProof w:val="0"/>
        </w:rPr>
        <w:t>Please note: NICE plans to revisit the term “lay member” in June 2024, following the publication of the responses to the consultation on ‘</w:t>
      </w:r>
      <w:hyperlink r:id="rId16">
        <w:r w:rsidRPr="00022EFF">
          <w:rPr>
            <w:rStyle w:val="Hyperlink"/>
            <w:noProof w:val="0"/>
          </w:rPr>
          <w:t>Working alongside people and communities at NICE: a strategy</w:t>
        </w:r>
      </w:hyperlink>
      <w:r w:rsidRPr="00022EFF">
        <w:rPr>
          <w:noProof w:val="0"/>
        </w:rPr>
        <w:t>’</w:t>
      </w:r>
      <w:r w:rsidR="00B02BC4" w:rsidRPr="00022EFF">
        <w:rPr>
          <w:noProof w:val="0"/>
        </w:rPr>
        <w:t>.</w:t>
      </w:r>
    </w:p>
    <w:p w14:paraId="4AA03CBE" w14:textId="0E4719B6" w:rsidR="00D73975" w:rsidRPr="00022EFF" w:rsidRDefault="00D73975" w:rsidP="00726B3C">
      <w:pPr>
        <w:pStyle w:val="NICEnormalnumbered"/>
        <w:rPr>
          <w:noProof w:val="0"/>
        </w:rPr>
      </w:pPr>
      <w:r w:rsidRPr="00022EFF">
        <w:rPr>
          <w:noProof w:val="0"/>
        </w:rPr>
        <w:t xml:space="preserve">The </w:t>
      </w:r>
      <w:r w:rsidR="006623DE" w:rsidRPr="00022EFF">
        <w:rPr>
          <w:noProof w:val="0"/>
        </w:rPr>
        <w:t>t</w:t>
      </w:r>
      <w:r w:rsidRPr="00022EFF">
        <w:rPr>
          <w:noProof w:val="0"/>
        </w:rPr>
        <w:t xml:space="preserve">erms of </w:t>
      </w:r>
      <w:r w:rsidR="006623DE" w:rsidRPr="00022EFF">
        <w:rPr>
          <w:noProof w:val="0"/>
        </w:rPr>
        <w:t>r</w:t>
      </w:r>
      <w:r w:rsidRPr="00022EFF">
        <w:rPr>
          <w:noProof w:val="0"/>
        </w:rPr>
        <w:t xml:space="preserve">eference for </w:t>
      </w:r>
      <w:r w:rsidR="39FBDA55" w:rsidRPr="00022EFF">
        <w:rPr>
          <w:noProof w:val="0"/>
        </w:rPr>
        <w:t xml:space="preserve">the </w:t>
      </w:r>
      <w:r w:rsidR="006623DE" w:rsidRPr="00022EFF">
        <w:rPr>
          <w:noProof w:val="0"/>
        </w:rPr>
        <w:t>p</w:t>
      </w:r>
      <w:r w:rsidRPr="00022EFF">
        <w:rPr>
          <w:noProof w:val="0"/>
        </w:rPr>
        <w:t xml:space="preserve">rioritisation </w:t>
      </w:r>
      <w:r w:rsidR="006623DE" w:rsidRPr="00022EFF">
        <w:rPr>
          <w:noProof w:val="0"/>
        </w:rPr>
        <w:t>b</w:t>
      </w:r>
      <w:r w:rsidRPr="00022EFF">
        <w:rPr>
          <w:noProof w:val="0"/>
        </w:rPr>
        <w:t xml:space="preserve">oard will be updated to be clear that at least one lay member must be present to reach quorum.  The lay member representation on the board has been carefully considered following consultation with the public involvement programme at NICE and the members have been provided with bespoke training around the decision-making process using the prioritisation framework. </w:t>
      </w:r>
    </w:p>
    <w:p w14:paraId="00472F47" w14:textId="73713F8E" w:rsidR="00D73975" w:rsidRPr="00022EFF" w:rsidRDefault="00D73975" w:rsidP="00F35997">
      <w:pPr>
        <w:pStyle w:val="Heading2boardreport"/>
      </w:pPr>
      <w:r w:rsidRPr="00022EFF">
        <w:t>Terminology</w:t>
      </w:r>
    </w:p>
    <w:p w14:paraId="45ED59A2" w14:textId="77777777" w:rsidR="00D73975" w:rsidRPr="00022EFF" w:rsidRDefault="00D73975" w:rsidP="00F35997">
      <w:pPr>
        <w:pStyle w:val="Heading3boardreport"/>
      </w:pPr>
      <w:r w:rsidRPr="00022EFF">
        <w:t xml:space="preserve">Summary of comments </w:t>
      </w:r>
      <w:proofErr w:type="gramStart"/>
      <w:r w:rsidRPr="00022EFF">
        <w:t>received</w:t>
      </w:r>
      <w:proofErr w:type="gramEnd"/>
    </w:p>
    <w:p w14:paraId="3D948773" w14:textId="793633DD" w:rsidR="00D73975" w:rsidRPr="00022EFF" w:rsidRDefault="006623DE" w:rsidP="00F35997">
      <w:pPr>
        <w:pStyle w:val="NICEnormalnumbered"/>
        <w:rPr>
          <w:noProof w:val="0"/>
          <w:color w:val="FF0000"/>
        </w:rPr>
      </w:pPr>
      <w:r w:rsidRPr="00022EFF">
        <w:rPr>
          <w:noProof w:val="0"/>
        </w:rPr>
        <w:t>Respondents</w:t>
      </w:r>
      <w:r w:rsidR="00D73975" w:rsidRPr="00022EFF">
        <w:rPr>
          <w:noProof w:val="0"/>
        </w:rPr>
        <w:t xml:space="preserve"> highlighted terminology that lacked consistency, or a precise definition, and had therefore caused confusion.  For example, the use of the term ‘integrated’ topic prioritisation caused confusion among stakeholders with the currently proposed </w:t>
      </w:r>
      <w:bookmarkStart w:id="8" w:name="_Hlk164181194"/>
      <w:r w:rsidR="00D73975" w:rsidRPr="00022EFF">
        <w:rPr>
          <w:noProof w:val="0"/>
        </w:rPr>
        <w:t>interim process for integration of technology appraisals</w:t>
      </w:r>
      <w:bookmarkEnd w:id="8"/>
      <w:r w:rsidR="00D73975" w:rsidRPr="00022EFF">
        <w:rPr>
          <w:noProof w:val="0"/>
        </w:rPr>
        <w:t xml:space="preserve">. Also, there </w:t>
      </w:r>
      <w:r w:rsidR="00A448D9" w:rsidRPr="00022EFF">
        <w:rPr>
          <w:noProof w:val="0"/>
        </w:rPr>
        <w:t>were</w:t>
      </w:r>
      <w:r w:rsidR="00D73975" w:rsidRPr="00022EFF">
        <w:rPr>
          <w:noProof w:val="0"/>
        </w:rPr>
        <w:t xml:space="preserve"> some inconsistencies in terminology used in this manual and VPAG 2024. Some NICE-specific terms such as guidance/guideline w</w:t>
      </w:r>
      <w:r w:rsidR="0069447A" w:rsidRPr="00022EFF">
        <w:rPr>
          <w:noProof w:val="0"/>
        </w:rPr>
        <w:t xml:space="preserve">ere identified for </w:t>
      </w:r>
      <w:r w:rsidR="00D73975" w:rsidRPr="00022EFF">
        <w:rPr>
          <w:noProof w:val="0"/>
        </w:rPr>
        <w:t>further definition to improve clarity.</w:t>
      </w:r>
    </w:p>
    <w:p w14:paraId="061D28B6" w14:textId="77777777" w:rsidR="00D73975" w:rsidRPr="00022EFF" w:rsidRDefault="00D73975" w:rsidP="00F35997">
      <w:pPr>
        <w:pStyle w:val="Heading2boardreport"/>
      </w:pPr>
      <w:r w:rsidRPr="00022EFF">
        <w:t>Our response and any changes to proposals</w:t>
      </w:r>
    </w:p>
    <w:p w14:paraId="27AF911B" w14:textId="77777777" w:rsidR="00D73975" w:rsidRPr="00022EFF" w:rsidRDefault="00D73975" w:rsidP="00F35997">
      <w:pPr>
        <w:pStyle w:val="NICEnormalnumbered"/>
        <w:rPr>
          <w:noProof w:val="0"/>
        </w:rPr>
      </w:pPr>
      <w:r w:rsidRPr="00022EFF">
        <w:rPr>
          <w:noProof w:val="0"/>
        </w:rPr>
        <w:t>In response, the title of the manual has been changed to NICE-wide topic prioritisation to avoid confusion with the proposed interim process for integration of technology appraisals. Terminology used in this manual has also been cross checked and aligned with VPAG 2024, with the addition of a glossary to provide definitions for specific terms.</w:t>
      </w:r>
    </w:p>
    <w:p w14:paraId="34247A03" w14:textId="77777777" w:rsidR="0018140C" w:rsidRPr="00022EFF" w:rsidRDefault="0018140C" w:rsidP="0018140C">
      <w:pPr>
        <w:pStyle w:val="Heading2boardreport"/>
      </w:pPr>
      <w:bookmarkStart w:id="9" w:name="KEY_Methids_Work"/>
      <w:r w:rsidRPr="00022EFF">
        <w:lastRenderedPageBreak/>
        <w:t xml:space="preserve">Key methods work for </w:t>
      </w:r>
      <w:proofErr w:type="gramStart"/>
      <w:r w:rsidRPr="00022EFF">
        <w:t>NICE</w:t>
      </w:r>
      <w:proofErr w:type="gramEnd"/>
    </w:p>
    <w:bookmarkEnd w:id="9"/>
    <w:p w14:paraId="76699EED" w14:textId="77777777" w:rsidR="0018140C" w:rsidRPr="00022EFF" w:rsidRDefault="0018140C" w:rsidP="0018140C">
      <w:pPr>
        <w:pStyle w:val="Heading3boardreport"/>
      </w:pPr>
      <w:r w:rsidRPr="00022EFF">
        <w:t xml:space="preserve">Summary of comments </w:t>
      </w:r>
      <w:proofErr w:type="gramStart"/>
      <w:r w:rsidRPr="00022EFF">
        <w:t>received</w:t>
      </w:r>
      <w:proofErr w:type="gramEnd"/>
    </w:p>
    <w:p w14:paraId="4D02E222" w14:textId="54EF6DE1" w:rsidR="0018140C" w:rsidRPr="00022EFF" w:rsidRDefault="0018140C" w:rsidP="0018140C">
      <w:pPr>
        <w:pStyle w:val="NICEnormalnumbered"/>
        <w:rPr>
          <w:noProof w:val="0"/>
        </w:rPr>
      </w:pPr>
      <w:r w:rsidRPr="00022EFF">
        <w:rPr>
          <w:noProof w:val="0"/>
        </w:rPr>
        <w:t xml:space="preserve">The consultation highlighted some themes that are methodological challenges for NICE to consider organisationally rather than being specific to the approach proposed for </w:t>
      </w:r>
      <w:r w:rsidR="5261E85B" w:rsidRPr="00022EFF">
        <w:rPr>
          <w:noProof w:val="0"/>
        </w:rPr>
        <w:t>the p</w:t>
      </w:r>
      <w:r w:rsidRPr="00022EFF">
        <w:rPr>
          <w:noProof w:val="0"/>
        </w:rPr>
        <w:t>rioritisation of topics.  Two key areas were identified: biosimilars and branded generics and the use of/curation of other content and associated withdrawing/standing down of NICE content.</w:t>
      </w:r>
    </w:p>
    <w:p w14:paraId="02AA0BE5" w14:textId="481811C5" w:rsidR="0018140C" w:rsidRPr="00022EFF" w:rsidRDefault="2AA2F406" w:rsidP="0018140C">
      <w:pPr>
        <w:pStyle w:val="NICEnormalnumbered"/>
        <w:rPr>
          <w:noProof w:val="0"/>
        </w:rPr>
      </w:pPr>
      <w:r w:rsidRPr="00022EFF">
        <w:rPr>
          <w:noProof w:val="0"/>
        </w:rPr>
        <w:t>Respond</w:t>
      </w:r>
      <w:r w:rsidR="00632D9F" w:rsidRPr="00022EFF">
        <w:rPr>
          <w:noProof w:val="0"/>
        </w:rPr>
        <w:t>e</w:t>
      </w:r>
      <w:r w:rsidRPr="00022EFF">
        <w:rPr>
          <w:noProof w:val="0"/>
        </w:rPr>
        <w:t>nts</w:t>
      </w:r>
      <w:r w:rsidR="0018140C" w:rsidRPr="00022EFF">
        <w:rPr>
          <w:noProof w:val="0"/>
        </w:rPr>
        <w:t xml:space="preserve"> commented that currently there is a lack of clarity regarding NICE’s position on </w:t>
      </w:r>
      <w:bookmarkStart w:id="10" w:name="_Hlk164177228"/>
      <w:r w:rsidR="0018140C" w:rsidRPr="00022EFF">
        <w:rPr>
          <w:noProof w:val="0"/>
        </w:rPr>
        <w:t xml:space="preserve">biosimilars and branded generics </w:t>
      </w:r>
      <w:bookmarkEnd w:id="10"/>
      <w:r w:rsidR="0018140C" w:rsidRPr="00022EFF">
        <w:rPr>
          <w:noProof w:val="0"/>
        </w:rPr>
        <w:t xml:space="preserve">especially when there is a cost saving opportunity to the health and care system. </w:t>
      </w:r>
      <w:r w:rsidR="02678BE0" w:rsidRPr="00022EFF">
        <w:rPr>
          <w:noProof w:val="0"/>
        </w:rPr>
        <w:t>Comment</w:t>
      </w:r>
      <w:r w:rsidR="0018140C" w:rsidRPr="00022EFF">
        <w:rPr>
          <w:noProof w:val="0"/>
        </w:rPr>
        <w:t xml:space="preserve">s highlighted uncertainty in the criteria, </w:t>
      </w:r>
      <w:proofErr w:type="gramStart"/>
      <w:r w:rsidR="0018140C" w:rsidRPr="00022EFF">
        <w:rPr>
          <w:noProof w:val="0"/>
        </w:rPr>
        <w:t>methods</w:t>
      </w:r>
      <w:proofErr w:type="gramEnd"/>
      <w:r w:rsidR="0018140C" w:rsidRPr="00022EFF">
        <w:rPr>
          <w:noProof w:val="0"/>
        </w:rPr>
        <w:t xml:space="preserve"> and process for incorporation of biosimilars and branded generics into guideline recommendations.</w:t>
      </w:r>
    </w:p>
    <w:p w14:paraId="509705FD" w14:textId="6DEC3794" w:rsidR="0018140C" w:rsidRPr="00022EFF" w:rsidRDefault="4C869EFA" w:rsidP="0018140C">
      <w:pPr>
        <w:pStyle w:val="NICEnormalnumbered"/>
        <w:rPr>
          <w:noProof w:val="0"/>
          <w:color w:val="FF0000"/>
        </w:rPr>
      </w:pPr>
      <w:r w:rsidRPr="00022EFF">
        <w:rPr>
          <w:noProof w:val="0"/>
        </w:rPr>
        <w:t>Th</w:t>
      </w:r>
      <w:r w:rsidR="0018140C" w:rsidRPr="00022EFF">
        <w:rPr>
          <w:noProof w:val="0"/>
        </w:rPr>
        <w:t>e lack of information on methods and process for using guidance produced by external organisations and criteria for standing down content (also see theme 1)</w:t>
      </w:r>
      <w:r w:rsidR="0A22D868" w:rsidRPr="00022EFF">
        <w:rPr>
          <w:noProof w:val="0"/>
        </w:rPr>
        <w:t xml:space="preserve"> was also raised in consultation</w:t>
      </w:r>
      <w:r w:rsidR="0018140C" w:rsidRPr="00022EFF">
        <w:rPr>
          <w:noProof w:val="0"/>
        </w:rPr>
        <w:t>.  An anticipated consequence of a NICE wide approach to topic prioritisation is increased opportunity for integration of content; it is therefore important that the position on standing down content is revisited and agreed across NICE.</w:t>
      </w:r>
    </w:p>
    <w:p w14:paraId="4CCDA4C9" w14:textId="77777777" w:rsidR="0018140C" w:rsidRPr="00022EFF" w:rsidRDefault="0018140C" w:rsidP="0018140C">
      <w:pPr>
        <w:pStyle w:val="Heading3boardreport"/>
      </w:pPr>
      <w:r w:rsidRPr="00022EFF">
        <w:t>Our response and any changes to proposals</w:t>
      </w:r>
    </w:p>
    <w:p w14:paraId="083796C1" w14:textId="29F24D30" w:rsidR="0018140C" w:rsidRPr="00022EFF" w:rsidRDefault="0018140C" w:rsidP="0018140C">
      <w:pPr>
        <w:pStyle w:val="NICEnormalnumbered"/>
        <w:rPr>
          <w:noProof w:val="0"/>
        </w:rPr>
      </w:pPr>
      <w:r w:rsidRPr="00022EFF">
        <w:rPr>
          <w:noProof w:val="0"/>
        </w:rPr>
        <w:t>In response, NICE will explore more cross-Institute harmonisation work on the methods and processes for standing down or withdrawing content, incorporating biosimilars and branded generics in NICE recommendations, and contextualising and curating external guideline recommendations.</w:t>
      </w:r>
      <w:r w:rsidR="12EB7B80" w:rsidRPr="00022EFF">
        <w:rPr>
          <w:noProof w:val="0"/>
        </w:rPr>
        <w:t xml:space="preserve"> This work is underway.</w:t>
      </w:r>
    </w:p>
    <w:p w14:paraId="763B2FDD" w14:textId="41EEFEC0" w:rsidR="0090767A" w:rsidRPr="00022EFF" w:rsidRDefault="0090767A" w:rsidP="0090767A">
      <w:pPr>
        <w:pStyle w:val="Heading1boardreport"/>
      </w:pPr>
      <w:r w:rsidRPr="00022EFF">
        <w:t xml:space="preserve">Board action </w:t>
      </w:r>
      <w:proofErr w:type="gramStart"/>
      <w:r w:rsidRPr="00022EFF">
        <w:t>required</w:t>
      </w:r>
      <w:proofErr w:type="gramEnd"/>
    </w:p>
    <w:p w14:paraId="57A81F34" w14:textId="006B4D85" w:rsidR="0090767A" w:rsidRPr="00022EFF" w:rsidRDefault="0090767A" w:rsidP="0090767A">
      <w:pPr>
        <w:pStyle w:val="NICEnormalnumbered"/>
        <w:rPr>
          <w:noProof w:val="0"/>
        </w:rPr>
      </w:pPr>
      <w:r w:rsidRPr="00022EFF">
        <w:rPr>
          <w:noProof w:val="0"/>
        </w:rPr>
        <w:t>The Board is asked to</w:t>
      </w:r>
      <w:r w:rsidR="00A868B1" w:rsidRPr="00022EFF">
        <w:rPr>
          <w:noProof w:val="0"/>
        </w:rPr>
        <w:t xml:space="preserve"> support</w:t>
      </w:r>
      <w:r w:rsidR="00832BA1" w:rsidRPr="00022EFF">
        <w:rPr>
          <w:noProof w:val="0"/>
        </w:rPr>
        <w:t xml:space="preserve"> the proposed approach to</w:t>
      </w:r>
      <w:r w:rsidRPr="00022EFF">
        <w:rPr>
          <w:noProof w:val="0"/>
        </w:rPr>
        <w:t>:</w:t>
      </w:r>
    </w:p>
    <w:p w14:paraId="67C1F9B6" w14:textId="6D79036C" w:rsidR="0090767A" w:rsidRPr="00686F1B" w:rsidRDefault="00832BA1" w:rsidP="0090767A">
      <w:pPr>
        <w:pStyle w:val="NICEnormalnumbered"/>
        <w:numPr>
          <w:ilvl w:val="1"/>
          <w:numId w:val="26"/>
        </w:numPr>
        <w:rPr>
          <w:noProof w:val="0"/>
        </w:rPr>
      </w:pPr>
      <w:r w:rsidRPr="00686F1B">
        <w:rPr>
          <w:noProof w:val="0"/>
        </w:rPr>
        <w:t>NICE-wide topic prioritisation</w:t>
      </w:r>
      <w:r w:rsidR="00745DF1" w:rsidRPr="00686F1B">
        <w:rPr>
          <w:noProof w:val="0"/>
        </w:rPr>
        <w:t>, and</w:t>
      </w:r>
      <w:r w:rsidR="0090767A" w:rsidRPr="00686F1B">
        <w:rPr>
          <w:noProof w:val="0"/>
        </w:rPr>
        <w:t xml:space="preserve"> </w:t>
      </w:r>
    </w:p>
    <w:p w14:paraId="1795A392" w14:textId="76FBE5C0" w:rsidR="0090767A" w:rsidRPr="00686F1B" w:rsidRDefault="00832BA1" w:rsidP="0090767A">
      <w:pPr>
        <w:pStyle w:val="NICEnormalnumbered"/>
        <w:numPr>
          <w:ilvl w:val="1"/>
          <w:numId w:val="26"/>
        </w:numPr>
        <w:rPr>
          <w:noProof w:val="0"/>
        </w:rPr>
      </w:pPr>
      <w:r w:rsidRPr="00686F1B">
        <w:rPr>
          <w:noProof w:val="0"/>
        </w:rPr>
        <w:lastRenderedPageBreak/>
        <w:t xml:space="preserve">The strategic principles for public health, social </w:t>
      </w:r>
      <w:proofErr w:type="gramStart"/>
      <w:r w:rsidRPr="00686F1B">
        <w:rPr>
          <w:noProof w:val="0"/>
        </w:rPr>
        <w:t>care</w:t>
      </w:r>
      <w:proofErr w:type="gramEnd"/>
      <w:r w:rsidRPr="00686F1B">
        <w:rPr>
          <w:noProof w:val="0"/>
        </w:rPr>
        <w:t xml:space="preserve"> and rare diseases</w:t>
      </w:r>
      <w:r w:rsidR="00745DF1" w:rsidRPr="00686F1B">
        <w:rPr>
          <w:noProof w:val="0"/>
        </w:rPr>
        <w:t>.</w:t>
      </w:r>
    </w:p>
    <w:p w14:paraId="6C9053A8" w14:textId="17A564E9" w:rsidR="00745DF1" w:rsidRPr="00686F1B" w:rsidRDefault="00745DF1" w:rsidP="00745DF1">
      <w:pPr>
        <w:pStyle w:val="NICEnormalnumbered"/>
        <w:numPr>
          <w:ilvl w:val="0"/>
          <w:numId w:val="0"/>
        </w:numPr>
        <w:ind w:left="360" w:hanging="360"/>
        <w:rPr>
          <w:noProof w:val="0"/>
        </w:rPr>
      </w:pPr>
      <w:r w:rsidRPr="00686F1B">
        <w:rPr>
          <w:noProof w:val="0"/>
        </w:rPr>
        <w:t>The Board is also asked to approve</w:t>
      </w:r>
      <w:r w:rsidR="003A50F2" w:rsidRPr="00686F1B">
        <w:rPr>
          <w:noProof w:val="0"/>
        </w:rPr>
        <w:t>:</w:t>
      </w:r>
    </w:p>
    <w:p w14:paraId="4A14D9B8" w14:textId="28B4A863" w:rsidR="00832BA1" w:rsidRPr="00686F1B" w:rsidRDefault="00832BA1" w:rsidP="0090767A">
      <w:pPr>
        <w:pStyle w:val="NICEnormalnumbered"/>
        <w:numPr>
          <w:ilvl w:val="1"/>
          <w:numId w:val="26"/>
        </w:numPr>
        <w:rPr>
          <w:noProof w:val="0"/>
        </w:rPr>
      </w:pPr>
      <w:r w:rsidRPr="00686F1B">
        <w:rPr>
          <w:noProof w:val="0"/>
        </w:rPr>
        <w:t>P</w:t>
      </w:r>
      <w:r w:rsidR="000717A6" w:rsidRPr="00686F1B">
        <w:rPr>
          <w:noProof w:val="0"/>
        </w:rPr>
        <w:t xml:space="preserve">ublication </w:t>
      </w:r>
      <w:r w:rsidR="009D0146" w:rsidRPr="00686F1B">
        <w:rPr>
          <w:noProof w:val="0"/>
        </w:rPr>
        <w:t>o</w:t>
      </w:r>
      <w:r w:rsidR="000717A6" w:rsidRPr="00686F1B">
        <w:rPr>
          <w:noProof w:val="0"/>
        </w:rPr>
        <w:t>f the associated process and methods guide</w:t>
      </w:r>
      <w:r w:rsidR="00E75815">
        <w:rPr>
          <w:noProof w:val="0"/>
        </w:rPr>
        <w:t xml:space="preserve"> for topic prioritisation</w:t>
      </w:r>
      <w:r w:rsidR="003A50F2" w:rsidRPr="00686F1B">
        <w:rPr>
          <w:noProof w:val="0"/>
        </w:rPr>
        <w:t>.</w:t>
      </w:r>
    </w:p>
    <w:p w14:paraId="66C309F8" w14:textId="50AE4CDA" w:rsidR="307D3B02" w:rsidRPr="00686F1B" w:rsidRDefault="307D3B02" w:rsidP="5F04D595">
      <w:pPr>
        <w:pStyle w:val="NICEnormalnumbered"/>
        <w:numPr>
          <w:ilvl w:val="1"/>
          <w:numId w:val="26"/>
        </w:numPr>
        <w:rPr>
          <w:noProof w:val="0"/>
        </w:rPr>
      </w:pPr>
      <w:r w:rsidRPr="00686F1B">
        <w:rPr>
          <w:noProof w:val="0"/>
        </w:rPr>
        <w:t>Delegation to Guidance Executive approval of any subsequent changes to the manual and principles.</w:t>
      </w:r>
    </w:p>
    <w:p w14:paraId="5E939828" w14:textId="7B238FE0" w:rsidR="0090767A" w:rsidRPr="00022EFF" w:rsidRDefault="0090767A" w:rsidP="00A86293">
      <w:pPr>
        <w:pStyle w:val="NICEnormal"/>
      </w:pPr>
      <w:r w:rsidRPr="00022EFF">
        <w:t>Paper Authors – Kay Nolan, Toni Tan, Swapna Mistry, Claire Mulrenan, Sinead Peare, Emily Robinson</w:t>
      </w:r>
      <w:r w:rsidR="7F4B6DC9" w:rsidRPr="00022EFF">
        <w:t xml:space="preserve">, Jennifer </w:t>
      </w:r>
      <w:proofErr w:type="spellStart"/>
      <w:r w:rsidR="7F4B6DC9" w:rsidRPr="00022EFF">
        <w:t>Aincham</w:t>
      </w:r>
      <w:proofErr w:type="spellEnd"/>
      <w:r w:rsidR="7F4B6DC9" w:rsidRPr="00022EFF">
        <w:t>, Ivan Maslyankov</w:t>
      </w:r>
    </w:p>
    <w:p w14:paraId="68068DB2" w14:textId="77777777" w:rsidR="005D0FEF" w:rsidRDefault="005D0FEF" w:rsidP="0090767A">
      <w:pPr>
        <w:pStyle w:val="NICEnormal"/>
      </w:pPr>
    </w:p>
    <w:p w14:paraId="34AD0AEB" w14:textId="6B604A12" w:rsidR="0090767A" w:rsidRPr="00022EFF" w:rsidRDefault="0090767A" w:rsidP="0090767A">
      <w:pPr>
        <w:pStyle w:val="NICEnormal"/>
      </w:pPr>
      <w:r w:rsidRPr="00022EFF">
        <w:t xml:space="preserve">© NICE 2024. All rights reserved. </w:t>
      </w:r>
      <w:hyperlink r:id="rId17" w:anchor="notice-of-rights" w:history="1">
        <w:r w:rsidRPr="00022EFF">
          <w:rPr>
            <w:rStyle w:val="Hyperlink"/>
          </w:rPr>
          <w:t>Subject to Notice of rights</w:t>
        </w:r>
      </w:hyperlink>
      <w:r w:rsidRPr="00022EFF">
        <w:t>.</w:t>
      </w:r>
    </w:p>
    <w:p w14:paraId="184E09CC" w14:textId="76350147" w:rsidR="00E90DBF" w:rsidRPr="00022EFF" w:rsidRDefault="0090767A" w:rsidP="0026280F">
      <w:pPr>
        <w:pStyle w:val="NICEnormal"/>
      </w:pPr>
      <w:r w:rsidRPr="00022EFF">
        <w:t>May 2024</w:t>
      </w:r>
    </w:p>
    <w:sectPr w:rsidR="00E90DBF" w:rsidRPr="00022EFF" w:rsidSect="00375AF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AFA9" w14:textId="77777777" w:rsidR="00375AFB" w:rsidRPr="00022EFF" w:rsidRDefault="00375AFB">
      <w:r w:rsidRPr="00022EFF">
        <w:separator/>
      </w:r>
    </w:p>
  </w:endnote>
  <w:endnote w:type="continuationSeparator" w:id="0">
    <w:p w14:paraId="3085B906" w14:textId="77777777" w:rsidR="00375AFB" w:rsidRPr="00022EFF" w:rsidRDefault="00375AFB">
      <w:r w:rsidRPr="00022EFF">
        <w:continuationSeparator/>
      </w:r>
    </w:p>
  </w:endnote>
  <w:endnote w:type="continuationNotice" w:id="1">
    <w:p w14:paraId="51C3C223" w14:textId="77777777" w:rsidR="00436E2E" w:rsidRPr="00022EFF" w:rsidRDefault="0043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319A" w14:textId="522FA68D" w:rsidR="005E50D0" w:rsidRPr="00022EFF" w:rsidRDefault="005E50D0" w:rsidP="005E50D0">
    <w:pPr>
      <w:pStyle w:val="Footer"/>
      <w:rPr>
        <w:szCs w:val="16"/>
      </w:rPr>
    </w:pPr>
    <w:r w:rsidRPr="00022EFF">
      <w:rPr>
        <w:szCs w:val="16"/>
      </w:rPr>
      <w:t>Review of the proposed approach to NICE-wide topic prioritisation and the strategic principles</w:t>
    </w:r>
    <w:r w:rsidRPr="00022EFF">
      <w:rPr>
        <w:szCs w:val="16"/>
      </w:rPr>
      <w:tab/>
      <w:t xml:space="preserve">Page </w:t>
    </w:r>
    <w:r w:rsidRPr="00022EFF">
      <w:rPr>
        <w:szCs w:val="16"/>
      </w:rPr>
      <w:fldChar w:fldCharType="begin"/>
    </w:r>
    <w:r w:rsidRPr="00022EFF">
      <w:rPr>
        <w:szCs w:val="16"/>
      </w:rPr>
      <w:instrText xml:space="preserve"> PAGE  \* Arabic  \* MERGEFORMAT </w:instrText>
    </w:r>
    <w:r w:rsidRPr="00022EFF">
      <w:rPr>
        <w:szCs w:val="16"/>
      </w:rPr>
      <w:fldChar w:fldCharType="separate"/>
    </w:r>
    <w:r w:rsidRPr="00022EFF">
      <w:rPr>
        <w:szCs w:val="16"/>
      </w:rPr>
      <w:t>1</w:t>
    </w:r>
    <w:r w:rsidRPr="00022EFF">
      <w:rPr>
        <w:szCs w:val="16"/>
      </w:rPr>
      <w:fldChar w:fldCharType="end"/>
    </w:r>
    <w:r w:rsidRPr="00022EFF">
      <w:rPr>
        <w:szCs w:val="16"/>
      </w:rPr>
      <w:t xml:space="preserve"> of </w:t>
    </w:r>
    <w:r w:rsidRPr="00022EFF">
      <w:rPr>
        <w:szCs w:val="16"/>
      </w:rPr>
      <w:fldChar w:fldCharType="begin"/>
    </w:r>
    <w:r w:rsidRPr="00022EFF">
      <w:rPr>
        <w:szCs w:val="16"/>
      </w:rPr>
      <w:instrText xml:space="preserve"> NUMPAGES  \* Arabic  \* MERGEFORMAT </w:instrText>
    </w:r>
    <w:r w:rsidRPr="00022EFF">
      <w:rPr>
        <w:szCs w:val="16"/>
      </w:rPr>
      <w:fldChar w:fldCharType="separate"/>
    </w:r>
    <w:r w:rsidRPr="00022EFF">
      <w:rPr>
        <w:szCs w:val="16"/>
      </w:rPr>
      <w:t>20</w:t>
    </w:r>
    <w:r w:rsidRPr="00022EFF">
      <w:rPr>
        <w:szCs w:val="16"/>
      </w:rPr>
      <w:fldChar w:fldCharType="end"/>
    </w:r>
  </w:p>
  <w:p w14:paraId="3FEFA403" w14:textId="1CD96284" w:rsidR="005E50D0" w:rsidRPr="00022EFF" w:rsidRDefault="005E50D0" w:rsidP="005E50D0">
    <w:pPr>
      <w:pStyle w:val="Footer"/>
      <w:rPr>
        <w:szCs w:val="16"/>
      </w:rPr>
    </w:pPr>
    <w:r w:rsidRPr="00022EFF">
      <w:rPr>
        <w:szCs w:val="16"/>
      </w:rPr>
      <w:t>Public Board meeting</w:t>
    </w:r>
  </w:p>
  <w:p w14:paraId="6773D816" w14:textId="77777777" w:rsidR="005E50D0" w:rsidRPr="00022EFF" w:rsidRDefault="005E50D0" w:rsidP="005E50D0">
    <w:pPr>
      <w:pStyle w:val="Footer"/>
      <w:rPr>
        <w:szCs w:val="16"/>
      </w:rPr>
    </w:pPr>
    <w:r w:rsidRPr="00022EFF">
      <w:rPr>
        <w:szCs w:val="16"/>
      </w:rPr>
      <w:t>15 May 2024</w:t>
    </w:r>
    <w:r w:rsidRPr="00022EFF">
      <w:rPr>
        <w:szCs w:val="16"/>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66E4" w14:textId="77777777" w:rsidR="00375AFB" w:rsidRPr="00022EFF" w:rsidRDefault="00375AFB">
      <w:r w:rsidRPr="00022EFF">
        <w:separator/>
      </w:r>
    </w:p>
  </w:footnote>
  <w:footnote w:type="continuationSeparator" w:id="0">
    <w:p w14:paraId="490FEA36" w14:textId="77777777" w:rsidR="00375AFB" w:rsidRPr="00022EFF" w:rsidRDefault="00375AFB">
      <w:r w:rsidRPr="00022EFF">
        <w:continuationSeparator/>
      </w:r>
    </w:p>
  </w:footnote>
  <w:footnote w:type="continuationNotice" w:id="1">
    <w:p w14:paraId="42E71873" w14:textId="77777777" w:rsidR="00436E2E" w:rsidRPr="00022EFF" w:rsidRDefault="0043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C84A" w14:textId="02A5B895" w:rsidR="005E50D0" w:rsidRPr="00022EFF" w:rsidRDefault="005E50D0" w:rsidP="005E50D0">
    <w:pPr>
      <w:pStyle w:val="Header"/>
      <w:ind w:left="0"/>
    </w:pPr>
    <w:r w:rsidRPr="00022EFF">
      <w:rPr>
        <w:noProof/>
      </w:rPr>
      <w:drawing>
        <wp:inline distT="0" distB="0" distL="0" distR="0" wp14:anchorId="110EAE01" wp14:editId="7B361E39">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sidRPr="00022EFF">
      <w:tab/>
    </w:r>
    <w:r w:rsidRPr="00022EFF">
      <w:tab/>
      <w:t>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14CC247C"/>
    <w:lvl w:ilvl="0" w:tplc="FFFFFFFF">
      <w:start w:val="1"/>
      <w:numFmt w:val="decimal"/>
      <w:pStyle w:val="Paragraph"/>
      <w:lvlText w:val="%1."/>
      <w:lvlJc w:val="left"/>
      <w:pPr>
        <w:ind w:left="720" w:hanging="360"/>
      </w:pPr>
      <w:rPr>
        <w:b w:val="0"/>
        <w:bCs w:val="0"/>
        <w:color w:val="auto"/>
      </w:rPr>
    </w:lvl>
    <w:lvl w:ilvl="1" w:tplc="08090019">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F44841"/>
    <w:multiLevelType w:val="multilevel"/>
    <w:tmpl w:val="542EEF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CA47C5"/>
    <w:multiLevelType w:val="multilevel"/>
    <w:tmpl w:val="6AAA624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8AAFC44"/>
    <w:multiLevelType w:val="hybridMultilevel"/>
    <w:tmpl w:val="8D1CF20E"/>
    <w:lvl w:ilvl="0" w:tplc="A782D644">
      <w:start w:val="1"/>
      <w:numFmt w:val="decimal"/>
      <w:lvlText w:val="%1."/>
      <w:lvlJc w:val="left"/>
      <w:pPr>
        <w:ind w:left="720" w:hanging="360"/>
      </w:pPr>
    </w:lvl>
    <w:lvl w:ilvl="1" w:tplc="6ED42020">
      <w:start w:val="1"/>
      <w:numFmt w:val="lowerLetter"/>
      <w:lvlText w:val="%2."/>
      <w:lvlJc w:val="left"/>
      <w:pPr>
        <w:ind w:left="1440" w:hanging="360"/>
      </w:pPr>
    </w:lvl>
    <w:lvl w:ilvl="2" w:tplc="BE845C62">
      <w:start w:val="1"/>
      <w:numFmt w:val="lowerRoman"/>
      <w:lvlText w:val="%3."/>
      <w:lvlJc w:val="right"/>
      <w:pPr>
        <w:ind w:left="2160" w:hanging="180"/>
      </w:pPr>
    </w:lvl>
    <w:lvl w:ilvl="3" w:tplc="74D802EE">
      <w:start w:val="1"/>
      <w:numFmt w:val="decimal"/>
      <w:lvlText w:val="%4."/>
      <w:lvlJc w:val="left"/>
      <w:pPr>
        <w:ind w:left="2880" w:hanging="360"/>
      </w:pPr>
    </w:lvl>
    <w:lvl w:ilvl="4" w:tplc="B0AAF3A4">
      <w:start w:val="1"/>
      <w:numFmt w:val="lowerLetter"/>
      <w:lvlText w:val="%5."/>
      <w:lvlJc w:val="left"/>
      <w:pPr>
        <w:ind w:left="3600" w:hanging="360"/>
      </w:pPr>
    </w:lvl>
    <w:lvl w:ilvl="5" w:tplc="84B234AA">
      <w:start w:val="1"/>
      <w:numFmt w:val="lowerRoman"/>
      <w:lvlText w:val="%6."/>
      <w:lvlJc w:val="right"/>
      <w:pPr>
        <w:ind w:left="4320" w:hanging="180"/>
      </w:pPr>
    </w:lvl>
    <w:lvl w:ilvl="6" w:tplc="CB1EDE04">
      <w:start w:val="1"/>
      <w:numFmt w:val="decimal"/>
      <w:lvlText w:val="%7."/>
      <w:lvlJc w:val="left"/>
      <w:pPr>
        <w:ind w:left="5040" w:hanging="360"/>
      </w:pPr>
    </w:lvl>
    <w:lvl w:ilvl="7" w:tplc="F3360A12">
      <w:start w:val="1"/>
      <w:numFmt w:val="lowerLetter"/>
      <w:lvlText w:val="%8."/>
      <w:lvlJc w:val="left"/>
      <w:pPr>
        <w:ind w:left="5760" w:hanging="360"/>
      </w:pPr>
    </w:lvl>
    <w:lvl w:ilvl="8" w:tplc="9934EB22">
      <w:start w:val="1"/>
      <w:numFmt w:val="lowerRoman"/>
      <w:lvlText w:val="%9."/>
      <w:lvlJc w:val="right"/>
      <w:pPr>
        <w:ind w:left="6480" w:hanging="180"/>
      </w:pPr>
    </w:lvl>
  </w:abstractNum>
  <w:abstractNum w:abstractNumId="28" w15:restartNumberingAfterBreak="0">
    <w:nsid w:val="696F2189"/>
    <w:multiLevelType w:val="hybridMultilevel"/>
    <w:tmpl w:val="848A34BC"/>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50ED0"/>
    <w:multiLevelType w:val="hybridMultilevel"/>
    <w:tmpl w:val="E9028030"/>
    <w:lvl w:ilvl="0" w:tplc="2F7AE6CE">
      <w:start w:val="1"/>
      <w:numFmt w:val="decimal"/>
      <w:lvlText w:val="%1."/>
      <w:lvlJc w:val="left"/>
      <w:pPr>
        <w:ind w:left="1020" w:hanging="360"/>
      </w:pPr>
    </w:lvl>
    <w:lvl w:ilvl="1" w:tplc="27706B54">
      <w:start w:val="1"/>
      <w:numFmt w:val="decimal"/>
      <w:lvlText w:val="%2."/>
      <w:lvlJc w:val="left"/>
      <w:pPr>
        <w:ind w:left="1020" w:hanging="360"/>
      </w:pPr>
    </w:lvl>
    <w:lvl w:ilvl="2" w:tplc="F8F464DE">
      <w:start w:val="1"/>
      <w:numFmt w:val="decimal"/>
      <w:lvlText w:val="%3."/>
      <w:lvlJc w:val="left"/>
      <w:pPr>
        <w:ind w:left="1020" w:hanging="360"/>
      </w:pPr>
    </w:lvl>
    <w:lvl w:ilvl="3" w:tplc="0F6CED18">
      <w:start w:val="1"/>
      <w:numFmt w:val="decimal"/>
      <w:lvlText w:val="%4."/>
      <w:lvlJc w:val="left"/>
      <w:pPr>
        <w:ind w:left="1020" w:hanging="360"/>
      </w:pPr>
    </w:lvl>
    <w:lvl w:ilvl="4" w:tplc="7640D6A2">
      <w:start w:val="1"/>
      <w:numFmt w:val="decimal"/>
      <w:lvlText w:val="%5."/>
      <w:lvlJc w:val="left"/>
      <w:pPr>
        <w:ind w:left="1020" w:hanging="360"/>
      </w:pPr>
    </w:lvl>
    <w:lvl w:ilvl="5" w:tplc="9C4A51E8">
      <w:start w:val="1"/>
      <w:numFmt w:val="decimal"/>
      <w:lvlText w:val="%6."/>
      <w:lvlJc w:val="left"/>
      <w:pPr>
        <w:ind w:left="1020" w:hanging="360"/>
      </w:pPr>
    </w:lvl>
    <w:lvl w:ilvl="6" w:tplc="A5A8C214">
      <w:start w:val="1"/>
      <w:numFmt w:val="decimal"/>
      <w:lvlText w:val="%7."/>
      <w:lvlJc w:val="left"/>
      <w:pPr>
        <w:ind w:left="1020" w:hanging="360"/>
      </w:pPr>
    </w:lvl>
    <w:lvl w:ilvl="7" w:tplc="17626E08">
      <w:start w:val="1"/>
      <w:numFmt w:val="decimal"/>
      <w:lvlText w:val="%8."/>
      <w:lvlJc w:val="left"/>
      <w:pPr>
        <w:ind w:left="1020" w:hanging="360"/>
      </w:pPr>
    </w:lvl>
    <w:lvl w:ilvl="8" w:tplc="8A76732C">
      <w:start w:val="1"/>
      <w:numFmt w:val="decimal"/>
      <w:lvlText w:val="%9."/>
      <w:lvlJc w:val="left"/>
      <w:pPr>
        <w:ind w:left="1020" w:hanging="360"/>
      </w:pPr>
    </w:lvl>
  </w:abstractNum>
  <w:abstractNum w:abstractNumId="30" w15:restartNumberingAfterBreak="0">
    <w:nsid w:val="74121760"/>
    <w:multiLevelType w:val="hybridMultilevel"/>
    <w:tmpl w:val="C3DE8D9E"/>
    <w:lvl w:ilvl="0" w:tplc="727C81F8">
      <w:start w:val="1"/>
      <w:numFmt w:val="bullet"/>
      <w:lvlText w:val=""/>
      <w:lvlJc w:val="left"/>
      <w:pPr>
        <w:ind w:left="1080" w:hanging="360"/>
      </w:pPr>
      <w:rPr>
        <w:rFonts w:ascii="Symbol" w:hAnsi="Symbol"/>
      </w:rPr>
    </w:lvl>
    <w:lvl w:ilvl="1" w:tplc="A33E02D4">
      <w:start w:val="1"/>
      <w:numFmt w:val="bullet"/>
      <w:lvlText w:val=""/>
      <w:lvlJc w:val="left"/>
      <w:pPr>
        <w:ind w:left="1080" w:hanging="360"/>
      </w:pPr>
      <w:rPr>
        <w:rFonts w:ascii="Symbol" w:hAnsi="Symbol"/>
      </w:rPr>
    </w:lvl>
    <w:lvl w:ilvl="2" w:tplc="D930AF42">
      <w:start w:val="1"/>
      <w:numFmt w:val="bullet"/>
      <w:lvlText w:val=""/>
      <w:lvlJc w:val="left"/>
      <w:pPr>
        <w:ind w:left="1080" w:hanging="360"/>
      </w:pPr>
      <w:rPr>
        <w:rFonts w:ascii="Symbol" w:hAnsi="Symbol"/>
      </w:rPr>
    </w:lvl>
    <w:lvl w:ilvl="3" w:tplc="158C052E">
      <w:start w:val="1"/>
      <w:numFmt w:val="bullet"/>
      <w:lvlText w:val=""/>
      <w:lvlJc w:val="left"/>
      <w:pPr>
        <w:ind w:left="1080" w:hanging="360"/>
      </w:pPr>
      <w:rPr>
        <w:rFonts w:ascii="Symbol" w:hAnsi="Symbol"/>
      </w:rPr>
    </w:lvl>
    <w:lvl w:ilvl="4" w:tplc="FB404A3C">
      <w:start w:val="1"/>
      <w:numFmt w:val="bullet"/>
      <w:lvlText w:val=""/>
      <w:lvlJc w:val="left"/>
      <w:pPr>
        <w:ind w:left="1080" w:hanging="360"/>
      </w:pPr>
      <w:rPr>
        <w:rFonts w:ascii="Symbol" w:hAnsi="Symbol"/>
      </w:rPr>
    </w:lvl>
    <w:lvl w:ilvl="5" w:tplc="52D0792C">
      <w:start w:val="1"/>
      <w:numFmt w:val="bullet"/>
      <w:lvlText w:val=""/>
      <w:lvlJc w:val="left"/>
      <w:pPr>
        <w:ind w:left="1080" w:hanging="360"/>
      </w:pPr>
      <w:rPr>
        <w:rFonts w:ascii="Symbol" w:hAnsi="Symbol"/>
      </w:rPr>
    </w:lvl>
    <w:lvl w:ilvl="6" w:tplc="1264EAC8">
      <w:start w:val="1"/>
      <w:numFmt w:val="bullet"/>
      <w:lvlText w:val=""/>
      <w:lvlJc w:val="left"/>
      <w:pPr>
        <w:ind w:left="1080" w:hanging="360"/>
      </w:pPr>
      <w:rPr>
        <w:rFonts w:ascii="Symbol" w:hAnsi="Symbol"/>
      </w:rPr>
    </w:lvl>
    <w:lvl w:ilvl="7" w:tplc="A330DE78">
      <w:start w:val="1"/>
      <w:numFmt w:val="bullet"/>
      <w:lvlText w:val=""/>
      <w:lvlJc w:val="left"/>
      <w:pPr>
        <w:ind w:left="1080" w:hanging="360"/>
      </w:pPr>
      <w:rPr>
        <w:rFonts w:ascii="Symbol" w:hAnsi="Symbol"/>
      </w:rPr>
    </w:lvl>
    <w:lvl w:ilvl="8" w:tplc="5F9AF250">
      <w:start w:val="1"/>
      <w:numFmt w:val="bullet"/>
      <w:lvlText w:val=""/>
      <w:lvlJc w:val="left"/>
      <w:pPr>
        <w:ind w:left="1080" w:hanging="360"/>
      </w:pPr>
      <w:rPr>
        <w:rFonts w:ascii="Symbol" w:hAnsi="Symbol"/>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821775">
    <w:abstractNumId w:val="27"/>
  </w:num>
  <w:num w:numId="2" w16cid:durableId="116532623">
    <w:abstractNumId w:val="2"/>
  </w:num>
  <w:num w:numId="3" w16cid:durableId="2039620118">
    <w:abstractNumId w:val="26"/>
  </w:num>
  <w:num w:numId="4" w16cid:durableId="2116749296">
    <w:abstractNumId w:val="16"/>
  </w:num>
  <w:num w:numId="5" w16cid:durableId="611715962">
    <w:abstractNumId w:val="17"/>
  </w:num>
  <w:num w:numId="6" w16cid:durableId="377554922">
    <w:abstractNumId w:val="4"/>
  </w:num>
  <w:num w:numId="7" w16cid:durableId="1967815002">
    <w:abstractNumId w:val="8"/>
  </w:num>
  <w:num w:numId="8" w16cid:durableId="1478373446">
    <w:abstractNumId w:val="13"/>
  </w:num>
  <w:num w:numId="9" w16cid:durableId="1216622483">
    <w:abstractNumId w:val="15"/>
  </w:num>
  <w:num w:numId="10" w16cid:durableId="1028289363">
    <w:abstractNumId w:val="19"/>
  </w:num>
  <w:num w:numId="11" w16cid:durableId="1748379919">
    <w:abstractNumId w:val="7"/>
  </w:num>
  <w:num w:numId="12" w16cid:durableId="1008825018">
    <w:abstractNumId w:val="23"/>
  </w:num>
  <w:num w:numId="13" w16cid:durableId="128134450">
    <w:abstractNumId w:val="11"/>
  </w:num>
  <w:num w:numId="14" w16cid:durableId="503516617">
    <w:abstractNumId w:val="18"/>
  </w:num>
  <w:num w:numId="15" w16cid:durableId="1971012577">
    <w:abstractNumId w:val="21"/>
  </w:num>
  <w:num w:numId="16" w16cid:durableId="1256014139">
    <w:abstractNumId w:val="12"/>
  </w:num>
  <w:num w:numId="17" w16cid:durableId="230039927">
    <w:abstractNumId w:val="0"/>
  </w:num>
  <w:num w:numId="18" w16cid:durableId="882135492">
    <w:abstractNumId w:val="1"/>
  </w:num>
  <w:num w:numId="19" w16cid:durableId="194315641">
    <w:abstractNumId w:val="9"/>
  </w:num>
  <w:num w:numId="20" w16cid:durableId="1279488302">
    <w:abstractNumId w:val="14"/>
  </w:num>
  <w:num w:numId="21" w16cid:durableId="102305755">
    <w:abstractNumId w:val="6"/>
  </w:num>
  <w:num w:numId="22" w16cid:durableId="1863712968">
    <w:abstractNumId w:val="25"/>
  </w:num>
  <w:num w:numId="23" w16cid:durableId="426196748">
    <w:abstractNumId w:val="22"/>
  </w:num>
  <w:num w:numId="24" w16cid:durableId="1440686053">
    <w:abstractNumId w:val="28"/>
  </w:num>
  <w:num w:numId="25" w16cid:durableId="87122838">
    <w:abstractNumId w:val="10"/>
  </w:num>
  <w:num w:numId="26" w16cid:durableId="2069259383">
    <w:abstractNumId w:val="3"/>
  </w:num>
  <w:num w:numId="27" w16cid:durableId="1082874494">
    <w:abstractNumId w:val="3"/>
  </w:num>
  <w:num w:numId="28" w16cid:durableId="1394310664">
    <w:abstractNumId w:val="24"/>
  </w:num>
  <w:num w:numId="29" w16cid:durableId="971593344">
    <w:abstractNumId w:val="5"/>
  </w:num>
  <w:num w:numId="30" w16cid:durableId="1776897497">
    <w:abstractNumId w:val="29"/>
  </w:num>
  <w:num w:numId="31" w16cid:durableId="1361126667">
    <w:abstractNumId w:val="30"/>
  </w:num>
  <w:num w:numId="32" w16cid:durableId="1514391">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73"/>
    <w:rsid w:val="00000B27"/>
    <w:rsid w:val="000119FB"/>
    <w:rsid w:val="00020D47"/>
    <w:rsid w:val="00022EFF"/>
    <w:rsid w:val="000242AA"/>
    <w:rsid w:val="0002577C"/>
    <w:rsid w:val="000360B8"/>
    <w:rsid w:val="000463FB"/>
    <w:rsid w:val="00057044"/>
    <w:rsid w:val="00061B2F"/>
    <w:rsid w:val="000679B3"/>
    <w:rsid w:val="000717A6"/>
    <w:rsid w:val="00074132"/>
    <w:rsid w:val="00092911"/>
    <w:rsid w:val="00094B5D"/>
    <w:rsid w:val="000A103F"/>
    <w:rsid w:val="000A1EC0"/>
    <w:rsid w:val="000A66F9"/>
    <w:rsid w:val="000B02E8"/>
    <w:rsid w:val="000C2FC7"/>
    <w:rsid w:val="000C3F75"/>
    <w:rsid w:val="000C4168"/>
    <w:rsid w:val="000C549D"/>
    <w:rsid w:val="000D2024"/>
    <w:rsid w:val="000E0DB3"/>
    <w:rsid w:val="000E6C5F"/>
    <w:rsid w:val="00101F34"/>
    <w:rsid w:val="001100C3"/>
    <w:rsid w:val="001172E1"/>
    <w:rsid w:val="001219F1"/>
    <w:rsid w:val="00123D3F"/>
    <w:rsid w:val="0013062D"/>
    <w:rsid w:val="00131EB8"/>
    <w:rsid w:val="00136DC9"/>
    <w:rsid w:val="001473CF"/>
    <w:rsid w:val="00153827"/>
    <w:rsid w:val="001556C0"/>
    <w:rsid w:val="00160E8C"/>
    <w:rsid w:val="00161AA0"/>
    <w:rsid w:val="00161EB7"/>
    <w:rsid w:val="0017277D"/>
    <w:rsid w:val="00173485"/>
    <w:rsid w:val="0018140C"/>
    <w:rsid w:val="00181F7E"/>
    <w:rsid w:val="00193504"/>
    <w:rsid w:val="001B0506"/>
    <w:rsid w:val="001B0B04"/>
    <w:rsid w:val="001B7CB3"/>
    <w:rsid w:val="001C032E"/>
    <w:rsid w:val="001D3314"/>
    <w:rsid w:val="0020547F"/>
    <w:rsid w:val="0021029D"/>
    <w:rsid w:val="00212C1F"/>
    <w:rsid w:val="0021616C"/>
    <w:rsid w:val="002169E7"/>
    <w:rsid w:val="002242E2"/>
    <w:rsid w:val="00235CAB"/>
    <w:rsid w:val="00247DFD"/>
    <w:rsid w:val="00251D56"/>
    <w:rsid w:val="002526E6"/>
    <w:rsid w:val="002535B1"/>
    <w:rsid w:val="0026280F"/>
    <w:rsid w:val="00262EEB"/>
    <w:rsid w:val="00265C8D"/>
    <w:rsid w:val="002776EB"/>
    <w:rsid w:val="0028093A"/>
    <w:rsid w:val="002849F9"/>
    <w:rsid w:val="00292038"/>
    <w:rsid w:val="00294129"/>
    <w:rsid w:val="002A024B"/>
    <w:rsid w:val="002A277F"/>
    <w:rsid w:val="002A3712"/>
    <w:rsid w:val="002B75F2"/>
    <w:rsid w:val="002C3FAA"/>
    <w:rsid w:val="002E14AA"/>
    <w:rsid w:val="002F15CF"/>
    <w:rsid w:val="002F522A"/>
    <w:rsid w:val="003021E6"/>
    <w:rsid w:val="003049A2"/>
    <w:rsid w:val="00307B0B"/>
    <w:rsid w:val="003134AA"/>
    <w:rsid w:val="0031664C"/>
    <w:rsid w:val="003240C1"/>
    <w:rsid w:val="0032663A"/>
    <w:rsid w:val="00332D2E"/>
    <w:rsid w:val="003330E6"/>
    <w:rsid w:val="00335267"/>
    <w:rsid w:val="00344F59"/>
    <w:rsid w:val="00353D3E"/>
    <w:rsid w:val="00362226"/>
    <w:rsid w:val="00373459"/>
    <w:rsid w:val="00375AFB"/>
    <w:rsid w:val="00377E36"/>
    <w:rsid w:val="0038143A"/>
    <w:rsid w:val="003830CE"/>
    <w:rsid w:val="00383E4E"/>
    <w:rsid w:val="003A0A8B"/>
    <w:rsid w:val="003A50F2"/>
    <w:rsid w:val="003B1379"/>
    <w:rsid w:val="003B7BCF"/>
    <w:rsid w:val="003C2892"/>
    <w:rsid w:val="003C36AC"/>
    <w:rsid w:val="003C5308"/>
    <w:rsid w:val="003C65CA"/>
    <w:rsid w:val="003D3B28"/>
    <w:rsid w:val="003D6348"/>
    <w:rsid w:val="003F0A48"/>
    <w:rsid w:val="0040560F"/>
    <w:rsid w:val="00411E69"/>
    <w:rsid w:val="00436E2E"/>
    <w:rsid w:val="00446D82"/>
    <w:rsid w:val="004511A7"/>
    <w:rsid w:val="004519B2"/>
    <w:rsid w:val="004526EF"/>
    <w:rsid w:val="00461997"/>
    <w:rsid w:val="004641DE"/>
    <w:rsid w:val="00476D7D"/>
    <w:rsid w:val="004820E9"/>
    <w:rsid w:val="00482E25"/>
    <w:rsid w:val="0048361F"/>
    <w:rsid w:val="00484AF1"/>
    <w:rsid w:val="00484FE9"/>
    <w:rsid w:val="00485B88"/>
    <w:rsid w:val="004914C0"/>
    <w:rsid w:val="004A5D25"/>
    <w:rsid w:val="004B4705"/>
    <w:rsid w:val="004B514C"/>
    <w:rsid w:val="004C0F38"/>
    <w:rsid w:val="004D6843"/>
    <w:rsid w:val="004E6F92"/>
    <w:rsid w:val="004F6467"/>
    <w:rsid w:val="00503454"/>
    <w:rsid w:val="005141CA"/>
    <w:rsid w:val="00526C07"/>
    <w:rsid w:val="005312DF"/>
    <w:rsid w:val="00532563"/>
    <w:rsid w:val="0053387C"/>
    <w:rsid w:val="005614AA"/>
    <w:rsid w:val="00577A7C"/>
    <w:rsid w:val="005860F4"/>
    <w:rsid w:val="005866B1"/>
    <w:rsid w:val="00586CA7"/>
    <w:rsid w:val="005A47BE"/>
    <w:rsid w:val="005A5E10"/>
    <w:rsid w:val="005C01A1"/>
    <w:rsid w:val="005C051F"/>
    <w:rsid w:val="005C762E"/>
    <w:rsid w:val="005D098C"/>
    <w:rsid w:val="005D0DB5"/>
    <w:rsid w:val="005D0FEF"/>
    <w:rsid w:val="005D5A9F"/>
    <w:rsid w:val="005E50D0"/>
    <w:rsid w:val="005F17DA"/>
    <w:rsid w:val="005F2170"/>
    <w:rsid w:val="005F64EE"/>
    <w:rsid w:val="005F9DC7"/>
    <w:rsid w:val="00603E56"/>
    <w:rsid w:val="0060662A"/>
    <w:rsid w:val="00614BDA"/>
    <w:rsid w:val="00617519"/>
    <w:rsid w:val="00624ACD"/>
    <w:rsid w:val="00632D9F"/>
    <w:rsid w:val="006331B4"/>
    <w:rsid w:val="006343F3"/>
    <w:rsid w:val="00642906"/>
    <w:rsid w:val="00642EEA"/>
    <w:rsid w:val="006448B3"/>
    <w:rsid w:val="00646982"/>
    <w:rsid w:val="00654146"/>
    <w:rsid w:val="00654870"/>
    <w:rsid w:val="006571D4"/>
    <w:rsid w:val="006623DE"/>
    <w:rsid w:val="006676FE"/>
    <w:rsid w:val="00671F84"/>
    <w:rsid w:val="0067268A"/>
    <w:rsid w:val="00674B45"/>
    <w:rsid w:val="00680B94"/>
    <w:rsid w:val="00681ECE"/>
    <w:rsid w:val="00686F1B"/>
    <w:rsid w:val="006917A4"/>
    <w:rsid w:val="0069447A"/>
    <w:rsid w:val="006A16BC"/>
    <w:rsid w:val="006A389A"/>
    <w:rsid w:val="006A721F"/>
    <w:rsid w:val="006C1221"/>
    <w:rsid w:val="006C2F4B"/>
    <w:rsid w:val="006C3ADB"/>
    <w:rsid w:val="006D2C4E"/>
    <w:rsid w:val="006D466C"/>
    <w:rsid w:val="006D73F1"/>
    <w:rsid w:val="006E0F0C"/>
    <w:rsid w:val="006E1A9D"/>
    <w:rsid w:val="006F204A"/>
    <w:rsid w:val="006F6006"/>
    <w:rsid w:val="006F7B99"/>
    <w:rsid w:val="00711FAC"/>
    <w:rsid w:val="007164B8"/>
    <w:rsid w:val="00726B3C"/>
    <w:rsid w:val="007277C3"/>
    <w:rsid w:val="00727E0C"/>
    <w:rsid w:val="00732519"/>
    <w:rsid w:val="00732739"/>
    <w:rsid w:val="00737F9C"/>
    <w:rsid w:val="00745DF1"/>
    <w:rsid w:val="007503BB"/>
    <w:rsid w:val="007520B7"/>
    <w:rsid w:val="00754362"/>
    <w:rsid w:val="00756AC1"/>
    <w:rsid w:val="00773700"/>
    <w:rsid w:val="00793B7B"/>
    <w:rsid w:val="007A174B"/>
    <w:rsid w:val="007A4EEE"/>
    <w:rsid w:val="007A7727"/>
    <w:rsid w:val="007B14A4"/>
    <w:rsid w:val="007B5BCA"/>
    <w:rsid w:val="007B6560"/>
    <w:rsid w:val="007B6D19"/>
    <w:rsid w:val="007C3565"/>
    <w:rsid w:val="007D0DFE"/>
    <w:rsid w:val="007D405D"/>
    <w:rsid w:val="007E15CB"/>
    <w:rsid w:val="007E57D2"/>
    <w:rsid w:val="007F590D"/>
    <w:rsid w:val="008022A4"/>
    <w:rsid w:val="0081404B"/>
    <w:rsid w:val="00820D57"/>
    <w:rsid w:val="008279E8"/>
    <w:rsid w:val="00830A5F"/>
    <w:rsid w:val="00832BA1"/>
    <w:rsid w:val="008463A7"/>
    <w:rsid w:val="008505C3"/>
    <w:rsid w:val="00862C0C"/>
    <w:rsid w:val="00871489"/>
    <w:rsid w:val="008853CB"/>
    <w:rsid w:val="008A3CB5"/>
    <w:rsid w:val="008A6557"/>
    <w:rsid w:val="008B0A0D"/>
    <w:rsid w:val="008C782E"/>
    <w:rsid w:val="008D3585"/>
    <w:rsid w:val="008D6069"/>
    <w:rsid w:val="008D6A57"/>
    <w:rsid w:val="008E7585"/>
    <w:rsid w:val="00904BEF"/>
    <w:rsid w:val="0090767A"/>
    <w:rsid w:val="00914BDD"/>
    <w:rsid w:val="00921354"/>
    <w:rsid w:val="00921950"/>
    <w:rsid w:val="009376FA"/>
    <w:rsid w:val="009401C1"/>
    <w:rsid w:val="00941A6B"/>
    <w:rsid w:val="0094366C"/>
    <w:rsid w:val="00944227"/>
    <w:rsid w:val="00950795"/>
    <w:rsid w:val="00953ADF"/>
    <w:rsid w:val="00961CCE"/>
    <w:rsid w:val="00963125"/>
    <w:rsid w:val="00971131"/>
    <w:rsid w:val="009815B4"/>
    <w:rsid w:val="00982F8C"/>
    <w:rsid w:val="009871F3"/>
    <w:rsid w:val="00994155"/>
    <w:rsid w:val="009A0289"/>
    <w:rsid w:val="009A1EC2"/>
    <w:rsid w:val="009A4AB2"/>
    <w:rsid w:val="009B1D56"/>
    <w:rsid w:val="009B621A"/>
    <w:rsid w:val="009C45D9"/>
    <w:rsid w:val="009C6E2D"/>
    <w:rsid w:val="009D0146"/>
    <w:rsid w:val="009D20FF"/>
    <w:rsid w:val="009F77B1"/>
    <w:rsid w:val="00A0507A"/>
    <w:rsid w:val="00A06657"/>
    <w:rsid w:val="00A132BC"/>
    <w:rsid w:val="00A21E13"/>
    <w:rsid w:val="00A24C1C"/>
    <w:rsid w:val="00A36575"/>
    <w:rsid w:val="00A448D9"/>
    <w:rsid w:val="00A46BF0"/>
    <w:rsid w:val="00A47E0E"/>
    <w:rsid w:val="00A636AC"/>
    <w:rsid w:val="00A6761E"/>
    <w:rsid w:val="00A75195"/>
    <w:rsid w:val="00A812CE"/>
    <w:rsid w:val="00A820E1"/>
    <w:rsid w:val="00A86293"/>
    <w:rsid w:val="00A868B1"/>
    <w:rsid w:val="00A86D3D"/>
    <w:rsid w:val="00A9214E"/>
    <w:rsid w:val="00A941B4"/>
    <w:rsid w:val="00A956DE"/>
    <w:rsid w:val="00AB2948"/>
    <w:rsid w:val="00AB39FA"/>
    <w:rsid w:val="00AC0C7C"/>
    <w:rsid w:val="00AC273C"/>
    <w:rsid w:val="00AC7604"/>
    <w:rsid w:val="00AD5CB7"/>
    <w:rsid w:val="00AD5E0B"/>
    <w:rsid w:val="00AD6933"/>
    <w:rsid w:val="00AD6B7B"/>
    <w:rsid w:val="00AF0462"/>
    <w:rsid w:val="00AF1692"/>
    <w:rsid w:val="00AF6F2D"/>
    <w:rsid w:val="00B02BC4"/>
    <w:rsid w:val="00B0463B"/>
    <w:rsid w:val="00B15262"/>
    <w:rsid w:val="00B20AA4"/>
    <w:rsid w:val="00B22BCC"/>
    <w:rsid w:val="00B31DF1"/>
    <w:rsid w:val="00B4436B"/>
    <w:rsid w:val="00B60D70"/>
    <w:rsid w:val="00B72D09"/>
    <w:rsid w:val="00B773C5"/>
    <w:rsid w:val="00B82BD8"/>
    <w:rsid w:val="00B84BC1"/>
    <w:rsid w:val="00B900CA"/>
    <w:rsid w:val="00BA0179"/>
    <w:rsid w:val="00BA1008"/>
    <w:rsid w:val="00BA3A65"/>
    <w:rsid w:val="00BA51EA"/>
    <w:rsid w:val="00BA589F"/>
    <w:rsid w:val="00BA5915"/>
    <w:rsid w:val="00BB047B"/>
    <w:rsid w:val="00BB6398"/>
    <w:rsid w:val="00BC0E86"/>
    <w:rsid w:val="00BC159A"/>
    <w:rsid w:val="00BC7A2F"/>
    <w:rsid w:val="00BD0372"/>
    <w:rsid w:val="00BD2075"/>
    <w:rsid w:val="00BD246E"/>
    <w:rsid w:val="00BF4768"/>
    <w:rsid w:val="00BF6573"/>
    <w:rsid w:val="00C139CA"/>
    <w:rsid w:val="00C433C5"/>
    <w:rsid w:val="00C4351C"/>
    <w:rsid w:val="00C51429"/>
    <w:rsid w:val="00C67CD1"/>
    <w:rsid w:val="00C80F8A"/>
    <w:rsid w:val="00C91B25"/>
    <w:rsid w:val="00C95DC4"/>
    <w:rsid w:val="00CA05F0"/>
    <w:rsid w:val="00CA3397"/>
    <w:rsid w:val="00CA33E1"/>
    <w:rsid w:val="00CA3712"/>
    <w:rsid w:val="00CB6BEB"/>
    <w:rsid w:val="00CC22B7"/>
    <w:rsid w:val="00CD040B"/>
    <w:rsid w:val="00CD364A"/>
    <w:rsid w:val="00CE17B0"/>
    <w:rsid w:val="00CE1FCE"/>
    <w:rsid w:val="00CE7855"/>
    <w:rsid w:val="00D020D6"/>
    <w:rsid w:val="00D16260"/>
    <w:rsid w:val="00D2189F"/>
    <w:rsid w:val="00D235AB"/>
    <w:rsid w:val="00D35E20"/>
    <w:rsid w:val="00D3612A"/>
    <w:rsid w:val="00D37703"/>
    <w:rsid w:val="00D37F25"/>
    <w:rsid w:val="00D453F6"/>
    <w:rsid w:val="00D52A1F"/>
    <w:rsid w:val="00D60037"/>
    <w:rsid w:val="00D60D8D"/>
    <w:rsid w:val="00D73975"/>
    <w:rsid w:val="00D73C98"/>
    <w:rsid w:val="00D82179"/>
    <w:rsid w:val="00D84B92"/>
    <w:rsid w:val="00D84BEE"/>
    <w:rsid w:val="00D864BF"/>
    <w:rsid w:val="00D95EEC"/>
    <w:rsid w:val="00DA11DD"/>
    <w:rsid w:val="00DA1741"/>
    <w:rsid w:val="00DA4B5F"/>
    <w:rsid w:val="00DB7217"/>
    <w:rsid w:val="00DC0120"/>
    <w:rsid w:val="00DC0F77"/>
    <w:rsid w:val="00DC351B"/>
    <w:rsid w:val="00DE28F9"/>
    <w:rsid w:val="00DE643F"/>
    <w:rsid w:val="00DF5149"/>
    <w:rsid w:val="00E01EBA"/>
    <w:rsid w:val="00E040C6"/>
    <w:rsid w:val="00E06B2F"/>
    <w:rsid w:val="00E12BED"/>
    <w:rsid w:val="00E22B92"/>
    <w:rsid w:val="00E2509B"/>
    <w:rsid w:val="00E32211"/>
    <w:rsid w:val="00E33A79"/>
    <w:rsid w:val="00E34150"/>
    <w:rsid w:val="00E4622C"/>
    <w:rsid w:val="00E46571"/>
    <w:rsid w:val="00E51FFB"/>
    <w:rsid w:val="00E61035"/>
    <w:rsid w:val="00E631EB"/>
    <w:rsid w:val="00E63855"/>
    <w:rsid w:val="00E65EFF"/>
    <w:rsid w:val="00E75815"/>
    <w:rsid w:val="00E8013A"/>
    <w:rsid w:val="00E803B7"/>
    <w:rsid w:val="00E82422"/>
    <w:rsid w:val="00E90DBF"/>
    <w:rsid w:val="00E93A97"/>
    <w:rsid w:val="00E95993"/>
    <w:rsid w:val="00EB03BB"/>
    <w:rsid w:val="00EB1C36"/>
    <w:rsid w:val="00EB3567"/>
    <w:rsid w:val="00EC0BCE"/>
    <w:rsid w:val="00ED3E9F"/>
    <w:rsid w:val="00EE2EB2"/>
    <w:rsid w:val="00EE406C"/>
    <w:rsid w:val="00EE7306"/>
    <w:rsid w:val="00EF3E15"/>
    <w:rsid w:val="00F025FB"/>
    <w:rsid w:val="00F07534"/>
    <w:rsid w:val="00F20598"/>
    <w:rsid w:val="00F26A9F"/>
    <w:rsid w:val="00F26E68"/>
    <w:rsid w:val="00F33119"/>
    <w:rsid w:val="00F35997"/>
    <w:rsid w:val="00F453AD"/>
    <w:rsid w:val="00F53BE3"/>
    <w:rsid w:val="00F6140E"/>
    <w:rsid w:val="00F63D6F"/>
    <w:rsid w:val="00F73ABF"/>
    <w:rsid w:val="00F73C47"/>
    <w:rsid w:val="00F81F2C"/>
    <w:rsid w:val="00F90D23"/>
    <w:rsid w:val="00F90E63"/>
    <w:rsid w:val="00F91D8D"/>
    <w:rsid w:val="00FA3044"/>
    <w:rsid w:val="00FA3F26"/>
    <w:rsid w:val="00FA5B88"/>
    <w:rsid w:val="00FA66A6"/>
    <w:rsid w:val="00FA6EE7"/>
    <w:rsid w:val="00FB122B"/>
    <w:rsid w:val="00FB47DD"/>
    <w:rsid w:val="00FB73D3"/>
    <w:rsid w:val="00FD4756"/>
    <w:rsid w:val="00FE0E03"/>
    <w:rsid w:val="00FF052B"/>
    <w:rsid w:val="00FF369B"/>
    <w:rsid w:val="00FF3CA5"/>
    <w:rsid w:val="01C2DF6B"/>
    <w:rsid w:val="020DD12C"/>
    <w:rsid w:val="02678BE0"/>
    <w:rsid w:val="03BBB44A"/>
    <w:rsid w:val="040AD2E9"/>
    <w:rsid w:val="043F5B65"/>
    <w:rsid w:val="049BB545"/>
    <w:rsid w:val="052081FD"/>
    <w:rsid w:val="055DA0D6"/>
    <w:rsid w:val="05930299"/>
    <w:rsid w:val="05D61909"/>
    <w:rsid w:val="05FCA44C"/>
    <w:rsid w:val="0613174A"/>
    <w:rsid w:val="06409927"/>
    <w:rsid w:val="06B38627"/>
    <w:rsid w:val="06DA1C98"/>
    <w:rsid w:val="07807B19"/>
    <w:rsid w:val="079E033E"/>
    <w:rsid w:val="08B7792E"/>
    <w:rsid w:val="08FD301D"/>
    <w:rsid w:val="09632ED5"/>
    <w:rsid w:val="0A22D868"/>
    <w:rsid w:val="0AB3EE8C"/>
    <w:rsid w:val="0ABB690A"/>
    <w:rsid w:val="0C634779"/>
    <w:rsid w:val="0C85E66E"/>
    <w:rsid w:val="0CE2785A"/>
    <w:rsid w:val="0D108FFD"/>
    <w:rsid w:val="0D698B27"/>
    <w:rsid w:val="0EB58F0C"/>
    <w:rsid w:val="0FBB6CF3"/>
    <w:rsid w:val="0FED30CA"/>
    <w:rsid w:val="10B14F91"/>
    <w:rsid w:val="11E52050"/>
    <w:rsid w:val="125D7CFC"/>
    <w:rsid w:val="126E5E24"/>
    <w:rsid w:val="12EB7B80"/>
    <w:rsid w:val="13CAC10E"/>
    <w:rsid w:val="1467617F"/>
    <w:rsid w:val="14F10E59"/>
    <w:rsid w:val="15371C28"/>
    <w:rsid w:val="153D0F1C"/>
    <w:rsid w:val="159CFAC3"/>
    <w:rsid w:val="16ED0194"/>
    <w:rsid w:val="17563D39"/>
    <w:rsid w:val="176468DC"/>
    <w:rsid w:val="187A64A3"/>
    <w:rsid w:val="18B81DA3"/>
    <w:rsid w:val="18C0BD8B"/>
    <w:rsid w:val="18CA334E"/>
    <w:rsid w:val="194B5174"/>
    <w:rsid w:val="19688430"/>
    <w:rsid w:val="198A4A21"/>
    <w:rsid w:val="1A911DB5"/>
    <w:rsid w:val="1AFAD1B6"/>
    <w:rsid w:val="1AFEC799"/>
    <w:rsid w:val="1B8D0955"/>
    <w:rsid w:val="1BD206A7"/>
    <w:rsid w:val="1BD4F072"/>
    <w:rsid w:val="1C171E01"/>
    <w:rsid w:val="1C253E92"/>
    <w:rsid w:val="1C92EBA8"/>
    <w:rsid w:val="1D705411"/>
    <w:rsid w:val="1DCD5D10"/>
    <w:rsid w:val="1DEF59EC"/>
    <w:rsid w:val="1E76D984"/>
    <w:rsid w:val="1EE87478"/>
    <w:rsid w:val="20F2CF1E"/>
    <w:rsid w:val="2112EC56"/>
    <w:rsid w:val="2151AD94"/>
    <w:rsid w:val="217D5BD7"/>
    <w:rsid w:val="218D8273"/>
    <w:rsid w:val="2199B4C2"/>
    <w:rsid w:val="21EADEB3"/>
    <w:rsid w:val="2210E540"/>
    <w:rsid w:val="2307230A"/>
    <w:rsid w:val="2325C678"/>
    <w:rsid w:val="238F38F3"/>
    <w:rsid w:val="23C6EBA0"/>
    <w:rsid w:val="2489FF7D"/>
    <w:rsid w:val="24D0F2F8"/>
    <w:rsid w:val="24D5EAA4"/>
    <w:rsid w:val="24FA3F38"/>
    <w:rsid w:val="24FF4DC5"/>
    <w:rsid w:val="250CF1C3"/>
    <w:rsid w:val="2673FA25"/>
    <w:rsid w:val="275B674C"/>
    <w:rsid w:val="279F8F65"/>
    <w:rsid w:val="27D43BBE"/>
    <w:rsid w:val="28255C6C"/>
    <w:rsid w:val="28E38078"/>
    <w:rsid w:val="29250D4B"/>
    <w:rsid w:val="299E27C5"/>
    <w:rsid w:val="29B4017A"/>
    <w:rsid w:val="29C1E10A"/>
    <w:rsid w:val="2A91C027"/>
    <w:rsid w:val="2AA2F406"/>
    <w:rsid w:val="2B1F33DD"/>
    <w:rsid w:val="2B507E15"/>
    <w:rsid w:val="2BA9B9B7"/>
    <w:rsid w:val="2BC1C98E"/>
    <w:rsid w:val="2C050242"/>
    <w:rsid w:val="2C9FEA53"/>
    <w:rsid w:val="2DB643B8"/>
    <w:rsid w:val="2DC57B05"/>
    <w:rsid w:val="2DE511CB"/>
    <w:rsid w:val="2E0D4D26"/>
    <w:rsid w:val="2E1C0863"/>
    <w:rsid w:val="2E3992E5"/>
    <w:rsid w:val="2FDC6591"/>
    <w:rsid w:val="307D3B02"/>
    <w:rsid w:val="30DBBE6F"/>
    <w:rsid w:val="30EDAF2D"/>
    <w:rsid w:val="310CDD1E"/>
    <w:rsid w:val="311244B3"/>
    <w:rsid w:val="317E1BE4"/>
    <w:rsid w:val="324959A2"/>
    <w:rsid w:val="3290E22C"/>
    <w:rsid w:val="32DCC387"/>
    <w:rsid w:val="32F99F4D"/>
    <w:rsid w:val="33347328"/>
    <w:rsid w:val="33457E91"/>
    <w:rsid w:val="345E77C2"/>
    <w:rsid w:val="3495CA8E"/>
    <w:rsid w:val="34A7087F"/>
    <w:rsid w:val="3664F092"/>
    <w:rsid w:val="36FC2C10"/>
    <w:rsid w:val="3813A862"/>
    <w:rsid w:val="382063BB"/>
    <w:rsid w:val="385B5C65"/>
    <w:rsid w:val="387AA8D3"/>
    <w:rsid w:val="38B3E962"/>
    <w:rsid w:val="38C81060"/>
    <w:rsid w:val="38E80FBD"/>
    <w:rsid w:val="3933BA51"/>
    <w:rsid w:val="395BF7E3"/>
    <w:rsid w:val="39FBDA55"/>
    <w:rsid w:val="3A059596"/>
    <w:rsid w:val="3B2C39FE"/>
    <w:rsid w:val="3B517C63"/>
    <w:rsid w:val="3C7A26CD"/>
    <w:rsid w:val="3C89B3ED"/>
    <w:rsid w:val="3C912203"/>
    <w:rsid w:val="3DB67280"/>
    <w:rsid w:val="3DBD0199"/>
    <w:rsid w:val="3DD64422"/>
    <w:rsid w:val="3DE94906"/>
    <w:rsid w:val="3DEF61B3"/>
    <w:rsid w:val="3E888CF4"/>
    <w:rsid w:val="3F9113A1"/>
    <w:rsid w:val="3F9EEBEA"/>
    <w:rsid w:val="3FB027E7"/>
    <w:rsid w:val="4080F147"/>
    <w:rsid w:val="4153C4BD"/>
    <w:rsid w:val="4229F106"/>
    <w:rsid w:val="42BA17B6"/>
    <w:rsid w:val="42C51F74"/>
    <w:rsid w:val="42D9C518"/>
    <w:rsid w:val="4347F83C"/>
    <w:rsid w:val="43B2BA90"/>
    <w:rsid w:val="43F9DACC"/>
    <w:rsid w:val="441CB7D1"/>
    <w:rsid w:val="445908D0"/>
    <w:rsid w:val="44C0FA16"/>
    <w:rsid w:val="44F949F6"/>
    <w:rsid w:val="4528DB94"/>
    <w:rsid w:val="457B23F0"/>
    <w:rsid w:val="458BEFB7"/>
    <w:rsid w:val="459AB674"/>
    <w:rsid w:val="4659F5DC"/>
    <w:rsid w:val="4660AF64"/>
    <w:rsid w:val="46797E67"/>
    <w:rsid w:val="4714EB83"/>
    <w:rsid w:val="4829CB94"/>
    <w:rsid w:val="4893711B"/>
    <w:rsid w:val="48B32CE2"/>
    <w:rsid w:val="48C00A93"/>
    <w:rsid w:val="490CF798"/>
    <w:rsid w:val="49C3C6C6"/>
    <w:rsid w:val="4A8BC38E"/>
    <w:rsid w:val="4AB4BF05"/>
    <w:rsid w:val="4AB7E43F"/>
    <w:rsid w:val="4B8B72D0"/>
    <w:rsid w:val="4BACA6B0"/>
    <w:rsid w:val="4C3EF825"/>
    <w:rsid w:val="4C869EFA"/>
    <w:rsid w:val="4D86AC68"/>
    <w:rsid w:val="4DA6A948"/>
    <w:rsid w:val="4F4C5945"/>
    <w:rsid w:val="4FE6EDB0"/>
    <w:rsid w:val="4FFBE8A2"/>
    <w:rsid w:val="5044666E"/>
    <w:rsid w:val="50798AED"/>
    <w:rsid w:val="50909B43"/>
    <w:rsid w:val="5095787B"/>
    <w:rsid w:val="50D4F85F"/>
    <w:rsid w:val="51179CAE"/>
    <w:rsid w:val="5117B69D"/>
    <w:rsid w:val="51B57586"/>
    <w:rsid w:val="51FE414D"/>
    <w:rsid w:val="5261E85B"/>
    <w:rsid w:val="52888AD9"/>
    <w:rsid w:val="52C443D9"/>
    <w:rsid w:val="5388B495"/>
    <w:rsid w:val="538D5149"/>
    <w:rsid w:val="53F03CFA"/>
    <w:rsid w:val="542BB301"/>
    <w:rsid w:val="54653BED"/>
    <w:rsid w:val="54EC7E69"/>
    <w:rsid w:val="5502B29E"/>
    <w:rsid w:val="555543B6"/>
    <w:rsid w:val="5583C6E7"/>
    <w:rsid w:val="55D687B8"/>
    <w:rsid w:val="55FDF96B"/>
    <w:rsid w:val="563C8A41"/>
    <w:rsid w:val="56C02A7D"/>
    <w:rsid w:val="56E49ED2"/>
    <w:rsid w:val="5730676F"/>
    <w:rsid w:val="5806E443"/>
    <w:rsid w:val="5829B212"/>
    <w:rsid w:val="5876067E"/>
    <w:rsid w:val="58BF32AE"/>
    <w:rsid w:val="590B5A07"/>
    <w:rsid w:val="59482EFE"/>
    <w:rsid w:val="595D8E88"/>
    <w:rsid w:val="5A04AA50"/>
    <w:rsid w:val="5A5D9B9F"/>
    <w:rsid w:val="5B52166A"/>
    <w:rsid w:val="5C277CBF"/>
    <w:rsid w:val="5CB64BAC"/>
    <w:rsid w:val="5D327797"/>
    <w:rsid w:val="5D7FBFE8"/>
    <w:rsid w:val="5E65715F"/>
    <w:rsid w:val="5EAC7AC3"/>
    <w:rsid w:val="5EEA9087"/>
    <w:rsid w:val="5F04D595"/>
    <w:rsid w:val="5F1A4F24"/>
    <w:rsid w:val="5F6FF0C5"/>
    <w:rsid w:val="60074E7B"/>
    <w:rsid w:val="603A9327"/>
    <w:rsid w:val="606E373C"/>
    <w:rsid w:val="608EB509"/>
    <w:rsid w:val="608F9A6D"/>
    <w:rsid w:val="60FFF3EC"/>
    <w:rsid w:val="62622087"/>
    <w:rsid w:val="627CA9DE"/>
    <w:rsid w:val="62A8BE96"/>
    <w:rsid w:val="62C11312"/>
    <w:rsid w:val="62CB6958"/>
    <w:rsid w:val="62DFD3D5"/>
    <w:rsid w:val="63070B43"/>
    <w:rsid w:val="6327A84E"/>
    <w:rsid w:val="63F5278E"/>
    <w:rsid w:val="65089D76"/>
    <w:rsid w:val="656D9FEE"/>
    <w:rsid w:val="65E1C571"/>
    <w:rsid w:val="65E9F87D"/>
    <w:rsid w:val="66ABCAC7"/>
    <w:rsid w:val="66CC8616"/>
    <w:rsid w:val="66EB0D2C"/>
    <w:rsid w:val="66ECD2B3"/>
    <w:rsid w:val="67891A0A"/>
    <w:rsid w:val="6812FC29"/>
    <w:rsid w:val="6849867C"/>
    <w:rsid w:val="687D80EB"/>
    <w:rsid w:val="6925A93A"/>
    <w:rsid w:val="69581FF4"/>
    <w:rsid w:val="6A1B4031"/>
    <w:rsid w:val="6A20A5DC"/>
    <w:rsid w:val="6A390F64"/>
    <w:rsid w:val="6A3EB959"/>
    <w:rsid w:val="6A5A12BA"/>
    <w:rsid w:val="6A6E94CC"/>
    <w:rsid w:val="6AB2DD72"/>
    <w:rsid w:val="6CB15229"/>
    <w:rsid w:val="6CCFE133"/>
    <w:rsid w:val="6CF3EBDB"/>
    <w:rsid w:val="6D37156C"/>
    <w:rsid w:val="6DEB4F55"/>
    <w:rsid w:val="6FE9578E"/>
    <w:rsid w:val="705B6182"/>
    <w:rsid w:val="7084D14C"/>
    <w:rsid w:val="70FD2FB8"/>
    <w:rsid w:val="71A27AA2"/>
    <w:rsid w:val="7336480C"/>
    <w:rsid w:val="73C12B5E"/>
    <w:rsid w:val="74140DB3"/>
    <w:rsid w:val="74301B49"/>
    <w:rsid w:val="74A8F5EB"/>
    <w:rsid w:val="74E7BAD0"/>
    <w:rsid w:val="7558B3CF"/>
    <w:rsid w:val="75D529B0"/>
    <w:rsid w:val="7652B656"/>
    <w:rsid w:val="76B5CADD"/>
    <w:rsid w:val="77DA425B"/>
    <w:rsid w:val="78114DD3"/>
    <w:rsid w:val="787DDC30"/>
    <w:rsid w:val="7883C782"/>
    <w:rsid w:val="79226580"/>
    <w:rsid w:val="792F0018"/>
    <w:rsid w:val="7A855573"/>
    <w:rsid w:val="7AB4B82C"/>
    <w:rsid w:val="7B4247EA"/>
    <w:rsid w:val="7B68ECA8"/>
    <w:rsid w:val="7B7A8D6C"/>
    <w:rsid w:val="7B928585"/>
    <w:rsid w:val="7BE26B2A"/>
    <w:rsid w:val="7C33E3EC"/>
    <w:rsid w:val="7C4BAD48"/>
    <w:rsid w:val="7CC0321A"/>
    <w:rsid w:val="7D04BC99"/>
    <w:rsid w:val="7D667644"/>
    <w:rsid w:val="7DD1605F"/>
    <w:rsid w:val="7DD7E618"/>
    <w:rsid w:val="7E121D6D"/>
    <w:rsid w:val="7E38555B"/>
    <w:rsid w:val="7E934422"/>
    <w:rsid w:val="7EC916FA"/>
    <w:rsid w:val="7F4B6DC9"/>
    <w:rsid w:val="7F825841"/>
    <w:rsid w:val="7F974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228BD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6"/>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6"/>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6"/>
      </w:numPr>
    </w:pPr>
  </w:style>
  <w:style w:type="paragraph" w:customStyle="1" w:styleId="Numberedlevel4text">
    <w:name w:val="Numbered level 4 text"/>
    <w:basedOn w:val="NICEnormal"/>
    <w:next w:val="NICEnormal"/>
    <w:locked/>
    <w:rsid w:val="00F26E68"/>
    <w:pPr>
      <w:numPr>
        <w:ilvl w:val="3"/>
        <w:numId w:val="16"/>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9"/>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20"/>
      </w:numPr>
    </w:pPr>
  </w:style>
  <w:style w:type="paragraph" w:customStyle="1" w:styleId="Section3paragraphs">
    <w:name w:val="Section 3 paragraphs"/>
    <w:basedOn w:val="NICEnormal"/>
    <w:locked/>
    <w:rsid w:val="00D37703"/>
    <w:pPr>
      <w:numPr>
        <w:numId w:val="8"/>
      </w:numPr>
    </w:pPr>
  </w:style>
  <w:style w:type="paragraph" w:customStyle="1" w:styleId="Section411paragraphs">
    <w:name w:val="Section 4.1.1 paragraphs"/>
    <w:basedOn w:val="NICEnormal"/>
    <w:locked/>
    <w:rsid w:val="00D37703"/>
    <w:pPr>
      <w:numPr>
        <w:numId w:val="9"/>
      </w:numPr>
    </w:pPr>
  </w:style>
  <w:style w:type="paragraph" w:customStyle="1" w:styleId="Section412paragraphs">
    <w:name w:val="Section 4.1.2 paragraphs"/>
    <w:basedOn w:val="NICEnormal"/>
    <w:locked/>
    <w:rsid w:val="00D37703"/>
    <w:pPr>
      <w:numPr>
        <w:numId w:val="10"/>
      </w:numPr>
    </w:pPr>
  </w:style>
  <w:style w:type="paragraph" w:customStyle="1" w:styleId="Section42paragraphs">
    <w:name w:val="Section 4.2 paragraphs"/>
    <w:basedOn w:val="NICEnormal"/>
    <w:locked/>
    <w:rsid w:val="00D37703"/>
    <w:pPr>
      <w:numPr>
        <w:numId w:val="11"/>
      </w:numPr>
    </w:pPr>
  </w:style>
  <w:style w:type="paragraph" w:customStyle="1" w:styleId="Section43paragraphs">
    <w:name w:val="Section 4.3 paragraphs"/>
    <w:basedOn w:val="NICEnormal"/>
    <w:locked/>
    <w:rsid w:val="00AB39FA"/>
    <w:pPr>
      <w:numPr>
        <w:numId w:val="12"/>
      </w:numPr>
    </w:pPr>
  </w:style>
  <w:style w:type="paragraph" w:customStyle="1" w:styleId="Appendixlevel1">
    <w:name w:val="Appendix level 1"/>
    <w:basedOn w:val="NICEnormal"/>
    <w:autoRedefine/>
    <w:locked/>
    <w:rsid w:val="004B514C"/>
    <w:pPr>
      <w:numPr>
        <w:numId w:val="13"/>
      </w:numPr>
      <w:spacing w:before="240"/>
    </w:pPr>
  </w:style>
  <w:style w:type="paragraph" w:customStyle="1" w:styleId="Appendixlevel2">
    <w:name w:val="Appendix level 2"/>
    <w:basedOn w:val="NICEnormal"/>
    <w:locked/>
    <w:rsid w:val="004B514C"/>
    <w:pPr>
      <w:numPr>
        <w:numId w:val="14"/>
      </w:numPr>
      <w:spacing w:before="240"/>
    </w:pPr>
  </w:style>
  <w:style w:type="paragraph" w:customStyle="1" w:styleId="Appendixbullet">
    <w:name w:val="Appendix bullet"/>
    <w:basedOn w:val="NICEnormal"/>
    <w:locked/>
    <w:rsid w:val="004B514C"/>
    <w:pPr>
      <w:numPr>
        <w:numId w:val="15"/>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7"/>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1"/>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2"/>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6"/>
      </w:numPr>
      <w:tabs>
        <w:tab w:val="left" w:pos="426"/>
      </w:tabs>
    </w:pPr>
    <w:rPr>
      <w:noProof/>
    </w:rPr>
  </w:style>
  <w:style w:type="paragraph" w:customStyle="1" w:styleId="Bullets">
    <w:name w:val="Bullets"/>
    <w:basedOn w:val="Normal"/>
    <w:uiPriority w:val="5"/>
    <w:qFormat/>
    <w:locked/>
    <w:rsid w:val="009C6E2D"/>
    <w:pPr>
      <w:numPr>
        <w:numId w:val="24"/>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5"/>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Tableheading">
    <w:name w:val="Table heading"/>
    <w:basedOn w:val="Tabletext"/>
    <w:qFormat/>
    <w:rsid w:val="00D73975"/>
    <w:pPr>
      <w:keepNext w:val="0"/>
    </w:pPr>
    <w:rPr>
      <w:b/>
    </w:rPr>
  </w:style>
  <w:style w:type="character" w:customStyle="1" w:styleId="normaltextrun">
    <w:name w:val="normaltextrun"/>
    <w:basedOn w:val="DefaultParagraphFont"/>
    <w:rsid w:val="00D73975"/>
  </w:style>
  <w:style w:type="character" w:styleId="Mention">
    <w:name w:val="Mention"/>
    <w:basedOn w:val="DefaultParagraphFont"/>
    <w:uiPriority w:val="99"/>
    <w:unhideWhenUsed/>
    <w:locked/>
    <w:rsid w:val="00D73975"/>
    <w:rPr>
      <w:color w:val="2B579A"/>
      <w:shd w:val="clear" w:color="auto" w:fill="E1DFDD"/>
    </w:rPr>
  </w:style>
  <w:style w:type="character" w:customStyle="1" w:styleId="ui-provider">
    <w:name w:val="ui-provider"/>
    <w:basedOn w:val="DefaultParagraphFont"/>
    <w:rsid w:val="00D73975"/>
  </w:style>
  <w:style w:type="paragraph" w:styleId="CommentSubject">
    <w:name w:val="annotation subject"/>
    <w:basedOn w:val="CommentText"/>
    <w:next w:val="CommentText"/>
    <w:link w:val="CommentSubjectChar"/>
    <w:rsid w:val="005F64EE"/>
    <w:rPr>
      <w:b/>
      <w:bCs/>
      <w:lang w:eastAsia="en-US"/>
    </w:rPr>
  </w:style>
  <w:style w:type="character" w:customStyle="1" w:styleId="CommentSubjectChar">
    <w:name w:val="Comment Subject Char"/>
    <w:basedOn w:val="CommentTextChar"/>
    <w:link w:val="CommentSubject"/>
    <w:rsid w:val="005F64EE"/>
    <w:rPr>
      <w:b/>
      <w:bCs/>
      <w:lang w:eastAsia="en-US"/>
    </w:rPr>
  </w:style>
  <w:style w:type="character" w:styleId="FollowedHyperlink">
    <w:name w:val="FollowedHyperlink"/>
    <w:basedOn w:val="DefaultParagraphFont"/>
    <w:rsid w:val="006C1221"/>
    <w:rPr>
      <w:color w:val="954F72" w:themeColor="followedHyperlink"/>
      <w:u w:val="single"/>
    </w:rPr>
  </w:style>
  <w:style w:type="character" w:customStyle="1" w:styleId="cf01">
    <w:name w:val="cf01"/>
    <w:basedOn w:val="DefaultParagraphFont"/>
    <w:rsid w:val="00FA3F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about-this-guide" TargetMode="External"/><Relationship Id="rId13" Type="http://schemas.openxmlformats.org/officeDocument/2006/relationships/hyperlink" Target="https://www.nice.org.uk/Glossary?lett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ice.org.uk/guidance/indevelopment/gid-pmg10003/documents" TargetMode="External"/><Relationship Id="rId12" Type="http://schemas.openxmlformats.org/officeDocument/2006/relationships/hyperlink" Target="https://www.nice.org.uk/Glossary?letter=P" TargetMode="External"/><Relationship Id="rId17" Type="http://schemas.openxmlformats.org/officeDocument/2006/relationships/hyperlink" Target="https://www.nice.org.uk/terms-and-conditions" TargetMode="External"/><Relationship Id="rId2" Type="http://schemas.openxmlformats.org/officeDocument/2006/relationships/styles" Target="styles.xml"/><Relationship Id="rId16" Type="http://schemas.openxmlformats.org/officeDocument/2006/relationships/hyperlink" Target="https://www.nice.org.uk/guidance/indevelopment/gid-ngc10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ngc10024"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nice.org.uk/consultations/2523/15/prioritisation-framework-eligibility-criteria" TargetMode="External"/><Relationship Id="rId23" Type="http://schemas.openxmlformats.org/officeDocument/2006/relationships/customXml" Target="../customXml/item2.xml"/><Relationship Id="rId10" Type="http://schemas.openxmlformats.org/officeDocument/2006/relationships/hyperlink" Target="https://www.nice.org.uk/guidance/indevelopment/gid-pmg10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indevelopment/gid-pmg10002" TargetMode="External"/><Relationship Id="rId14" Type="http://schemas.openxmlformats.org/officeDocument/2006/relationships/hyperlink" Target="https://www.nice.org.uk/consultations/2523/15/nice-integrated-topic-prioritisation-manual"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adc4af7-6c61-4d83-a8fe-e6380333cf6e">
      <UserInfo>
        <DisplayName>Limited Access System Group</DisplayName>
        <AccountId>404</AccountId>
        <AccountType/>
      </UserInfo>
      <UserInfo>
        <DisplayName>David Coombs</DisplayName>
        <AccountId>13</AccountId>
        <AccountType/>
      </UserInfo>
      <UserInfo>
        <DisplayName>Richard Howard</DisplayName>
        <AccountId>186</AccountId>
        <AccountType/>
      </UserInfo>
      <UserInfo>
        <DisplayName>Elaine Repton</DisplayName>
        <AccountId>12</AccountId>
        <AccountType/>
      </UserInfo>
      <UserInfo>
        <DisplayName>victoria long</DisplayName>
        <AccountId>32</AccountId>
        <AccountType/>
      </UserInfo>
      <UserInfo>
        <DisplayName>Asma Khalik</DisplayName>
        <AccountId>25</AccountId>
        <AccountType/>
      </UserInfo>
      <UserInfo>
        <DisplayName>Jane Silvester</DisplayName>
        <AccountId>65</AccountId>
        <AccountType/>
      </UserInfo>
      <UserInfo>
        <DisplayName>SharingLinks.77cbf45e-a99a-4bfd-be15-0f55dee5c52f.OrganizationEdit.bebeec1b-6a44-4e3b-93b1-45144e1c9432</DisplayName>
        <AccountId>419</AccountId>
        <AccountType/>
      </UserInfo>
      <UserInfo>
        <DisplayName>Bukky Gibson</DisplayName>
        <AccountId>82</AccountId>
        <AccountType/>
      </UserInfo>
      <UserInfo>
        <DisplayName>Sam Roberts</DisplayName>
        <AccountId>371</AccountId>
        <AccountType/>
      </UserInfo>
    </SharedWithUsers>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3268D6AB-2278-4897-A756-7EEA4DE8E0CD}"/>
</file>

<file path=customXml/itemProps2.xml><?xml version="1.0" encoding="utf-8"?>
<ds:datastoreItem xmlns:ds="http://schemas.openxmlformats.org/officeDocument/2006/customXml" ds:itemID="{199457C2-4C03-4AB9-A2CB-0A92D32B1216}"/>
</file>

<file path=customXml/itemProps3.xml><?xml version="1.0" encoding="utf-8"?>
<ds:datastoreItem xmlns:ds="http://schemas.openxmlformats.org/officeDocument/2006/customXml" ds:itemID="{883EE489-62EE-4961-81C7-7599F2C3EE26}"/>
</file>

<file path=docProps/app.xml><?xml version="1.0" encoding="utf-8"?>
<Properties xmlns="http://schemas.openxmlformats.org/officeDocument/2006/extended-properties" xmlns:vt="http://schemas.openxmlformats.org/officeDocument/2006/docPropsVTypes">
  <Template>Normal</Template>
  <TotalTime>0</TotalTime>
  <Pages>21</Pages>
  <Words>5708</Words>
  <Characters>33680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39310</CharactersWithSpaces>
  <SharedDoc>false</SharedDoc>
  <HLinks>
    <vt:vector size="114" baseType="variant">
      <vt:variant>
        <vt:i4>4194324</vt:i4>
      </vt:variant>
      <vt:variant>
        <vt:i4>57</vt:i4>
      </vt:variant>
      <vt:variant>
        <vt:i4>0</vt:i4>
      </vt:variant>
      <vt:variant>
        <vt:i4>5</vt:i4>
      </vt:variant>
      <vt:variant>
        <vt:lpwstr>https://www.nice.org.uk/terms-and-conditions</vt:lpwstr>
      </vt:variant>
      <vt:variant>
        <vt:lpwstr>notice-of-rights</vt:lpwstr>
      </vt:variant>
      <vt:variant>
        <vt:i4>7733368</vt:i4>
      </vt:variant>
      <vt:variant>
        <vt:i4>54</vt:i4>
      </vt:variant>
      <vt:variant>
        <vt:i4>0</vt:i4>
      </vt:variant>
      <vt:variant>
        <vt:i4>5</vt:i4>
      </vt:variant>
      <vt:variant>
        <vt:lpwstr>https://www.nice.org.uk/guidance/indevelopment/gid-ngc10024</vt:lpwstr>
      </vt:variant>
      <vt:variant>
        <vt:lpwstr/>
      </vt:variant>
      <vt:variant>
        <vt:i4>1507351</vt:i4>
      </vt:variant>
      <vt:variant>
        <vt:i4>51</vt:i4>
      </vt:variant>
      <vt:variant>
        <vt:i4>0</vt:i4>
      </vt:variant>
      <vt:variant>
        <vt:i4>5</vt:i4>
      </vt:variant>
      <vt:variant>
        <vt:lpwstr/>
      </vt:variant>
      <vt:variant>
        <vt:lpwstr>VPAG</vt:lpwstr>
      </vt:variant>
      <vt:variant>
        <vt:i4>4259942</vt:i4>
      </vt:variant>
      <vt:variant>
        <vt:i4>48</vt:i4>
      </vt:variant>
      <vt:variant>
        <vt:i4>0</vt:i4>
      </vt:variant>
      <vt:variant>
        <vt:i4>5</vt:i4>
      </vt:variant>
      <vt:variant>
        <vt:lpwstr/>
      </vt:variant>
      <vt:variant>
        <vt:lpwstr>communicating_decisions</vt:lpwstr>
      </vt:variant>
      <vt:variant>
        <vt:i4>6225927</vt:i4>
      </vt:variant>
      <vt:variant>
        <vt:i4>45</vt:i4>
      </vt:variant>
      <vt:variant>
        <vt:i4>0</vt:i4>
      </vt:variant>
      <vt:variant>
        <vt:i4>5</vt:i4>
      </vt:variant>
      <vt:variant>
        <vt:lpwstr>https://www.nice.org.uk/consultations/2523/15/prioritisation-framework-eligibility-criteria</vt:lpwstr>
      </vt:variant>
      <vt:variant>
        <vt:lpwstr>pre-stage-1-eligibility-criteria-for-new-topics</vt:lpwstr>
      </vt:variant>
      <vt:variant>
        <vt:i4>1507351</vt:i4>
      </vt:variant>
      <vt:variant>
        <vt:i4>42</vt:i4>
      </vt:variant>
      <vt:variant>
        <vt:i4>0</vt:i4>
      </vt:variant>
      <vt:variant>
        <vt:i4>5</vt:i4>
      </vt:variant>
      <vt:variant>
        <vt:lpwstr/>
      </vt:variant>
      <vt:variant>
        <vt:lpwstr>VPAG</vt:lpwstr>
      </vt:variant>
      <vt:variant>
        <vt:i4>5963783</vt:i4>
      </vt:variant>
      <vt:variant>
        <vt:i4>39</vt:i4>
      </vt:variant>
      <vt:variant>
        <vt:i4>0</vt:i4>
      </vt:variant>
      <vt:variant>
        <vt:i4>5</vt:i4>
      </vt:variant>
      <vt:variant>
        <vt:lpwstr>https://www.nice.org.uk/consultations/2523/15/nice-integrated-topic-prioritisation-manual</vt:lpwstr>
      </vt:variant>
      <vt:variant>
        <vt:lpwstr>combination-or-integrated-topics</vt:lpwstr>
      </vt:variant>
      <vt:variant>
        <vt:i4>524308</vt:i4>
      </vt:variant>
      <vt:variant>
        <vt:i4>36</vt:i4>
      </vt:variant>
      <vt:variant>
        <vt:i4>0</vt:i4>
      </vt:variant>
      <vt:variant>
        <vt:i4>5</vt:i4>
      </vt:variant>
      <vt:variant>
        <vt:lpwstr/>
      </vt:variant>
      <vt:variant>
        <vt:lpwstr>KEY_Methids_Work</vt:lpwstr>
      </vt:variant>
      <vt:variant>
        <vt:i4>4784215</vt:i4>
      </vt:variant>
      <vt:variant>
        <vt:i4>33</vt:i4>
      </vt:variant>
      <vt:variant>
        <vt:i4>0</vt:i4>
      </vt:variant>
      <vt:variant>
        <vt:i4>5</vt:i4>
      </vt:variant>
      <vt:variant>
        <vt:lpwstr/>
      </vt:variant>
      <vt:variant>
        <vt:lpwstr>strategic_principles_specifics</vt:lpwstr>
      </vt:variant>
      <vt:variant>
        <vt:i4>7536744</vt:i4>
      </vt:variant>
      <vt:variant>
        <vt:i4>30</vt:i4>
      </vt:variant>
      <vt:variant>
        <vt:i4>0</vt:i4>
      </vt:variant>
      <vt:variant>
        <vt:i4>5</vt:i4>
      </vt:variant>
      <vt:variant>
        <vt:lpwstr/>
      </vt:variant>
      <vt:variant>
        <vt:lpwstr>HST</vt:lpwstr>
      </vt:variant>
      <vt:variant>
        <vt:i4>1572868</vt:i4>
      </vt:variant>
      <vt:variant>
        <vt:i4>27</vt:i4>
      </vt:variant>
      <vt:variant>
        <vt:i4>0</vt:i4>
      </vt:variant>
      <vt:variant>
        <vt:i4>5</vt:i4>
      </vt:variant>
      <vt:variant>
        <vt:lpwstr>https://www.nice.org.uk/Glossary?letter=S</vt:lpwstr>
      </vt:variant>
      <vt:variant>
        <vt:lpwstr>Social%20care</vt:lpwstr>
      </vt:variant>
      <vt:variant>
        <vt:i4>5832761</vt:i4>
      </vt:variant>
      <vt:variant>
        <vt:i4>24</vt:i4>
      </vt:variant>
      <vt:variant>
        <vt:i4>0</vt:i4>
      </vt:variant>
      <vt:variant>
        <vt:i4>5</vt:i4>
      </vt:variant>
      <vt:variant>
        <vt:lpwstr/>
      </vt:variant>
      <vt:variant>
        <vt:lpwstr>Theme3_relationship_Framework_principles</vt:lpwstr>
      </vt:variant>
      <vt:variant>
        <vt:i4>6553702</vt:i4>
      </vt:variant>
      <vt:variant>
        <vt:i4>21</vt:i4>
      </vt:variant>
      <vt:variant>
        <vt:i4>0</vt:i4>
      </vt:variant>
      <vt:variant>
        <vt:i4>5</vt:i4>
      </vt:variant>
      <vt:variant>
        <vt:lpwstr>https://www.nice.org.uk/Glossary?letter=P</vt:lpwstr>
      </vt:variant>
      <vt:variant>
        <vt:lpwstr>Public%20health</vt:lpwstr>
      </vt:variant>
      <vt:variant>
        <vt:i4>7733368</vt:i4>
      </vt:variant>
      <vt:variant>
        <vt:i4>18</vt:i4>
      </vt:variant>
      <vt:variant>
        <vt:i4>0</vt:i4>
      </vt:variant>
      <vt:variant>
        <vt:i4>5</vt:i4>
      </vt:variant>
      <vt:variant>
        <vt:lpwstr>https://www.nice.org.uk/guidance/indevelopment/gid-ngc10024</vt:lpwstr>
      </vt:variant>
      <vt:variant>
        <vt:lpwstr/>
      </vt:variant>
      <vt:variant>
        <vt:i4>7209074</vt:i4>
      </vt:variant>
      <vt:variant>
        <vt:i4>15</vt:i4>
      </vt:variant>
      <vt:variant>
        <vt:i4>0</vt:i4>
      </vt:variant>
      <vt:variant>
        <vt:i4>5</vt:i4>
      </vt:variant>
      <vt:variant>
        <vt:lpwstr>https://www.nice.org.uk/guidance/indevelopment/gid-pmg10004</vt:lpwstr>
      </vt:variant>
      <vt:variant>
        <vt:lpwstr/>
      </vt:variant>
      <vt:variant>
        <vt:i4>7209074</vt:i4>
      </vt:variant>
      <vt:variant>
        <vt:i4>12</vt:i4>
      </vt:variant>
      <vt:variant>
        <vt:i4>0</vt:i4>
      </vt:variant>
      <vt:variant>
        <vt:i4>5</vt:i4>
      </vt:variant>
      <vt:variant>
        <vt:lpwstr>https://www.nice.org.uk/guidance/indevelopment/gid-pmg10002</vt:lpwstr>
      </vt:variant>
      <vt:variant>
        <vt:lpwstr/>
      </vt:variant>
      <vt:variant>
        <vt:i4>3932275</vt:i4>
      </vt:variant>
      <vt:variant>
        <vt:i4>6</vt:i4>
      </vt:variant>
      <vt:variant>
        <vt:i4>0</vt:i4>
      </vt:variant>
      <vt:variant>
        <vt:i4>5</vt:i4>
      </vt:variant>
      <vt:variant>
        <vt:lpwstr/>
      </vt:variant>
      <vt:variant>
        <vt:lpwstr>TABLE1</vt:lpwstr>
      </vt:variant>
      <vt:variant>
        <vt:i4>3276834</vt:i4>
      </vt:variant>
      <vt:variant>
        <vt:i4>3</vt:i4>
      </vt:variant>
      <vt:variant>
        <vt:i4>0</vt:i4>
      </vt:variant>
      <vt:variant>
        <vt:i4>5</vt:i4>
      </vt:variant>
      <vt:variant>
        <vt:lpwstr>https://www.nice.org.uk/process/pmg37/chapter/about-this-guide</vt:lpwstr>
      </vt:variant>
      <vt:variant>
        <vt:lpwstr/>
      </vt:variant>
      <vt:variant>
        <vt:i4>4849733</vt:i4>
      </vt:variant>
      <vt:variant>
        <vt:i4>0</vt:i4>
      </vt:variant>
      <vt:variant>
        <vt:i4>0</vt:i4>
      </vt:variant>
      <vt:variant>
        <vt:i4>5</vt:i4>
      </vt:variant>
      <vt:variant>
        <vt:lpwstr>https://www.nice.org.uk/guidance/indevelopment/gid-pmg10003/documents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2024-05-10T07:01:00Z</dcterms:created>
  <dcterms:modified xsi:type="dcterms:W3CDTF">2024-05-10T07:02:00Z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2024-05-10T07:02:07Z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692e91a2-5ed2-458d-a3f9-9d098ba35757</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0x01010026E2F098893DC34484FEBB01E743F540</vt:lpwstr>
  </property>
  <property fmtid="{D5CDD505-2E9C-101B-9397-08002B2CF9AE}" pid="11" name="MSIP_Label_37c1caf1-e4f0-4b5d-9415-ebd897024cb8_ContentBits">
    <vt:lpwstr>0</vt:lpwstr>
  </property>
  <property fmtid="{D5CDD505-2E9C-101B-9397-08002B2CF9AE}" pid="12" name="MSIP_Label_37c1caf1-e4f0-4b5d-9415-ebd897024cb8_Name">
    <vt:lpwstr>OFFICIAL-SENSITIVE PRE-PUBLICATION</vt:lpwstr>
  </property>
  <property fmtid="{D5CDD505-2E9C-101B-9397-08002B2CF9AE}" pid="13" name="MSIP_Label_37c1caf1-e4f0-4b5d-9415-ebd897024cb8_SetDate">
    <vt:lpwstr>2024-05-01T05:54:04Z</vt:lpwstr>
  </property>
  <property fmtid="{D5CDD505-2E9C-101B-9397-08002B2CF9AE}" pid="14" name="MSIP_Label_37c1caf1-e4f0-4b5d-9415-ebd897024cb8_ActionId">
    <vt:lpwstr>82d70698-6e1d-4242-aa7d-040b7e725792</vt:lpwstr>
  </property>
  <property fmtid="{D5CDD505-2E9C-101B-9397-08002B2CF9AE}" pid="15" name="MSIP_Label_37c1caf1-e4f0-4b5d-9415-ebd897024cb8_Method">
    <vt:lpwstr>Privileged</vt:lpwstr>
  </property>
  <property fmtid="{D5CDD505-2E9C-101B-9397-08002B2CF9AE}" pid="16" name="MSIP_Label_37c1caf1-e4f0-4b5d-9415-ebd897024cb8_SiteId">
    <vt:lpwstr>6030f479-b342-472d-a5dd-740ff7538de9</vt:lpwstr>
  </property>
  <property fmtid="{D5CDD505-2E9C-101B-9397-08002B2CF9AE}" pid="17" name="Policy Status">
    <vt:lpwstr/>
  </property>
  <property fmtid="{D5CDD505-2E9C-101B-9397-08002B2CF9AE}" pid="18" name="Service area">
    <vt:lpwstr/>
  </property>
  <property fmtid="{D5CDD505-2E9C-101B-9397-08002B2CF9AE}" pid="19" name="c3e9b32804b143caaf778522fda46369">
    <vt:lpwstr/>
  </property>
  <property fmtid="{D5CDD505-2E9C-101B-9397-08002B2CF9AE}" pid="20" name="j31c8abf4698464c99deb46d7432c918">
    <vt:lpwstr/>
  </property>
  <property fmtid="{D5CDD505-2E9C-101B-9397-08002B2CF9AE}" pid="21" name="MSIP_Label_37c1caf1-e4f0-4b5d-9415-ebd897024cb8_Enabled">
    <vt:lpwstr>true</vt:lpwstr>
  </property>
  <property fmtid="{D5CDD505-2E9C-101B-9397-08002B2CF9AE}" pid="22" name="Display Status">
    <vt:lpwstr>6;#Published to NICE Space|f71fafb2-379e-4f7a-b39f-0cae49bb0737</vt:lpwstr>
  </property>
</Properties>
</file>