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98E94" w14:textId="77777777" w:rsidR="00D628D5" w:rsidRDefault="00D628D5" w:rsidP="000A691E">
      <w:pPr>
        <w:pStyle w:val="Title1"/>
        <w:rPr>
          <w:rFonts w:eastAsia="Arial"/>
        </w:rPr>
      </w:pPr>
      <w:r w:rsidRPr="23145131">
        <w:rPr>
          <w:rFonts w:eastAsia="Arial"/>
        </w:rPr>
        <w:t xml:space="preserve">Board </w:t>
      </w:r>
      <w:r w:rsidRPr="000A691E">
        <w:rPr>
          <w:rFonts w:eastAsia="Arial"/>
        </w:rPr>
        <w:t>meeting</w:t>
      </w:r>
    </w:p>
    <w:p w14:paraId="609FB43B" w14:textId="77777777" w:rsidR="00D628D5" w:rsidRDefault="00D628D5" w:rsidP="000A691E">
      <w:pPr>
        <w:pStyle w:val="Title20"/>
        <w:rPr>
          <w:rFonts w:eastAsia="Arial"/>
        </w:rPr>
      </w:pPr>
      <w:r w:rsidRPr="23145131">
        <w:rPr>
          <w:rFonts w:eastAsia="Arial"/>
        </w:rPr>
        <w:t>25 September 2024</w:t>
      </w:r>
    </w:p>
    <w:p w14:paraId="69D22DEC" w14:textId="77777777" w:rsidR="00D628D5" w:rsidRDefault="00D628D5" w:rsidP="000A691E">
      <w:pPr>
        <w:pStyle w:val="Title1"/>
        <w:rPr>
          <w:rFonts w:eastAsia="Arial"/>
        </w:rPr>
      </w:pPr>
      <w:r w:rsidRPr="23145131">
        <w:rPr>
          <w:rFonts w:eastAsia="Arial"/>
        </w:rPr>
        <w:t>Review of the implementation of the severity modifier</w:t>
      </w:r>
    </w:p>
    <w:p w14:paraId="3F38A58E" w14:textId="77777777" w:rsidR="00D628D5" w:rsidRDefault="00D628D5" w:rsidP="000A691E">
      <w:pPr>
        <w:pStyle w:val="Heading1boardreport"/>
        <w:rPr>
          <w:rFonts w:eastAsia="Arial"/>
        </w:rPr>
      </w:pPr>
      <w:r w:rsidRPr="23145131">
        <w:rPr>
          <w:rFonts w:eastAsia="Arial"/>
        </w:rPr>
        <w:t>Purpose of paper</w:t>
      </w:r>
    </w:p>
    <w:p w14:paraId="7B3404DC" w14:textId="77777777" w:rsidR="00D628D5" w:rsidRDefault="00D628D5" w:rsidP="00D628D5">
      <w:pPr>
        <w:spacing w:after="240" w:line="360" w:lineRule="auto"/>
        <w:rPr>
          <w:rFonts w:ascii="Arial" w:eastAsia="Arial" w:hAnsi="Arial" w:cs="Arial"/>
        </w:rPr>
      </w:pPr>
      <w:r w:rsidRPr="23145131">
        <w:rPr>
          <w:rFonts w:ascii="Arial" w:eastAsia="Arial" w:hAnsi="Arial" w:cs="Arial"/>
        </w:rPr>
        <w:t>For approval</w:t>
      </w:r>
    </w:p>
    <w:p w14:paraId="15AB68AE" w14:textId="77777777" w:rsidR="00D628D5" w:rsidRDefault="00D628D5" w:rsidP="000A691E">
      <w:pPr>
        <w:pStyle w:val="Heading1boardreport"/>
        <w:rPr>
          <w:rFonts w:eastAsia="Arial"/>
        </w:rPr>
      </w:pPr>
      <w:r w:rsidRPr="23145131">
        <w:rPr>
          <w:rFonts w:eastAsia="Arial"/>
        </w:rPr>
        <w:t>Board action required</w:t>
      </w:r>
    </w:p>
    <w:p w14:paraId="6BDB9F52" w14:textId="77777777" w:rsidR="00D628D5" w:rsidRDefault="00D628D5" w:rsidP="00D628D5">
      <w:pPr>
        <w:spacing w:after="240" w:line="360" w:lineRule="auto"/>
        <w:rPr>
          <w:rFonts w:ascii="Arial" w:eastAsia="Arial" w:hAnsi="Arial" w:cs="Arial"/>
        </w:rPr>
      </w:pPr>
      <w:r w:rsidRPr="23145131">
        <w:rPr>
          <w:rFonts w:ascii="Arial" w:eastAsia="Arial" w:hAnsi="Arial" w:cs="Arial"/>
        </w:rPr>
        <w:t>The Board is asked to:</w:t>
      </w:r>
    </w:p>
    <w:p w14:paraId="637BEAE6" w14:textId="2CE8DD49" w:rsidR="00D628D5" w:rsidRPr="0064474D" w:rsidRDefault="00D628D5" w:rsidP="0064474D">
      <w:pPr>
        <w:pStyle w:val="ListParagraph"/>
        <w:numPr>
          <w:ilvl w:val="0"/>
          <w:numId w:val="39"/>
        </w:numPr>
        <w:spacing w:line="360" w:lineRule="auto"/>
        <w:ind w:left="1004" w:hanging="284"/>
        <w:rPr>
          <w:rFonts w:ascii="Arial" w:eastAsia="Arial" w:hAnsi="Arial" w:cs="Arial"/>
        </w:rPr>
      </w:pPr>
      <w:r w:rsidRPr="23145131">
        <w:rPr>
          <w:rFonts w:ascii="Arial" w:eastAsia="Arial" w:hAnsi="Arial" w:cs="Arial"/>
        </w:rPr>
        <w:t xml:space="preserve">approve the recommendation that no change to the severity modifier is required </w:t>
      </w:r>
      <w:r>
        <w:rPr>
          <w:rFonts w:ascii="Arial" w:eastAsia="Arial" w:hAnsi="Arial" w:cs="Arial"/>
        </w:rPr>
        <w:t>at this time</w:t>
      </w:r>
      <w:r w:rsidR="0064474D">
        <w:rPr>
          <w:rFonts w:ascii="Arial" w:eastAsia="Arial" w:hAnsi="Arial" w:cs="Arial"/>
        </w:rPr>
        <w:t xml:space="preserve"> and </w:t>
      </w:r>
      <w:r w:rsidRPr="0064474D">
        <w:rPr>
          <w:rFonts w:ascii="Arial" w:eastAsia="Arial" w:hAnsi="Arial" w:cs="Arial"/>
        </w:rPr>
        <w:t xml:space="preserve">to continue monitoring the mean weighting applied to </w:t>
      </w:r>
      <w:r w:rsidR="00896ADA" w:rsidRPr="0064474D">
        <w:rPr>
          <w:rFonts w:ascii="Arial" w:eastAsia="Arial" w:hAnsi="Arial" w:cs="Arial"/>
        </w:rPr>
        <w:t>t</w:t>
      </w:r>
      <w:r w:rsidRPr="0064474D">
        <w:rPr>
          <w:rFonts w:ascii="Arial" w:eastAsia="Arial" w:hAnsi="Arial" w:cs="Arial"/>
        </w:rPr>
        <w:t xml:space="preserve">echnology </w:t>
      </w:r>
      <w:r w:rsidR="00896ADA" w:rsidRPr="0064474D">
        <w:rPr>
          <w:rFonts w:ascii="Arial" w:eastAsia="Arial" w:hAnsi="Arial" w:cs="Arial"/>
        </w:rPr>
        <w:t>a</w:t>
      </w:r>
      <w:r w:rsidRPr="0064474D">
        <w:rPr>
          <w:rFonts w:ascii="Arial" w:eastAsia="Arial" w:hAnsi="Arial" w:cs="Arial"/>
        </w:rPr>
        <w:t>ppraisal decisions.</w:t>
      </w:r>
    </w:p>
    <w:p w14:paraId="23EF58CA" w14:textId="77777777" w:rsidR="00D628D5" w:rsidRDefault="00D628D5" w:rsidP="00D628D5">
      <w:pPr>
        <w:pStyle w:val="ListParagraph"/>
        <w:numPr>
          <w:ilvl w:val="0"/>
          <w:numId w:val="38"/>
        </w:numPr>
        <w:spacing w:line="360" w:lineRule="auto"/>
        <w:ind w:left="993" w:hanging="284"/>
        <w:rPr>
          <w:rFonts w:ascii="Arial" w:eastAsia="Arial" w:hAnsi="Arial" w:cs="Arial"/>
        </w:rPr>
      </w:pPr>
      <w:r w:rsidRPr="23145131">
        <w:rPr>
          <w:rFonts w:ascii="Arial" w:eastAsia="Arial" w:hAnsi="Arial" w:cs="Arial"/>
        </w:rPr>
        <w:t>approve the progression of further research on societal preferences in relation to severity.</w:t>
      </w:r>
    </w:p>
    <w:p w14:paraId="302E120E" w14:textId="77777777" w:rsidR="00D628D5" w:rsidRDefault="00D628D5" w:rsidP="000A691E">
      <w:pPr>
        <w:pStyle w:val="Heading1boardreport"/>
        <w:rPr>
          <w:rFonts w:eastAsia="Arial"/>
        </w:rPr>
      </w:pPr>
      <w:r w:rsidRPr="23145131">
        <w:rPr>
          <w:rFonts w:eastAsia="Arial"/>
        </w:rPr>
        <w:t>Brief summary</w:t>
      </w:r>
    </w:p>
    <w:p w14:paraId="7277604D" w14:textId="77777777" w:rsidR="00D628D5" w:rsidRDefault="00D628D5" w:rsidP="00D628D5">
      <w:pPr>
        <w:spacing w:after="240" w:line="360" w:lineRule="auto"/>
        <w:rPr>
          <w:rFonts w:ascii="Arial" w:eastAsia="Arial" w:hAnsi="Arial" w:cs="Arial"/>
        </w:rPr>
      </w:pPr>
      <w:r w:rsidRPr="23145131">
        <w:rPr>
          <w:rFonts w:ascii="Arial" w:eastAsia="Arial" w:hAnsi="Arial" w:cs="Arial"/>
        </w:rPr>
        <w:t>The severity modifier was introduced in 2022. It was designed to be opportunity cost neutral in relation to the end of life modifier that it replaced, and to apply to a broader range of conditions than had benefited from the end of life modifier. This paper assesses whether the severity modifier is operating as intended.</w:t>
      </w:r>
    </w:p>
    <w:p w14:paraId="68B6532B" w14:textId="77777777" w:rsidR="00D628D5" w:rsidRDefault="00D628D5" w:rsidP="000C50AD">
      <w:pPr>
        <w:pStyle w:val="Heading1boardreport"/>
        <w:rPr>
          <w:rFonts w:eastAsia="Arial"/>
        </w:rPr>
      </w:pPr>
      <w:r w:rsidRPr="23145131">
        <w:rPr>
          <w:rFonts w:eastAsia="Arial"/>
        </w:rPr>
        <w:t>Board sponsor</w:t>
      </w:r>
    </w:p>
    <w:p w14:paraId="35A199B9" w14:textId="77777777" w:rsidR="00D628D5" w:rsidRDefault="00D628D5" w:rsidP="00D628D5">
      <w:pPr>
        <w:spacing w:after="240" w:line="276" w:lineRule="auto"/>
        <w:ind w:left="360" w:hanging="360"/>
        <w:rPr>
          <w:rFonts w:ascii="Arial" w:eastAsia="Arial" w:hAnsi="Arial" w:cs="Arial"/>
        </w:rPr>
      </w:pPr>
      <w:r w:rsidRPr="23145131">
        <w:rPr>
          <w:rFonts w:ascii="Arial" w:eastAsia="Arial" w:hAnsi="Arial" w:cs="Arial"/>
        </w:rPr>
        <w:t>Dr Nick Crabb, Chief Scientific Officer</w:t>
      </w:r>
    </w:p>
    <w:p w14:paraId="139326C6" w14:textId="77777777" w:rsidR="00D628D5" w:rsidRDefault="00D628D5" w:rsidP="00D628D5">
      <w:pPr>
        <w:spacing w:after="240" w:line="276" w:lineRule="auto"/>
        <w:ind w:left="360" w:hanging="360"/>
        <w:rPr>
          <w:rFonts w:ascii="Arial" w:eastAsia="Arial" w:hAnsi="Arial" w:cs="Arial"/>
          <w:b/>
          <w:bCs/>
          <w:color w:val="2F5496"/>
          <w:sz w:val="32"/>
          <w:szCs w:val="32"/>
        </w:rPr>
      </w:pPr>
      <w:r w:rsidRPr="23145131">
        <w:rPr>
          <w:rFonts w:ascii="Arial" w:eastAsia="Arial" w:hAnsi="Arial" w:cs="Arial"/>
        </w:rPr>
        <w:t>Helen Knight, Director of Medicines Evaluation</w:t>
      </w:r>
    </w:p>
    <w:p w14:paraId="0F43483C" w14:textId="77777777" w:rsidR="00D628D5" w:rsidRDefault="00D628D5" w:rsidP="00D628D5">
      <w:pPr>
        <w:rPr>
          <w:rFonts w:ascii="Arial" w:eastAsia="Arial" w:hAnsi="Arial" w:cs="Arial"/>
          <w:b/>
          <w:bCs/>
          <w:color w:val="2F5496"/>
          <w:sz w:val="32"/>
          <w:szCs w:val="32"/>
        </w:rPr>
      </w:pPr>
      <w:r>
        <w:rPr>
          <w:rFonts w:ascii="Arial" w:eastAsia="Arial" w:hAnsi="Arial" w:cs="Arial"/>
          <w:b/>
          <w:bCs/>
          <w:color w:val="2F5496"/>
          <w:sz w:val="32"/>
          <w:szCs w:val="32"/>
        </w:rPr>
        <w:br w:type="page"/>
      </w:r>
    </w:p>
    <w:p w14:paraId="2336D228" w14:textId="77777777" w:rsidR="00D628D5" w:rsidRDefault="00D628D5" w:rsidP="00312797">
      <w:pPr>
        <w:pStyle w:val="Heading1boardreport"/>
        <w:rPr>
          <w:rFonts w:eastAsia="Arial"/>
        </w:rPr>
      </w:pPr>
      <w:r w:rsidRPr="23145131">
        <w:rPr>
          <w:rFonts w:eastAsia="Arial"/>
        </w:rPr>
        <w:t xml:space="preserve">Background </w:t>
      </w:r>
    </w:p>
    <w:p w14:paraId="035E66B5" w14:textId="36D89DAC" w:rsidR="00D628D5" w:rsidRPr="00E40161" w:rsidRDefault="00D628D5" w:rsidP="00E40161">
      <w:pPr>
        <w:pStyle w:val="NICEnormalnumbered"/>
        <w:rPr>
          <w:rFonts w:eastAsia="Arial"/>
        </w:rPr>
      </w:pPr>
      <w:r w:rsidRPr="6DACEFA0">
        <w:rPr>
          <w:rFonts w:eastAsia="Arial"/>
        </w:rPr>
        <w:t xml:space="preserve">The severity modifier was introduced in 2022 in order to place greater value on health benefits provided for people with </w:t>
      </w:r>
      <w:r>
        <w:rPr>
          <w:rFonts w:eastAsia="Arial"/>
        </w:rPr>
        <w:t xml:space="preserve">more </w:t>
      </w:r>
      <w:r w:rsidRPr="6DACEFA0">
        <w:rPr>
          <w:rFonts w:eastAsia="Arial"/>
        </w:rPr>
        <w:t>severe diseases. It replaced a previous “end of life” modifier, where providing additional weeks or months at the end of life for people with terminal diseases was valued more highly. The change to the severity modifier was designed to benefit a broader range of diseases and better reflect the available evidence on society’s preferences. </w:t>
      </w:r>
    </w:p>
    <w:p w14:paraId="5453AEB2" w14:textId="3A1255A1" w:rsidR="00D628D5" w:rsidRPr="00E40161" w:rsidRDefault="00D628D5" w:rsidP="00E40161">
      <w:pPr>
        <w:pStyle w:val="NICEnormalnumbered"/>
        <w:rPr>
          <w:rFonts w:eastAsia="Arial"/>
        </w:rPr>
      </w:pPr>
      <w:r w:rsidRPr="00B52F7B">
        <w:rPr>
          <w:rFonts w:eastAsia="Arial"/>
        </w:rPr>
        <w:t xml:space="preserve">Responses to </w:t>
      </w:r>
      <w:r w:rsidR="00E90251">
        <w:rPr>
          <w:rFonts w:eastAsia="Arial"/>
        </w:rPr>
        <w:t>2</w:t>
      </w:r>
      <w:r>
        <w:rPr>
          <w:rFonts w:eastAsia="Arial"/>
        </w:rPr>
        <w:t xml:space="preserve"> </w:t>
      </w:r>
      <w:r w:rsidRPr="00B52F7B">
        <w:rPr>
          <w:rFonts w:eastAsia="Arial"/>
        </w:rPr>
        <w:t>public consultations showed stakeholders</w:t>
      </w:r>
      <w:r>
        <w:rPr>
          <w:rFonts w:eastAsia="Arial"/>
        </w:rPr>
        <w:t xml:space="preserve">, including the life sciences industry, </w:t>
      </w:r>
      <w:r w:rsidRPr="00B52F7B">
        <w:rPr>
          <w:rFonts w:eastAsia="Arial"/>
        </w:rPr>
        <w:t xml:space="preserve">broadly supported the concept of a severity modifier. This was because they considered it to be fairer than the previous end of life </w:t>
      </w:r>
      <w:r>
        <w:rPr>
          <w:rFonts w:eastAsia="Arial"/>
        </w:rPr>
        <w:t xml:space="preserve">modifier </w:t>
      </w:r>
      <w:r w:rsidRPr="00B52F7B">
        <w:rPr>
          <w:rFonts w:eastAsia="Arial"/>
        </w:rPr>
        <w:t xml:space="preserve">as it would apply to more </w:t>
      </w:r>
      <w:r>
        <w:rPr>
          <w:rFonts w:eastAsia="Arial"/>
        </w:rPr>
        <w:t xml:space="preserve">severe </w:t>
      </w:r>
      <w:r w:rsidRPr="00B52F7B">
        <w:rPr>
          <w:rFonts w:eastAsia="Arial"/>
        </w:rPr>
        <w:t>disease areas outside of terminal cancer. </w:t>
      </w:r>
    </w:p>
    <w:p w14:paraId="28AB6E74" w14:textId="307A05C8" w:rsidR="00D628D5" w:rsidRPr="00E40161" w:rsidRDefault="00D628D5" w:rsidP="00E40161">
      <w:pPr>
        <w:pStyle w:val="NICEnormalnumbered"/>
        <w:rPr>
          <w:rFonts w:eastAsia="Arial"/>
        </w:rPr>
      </w:pPr>
      <w:r w:rsidRPr="6DACEFA0">
        <w:rPr>
          <w:rFonts w:eastAsia="Arial"/>
        </w:rPr>
        <w:t xml:space="preserve">The change to the severity modifier had to remain opportunity cost neutral. This is important because a larger severity modifier would have displaced more care, and therefore more health benefits, for patients elsewhere in the NHS. This is a key </w:t>
      </w:r>
      <w:r w:rsidR="00465F36">
        <w:rPr>
          <w:rFonts w:eastAsia="Arial"/>
        </w:rPr>
        <w:t>principle</w:t>
      </w:r>
      <w:r w:rsidRPr="6DACEFA0">
        <w:rPr>
          <w:rFonts w:eastAsia="Arial"/>
        </w:rPr>
        <w:t xml:space="preserve"> NICE works under and any change to NICE methods that were cost inflationary would have to be approved by the Department of Health and Social Care.</w:t>
      </w:r>
    </w:p>
    <w:p w14:paraId="02D91AB2" w14:textId="3C5FB844" w:rsidR="00D628D5" w:rsidRPr="00E40161" w:rsidRDefault="00E90251" w:rsidP="00E40161">
      <w:pPr>
        <w:pStyle w:val="NICEnormalnumbered"/>
        <w:rPr>
          <w:rFonts w:eastAsia="Arial"/>
        </w:rPr>
      </w:pPr>
      <w:r>
        <w:rPr>
          <w:rFonts w:eastAsia="Arial"/>
        </w:rPr>
        <w:t>Two</w:t>
      </w:r>
      <w:r w:rsidR="00D628D5" w:rsidRPr="00B52F7B">
        <w:rPr>
          <w:rFonts w:eastAsia="Arial"/>
        </w:rPr>
        <w:t xml:space="preserve"> levels of severity modifier </w:t>
      </w:r>
      <w:r w:rsidR="00D628D5">
        <w:rPr>
          <w:rFonts w:eastAsia="Arial"/>
        </w:rPr>
        <w:t xml:space="preserve">weightings </w:t>
      </w:r>
      <w:r w:rsidR="00D628D5" w:rsidRPr="00B52F7B">
        <w:rPr>
          <w:rFonts w:eastAsia="Arial"/>
        </w:rPr>
        <w:t xml:space="preserve">were introduced, 1.2 that values the health benefit at 20% higher than standard and 1.7 that values the health benefit at 70% higher than standard. </w:t>
      </w:r>
      <w:r w:rsidR="00D628D5">
        <w:rPr>
          <w:rFonts w:eastAsia="Arial"/>
        </w:rPr>
        <w:t>Further information on the weighting profile is provided in the technical appendix.</w:t>
      </w:r>
    </w:p>
    <w:p w14:paraId="5DE1D2F6" w14:textId="4C6D0787" w:rsidR="00D628D5" w:rsidRPr="00B52F7B" w:rsidRDefault="00D628D5" w:rsidP="00E40161">
      <w:pPr>
        <w:pStyle w:val="NICEnormalnumbered"/>
        <w:rPr>
          <w:rFonts w:eastAsia="Arial"/>
        </w:rPr>
      </w:pPr>
      <w:r>
        <w:rPr>
          <w:rFonts w:eastAsia="Arial"/>
        </w:rPr>
        <w:t xml:space="preserve">Although there is evidence that society highly values health benefits in </w:t>
      </w:r>
      <w:r w:rsidR="00377C47">
        <w:rPr>
          <w:rFonts w:eastAsia="Arial"/>
        </w:rPr>
        <w:t xml:space="preserve">more </w:t>
      </w:r>
      <w:r>
        <w:rPr>
          <w:rFonts w:eastAsia="Arial"/>
        </w:rPr>
        <w:t xml:space="preserve">severe conditions, further research is needed on </w:t>
      </w:r>
      <w:r w:rsidRPr="00B52F7B">
        <w:rPr>
          <w:rFonts w:eastAsia="Arial"/>
        </w:rPr>
        <w:t>society’s preferences on how much additional weighting to</w:t>
      </w:r>
      <w:r>
        <w:rPr>
          <w:rFonts w:eastAsia="Arial"/>
        </w:rPr>
        <w:t xml:space="preserve"> apply to </w:t>
      </w:r>
      <w:r w:rsidRPr="00B52F7B">
        <w:rPr>
          <w:rFonts w:eastAsia="Arial"/>
        </w:rPr>
        <w:t>health benefits for people with severe diseases.</w:t>
      </w:r>
      <w:r>
        <w:rPr>
          <w:rFonts w:eastAsia="Arial"/>
        </w:rPr>
        <w:t xml:space="preserve"> </w:t>
      </w:r>
    </w:p>
    <w:p w14:paraId="3B671F55" w14:textId="77777777" w:rsidR="00D628D5" w:rsidRPr="00B52F7B" w:rsidRDefault="00D628D5" w:rsidP="00312797">
      <w:pPr>
        <w:pStyle w:val="Heading1boardreport"/>
        <w:rPr>
          <w:rFonts w:eastAsia="Arial"/>
          <w:color w:val="000000" w:themeColor="text1"/>
        </w:rPr>
      </w:pPr>
      <w:r w:rsidRPr="00B52F7B">
        <w:rPr>
          <w:rFonts w:eastAsia="Arial"/>
        </w:rPr>
        <w:t>Aim of this review</w:t>
      </w:r>
    </w:p>
    <w:p w14:paraId="7E29C2F0" w14:textId="77777777" w:rsidR="00D628D5" w:rsidRPr="00B52F7B" w:rsidRDefault="00D628D5" w:rsidP="00E40161">
      <w:pPr>
        <w:pStyle w:val="NICEnormalnumbered"/>
        <w:rPr>
          <w:rFonts w:eastAsia="Arial"/>
        </w:rPr>
      </w:pPr>
      <w:r w:rsidRPr="00B52F7B">
        <w:rPr>
          <w:rFonts w:eastAsia="Arial"/>
        </w:rPr>
        <w:t>The aim of this review is to assess whether the severity modifier is operating as intended</w:t>
      </w:r>
      <w:r>
        <w:rPr>
          <w:rFonts w:eastAsia="Arial"/>
        </w:rPr>
        <w:t>, including whether it has been opportunity cost neutral compared to the end of life modifier it replaced</w:t>
      </w:r>
      <w:r w:rsidRPr="00B52F7B">
        <w:rPr>
          <w:rFonts w:eastAsia="Arial"/>
        </w:rPr>
        <w:t xml:space="preserve">. </w:t>
      </w:r>
    </w:p>
    <w:p w14:paraId="2724BE4C" w14:textId="77777777" w:rsidR="00D628D5" w:rsidRPr="00B52F7B" w:rsidRDefault="00D628D5" w:rsidP="00312797">
      <w:pPr>
        <w:pStyle w:val="Heading1boardreport"/>
        <w:rPr>
          <w:rFonts w:eastAsia="Arial"/>
        </w:rPr>
      </w:pPr>
      <w:r w:rsidRPr="4CB49DD6">
        <w:rPr>
          <w:rFonts w:eastAsia="Arial"/>
        </w:rPr>
        <w:t>Findings</w:t>
      </w:r>
    </w:p>
    <w:p w14:paraId="2636D133" w14:textId="1BEC00C2" w:rsidR="00D628D5" w:rsidRPr="00E40161" w:rsidRDefault="00D628D5" w:rsidP="003A321A">
      <w:pPr>
        <w:pStyle w:val="NICEnormalnumbered"/>
        <w:rPr>
          <w:rFonts w:eastAsia="Arial"/>
        </w:rPr>
      </w:pPr>
      <w:r w:rsidRPr="770C42D5">
        <w:rPr>
          <w:rFonts w:eastAsia="Arial"/>
        </w:rPr>
        <w:t xml:space="preserve">The severity modifier is operating as intended. </w:t>
      </w:r>
      <w:r w:rsidRPr="422E86A0">
        <w:rPr>
          <w:rFonts w:eastAsia="Arial"/>
        </w:rPr>
        <w:t>It</w:t>
      </w:r>
      <w:r w:rsidRPr="27CAE95C">
        <w:rPr>
          <w:rFonts w:eastAsia="Arial"/>
        </w:rPr>
        <w:t xml:space="preserve"> has been</w:t>
      </w:r>
      <w:r w:rsidRPr="770C42D5">
        <w:rPr>
          <w:rFonts w:eastAsia="Arial"/>
        </w:rPr>
        <w:t xml:space="preserve"> applied more </w:t>
      </w:r>
      <w:r w:rsidR="006C1EC1">
        <w:rPr>
          <w:rFonts w:eastAsia="Arial"/>
        </w:rPr>
        <w:t>widely</w:t>
      </w:r>
      <w:r w:rsidRPr="770C42D5">
        <w:rPr>
          <w:rFonts w:eastAsia="Arial"/>
        </w:rPr>
        <w:t xml:space="preserve"> than the end of life </w:t>
      </w:r>
      <w:r w:rsidRPr="003A321A">
        <w:rPr>
          <w:rFonts w:eastAsia="Arial"/>
        </w:rPr>
        <w:t>modifier</w:t>
      </w:r>
      <w:r w:rsidRPr="770C42D5">
        <w:rPr>
          <w:rFonts w:eastAsia="Arial"/>
        </w:rPr>
        <w:t xml:space="preserve"> it replaced</w:t>
      </w:r>
      <w:r w:rsidRPr="75D605D9">
        <w:rPr>
          <w:rFonts w:eastAsia="Arial"/>
        </w:rPr>
        <w:t xml:space="preserve"> </w:t>
      </w:r>
      <w:r w:rsidRPr="4C49B687">
        <w:rPr>
          <w:rFonts w:eastAsia="Arial"/>
        </w:rPr>
        <w:t xml:space="preserve">and is resulting in </w:t>
      </w:r>
      <w:r w:rsidRPr="196AE963">
        <w:rPr>
          <w:rFonts w:eastAsia="Arial"/>
        </w:rPr>
        <w:t>a</w:t>
      </w:r>
      <w:r w:rsidRPr="08C06C76">
        <w:rPr>
          <w:rFonts w:eastAsia="Arial"/>
        </w:rPr>
        <w:t xml:space="preserve"> higher proportion of </w:t>
      </w:r>
      <w:r w:rsidRPr="184B7336">
        <w:rPr>
          <w:rFonts w:eastAsia="Arial"/>
        </w:rPr>
        <w:t xml:space="preserve">positive recommendations </w:t>
      </w:r>
      <w:r w:rsidRPr="7AE7B6F1">
        <w:rPr>
          <w:rFonts w:eastAsia="Arial"/>
        </w:rPr>
        <w:t xml:space="preserve">than end of life. </w:t>
      </w:r>
      <w:r w:rsidRPr="7733196C">
        <w:rPr>
          <w:rFonts w:eastAsia="Arial"/>
        </w:rPr>
        <w:t>In addition,</w:t>
      </w:r>
      <w:r w:rsidRPr="019FFFF0">
        <w:rPr>
          <w:rFonts w:eastAsia="Arial"/>
        </w:rPr>
        <w:t xml:space="preserve"> </w:t>
      </w:r>
      <w:r w:rsidRPr="7733196C">
        <w:rPr>
          <w:rFonts w:eastAsia="Arial"/>
        </w:rPr>
        <w:t>both</w:t>
      </w:r>
      <w:r w:rsidRPr="770C42D5">
        <w:rPr>
          <w:rFonts w:eastAsia="Arial"/>
        </w:rPr>
        <w:t xml:space="preserve"> </w:t>
      </w:r>
      <w:r w:rsidRPr="7E788D86">
        <w:rPr>
          <w:rFonts w:eastAsia="Arial"/>
        </w:rPr>
        <w:t xml:space="preserve">levels of </w:t>
      </w:r>
      <w:r w:rsidRPr="264734D7">
        <w:rPr>
          <w:rFonts w:eastAsia="Arial"/>
        </w:rPr>
        <w:t>severity (the</w:t>
      </w:r>
      <w:r w:rsidRPr="770C42D5">
        <w:rPr>
          <w:rFonts w:eastAsia="Arial"/>
        </w:rPr>
        <w:t xml:space="preserve"> 1.2 and 1.7 weightings</w:t>
      </w:r>
      <w:r w:rsidRPr="264734D7">
        <w:rPr>
          <w:rFonts w:eastAsia="Arial"/>
        </w:rPr>
        <w:t>)</w:t>
      </w:r>
      <w:r w:rsidRPr="770C42D5">
        <w:rPr>
          <w:rFonts w:eastAsia="Arial"/>
        </w:rPr>
        <w:t xml:space="preserve"> are being used and </w:t>
      </w:r>
      <w:r w:rsidRPr="1EFD1253">
        <w:rPr>
          <w:rFonts w:eastAsia="Arial"/>
        </w:rPr>
        <w:t>it</w:t>
      </w:r>
      <w:r w:rsidRPr="770C42D5">
        <w:rPr>
          <w:rFonts w:eastAsia="Arial"/>
        </w:rPr>
        <w:t xml:space="preserve"> has also contributed to positive recommendations for non-cancer as well as cancer medicines</w:t>
      </w:r>
      <w:r w:rsidRPr="7DBEA837">
        <w:rPr>
          <w:rFonts w:eastAsia="Arial"/>
        </w:rPr>
        <w:t>.</w:t>
      </w:r>
    </w:p>
    <w:p w14:paraId="5FBDFEB0" w14:textId="27E0F86D" w:rsidR="00D628D5" w:rsidRPr="00E40161" w:rsidRDefault="00AA4B51" w:rsidP="00E40161">
      <w:pPr>
        <w:pStyle w:val="NICEnormalnumbered"/>
        <w:rPr>
          <w:rFonts w:eastAsia="Arial"/>
        </w:rPr>
      </w:pPr>
      <w:r>
        <w:rPr>
          <w:rFonts w:eastAsia="Arial"/>
        </w:rPr>
        <w:t>A s</w:t>
      </w:r>
      <w:r w:rsidR="00D628D5" w:rsidRPr="626803D6">
        <w:rPr>
          <w:rFonts w:eastAsia="Arial"/>
        </w:rPr>
        <w:t>everity weighting has been applied in 3</w:t>
      </w:r>
      <w:r w:rsidR="00425499">
        <w:rPr>
          <w:rFonts w:eastAsia="Arial"/>
        </w:rPr>
        <w:t>5</w:t>
      </w:r>
      <w:r w:rsidR="00D628D5" w:rsidRPr="626803D6">
        <w:rPr>
          <w:rFonts w:eastAsia="Arial"/>
        </w:rPr>
        <w:t>% of all decisions, compared to 1</w:t>
      </w:r>
      <w:r w:rsidR="0069616B">
        <w:rPr>
          <w:rFonts w:eastAsia="Arial"/>
        </w:rPr>
        <w:t>8</w:t>
      </w:r>
      <w:r w:rsidR="00D628D5" w:rsidRPr="626803D6">
        <w:rPr>
          <w:rFonts w:eastAsia="Arial"/>
        </w:rPr>
        <w:t xml:space="preserve">% under </w:t>
      </w:r>
      <w:r w:rsidR="00D628D5" w:rsidRPr="45C46F4B">
        <w:rPr>
          <w:rFonts w:eastAsia="Arial"/>
        </w:rPr>
        <w:t>end of life</w:t>
      </w:r>
      <w:r w:rsidR="00D628D5" w:rsidRPr="626803D6">
        <w:rPr>
          <w:rFonts w:eastAsia="Arial"/>
        </w:rPr>
        <w:t>.</w:t>
      </w:r>
    </w:p>
    <w:p w14:paraId="3FD76CD7" w14:textId="0187E32C" w:rsidR="00D628D5" w:rsidRPr="00E40161" w:rsidRDefault="00D628D5" w:rsidP="00E40161">
      <w:pPr>
        <w:pStyle w:val="NICEnormalnumbered"/>
        <w:rPr>
          <w:rFonts w:eastAsia="Arial"/>
        </w:rPr>
      </w:pPr>
      <w:r w:rsidRPr="79F599A0">
        <w:rPr>
          <w:rFonts w:eastAsia="Arial"/>
        </w:rPr>
        <w:t>The proportion of positive recommendation</w:t>
      </w:r>
      <w:r w:rsidR="00A67398">
        <w:rPr>
          <w:rFonts w:eastAsia="Arial"/>
        </w:rPr>
        <w:t xml:space="preserve"> decision</w:t>
      </w:r>
      <w:r w:rsidRPr="79F599A0">
        <w:rPr>
          <w:rFonts w:eastAsia="Arial"/>
        </w:rPr>
        <w:t xml:space="preserve">s </w:t>
      </w:r>
      <w:r w:rsidR="003727A3">
        <w:rPr>
          <w:rFonts w:eastAsia="Arial"/>
        </w:rPr>
        <w:t>whe</w:t>
      </w:r>
      <w:r w:rsidR="0082494E">
        <w:rPr>
          <w:rFonts w:eastAsia="Arial"/>
        </w:rPr>
        <w:t>n</w:t>
      </w:r>
      <w:r w:rsidR="003727A3">
        <w:rPr>
          <w:rFonts w:eastAsia="Arial"/>
        </w:rPr>
        <w:t xml:space="preserve"> </w:t>
      </w:r>
      <w:r w:rsidR="00692318">
        <w:rPr>
          <w:rFonts w:eastAsia="Arial"/>
        </w:rPr>
        <w:t>additional</w:t>
      </w:r>
      <w:r w:rsidRPr="79F599A0">
        <w:rPr>
          <w:rFonts w:eastAsia="Arial"/>
        </w:rPr>
        <w:t xml:space="preserve"> severity </w:t>
      </w:r>
      <w:r w:rsidR="00692318">
        <w:rPr>
          <w:rFonts w:eastAsia="Arial"/>
        </w:rPr>
        <w:t>weighting</w:t>
      </w:r>
      <w:r w:rsidR="00841801">
        <w:rPr>
          <w:rFonts w:eastAsia="Arial"/>
        </w:rPr>
        <w:t xml:space="preserve"> was applied (</w:t>
      </w:r>
      <w:r w:rsidR="00A67398">
        <w:rPr>
          <w:rFonts w:eastAsia="Arial"/>
        </w:rPr>
        <w:t>84.4%)</w:t>
      </w:r>
      <w:r w:rsidRPr="79F599A0">
        <w:rPr>
          <w:rFonts w:eastAsia="Arial"/>
        </w:rPr>
        <w:t xml:space="preserve"> is higher than</w:t>
      </w:r>
      <w:r w:rsidR="00A67398">
        <w:rPr>
          <w:rFonts w:eastAsia="Arial"/>
        </w:rPr>
        <w:t xml:space="preserve"> when additional </w:t>
      </w:r>
      <w:r w:rsidRPr="79F599A0">
        <w:rPr>
          <w:rFonts w:eastAsia="Arial"/>
        </w:rPr>
        <w:t>end of life</w:t>
      </w:r>
      <w:r w:rsidR="00A67398">
        <w:rPr>
          <w:rFonts w:eastAsia="Arial"/>
        </w:rPr>
        <w:t xml:space="preserve"> weighting was applied</w:t>
      </w:r>
      <w:r w:rsidRPr="79F599A0">
        <w:rPr>
          <w:rFonts w:eastAsia="Arial"/>
        </w:rPr>
        <w:t xml:space="preserve"> (</w:t>
      </w:r>
      <w:r w:rsidR="00814545">
        <w:rPr>
          <w:rFonts w:eastAsia="Arial"/>
        </w:rPr>
        <w:t>82.7</w:t>
      </w:r>
      <w:r w:rsidRPr="79F599A0">
        <w:rPr>
          <w:rFonts w:eastAsia="Arial"/>
        </w:rPr>
        <w:t>%).</w:t>
      </w:r>
      <w:r w:rsidR="00EA07D8">
        <w:rPr>
          <w:rFonts w:eastAsia="Arial"/>
        </w:rPr>
        <w:t xml:space="preserve"> </w:t>
      </w:r>
      <w:r w:rsidR="007C22B8">
        <w:rPr>
          <w:rFonts w:eastAsia="Arial"/>
        </w:rPr>
        <w:t>T</w:t>
      </w:r>
      <w:r w:rsidR="003E24CB">
        <w:rPr>
          <w:rFonts w:eastAsia="Arial"/>
        </w:rPr>
        <w:t>he overall proportion of positive recommendation decisions</w:t>
      </w:r>
      <w:r w:rsidR="008A0C0B">
        <w:rPr>
          <w:rFonts w:eastAsia="Arial"/>
        </w:rPr>
        <w:t xml:space="preserve">, regardless of whether additional weighting </w:t>
      </w:r>
      <w:r w:rsidR="007C22B8">
        <w:rPr>
          <w:rFonts w:eastAsia="Arial"/>
        </w:rPr>
        <w:t>was applied,</w:t>
      </w:r>
      <w:r w:rsidR="003E24CB">
        <w:rPr>
          <w:rFonts w:eastAsia="Arial"/>
        </w:rPr>
        <w:t xml:space="preserve"> </w:t>
      </w:r>
      <w:r w:rsidR="008A0C0B">
        <w:rPr>
          <w:rFonts w:eastAsia="Arial"/>
        </w:rPr>
        <w:t xml:space="preserve">has been higher </w:t>
      </w:r>
      <w:r w:rsidR="007C22B8">
        <w:rPr>
          <w:rFonts w:eastAsia="Arial"/>
        </w:rPr>
        <w:t>since the severity modifier was introduced (</w:t>
      </w:r>
      <w:r w:rsidR="00C068AC">
        <w:rPr>
          <w:rFonts w:eastAsia="Arial"/>
        </w:rPr>
        <w:t xml:space="preserve">83.5%) than </w:t>
      </w:r>
      <w:r w:rsidR="007806BC">
        <w:rPr>
          <w:rFonts w:eastAsia="Arial"/>
        </w:rPr>
        <w:t xml:space="preserve">the historical </w:t>
      </w:r>
      <w:r w:rsidR="00814ACF">
        <w:rPr>
          <w:rFonts w:eastAsia="Arial"/>
        </w:rPr>
        <w:t>level</w:t>
      </w:r>
      <w:r w:rsidR="00464306">
        <w:rPr>
          <w:rFonts w:eastAsia="Arial"/>
        </w:rPr>
        <w:t xml:space="preserve"> when the end of life modifier was </w:t>
      </w:r>
      <w:r w:rsidR="00E916BD">
        <w:rPr>
          <w:rFonts w:eastAsia="Arial"/>
        </w:rPr>
        <w:t>in place (</w:t>
      </w:r>
      <w:r w:rsidR="00FF0510">
        <w:rPr>
          <w:rFonts w:eastAsia="Arial"/>
        </w:rPr>
        <w:t>82.5%</w:t>
      </w:r>
      <w:r w:rsidR="00E916BD">
        <w:rPr>
          <w:rFonts w:eastAsia="Arial"/>
        </w:rPr>
        <w:t>).</w:t>
      </w:r>
    </w:p>
    <w:p w14:paraId="6B9F7B71" w14:textId="1B41E77A" w:rsidR="00D628D5" w:rsidRPr="00E40161" w:rsidRDefault="00D628D5" w:rsidP="00E40161">
      <w:pPr>
        <w:pStyle w:val="NICEnormalnumbered"/>
        <w:rPr>
          <w:rFonts w:eastAsia="Arial"/>
        </w:rPr>
      </w:pPr>
      <w:r w:rsidRPr="00B52F7B">
        <w:rPr>
          <w:rFonts w:eastAsia="Arial"/>
        </w:rPr>
        <w:t xml:space="preserve">The severity modifier has been applied to diseases including non-end-of-life cancers as well as non-cancer conditions that have dramatic and far-reaching impacts on patients, such as </w:t>
      </w:r>
      <w:r w:rsidRPr="1C5BB631">
        <w:rPr>
          <w:rFonts w:eastAsia="Arial"/>
        </w:rPr>
        <w:t xml:space="preserve">cystic </w:t>
      </w:r>
      <w:r w:rsidRPr="5E1D705F">
        <w:rPr>
          <w:rFonts w:eastAsia="Arial"/>
        </w:rPr>
        <w:t>fibrosis</w:t>
      </w:r>
      <w:r w:rsidRPr="00B52F7B">
        <w:rPr>
          <w:rFonts w:eastAsia="Arial"/>
        </w:rPr>
        <w:t xml:space="preserve"> and </w:t>
      </w:r>
      <w:r w:rsidRPr="5E1D705F">
        <w:rPr>
          <w:rFonts w:eastAsia="Arial"/>
        </w:rPr>
        <w:t>chronic</w:t>
      </w:r>
      <w:r w:rsidRPr="00B52F7B">
        <w:rPr>
          <w:rFonts w:eastAsia="Arial"/>
        </w:rPr>
        <w:t xml:space="preserve"> </w:t>
      </w:r>
      <w:r w:rsidRPr="45572A64">
        <w:rPr>
          <w:rFonts w:eastAsia="Arial"/>
        </w:rPr>
        <w:t>hepatitis</w:t>
      </w:r>
      <w:r w:rsidRPr="00B52F7B">
        <w:rPr>
          <w:rFonts w:eastAsia="Arial"/>
        </w:rPr>
        <w:t xml:space="preserve"> D. </w:t>
      </w:r>
      <w:r w:rsidR="009F27EE">
        <w:rPr>
          <w:rFonts w:eastAsia="Arial"/>
        </w:rPr>
        <w:t>Most</w:t>
      </w:r>
      <w:r w:rsidR="009F27EE" w:rsidRPr="00B52F7B">
        <w:rPr>
          <w:rFonts w:eastAsia="Arial"/>
        </w:rPr>
        <w:t xml:space="preserve"> </w:t>
      </w:r>
      <w:r w:rsidRPr="00B52F7B">
        <w:rPr>
          <w:rFonts w:eastAsia="Arial"/>
        </w:rPr>
        <w:t xml:space="preserve">of these would not have qualified for additional weighting under the end of life </w:t>
      </w:r>
      <w:r>
        <w:rPr>
          <w:rFonts w:eastAsia="Arial"/>
        </w:rPr>
        <w:t>modifier</w:t>
      </w:r>
      <w:r w:rsidRPr="00B52F7B">
        <w:rPr>
          <w:rFonts w:eastAsia="Arial"/>
        </w:rPr>
        <w:t>.</w:t>
      </w:r>
    </w:p>
    <w:p w14:paraId="69FB2F69" w14:textId="561D636F" w:rsidR="00D628D5" w:rsidRPr="00E40161" w:rsidRDefault="00D628D5" w:rsidP="00E40161">
      <w:pPr>
        <w:pStyle w:val="NICEnormalnumbered"/>
        <w:rPr>
          <w:rFonts w:eastAsia="Arial"/>
        </w:rPr>
      </w:pPr>
      <w:r w:rsidRPr="3CBC1E1D">
        <w:rPr>
          <w:rFonts w:eastAsia="Arial"/>
        </w:rPr>
        <w:t>Positive</w:t>
      </w:r>
      <w:r w:rsidRPr="501766E1">
        <w:rPr>
          <w:rFonts w:eastAsia="Arial"/>
        </w:rPr>
        <w:t xml:space="preserve"> </w:t>
      </w:r>
      <w:r w:rsidR="00085512">
        <w:rPr>
          <w:rFonts w:eastAsia="Arial"/>
        </w:rPr>
        <w:t xml:space="preserve">decisions </w:t>
      </w:r>
      <w:r w:rsidRPr="501766E1">
        <w:rPr>
          <w:rFonts w:eastAsia="Arial"/>
        </w:rPr>
        <w:t xml:space="preserve">involve </w:t>
      </w:r>
      <w:r w:rsidR="00DF0A80">
        <w:rPr>
          <w:rFonts w:eastAsia="Arial"/>
        </w:rPr>
        <w:t>treatments for</w:t>
      </w:r>
      <w:r w:rsidRPr="501766E1">
        <w:rPr>
          <w:rFonts w:eastAsia="Arial"/>
        </w:rPr>
        <w:t xml:space="preserve"> cancer</w:t>
      </w:r>
      <w:r w:rsidR="004F3C3C">
        <w:rPr>
          <w:rFonts w:eastAsia="Arial"/>
        </w:rPr>
        <w:t>,</w:t>
      </w:r>
      <w:r w:rsidRPr="501766E1">
        <w:rPr>
          <w:rFonts w:eastAsia="Arial"/>
        </w:rPr>
        <w:t xml:space="preserve"> including </w:t>
      </w:r>
      <w:r w:rsidR="005B3256">
        <w:rPr>
          <w:rFonts w:eastAsia="Arial"/>
        </w:rPr>
        <w:t xml:space="preserve">glioma and cancer of the </w:t>
      </w:r>
      <w:r w:rsidRPr="501766E1">
        <w:rPr>
          <w:rFonts w:eastAsia="Arial"/>
        </w:rPr>
        <w:t>breast, lung,</w:t>
      </w:r>
      <w:r w:rsidR="005B3256">
        <w:rPr>
          <w:rFonts w:eastAsia="Arial"/>
        </w:rPr>
        <w:t xml:space="preserve"> bowel and stomach.</w:t>
      </w:r>
    </w:p>
    <w:p w14:paraId="6CEDEE16" w14:textId="790F8202" w:rsidR="00D628D5" w:rsidRPr="00E40161" w:rsidRDefault="00D628D5" w:rsidP="00E40161">
      <w:pPr>
        <w:pStyle w:val="NICEnormalnumbered"/>
        <w:rPr>
          <w:rFonts w:eastAsia="Arial"/>
        </w:rPr>
      </w:pPr>
      <w:r w:rsidRPr="0C743F32">
        <w:rPr>
          <w:rFonts w:eastAsia="Arial"/>
        </w:rPr>
        <w:t>Since the introduction of the severity modifier:</w:t>
      </w:r>
    </w:p>
    <w:p w14:paraId="7ED3ABF0" w14:textId="77777777" w:rsidR="00D628D5" w:rsidRPr="00B52F7B" w:rsidRDefault="00D628D5" w:rsidP="00DD5D35">
      <w:pPr>
        <w:pStyle w:val="Bullets"/>
        <w:rPr>
          <w:rFonts w:eastAsia="Arial"/>
        </w:rPr>
      </w:pPr>
      <w:r w:rsidRPr="00B52F7B">
        <w:rPr>
          <w:rFonts w:eastAsia="Arial"/>
        </w:rPr>
        <w:t xml:space="preserve">98% of the decisions that did not attract additional weighting under the severity modifier wouldn’t have been eligible for additional weighting under the end of life criteria either. </w:t>
      </w:r>
    </w:p>
    <w:p w14:paraId="19781066" w14:textId="50C7F79F" w:rsidR="00D628D5" w:rsidRPr="00B52F7B" w:rsidRDefault="00D628D5" w:rsidP="00DD5D35">
      <w:pPr>
        <w:pStyle w:val="Bullets"/>
        <w:rPr>
          <w:rFonts w:eastAsia="Arial"/>
        </w:rPr>
      </w:pPr>
      <w:r w:rsidRPr="00B52F7B">
        <w:rPr>
          <w:rFonts w:eastAsia="Arial"/>
        </w:rPr>
        <w:t xml:space="preserve">Only 1 of the </w:t>
      </w:r>
      <w:r>
        <w:rPr>
          <w:rFonts w:eastAsia="Arial"/>
        </w:rPr>
        <w:t>22</w:t>
      </w:r>
      <w:r w:rsidRPr="00B52F7B">
        <w:rPr>
          <w:rFonts w:eastAsia="Arial"/>
        </w:rPr>
        <w:t xml:space="preserve"> decisions estimated to have met the end of life criteria (</w:t>
      </w:r>
      <w:r w:rsidRPr="0EA61B06">
        <w:rPr>
          <w:rFonts w:eastAsia="Arial"/>
        </w:rPr>
        <w:t>5</w:t>
      </w:r>
      <w:r w:rsidRPr="00B52F7B">
        <w:rPr>
          <w:rFonts w:eastAsia="Arial"/>
        </w:rPr>
        <w:t xml:space="preserve">%) did not achieve additional weighting under the severity modifier. On the other hand, </w:t>
      </w:r>
      <w:r w:rsidRPr="0EA61B06">
        <w:rPr>
          <w:rFonts w:eastAsia="Arial"/>
        </w:rPr>
        <w:t>11</w:t>
      </w:r>
      <w:r w:rsidRPr="00B52F7B">
        <w:rPr>
          <w:rFonts w:eastAsia="Arial"/>
        </w:rPr>
        <w:t xml:space="preserve"> of the </w:t>
      </w:r>
      <w:r w:rsidRPr="0EA61B06">
        <w:rPr>
          <w:rFonts w:eastAsia="Arial"/>
        </w:rPr>
        <w:t>6</w:t>
      </w:r>
      <w:r w:rsidR="00095293">
        <w:rPr>
          <w:rFonts w:eastAsia="Arial"/>
        </w:rPr>
        <w:t>9</w:t>
      </w:r>
      <w:r w:rsidRPr="00B52F7B">
        <w:rPr>
          <w:rFonts w:eastAsia="Arial"/>
        </w:rPr>
        <w:t xml:space="preserve"> decisions estimated not to have met the end of life criteria (</w:t>
      </w:r>
      <w:r>
        <w:rPr>
          <w:rFonts w:eastAsia="Arial"/>
        </w:rPr>
        <w:t>1</w:t>
      </w:r>
      <w:r w:rsidRPr="00B52F7B">
        <w:rPr>
          <w:rFonts w:eastAsia="Arial"/>
        </w:rPr>
        <w:t>6%) achieved additional weighting under the severity modifier</w:t>
      </w:r>
      <w:r>
        <w:rPr>
          <w:rFonts w:eastAsia="Arial"/>
        </w:rPr>
        <w:t>, 3 of which achieved a weight of 1.7</w:t>
      </w:r>
      <w:r w:rsidRPr="0EA61B06">
        <w:rPr>
          <w:rFonts w:eastAsia="Arial"/>
        </w:rPr>
        <w:t>.</w:t>
      </w:r>
    </w:p>
    <w:p w14:paraId="2E19D66C" w14:textId="0B48A6A7" w:rsidR="00D628D5" w:rsidRDefault="00D628D5" w:rsidP="00DD5D35">
      <w:pPr>
        <w:pStyle w:val="Bulletslast"/>
        <w:rPr>
          <w:rFonts w:eastAsia="Arial"/>
        </w:rPr>
      </w:pPr>
      <w:r w:rsidRPr="0C743F32">
        <w:rPr>
          <w:rFonts w:eastAsia="Arial"/>
        </w:rPr>
        <w:t xml:space="preserve">In the majority of cases where the severity modifier was applied and where the end of life criteria were judged also to have been met, a weight of 1.2 was used (14 out of 21 decisions; 67%). For the remaining 7 decisions (33%), the 1.7 severity weighting given was the same as </w:t>
      </w:r>
      <w:r w:rsidR="00B1476A">
        <w:rPr>
          <w:rFonts w:eastAsia="Arial"/>
        </w:rPr>
        <w:t xml:space="preserve">the maximum that </w:t>
      </w:r>
      <w:r w:rsidRPr="0C743F32">
        <w:rPr>
          <w:rFonts w:eastAsia="Arial"/>
        </w:rPr>
        <w:t>would have been applied under end of life.</w:t>
      </w:r>
    </w:p>
    <w:p w14:paraId="4051CD12" w14:textId="00D21696" w:rsidR="00D50268" w:rsidRPr="00B52F7B" w:rsidRDefault="00D30C05" w:rsidP="00DD5D35">
      <w:pPr>
        <w:pStyle w:val="Bulletslast"/>
        <w:rPr>
          <w:rFonts w:eastAsia="Arial"/>
        </w:rPr>
      </w:pPr>
      <w:r>
        <w:rPr>
          <w:rFonts w:eastAsia="Arial"/>
        </w:rPr>
        <w:t>Under the severity modifier</w:t>
      </w:r>
      <w:r w:rsidR="00C476FA">
        <w:rPr>
          <w:rFonts w:eastAsia="Arial"/>
        </w:rPr>
        <w:t>, t</w:t>
      </w:r>
      <w:r w:rsidR="00036E2A">
        <w:rPr>
          <w:rFonts w:eastAsia="Arial"/>
        </w:rPr>
        <w:t xml:space="preserve">he </w:t>
      </w:r>
      <w:r w:rsidR="00DB274E">
        <w:rPr>
          <w:rFonts w:eastAsia="Arial"/>
        </w:rPr>
        <w:t xml:space="preserve">proportion of </w:t>
      </w:r>
      <w:r w:rsidR="006E0800">
        <w:rPr>
          <w:rFonts w:eastAsia="Arial"/>
        </w:rPr>
        <w:t xml:space="preserve">positive recommendation </w:t>
      </w:r>
      <w:r w:rsidR="00DB274E">
        <w:rPr>
          <w:rFonts w:eastAsia="Arial"/>
        </w:rPr>
        <w:t xml:space="preserve">decisions relating to </w:t>
      </w:r>
      <w:r w:rsidR="00E23D01">
        <w:rPr>
          <w:rFonts w:eastAsia="Arial"/>
        </w:rPr>
        <w:t>t</w:t>
      </w:r>
      <w:r w:rsidR="00FA020F">
        <w:rPr>
          <w:rFonts w:eastAsia="Arial"/>
        </w:rPr>
        <w:t>reatments for cancer</w:t>
      </w:r>
      <w:r w:rsidR="004A2F97">
        <w:rPr>
          <w:rFonts w:eastAsia="Arial"/>
        </w:rPr>
        <w:t xml:space="preserve"> </w:t>
      </w:r>
      <w:r>
        <w:rPr>
          <w:rFonts w:eastAsia="Arial"/>
        </w:rPr>
        <w:t>has been</w:t>
      </w:r>
      <w:r w:rsidR="00C476FA">
        <w:rPr>
          <w:rFonts w:eastAsia="Arial"/>
        </w:rPr>
        <w:t xml:space="preserve"> greater than </w:t>
      </w:r>
      <w:r>
        <w:rPr>
          <w:rFonts w:eastAsia="Arial"/>
        </w:rPr>
        <w:t>had been the case</w:t>
      </w:r>
      <w:r w:rsidR="00233911">
        <w:rPr>
          <w:rFonts w:eastAsia="Arial"/>
        </w:rPr>
        <w:t xml:space="preserve"> under the end of life modifier. The same is true when looking specifically at</w:t>
      </w:r>
      <w:r w:rsidR="005406D2">
        <w:rPr>
          <w:rFonts w:eastAsia="Arial"/>
        </w:rPr>
        <w:t xml:space="preserve"> treatments for</w:t>
      </w:r>
      <w:r w:rsidR="00233911">
        <w:rPr>
          <w:rFonts w:eastAsia="Arial"/>
        </w:rPr>
        <w:t xml:space="preserve"> metastatic and/or advance</w:t>
      </w:r>
      <w:r w:rsidR="005406D2">
        <w:rPr>
          <w:rFonts w:eastAsia="Arial"/>
        </w:rPr>
        <w:t>d</w:t>
      </w:r>
      <w:r w:rsidR="00233911">
        <w:rPr>
          <w:rFonts w:eastAsia="Arial"/>
        </w:rPr>
        <w:t xml:space="preserve"> cancer</w:t>
      </w:r>
      <w:r w:rsidR="005406D2">
        <w:rPr>
          <w:rFonts w:eastAsia="Arial"/>
        </w:rPr>
        <w:t>.</w:t>
      </w:r>
      <w:r w:rsidR="00C476FA">
        <w:rPr>
          <w:rFonts w:eastAsia="Arial"/>
        </w:rPr>
        <w:t xml:space="preserve"> </w:t>
      </w:r>
    </w:p>
    <w:p w14:paraId="53638A03" w14:textId="69D5E8EE" w:rsidR="00FB43B9" w:rsidRDefault="009F2418" w:rsidP="00FB43B9">
      <w:pPr>
        <w:pStyle w:val="NICEnormalnumbered"/>
        <w:rPr>
          <w:rFonts w:eastAsia="Arial"/>
        </w:rPr>
      </w:pPr>
      <w:r>
        <w:rPr>
          <w:rFonts w:eastAsia="Arial"/>
        </w:rPr>
        <w:t>Figure 1</w:t>
      </w:r>
      <w:r w:rsidR="00261774">
        <w:rPr>
          <w:rFonts w:eastAsia="Arial"/>
        </w:rPr>
        <w:t xml:space="preserve"> </w:t>
      </w:r>
      <w:r w:rsidR="00C93D61">
        <w:rPr>
          <w:rFonts w:eastAsia="Arial"/>
        </w:rPr>
        <w:t>shows</w:t>
      </w:r>
      <w:r w:rsidR="006E3E81">
        <w:rPr>
          <w:rFonts w:eastAsia="Arial"/>
        </w:rPr>
        <w:t xml:space="preserve"> how</w:t>
      </w:r>
      <w:r w:rsidR="00C93D61">
        <w:rPr>
          <w:rFonts w:eastAsia="Arial"/>
        </w:rPr>
        <w:t xml:space="preserve"> the mean weighting applied to technology appr</w:t>
      </w:r>
      <w:r w:rsidR="00F35322">
        <w:rPr>
          <w:rFonts w:eastAsia="Arial"/>
        </w:rPr>
        <w:t>aisal decisions</w:t>
      </w:r>
      <w:r w:rsidR="006E3E81">
        <w:rPr>
          <w:rFonts w:eastAsia="Arial"/>
        </w:rPr>
        <w:t xml:space="preserve"> has changed over time</w:t>
      </w:r>
      <w:r w:rsidR="00F35322">
        <w:rPr>
          <w:rFonts w:eastAsia="Arial"/>
        </w:rPr>
        <w:t xml:space="preserve"> since the introduction of the severity modifier</w:t>
      </w:r>
      <w:r w:rsidR="008665D1">
        <w:rPr>
          <w:rFonts w:eastAsia="Arial"/>
        </w:rPr>
        <w:t>. Th</w:t>
      </w:r>
      <w:r w:rsidR="00B051CB">
        <w:rPr>
          <w:rFonts w:eastAsia="Arial"/>
        </w:rPr>
        <w:t>e</w:t>
      </w:r>
      <w:r w:rsidR="008665D1">
        <w:rPr>
          <w:rFonts w:eastAsia="Arial"/>
        </w:rPr>
        <w:t xml:space="preserve"> mean weighting </w:t>
      </w:r>
      <w:r w:rsidR="0077233A">
        <w:rPr>
          <w:rFonts w:eastAsia="Arial"/>
        </w:rPr>
        <w:t>is</w:t>
      </w:r>
      <w:r w:rsidR="00D54AF3">
        <w:rPr>
          <w:rFonts w:eastAsia="Arial"/>
        </w:rPr>
        <w:t xml:space="preserve"> calculated </w:t>
      </w:r>
      <w:r w:rsidR="003B270E">
        <w:rPr>
          <w:rFonts w:eastAsia="Arial"/>
        </w:rPr>
        <w:t>for each individual quarter</w:t>
      </w:r>
      <w:r w:rsidR="00B051CB">
        <w:rPr>
          <w:rFonts w:eastAsia="Arial"/>
        </w:rPr>
        <w:t xml:space="preserve"> (blue line)</w:t>
      </w:r>
      <w:r w:rsidR="003B270E">
        <w:rPr>
          <w:rFonts w:eastAsia="Arial"/>
        </w:rPr>
        <w:t xml:space="preserve">, as well as </w:t>
      </w:r>
      <w:r w:rsidR="006E3E81">
        <w:rPr>
          <w:rFonts w:eastAsia="Arial"/>
        </w:rPr>
        <w:t>cumulatively, where</w:t>
      </w:r>
      <w:r w:rsidR="00854ABF">
        <w:rPr>
          <w:rFonts w:eastAsia="Arial"/>
        </w:rPr>
        <w:t xml:space="preserve"> </w:t>
      </w:r>
      <w:r w:rsidR="00AD0AC2">
        <w:rPr>
          <w:rFonts w:eastAsia="Arial"/>
        </w:rPr>
        <w:t xml:space="preserve">the </w:t>
      </w:r>
      <w:r w:rsidR="00A446B4">
        <w:rPr>
          <w:rFonts w:eastAsia="Arial"/>
        </w:rPr>
        <w:t>mean weight</w:t>
      </w:r>
      <w:r w:rsidR="00AD0AC2">
        <w:rPr>
          <w:rFonts w:eastAsia="Arial"/>
        </w:rPr>
        <w:t xml:space="preserve"> </w:t>
      </w:r>
      <w:r w:rsidR="00C7113E">
        <w:rPr>
          <w:rFonts w:eastAsia="Arial"/>
        </w:rPr>
        <w:t>for each quarter also include</w:t>
      </w:r>
      <w:r w:rsidR="0077233A">
        <w:rPr>
          <w:rFonts w:eastAsia="Arial"/>
        </w:rPr>
        <w:t>s</w:t>
      </w:r>
      <w:r w:rsidR="00C7113E">
        <w:rPr>
          <w:rFonts w:eastAsia="Arial"/>
        </w:rPr>
        <w:t xml:space="preserve"> </w:t>
      </w:r>
      <w:r w:rsidR="00013ED3">
        <w:rPr>
          <w:rFonts w:eastAsia="Arial"/>
        </w:rPr>
        <w:t>any</w:t>
      </w:r>
      <w:r w:rsidR="00AD0AC2">
        <w:rPr>
          <w:rFonts w:eastAsia="Arial"/>
        </w:rPr>
        <w:t xml:space="preserve"> decisions </w:t>
      </w:r>
      <w:r w:rsidR="00194306">
        <w:rPr>
          <w:rFonts w:eastAsia="Arial"/>
        </w:rPr>
        <w:t xml:space="preserve">published </w:t>
      </w:r>
      <w:r w:rsidR="00D70A0A">
        <w:rPr>
          <w:rFonts w:eastAsia="Arial"/>
        </w:rPr>
        <w:t>in earlier quarters</w:t>
      </w:r>
      <w:r w:rsidR="00B87DFB">
        <w:rPr>
          <w:rFonts w:eastAsia="Arial"/>
        </w:rPr>
        <w:t xml:space="preserve"> (orange line)</w:t>
      </w:r>
      <w:r w:rsidR="00194306">
        <w:rPr>
          <w:rFonts w:eastAsia="Arial"/>
        </w:rPr>
        <w:t>.</w:t>
      </w:r>
      <w:r w:rsidR="00D70A0A">
        <w:rPr>
          <w:rFonts w:eastAsia="Arial"/>
        </w:rPr>
        <w:t xml:space="preserve"> These are compared to</w:t>
      </w:r>
      <w:r w:rsidR="00C10993">
        <w:rPr>
          <w:rFonts w:eastAsia="Arial"/>
        </w:rPr>
        <w:t xml:space="preserve"> </w:t>
      </w:r>
      <w:r w:rsidR="00373CE6">
        <w:rPr>
          <w:rFonts w:eastAsia="Arial"/>
        </w:rPr>
        <w:t xml:space="preserve">the </w:t>
      </w:r>
      <w:r w:rsidR="00B2513E">
        <w:rPr>
          <w:rFonts w:eastAsia="Arial"/>
        </w:rPr>
        <w:t>mean weight</w:t>
      </w:r>
      <w:r w:rsidR="001179C9">
        <w:rPr>
          <w:rFonts w:eastAsia="Arial"/>
        </w:rPr>
        <w:t xml:space="preserve">s </w:t>
      </w:r>
      <w:r w:rsidR="003E2EEF">
        <w:rPr>
          <w:rFonts w:eastAsia="Arial"/>
        </w:rPr>
        <w:t xml:space="preserve">calculated </w:t>
      </w:r>
      <w:r w:rsidR="00863ED1">
        <w:rPr>
          <w:rFonts w:eastAsia="Arial"/>
        </w:rPr>
        <w:t>for</w:t>
      </w:r>
      <w:r w:rsidR="00A74804">
        <w:rPr>
          <w:rFonts w:eastAsia="Arial"/>
        </w:rPr>
        <w:t xml:space="preserve"> </w:t>
      </w:r>
      <w:r w:rsidR="00373CE6">
        <w:rPr>
          <w:rFonts w:eastAsia="Arial"/>
        </w:rPr>
        <w:t>the</w:t>
      </w:r>
      <w:r w:rsidR="005C489E">
        <w:rPr>
          <w:rFonts w:eastAsia="Arial"/>
        </w:rPr>
        <w:t xml:space="preserve"> </w:t>
      </w:r>
      <w:r w:rsidR="00A74804">
        <w:rPr>
          <w:rFonts w:eastAsia="Arial"/>
        </w:rPr>
        <w:t>historical data</w:t>
      </w:r>
      <w:r w:rsidR="00CB296A">
        <w:rPr>
          <w:rFonts w:eastAsia="Arial"/>
        </w:rPr>
        <w:t xml:space="preserve">set, </w:t>
      </w:r>
      <w:r w:rsidR="00C55263">
        <w:rPr>
          <w:rFonts w:eastAsia="Arial"/>
        </w:rPr>
        <w:t xml:space="preserve">applying </w:t>
      </w:r>
      <w:r w:rsidR="003267D2">
        <w:rPr>
          <w:rFonts w:eastAsia="Arial"/>
        </w:rPr>
        <w:t>either</w:t>
      </w:r>
      <w:r w:rsidR="005332AA">
        <w:rPr>
          <w:rFonts w:eastAsia="Arial"/>
        </w:rPr>
        <w:t xml:space="preserve"> the severity modifier (solid black line) </w:t>
      </w:r>
      <w:r w:rsidR="003267D2">
        <w:rPr>
          <w:rFonts w:eastAsia="Arial"/>
        </w:rPr>
        <w:t>or</w:t>
      </w:r>
      <w:r w:rsidR="005332AA">
        <w:rPr>
          <w:rFonts w:eastAsia="Arial"/>
        </w:rPr>
        <w:t xml:space="preserve"> the end of life modifier (dashed black line)</w:t>
      </w:r>
      <w:r w:rsidR="00CB296A">
        <w:rPr>
          <w:rFonts w:eastAsia="Arial"/>
        </w:rPr>
        <w:t>.</w:t>
      </w:r>
    </w:p>
    <w:p w14:paraId="133BB957" w14:textId="17BB4FD1" w:rsidR="00364F05" w:rsidRPr="00862D4D" w:rsidRDefault="00364F05" w:rsidP="00364F05">
      <w:pPr>
        <w:pStyle w:val="Caption"/>
      </w:pPr>
      <w:r>
        <w:t xml:space="preserve">Figure </w:t>
      </w:r>
      <w:r>
        <w:fldChar w:fldCharType="begin"/>
      </w:r>
      <w:r>
        <w:instrText xml:space="preserve"> SEQ Figure \* ARABIC </w:instrText>
      </w:r>
      <w:r>
        <w:fldChar w:fldCharType="separate"/>
      </w:r>
      <w:r w:rsidR="00066186">
        <w:rPr>
          <w:noProof/>
        </w:rPr>
        <w:t>1</w:t>
      </w:r>
      <w:r>
        <w:fldChar w:fldCharType="end"/>
      </w:r>
      <w:r>
        <w:t>: Mean weight over time, tracked on a quarterly basis</w:t>
      </w:r>
    </w:p>
    <w:p w14:paraId="38430DEC" w14:textId="17A5E811" w:rsidR="00364F05" w:rsidRDefault="00364F05" w:rsidP="00364F05">
      <w:pPr>
        <w:pStyle w:val="NICEnormalnumbered"/>
        <w:numPr>
          <w:ilvl w:val="0"/>
          <w:numId w:val="0"/>
        </w:numPr>
        <w:ind w:left="360"/>
        <w:rPr>
          <w:rFonts w:eastAsia="Arial"/>
        </w:rPr>
      </w:pPr>
      <w:r w:rsidRPr="00656A93">
        <w:rPr>
          <w:color w:val="ED7D31"/>
        </w:rPr>
        <w:drawing>
          <wp:inline distT="0" distB="0" distL="0" distR="0" wp14:anchorId="52C4809C" wp14:editId="70CAF79E">
            <wp:extent cx="5486400" cy="3600000"/>
            <wp:effectExtent l="0" t="0" r="0" b="635"/>
            <wp:docPr id="1650231126" name="Chart 1" descr="This figure shows how the mean weight has changed over time when tracked on a quarterly basis, compared to target lines representing opportunity cost neutral target levels.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8AF2E2" w14:textId="77777777" w:rsidR="00023E46" w:rsidRDefault="00D628D5" w:rsidP="00364F05">
      <w:pPr>
        <w:pStyle w:val="NICEnormalnumbered"/>
        <w:rPr>
          <w:rFonts w:eastAsia="Arial"/>
        </w:rPr>
      </w:pPr>
      <w:r w:rsidRPr="29D9BA03">
        <w:rPr>
          <w:rFonts w:eastAsia="Arial"/>
        </w:rPr>
        <w:t xml:space="preserve">The mean weighting applied to </w:t>
      </w:r>
      <w:r w:rsidR="00896ADA">
        <w:rPr>
          <w:rFonts w:eastAsia="Arial"/>
        </w:rPr>
        <w:t>t</w:t>
      </w:r>
      <w:r w:rsidRPr="29D9BA03">
        <w:rPr>
          <w:rFonts w:eastAsia="Arial"/>
        </w:rPr>
        <w:t xml:space="preserve">echnology </w:t>
      </w:r>
      <w:r w:rsidR="00896ADA">
        <w:rPr>
          <w:rFonts w:eastAsia="Arial"/>
        </w:rPr>
        <w:t>a</w:t>
      </w:r>
      <w:r w:rsidRPr="29D9BA03">
        <w:rPr>
          <w:rFonts w:eastAsia="Arial"/>
        </w:rPr>
        <w:t>ppraisal decisions</w:t>
      </w:r>
      <w:r w:rsidR="0056409A">
        <w:rPr>
          <w:rFonts w:eastAsia="Arial"/>
        </w:rPr>
        <w:t xml:space="preserve"> since the introduction of the severity modifier</w:t>
      </w:r>
      <w:r w:rsidRPr="29D9BA03">
        <w:rPr>
          <w:rFonts w:eastAsia="Arial"/>
        </w:rPr>
        <w:t xml:space="preserve"> shows high variability when tracked on a quarterly basis</w:t>
      </w:r>
      <w:r w:rsidR="00376562">
        <w:rPr>
          <w:rFonts w:eastAsia="Arial"/>
        </w:rPr>
        <w:t>,</w:t>
      </w:r>
      <w:r w:rsidRPr="29D9BA03">
        <w:rPr>
          <w:rFonts w:eastAsia="Arial"/>
        </w:rPr>
        <w:t xml:space="preserve"> making it difficult to spot significant changes and trends. </w:t>
      </w:r>
    </w:p>
    <w:p w14:paraId="42275ED9" w14:textId="74DDD6D5" w:rsidR="00364F05" w:rsidRDefault="00D628D5" w:rsidP="00364F05">
      <w:pPr>
        <w:pStyle w:val="NICEnormalnumbered"/>
        <w:rPr>
          <w:rFonts w:eastAsia="Arial"/>
        </w:rPr>
      </w:pPr>
      <w:r w:rsidRPr="00FB43B9">
        <w:rPr>
          <w:rFonts w:eastAsia="Arial"/>
        </w:rPr>
        <w:t xml:space="preserve">Overall, the mean weighting applied to </w:t>
      </w:r>
      <w:r w:rsidR="00896ADA" w:rsidRPr="00FB43B9">
        <w:rPr>
          <w:rFonts w:eastAsia="Arial"/>
        </w:rPr>
        <w:t>t</w:t>
      </w:r>
      <w:r w:rsidRPr="00FB43B9">
        <w:rPr>
          <w:rFonts w:eastAsia="Arial"/>
        </w:rPr>
        <w:t xml:space="preserve">echnology </w:t>
      </w:r>
      <w:r w:rsidR="00896ADA" w:rsidRPr="00FB43B9">
        <w:rPr>
          <w:rFonts w:eastAsia="Arial"/>
        </w:rPr>
        <w:t>a</w:t>
      </w:r>
      <w:r w:rsidRPr="00FB43B9">
        <w:rPr>
          <w:rFonts w:eastAsia="Arial"/>
        </w:rPr>
        <w:t xml:space="preserve">ppraisal decisions since </w:t>
      </w:r>
      <w:r w:rsidR="00745D38">
        <w:rPr>
          <w:rFonts w:eastAsia="Arial"/>
        </w:rPr>
        <w:t xml:space="preserve">the </w:t>
      </w:r>
      <w:r w:rsidRPr="00FB43B9">
        <w:rPr>
          <w:rFonts w:eastAsia="Arial"/>
        </w:rPr>
        <w:t xml:space="preserve">implementation of the severity modifier has been very similar to </w:t>
      </w:r>
      <w:r w:rsidR="00032835">
        <w:rPr>
          <w:rFonts w:eastAsia="Arial"/>
        </w:rPr>
        <w:t xml:space="preserve">the </w:t>
      </w:r>
      <w:r w:rsidRPr="00FB43B9">
        <w:rPr>
          <w:rFonts w:eastAsia="Arial"/>
        </w:rPr>
        <w:t xml:space="preserve">historical </w:t>
      </w:r>
      <w:r w:rsidR="00D573FD">
        <w:rPr>
          <w:rFonts w:eastAsia="Arial"/>
        </w:rPr>
        <w:t xml:space="preserve">mean </w:t>
      </w:r>
      <w:r w:rsidR="00032835">
        <w:rPr>
          <w:rFonts w:eastAsia="Arial"/>
        </w:rPr>
        <w:t>weight</w:t>
      </w:r>
      <w:r w:rsidRPr="00FB43B9">
        <w:rPr>
          <w:rFonts w:eastAsia="Arial"/>
        </w:rPr>
        <w:t xml:space="preserve"> where the end of life modifier was applied (see the cumulative mean weightings in </w:t>
      </w:r>
      <w:r w:rsidR="009F2418">
        <w:rPr>
          <w:rFonts w:eastAsia="Arial"/>
        </w:rPr>
        <w:t>Figure 1.</w:t>
      </w:r>
      <w:r w:rsidRPr="00FB43B9">
        <w:rPr>
          <w:rFonts w:eastAsia="Arial"/>
        </w:rPr>
        <w:t xml:space="preserve"> This indicates that opportunity cost neutrality has been achieved. Given the high variability, we plan to continue to monitor the mean weighting applied to </w:t>
      </w:r>
      <w:r w:rsidR="00896ADA" w:rsidRPr="00FB43B9">
        <w:rPr>
          <w:rFonts w:eastAsia="Arial"/>
        </w:rPr>
        <w:t>t</w:t>
      </w:r>
      <w:r w:rsidRPr="00FB43B9">
        <w:rPr>
          <w:rFonts w:eastAsia="Arial"/>
        </w:rPr>
        <w:t xml:space="preserve">echnology </w:t>
      </w:r>
      <w:r w:rsidR="00896ADA" w:rsidRPr="00FB43B9">
        <w:rPr>
          <w:rFonts w:eastAsia="Arial"/>
        </w:rPr>
        <w:t>a</w:t>
      </w:r>
      <w:r w:rsidRPr="00FB43B9">
        <w:rPr>
          <w:rFonts w:eastAsia="Arial"/>
        </w:rPr>
        <w:t xml:space="preserve">ppraisal decisions. If the cumulative mean weighting </w:t>
      </w:r>
      <w:r w:rsidR="004E3393" w:rsidRPr="00FB43B9">
        <w:rPr>
          <w:rFonts w:eastAsia="Arial"/>
        </w:rPr>
        <w:t xml:space="preserve">falls </w:t>
      </w:r>
      <w:r w:rsidRPr="00FB43B9">
        <w:rPr>
          <w:rFonts w:eastAsia="Arial"/>
        </w:rPr>
        <w:t xml:space="preserve">below 1.10 for </w:t>
      </w:r>
      <w:r w:rsidR="00E90251" w:rsidRPr="00FB43B9">
        <w:rPr>
          <w:rFonts w:eastAsia="Arial"/>
        </w:rPr>
        <w:t>2</w:t>
      </w:r>
      <w:r w:rsidRPr="00FB43B9">
        <w:rPr>
          <w:rFonts w:eastAsia="Arial"/>
        </w:rPr>
        <w:t xml:space="preserve"> consecutive quarters, we would investigate the causes and identify whether corrective action was needed.</w:t>
      </w:r>
    </w:p>
    <w:p w14:paraId="3B849526" w14:textId="1AF0D94C" w:rsidR="00234027" w:rsidRPr="00364F05" w:rsidRDefault="00D628D5" w:rsidP="00364F05">
      <w:pPr>
        <w:pStyle w:val="NICEnormalnumbered"/>
        <w:rPr>
          <w:rFonts w:eastAsia="Arial"/>
        </w:rPr>
      </w:pPr>
      <w:r w:rsidRPr="00364F05">
        <w:rPr>
          <w:rFonts w:eastAsia="Arial"/>
        </w:rPr>
        <w:t>NICE is aware that the Association of the British Pharmaceutical Industry</w:t>
      </w:r>
      <w:r w:rsidR="00801CDA" w:rsidRPr="00364F05">
        <w:rPr>
          <w:rFonts w:eastAsia="Arial"/>
        </w:rPr>
        <w:t xml:space="preserve"> (ABPI)</w:t>
      </w:r>
      <w:r w:rsidRPr="00364F05">
        <w:rPr>
          <w:rFonts w:eastAsia="Arial"/>
        </w:rPr>
        <w:t xml:space="preserve"> has also been monitoring the implementation of the severity modifier as part of its Continuous NICE Implementation Evaluation (CONNIE) initiative. CONNIE findings vary from those reported here. Through helpful cooperation from the ABPI, we understand and can reconcile the differences and consider the conclusions on opportunity cost neutrality compared to the end of life modifier to be sound.</w:t>
      </w:r>
      <w:r w:rsidR="00AD02F5">
        <w:rPr>
          <w:rFonts w:eastAsia="Arial"/>
        </w:rPr>
        <w:t xml:space="preserve"> </w:t>
      </w:r>
      <w:r w:rsidR="0062250A">
        <w:rPr>
          <w:rFonts w:eastAsia="Arial"/>
        </w:rPr>
        <w:t>NICE’s</w:t>
      </w:r>
      <w:r w:rsidR="00AD02F5">
        <w:rPr>
          <w:rFonts w:eastAsia="Arial"/>
        </w:rPr>
        <w:t xml:space="preserve"> analys</w:t>
      </w:r>
      <w:r w:rsidR="000D56E5">
        <w:rPr>
          <w:rFonts w:eastAsia="Arial"/>
        </w:rPr>
        <w:t>e</w:t>
      </w:r>
      <w:r w:rsidR="00AD02F5">
        <w:rPr>
          <w:rFonts w:eastAsia="Arial"/>
        </w:rPr>
        <w:t xml:space="preserve">s </w:t>
      </w:r>
      <w:r w:rsidR="000D56E5">
        <w:rPr>
          <w:rFonts w:eastAsia="Arial"/>
        </w:rPr>
        <w:t>are</w:t>
      </w:r>
      <w:r w:rsidR="00AD02F5">
        <w:rPr>
          <w:rFonts w:eastAsia="Arial"/>
        </w:rPr>
        <w:t xml:space="preserve"> based on a</w:t>
      </w:r>
      <w:r w:rsidR="004A781F">
        <w:rPr>
          <w:rFonts w:eastAsia="Arial"/>
        </w:rPr>
        <w:t xml:space="preserve"> </w:t>
      </w:r>
      <w:r w:rsidR="00FC1397">
        <w:rPr>
          <w:rFonts w:eastAsia="Arial"/>
        </w:rPr>
        <w:t>complete dataset and</w:t>
      </w:r>
      <w:r w:rsidR="000D56E5">
        <w:rPr>
          <w:rFonts w:eastAsia="Arial"/>
        </w:rPr>
        <w:t xml:space="preserve"> </w:t>
      </w:r>
      <w:r w:rsidR="00C73536">
        <w:rPr>
          <w:rFonts w:eastAsia="Arial"/>
        </w:rPr>
        <w:t>an appropriate unit of analysis.</w:t>
      </w:r>
      <w:r w:rsidR="00FC1397">
        <w:rPr>
          <w:rFonts w:eastAsia="Arial"/>
        </w:rPr>
        <w:t xml:space="preserve"> </w:t>
      </w:r>
      <w:r w:rsidRPr="00364F05">
        <w:rPr>
          <w:rFonts w:eastAsia="Arial"/>
        </w:rPr>
        <w:t>This is detailed in the technical appendix.</w:t>
      </w:r>
    </w:p>
    <w:p w14:paraId="5405A345" w14:textId="3519A78C" w:rsidR="00D628D5" w:rsidRPr="00234027" w:rsidRDefault="00D628D5" w:rsidP="00507EA9">
      <w:pPr>
        <w:pStyle w:val="NICEnormalnumbered"/>
        <w:rPr>
          <w:rFonts w:eastAsia="Arial"/>
        </w:rPr>
      </w:pPr>
      <w:r w:rsidRPr="00234027">
        <w:rPr>
          <w:rFonts w:eastAsia="Arial"/>
        </w:rPr>
        <w:t>Clearly, the weighting applied to most products that would have met the end of life criteria is lower under the severity modifier. This is consistent with the design of the severity modifier – where the weighting is spread over a broader range of products addressing severe conditions whilst retaining opportunity cost neutrality.</w:t>
      </w:r>
      <w:r w:rsidR="003A594E" w:rsidRPr="00234027">
        <w:rPr>
          <w:rFonts w:eastAsia="Arial"/>
        </w:rPr>
        <w:t xml:space="preserve"> However </w:t>
      </w:r>
      <w:r w:rsidR="00796C5D" w:rsidRPr="00234027">
        <w:rPr>
          <w:rFonts w:eastAsia="Arial"/>
        </w:rPr>
        <w:t>th</w:t>
      </w:r>
      <w:r w:rsidR="00070E6D" w:rsidRPr="00234027">
        <w:rPr>
          <w:rFonts w:eastAsia="Arial"/>
        </w:rPr>
        <w:t xml:space="preserve">e data shows this did not affect </w:t>
      </w:r>
      <w:r w:rsidR="0030780D" w:rsidRPr="00234027">
        <w:rPr>
          <w:rFonts w:eastAsia="Arial"/>
        </w:rPr>
        <w:t>positive recommendations</w:t>
      </w:r>
      <w:r w:rsidR="707B9D83" w:rsidRPr="00234027">
        <w:rPr>
          <w:rFonts w:eastAsia="Arial"/>
        </w:rPr>
        <w:t>. Of 22 decisions under the severity modifier where it was judged that the previous end of life crite</w:t>
      </w:r>
      <w:r w:rsidR="43DF72F6" w:rsidRPr="00234027">
        <w:rPr>
          <w:rFonts w:eastAsia="Arial"/>
        </w:rPr>
        <w:t>ria would</w:t>
      </w:r>
      <w:r w:rsidR="007B5BE2">
        <w:rPr>
          <w:rFonts w:eastAsia="Arial"/>
        </w:rPr>
        <w:t xml:space="preserve"> likely</w:t>
      </w:r>
      <w:r w:rsidR="43DF72F6" w:rsidRPr="00234027">
        <w:rPr>
          <w:rFonts w:eastAsia="Arial"/>
        </w:rPr>
        <w:t xml:space="preserve"> have been met,</w:t>
      </w:r>
      <w:r w:rsidR="707B9D83" w:rsidRPr="00234027">
        <w:rPr>
          <w:rFonts w:eastAsia="Arial"/>
        </w:rPr>
        <w:t xml:space="preserve"> </w:t>
      </w:r>
      <w:r w:rsidR="000648D1" w:rsidRPr="00234027">
        <w:rPr>
          <w:rFonts w:eastAsia="Arial"/>
        </w:rPr>
        <w:t xml:space="preserve">20 decisions </w:t>
      </w:r>
      <w:r w:rsidR="6E050AF8" w:rsidRPr="00234027">
        <w:rPr>
          <w:rFonts w:eastAsia="Arial"/>
        </w:rPr>
        <w:t>(91%)</w:t>
      </w:r>
      <w:r w:rsidR="000648D1" w:rsidRPr="00234027">
        <w:rPr>
          <w:rFonts w:eastAsia="Arial"/>
        </w:rPr>
        <w:t xml:space="preserve"> result</w:t>
      </w:r>
      <w:r w:rsidR="7D758401" w:rsidRPr="00234027">
        <w:rPr>
          <w:rFonts w:eastAsia="Arial"/>
        </w:rPr>
        <w:t xml:space="preserve">ed </w:t>
      </w:r>
      <w:r w:rsidR="000648D1" w:rsidRPr="00234027">
        <w:rPr>
          <w:rFonts w:eastAsia="Arial"/>
        </w:rPr>
        <w:t xml:space="preserve">in </w:t>
      </w:r>
      <w:r w:rsidR="00CC3488" w:rsidRPr="00234027">
        <w:rPr>
          <w:rFonts w:eastAsia="Arial"/>
        </w:rPr>
        <w:t xml:space="preserve">positive recommendations. </w:t>
      </w:r>
    </w:p>
    <w:p w14:paraId="775561D5" w14:textId="77777777" w:rsidR="00D628D5" w:rsidRPr="00B5181A" w:rsidRDefault="00D628D5" w:rsidP="00EA7E43">
      <w:pPr>
        <w:pStyle w:val="Heading1boardreport"/>
        <w:rPr>
          <w:rFonts w:eastAsia="Arial"/>
        </w:rPr>
      </w:pPr>
      <w:r w:rsidRPr="00B5181A">
        <w:rPr>
          <w:rFonts w:eastAsia="Arial"/>
        </w:rPr>
        <w:t>Conclusion based on this review</w:t>
      </w:r>
    </w:p>
    <w:p w14:paraId="03CA5FAA" w14:textId="77777777" w:rsidR="00747240" w:rsidRDefault="00D628D5" w:rsidP="00EA7E43">
      <w:pPr>
        <w:pStyle w:val="NICEnormalnumbered"/>
        <w:rPr>
          <w:rFonts w:eastAsia="Arial"/>
        </w:rPr>
      </w:pPr>
      <w:r w:rsidRPr="79F599A0">
        <w:rPr>
          <w:rFonts w:eastAsia="Arial"/>
        </w:rPr>
        <w:t>The severity modifier is operating as intended and has been applied to a wider range of diseases as it was designed to do. Based on the data to date, it has remained opportunity cost neutral compared to the end of life modifier and the proportion of positive recommendations has been higher.</w:t>
      </w:r>
    </w:p>
    <w:p w14:paraId="21972B6E" w14:textId="586A5C3F" w:rsidR="00D628D5" w:rsidRPr="00CC3E49" w:rsidRDefault="00747240" w:rsidP="00EA7E43">
      <w:pPr>
        <w:pStyle w:val="NICEnormalnumbered"/>
        <w:rPr>
          <w:rFonts w:eastAsia="Arial"/>
        </w:rPr>
      </w:pPr>
      <w:r>
        <w:rPr>
          <w:rFonts w:eastAsia="Arial"/>
        </w:rPr>
        <w:t xml:space="preserve">We therefore recommend that no change to the severity modifier is required </w:t>
      </w:r>
      <w:r w:rsidR="00C272AA">
        <w:rPr>
          <w:rFonts w:eastAsia="Arial"/>
        </w:rPr>
        <w:t xml:space="preserve">and that we should continue monitoring the </w:t>
      </w:r>
      <w:r w:rsidR="00F62E8A">
        <w:rPr>
          <w:rFonts w:eastAsia="Arial"/>
        </w:rPr>
        <w:t>mean weighting applied to technology appraisal decisions.</w:t>
      </w:r>
      <w:r w:rsidR="00D628D5" w:rsidRPr="79F599A0">
        <w:rPr>
          <w:rFonts w:eastAsia="Arial"/>
        </w:rPr>
        <w:t xml:space="preserve"> </w:t>
      </w:r>
    </w:p>
    <w:p w14:paraId="5D1B0294" w14:textId="77777777" w:rsidR="00D628D5" w:rsidRPr="00B52F7B" w:rsidRDefault="00D628D5" w:rsidP="00EA7E43">
      <w:pPr>
        <w:pStyle w:val="NICEnormalnumbered"/>
        <w:rPr>
          <w:rFonts w:eastAsia="Arial"/>
        </w:rPr>
      </w:pPr>
      <w:r w:rsidRPr="00B52F7B">
        <w:rPr>
          <w:rFonts w:eastAsia="Arial"/>
        </w:rPr>
        <w:t>Further research is being commissioned to understand in greater depth the extent to which society places additional value on treatments for severe diseases.</w:t>
      </w:r>
    </w:p>
    <w:p w14:paraId="703EC01A" w14:textId="77777777" w:rsidR="00D628D5" w:rsidRPr="00B52F7B" w:rsidRDefault="00D628D5" w:rsidP="00EA7E43">
      <w:pPr>
        <w:pStyle w:val="Heading1boardreport"/>
        <w:rPr>
          <w:rFonts w:eastAsia="Arial"/>
        </w:rPr>
      </w:pPr>
      <w:r w:rsidRPr="00B52F7B">
        <w:rPr>
          <w:rFonts w:eastAsia="Arial"/>
        </w:rPr>
        <w:t>Research on societal preferences</w:t>
      </w:r>
    </w:p>
    <w:p w14:paraId="325CAB91" w14:textId="77777777" w:rsidR="00D628D5" w:rsidRPr="00B52F7B" w:rsidRDefault="00D628D5" w:rsidP="00EA7E43">
      <w:pPr>
        <w:pStyle w:val="NICEnormalnumbered"/>
        <w:rPr>
          <w:rFonts w:eastAsia="Arial"/>
        </w:rPr>
      </w:pPr>
      <w:r w:rsidRPr="00B52F7B">
        <w:rPr>
          <w:rFonts w:eastAsia="Arial"/>
        </w:rPr>
        <w:t xml:space="preserve">NICE has begun scoping further research into </w:t>
      </w:r>
      <w:bookmarkStart w:id="0" w:name="_Hlk177389191"/>
      <w:r w:rsidRPr="00B52F7B">
        <w:rPr>
          <w:rFonts w:eastAsia="Arial"/>
        </w:rPr>
        <w:t xml:space="preserve">society’s preferences on how much additional weighting to </w:t>
      </w:r>
      <w:r>
        <w:rPr>
          <w:rFonts w:eastAsia="Arial"/>
        </w:rPr>
        <w:t xml:space="preserve">apply to </w:t>
      </w:r>
      <w:r w:rsidRPr="00B52F7B">
        <w:rPr>
          <w:rFonts w:eastAsia="Arial"/>
        </w:rPr>
        <w:t>health benefits for people with severe diseases.</w:t>
      </w:r>
      <w:bookmarkEnd w:id="0"/>
    </w:p>
    <w:p w14:paraId="23789751" w14:textId="47B37803" w:rsidR="00D628D5" w:rsidRPr="00B52F7B" w:rsidRDefault="00D628D5" w:rsidP="00EA7E43">
      <w:pPr>
        <w:pStyle w:val="NICEnormalnumbered"/>
        <w:rPr>
          <w:rFonts w:eastAsia="Arial"/>
        </w:rPr>
      </w:pPr>
      <w:r w:rsidRPr="00B52F7B">
        <w:rPr>
          <w:rFonts w:eastAsia="Arial"/>
        </w:rPr>
        <w:t xml:space="preserve">We intend to tender for this work in December and it will report back </w:t>
      </w:r>
      <w:r>
        <w:rPr>
          <w:rFonts w:eastAsia="Arial"/>
        </w:rPr>
        <w:t xml:space="preserve">around </w:t>
      </w:r>
      <w:r w:rsidR="009D0091">
        <w:rPr>
          <w:rFonts w:eastAsia="Arial"/>
        </w:rPr>
        <w:t>2</w:t>
      </w:r>
      <w:r w:rsidR="009D0091" w:rsidRPr="00B52F7B">
        <w:rPr>
          <w:rFonts w:eastAsia="Arial"/>
        </w:rPr>
        <w:t xml:space="preserve"> </w:t>
      </w:r>
      <w:r w:rsidRPr="00B52F7B">
        <w:rPr>
          <w:rFonts w:eastAsia="Arial"/>
        </w:rPr>
        <w:t xml:space="preserve">years after field work begins. </w:t>
      </w:r>
      <w:r>
        <w:rPr>
          <w:rFonts w:eastAsia="Arial"/>
        </w:rPr>
        <w:t>The findings will support future further consideration of the severity modifier.</w:t>
      </w:r>
    </w:p>
    <w:p w14:paraId="5F4F1A9F" w14:textId="77777777" w:rsidR="00E40161" w:rsidRDefault="00E40161" w:rsidP="00C5633D">
      <w:pPr>
        <w:pStyle w:val="Title1"/>
        <w:sectPr w:rsidR="00E40161" w:rsidSect="00B0463B">
          <w:headerReference w:type="default" r:id="rId12"/>
          <w:footerReference w:type="default" r:id="rId13"/>
          <w:pgSz w:w="11906" w:h="16838"/>
          <w:pgMar w:top="1440" w:right="1440" w:bottom="1440" w:left="1440" w:header="708" w:footer="708" w:gutter="0"/>
          <w:cols w:space="708"/>
          <w:docGrid w:linePitch="360"/>
        </w:sectPr>
      </w:pPr>
    </w:p>
    <w:p w14:paraId="307423D9" w14:textId="59AC8ED3" w:rsidR="00C5633D" w:rsidRDefault="00780AC5" w:rsidP="00C5633D">
      <w:pPr>
        <w:pStyle w:val="Title1"/>
      </w:pPr>
      <w:r w:rsidRPr="00252096">
        <w:t>Review of the implementation of the severity modif</w:t>
      </w:r>
      <w:r>
        <w:t>i</w:t>
      </w:r>
      <w:r w:rsidRPr="00252096">
        <w:t>er</w:t>
      </w:r>
    </w:p>
    <w:p w14:paraId="0F9F8CCD" w14:textId="1C34CB9E" w:rsidR="005B32DA" w:rsidRDefault="000520C1" w:rsidP="00C5633D">
      <w:pPr>
        <w:pStyle w:val="Title20"/>
      </w:pPr>
      <w:r>
        <w:t>Technical appendix</w:t>
      </w:r>
    </w:p>
    <w:p w14:paraId="0C6D6269" w14:textId="545D49E5" w:rsidR="004B4705" w:rsidRDefault="004B4705" w:rsidP="003D3B28">
      <w:pPr>
        <w:pStyle w:val="Heading1boardreport"/>
      </w:pPr>
      <w:r>
        <w:t xml:space="preserve">Background </w:t>
      </w:r>
    </w:p>
    <w:p w14:paraId="3A4E4E6C" w14:textId="77777777" w:rsidR="002763C5" w:rsidRPr="002763C5" w:rsidRDefault="002763C5" w:rsidP="002763C5">
      <w:pPr>
        <w:pStyle w:val="Heading2boardreport"/>
      </w:pPr>
      <w:r w:rsidRPr="002763C5">
        <w:t>Development of the severity modifier</w:t>
      </w:r>
    </w:p>
    <w:p w14:paraId="4193F8A0" w14:textId="7BF0320D" w:rsidR="00C96C2A" w:rsidRDefault="00C96C2A" w:rsidP="00D92560">
      <w:pPr>
        <w:pStyle w:val="NICEnormalnumbered"/>
      </w:pPr>
      <w:r w:rsidDel="005F21B3">
        <w:t>NICE introduced the severity modifier in January 2022, following a r</w:t>
      </w:r>
      <w:r w:rsidRPr="008E0FD5" w:rsidDel="005F21B3">
        <w:t xml:space="preserve">eview of </w:t>
      </w:r>
      <w:r w:rsidDel="005F21B3">
        <w:t>the</w:t>
      </w:r>
      <w:r w:rsidRPr="008E0FD5" w:rsidDel="005F21B3">
        <w:t xml:space="preserve"> methods, processes and topic selection for health technology evaluation</w:t>
      </w:r>
      <w:r w:rsidDel="005F21B3">
        <w:t>s</w:t>
      </w:r>
      <w:r w:rsidRPr="008E0FD5" w:rsidDel="005F21B3">
        <w:t xml:space="preserve"> </w:t>
      </w:r>
      <w:r w:rsidDel="005F21B3">
        <w:t>(‘methods review’ hereafter</w:t>
      </w:r>
      <w:r>
        <w:t>),</w:t>
      </w:r>
      <w:r w:rsidDel="005F21B3">
        <w:t xml:space="preserve"> including </w:t>
      </w:r>
      <w:r w:rsidR="00E90251">
        <w:t>2</w:t>
      </w:r>
      <w:r w:rsidDel="005F21B3">
        <w:t xml:space="preserve"> stakeholder consultations. </w:t>
      </w:r>
    </w:p>
    <w:p w14:paraId="2B25B0F9" w14:textId="77777777" w:rsidR="000F230F" w:rsidRDefault="000F230F" w:rsidP="00E14CDE">
      <w:pPr>
        <w:pStyle w:val="NICEnormalnumbered"/>
      </w:pPr>
      <w:r>
        <w:t xml:space="preserve">The methods review </w:t>
      </w:r>
      <w:r w:rsidRPr="00B34C1B">
        <w:t xml:space="preserve">found limited evidence that society places additional value </w:t>
      </w:r>
      <w:r>
        <w:t>on</w:t>
      </w:r>
      <w:r w:rsidRPr="00B34C1B">
        <w:t xml:space="preserve"> life-extending treatments at the </w:t>
      </w:r>
      <w:r>
        <w:t>end of life compared to other types of treatments</w:t>
      </w:r>
      <w:r w:rsidRPr="00B34C1B">
        <w:t xml:space="preserve">. </w:t>
      </w:r>
      <w:r>
        <w:t>By contrast</w:t>
      </w:r>
      <w:r w:rsidRPr="00B34C1B">
        <w:t xml:space="preserve">, greater evidence </w:t>
      </w:r>
      <w:r>
        <w:t xml:space="preserve">was found </w:t>
      </w:r>
      <w:r w:rsidRPr="00B34C1B">
        <w:t>that society highly values health benefits in severe conditions</w:t>
      </w:r>
      <w:r>
        <w:t>, including conditions characterised by poor quality of life</w:t>
      </w:r>
      <w:r w:rsidRPr="00B34C1B">
        <w:t xml:space="preserve">. </w:t>
      </w:r>
    </w:p>
    <w:p w14:paraId="7977739F" w14:textId="41CF50A1" w:rsidR="00E14CDE" w:rsidRPr="007D50BC" w:rsidRDefault="00E14CDE" w:rsidP="00E14CDE">
      <w:pPr>
        <w:pStyle w:val="NICEnormalnumbered"/>
      </w:pPr>
      <w:r>
        <w:t>NICE</w:t>
      </w:r>
      <w:r w:rsidRPr="25D52114">
        <w:t xml:space="preserve"> </w:t>
      </w:r>
      <w:r>
        <w:t>therefore</w:t>
      </w:r>
      <w:r w:rsidRPr="25D52114">
        <w:t xml:space="preserve"> proposed replacing the end of life modifier with a new modifier based on severity and quality-adjusted life year (QALY) </w:t>
      </w:r>
      <w:r>
        <w:t>losses, using absolute and proportional QALY shortfall to quantify severity (AS and PS, respectively)</w:t>
      </w:r>
      <w:r w:rsidRPr="25D52114">
        <w:t xml:space="preserve">. This proposal was broadly supported </w:t>
      </w:r>
      <w:r>
        <w:t xml:space="preserve">by stakeholder consultees, including </w:t>
      </w:r>
      <w:r w:rsidR="00455B25">
        <w:t xml:space="preserve">life sciences </w:t>
      </w:r>
      <w:r>
        <w:t>industry stakeholders.</w:t>
      </w:r>
    </w:p>
    <w:p w14:paraId="323AC6DE" w14:textId="77777777" w:rsidR="008B6ACB" w:rsidRDefault="00E14CDE" w:rsidP="005B7CE2">
      <w:pPr>
        <w:pStyle w:val="NICEnormalnumbered"/>
      </w:pPr>
      <w:r>
        <w:t>When designing the modifier, a</w:t>
      </w:r>
      <w:r w:rsidR="00411A4E">
        <w:t>n</w:t>
      </w:r>
      <w:r>
        <w:t xml:space="preserve"> ‘opportunity cost neutral’ approach was taken whereby the weights applied to incremental QALYs previously invested in end of life treatments were reallocated to treatments for severe disease. This was considered important because a larger severity modifier would have displaced more technologies and care, and therefore more health benefits, for patients elsewhere in the NHS. </w:t>
      </w:r>
    </w:p>
    <w:p w14:paraId="769B94BE" w14:textId="54F17753" w:rsidR="00E14CDE" w:rsidRDefault="00BA4384" w:rsidP="005B7CE2">
      <w:pPr>
        <w:pStyle w:val="NICEnormalnumbered"/>
      </w:pPr>
      <w:r>
        <w:t xml:space="preserve">Opportunity cost neutrality is a key </w:t>
      </w:r>
      <w:r w:rsidR="00465F36">
        <w:t>principle</w:t>
      </w:r>
      <w:r w:rsidR="00E5530B">
        <w:t xml:space="preserve"> that NICE works under</w:t>
      </w:r>
      <w:r w:rsidR="00FE7AAC">
        <w:t xml:space="preserve">. </w:t>
      </w:r>
      <w:r w:rsidR="00C95FEB">
        <w:t>NICE cannot</w:t>
      </w:r>
      <w:r w:rsidR="00EA24F2">
        <w:t xml:space="preserve"> introduce methods changes that would be </w:t>
      </w:r>
      <w:r w:rsidR="004B2324">
        <w:t xml:space="preserve">cost </w:t>
      </w:r>
      <w:r w:rsidR="00EA24F2">
        <w:t>inflationary without agreement from the Department of Health and Social Care. Further, any departure from opportunity cost neutrality</w:t>
      </w:r>
      <w:r w:rsidR="00E14CDE">
        <w:t xml:space="preserve"> </w:t>
      </w:r>
      <w:r w:rsidR="00D16EAE">
        <w:t>should ideally</w:t>
      </w:r>
      <w:r w:rsidR="00E14CDE">
        <w:t xml:space="preserve"> be justified </w:t>
      </w:r>
      <w:r w:rsidR="00D16EAE">
        <w:t xml:space="preserve">by </w:t>
      </w:r>
      <w:r w:rsidR="00E14CDE">
        <w:t>evidence that society supports such reallocation of health.</w:t>
      </w:r>
    </w:p>
    <w:p w14:paraId="07DE3EF6" w14:textId="4DBE7AFE" w:rsidR="00E14CDE" w:rsidRDefault="00E14CDE" w:rsidP="00E14CDE">
      <w:pPr>
        <w:pStyle w:val="NICEnormalnumbered"/>
      </w:pPr>
      <w:r>
        <w:t>A weighting profile was established (</w:t>
      </w:r>
      <w:r>
        <w:fldChar w:fldCharType="begin"/>
      </w:r>
      <w:r>
        <w:instrText xml:space="preserve"> REF _Ref168414629 \h  \* MERGEFORMAT </w:instrText>
      </w:r>
      <w:r>
        <w:fldChar w:fldCharType="separate"/>
      </w:r>
      <w:r w:rsidR="00066186" w:rsidRPr="00066186">
        <w:rPr>
          <w:rFonts w:cstheme="minorBidi"/>
        </w:rPr>
        <w:t xml:space="preserve">Table </w:t>
      </w:r>
      <w:r w:rsidR="00066186">
        <w:t>1</w:t>
      </w:r>
      <w:r>
        <w:fldChar w:fldCharType="end"/>
      </w:r>
      <w:r>
        <w:t xml:space="preserve">), calculated based on data from a retrospective review of health technology appraisal decisions. This included </w:t>
      </w:r>
      <w:r w:rsidR="00B518AB">
        <w:t>3</w:t>
      </w:r>
      <w:r>
        <w:t xml:space="preserve"> different QALY weights (1, 1.2 and 1.7), applied based on AS and PS, whichever implies the greater severity level. </w:t>
      </w:r>
    </w:p>
    <w:p w14:paraId="13D5A31C" w14:textId="11A75C3E" w:rsidR="00782CE6" w:rsidRPr="003A68EA" w:rsidRDefault="00782CE6" w:rsidP="00782CE6">
      <w:pPr>
        <w:pStyle w:val="Caption"/>
      </w:pPr>
      <w:bookmarkStart w:id="1" w:name="_Ref168414629"/>
      <w:bookmarkStart w:id="2" w:name="_Toc104192991"/>
      <w:bookmarkStart w:id="3" w:name="_Toc166843683"/>
      <w:r w:rsidRPr="003A68EA">
        <w:t xml:space="preserve">Table </w:t>
      </w:r>
      <w:r w:rsidRPr="003A68EA">
        <w:fldChar w:fldCharType="begin"/>
      </w:r>
      <w:r w:rsidRPr="003A68EA">
        <w:instrText xml:space="preserve"> SEQ Table \* ARABIC </w:instrText>
      </w:r>
      <w:r w:rsidRPr="003A68EA">
        <w:fldChar w:fldCharType="separate"/>
      </w:r>
      <w:r w:rsidR="00066186">
        <w:rPr>
          <w:noProof/>
        </w:rPr>
        <w:t>1</w:t>
      </w:r>
      <w:r w:rsidRPr="003A68EA">
        <w:fldChar w:fldCharType="end"/>
      </w:r>
      <w:bookmarkEnd w:id="1"/>
      <w:r w:rsidRPr="003A68EA">
        <w:t>: QALY weightings for severity</w:t>
      </w:r>
      <w:bookmarkEnd w:id="2"/>
      <w:bookmarkEnd w:id="3"/>
    </w:p>
    <w:tbl>
      <w:tblPr>
        <w:tblW w:w="900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Caption w:val="Table 1: QALY weightings for severity"/>
        <w:tblDescription w:val="This table shows how different proportional and absolute QALY shortfalls result in different severity weighting categories."/>
      </w:tblPr>
      <w:tblGrid>
        <w:gridCol w:w="2552"/>
        <w:gridCol w:w="3226"/>
        <w:gridCol w:w="3227"/>
      </w:tblGrid>
      <w:tr w:rsidR="003A321A" w:rsidRPr="002D5943" w14:paraId="013498CD" w14:textId="77777777">
        <w:tc>
          <w:tcPr>
            <w:tcW w:w="2552" w:type="dxa"/>
            <w:tcBorders>
              <w:top w:val="single" w:sz="4" w:space="0" w:color="auto"/>
              <w:left w:val="single" w:sz="4" w:space="0" w:color="auto"/>
              <w:bottom w:val="single" w:sz="4" w:space="0" w:color="auto"/>
              <w:right w:val="single" w:sz="4" w:space="0" w:color="auto"/>
            </w:tcBorders>
            <w:vAlign w:val="center"/>
            <w:hideMark/>
          </w:tcPr>
          <w:p w14:paraId="05DF15FC" w14:textId="77777777" w:rsidR="00782CE6" w:rsidRPr="00444C27" w:rsidRDefault="00782CE6" w:rsidP="00782CE6">
            <w:pPr>
              <w:pStyle w:val="Tablecolumnheading"/>
            </w:pPr>
            <w:r w:rsidRPr="00444C27">
              <w:t xml:space="preserve">QALY weight </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A5B097C" w14:textId="77777777" w:rsidR="00782CE6" w:rsidRPr="00444C27" w:rsidRDefault="00782CE6" w:rsidP="00782CE6">
            <w:pPr>
              <w:pStyle w:val="Tablecolumnheading"/>
            </w:pPr>
            <w:r w:rsidRPr="00444C27">
              <w:t xml:space="preserve">Proportional QALY shortfall </w:t>
            </w:r>
          </w:p>
        </w:tc>
        <w:tc>
          <w:tcPr>
            <w:tcW w:w="3227" w:type="dxa"/>
            <w:tcBorders>
              <w:top w:val="single" w:sz="4" w:space="0" w:color="auto"/>
              <w:left w:val="single" w:sz="4" w:space="0" w:color="auto"/>
              <w:bottom w:val="single" w:sz="4" w:space="0" w:color="auto"/>
              <w:right w:val="single" w:sz="4" w:space="0" w:color="auto"/>
            </w:tcBorders>
            <w:vAlign w:val="center"/>
            <w:hideMark/>
          </w:tcPr>
          <w:p w14:paraId="7187C8F0" w14:textId="77777777" w:rsidR="00782CE6" w:rsidRPr="00444C27" w:rsidRDefault="00782CE6" w:rsidP="00782CE6">
            <w:pPr>
              <w:pStyle w:val="Tablecolumnheading"/>
            </w:pPr>
            <w:r w:rsidRPr="00444C27">
              <w:t>Absolute QALY shortfall</w:t>
            </w:r>
          </w:p>
        </w:tc>
      </w:tr>
      <w:tr w:rsidR="003A321A" w:rsidRPr="002D5943" w14:paraId="04A5BF49" w14:textId="77777777">
        <w:tc>
          <w:tcPr>
            <w:tcW w:w="2552" w:type="dxa"/>
            <w:tcBorders>
              <w:top w:val="single" w:sz="4" w:space="0" w:color="auto"/>
              <w:left w:val="single" w:sz="4" w:space="0" w:color="auto"/>
              <w:bottom w:val="single" w:sz="4" w:space="0" w:color="auto"/>
              <w:right w:val="single" w:sz="4" w:space="0" w:color="auto"/>
            </w:tcBorders>
            <w:vAlign w:val="center"/>
            <w:hideMark/>
          </w:tcPr>
          <w:p w14:paraId="59D69C74" w14:textId="77777777" w:rsidR="00782CE6" w:rsidRPr="00444C27" w:rsidRDefault="00782CE6" w:rsidP="00782CE6">
            <w:pPr>
              <w:pStyle w:val="Tabletext"/>
            </w:pPr>
            <w:r w:rsidRPr="00444C27">
              <w:t xml:space="preserve">1 </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93CFFE3" w14:textId="77777777" w:rsidR="00782CE6" w:rsidRPr="00444C27" w:rsidRDefault="00782CE6" w:rsidP="00782CE6">
            <w:pPr>
              <w:pStyle w:val="Tabletext"/>
            </w:pPr>
            <w:r w:rsidRPr="00444C27">
              <w:t xml:space="preserve">Less than 0.85 </w:t>
            </w:r>
          </w:p>
        </w:tc>
        <w:tc>
          <w:tcPr>
            <w:tcW w:w="3227" w:type="dxa"/>
            <w:tcBorders>
              <w:top w:val="single" w:sz="4" w:space="0" w:color="auto"/>
              <w:left w:val="single" w:sz="4" w:space="0" w:color="auto"/>
              <w:bottom w:val="single" w:sz="4" w:space="0" w:color="auto"/>
              <w:right w:val="single" w:sz="4" w:space="0" w:color="auto"/>
            </w:tcBorders>
            <w:vAlign w:val="center"/>
            <w:hideMark/>
          </w:tcPr>
          <w:p w14:paraId="54315C10" w14:textId="77777777" w:rsidR="00782CE6" w:rsidRPr="00444C27" w:rsidRDefault="00782CE6" w:rsidP="00782CE6">
            <w:pPr>
              <w:pStyle w:val="Tabletext"/>
            </w:pPr>
            <w:r w:rsidRPr="00444C27">
              <w:t>Less than 12</w:t>
            </w:r>
          </w:p>
        </w:tc>
      </w:tr>
      <w:tr w:rsidR="003A321A" w:rsidRPr="002D5943" w14:paraId="4CA20DDD" w14:textId="77777777">
        <w:tc>
          <w:tcPr>
            <w:tcW w:w="2552" w:type="dxa"/>
            <w:tcBorders>
              <w:top w:val="single" w:sz="4" w:space="0" w:color="auto"/>
              <w:left w:val="single" w:sz="4" w:space="0" w:color="auto"/>
              <w:bottom w:val="single" w:sz="4" w:space="0" w:color="auto"/>
              <w:right w:val="single" w:sz="4" w:space="0" w:color="auto"/>
            </w:tcBorders>
            <w:vAlign w:val="center"/>
            <w:hideMark/>
          </w:tcPr>
          <w:p w14:paraId="65A81574" w14:textId="77777777" w:rsidR="00782CE6" w:rsidRPr="00444C27" w:rsidRDefault="00782CE6" w:rsidP="00782CE6">
            <w:pPr>
              <w:pStyle w:val="Tabletext"/>
            </w:pPr>
            <w:r w:rsidRPr="00444C27">
              <w:t xml:space="preserve">x1.2 </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C4BFD58" w14:textId="77777777" w:rsidR="00782CE6" w:rsidRPr="00444C27" w:rsidRDefault="00782CE6" w:rsidP="00782CE6">
            <w:pPr>
              <w:pStyle w:val="Tabletext"/>
            </w:pPr>
            <w:r w:rsidRPr="00444C27">
              <w:t xml:space="preserve">0.85 to 0.95 </w:t>
            </w:r>
          </w:p>
        </w:tc>
        <w:tc>
          <w:tcPr>
            <w:tcW w:w="3227" w:type="dxa"/>
            <w:tcBorders>
              <w:top w:val="single" w:sz="4" w:space="0" w:color="auto"/>
              <w:left w:val="single" w:sz="4" w:space="0" w:color="auto"/>
              <w:bottom w:val="single" w:sz="4" w:space="0" w:color="auto"/>
              <w:right w:val="single" w:sz="4" w:space="0" w:color="auto"/>
            </w:tcBorders>
            <w:vAlign w:val="center"/>
            <w:hideMark/>
          </w:tcPr>
          <w:p w14:paraId="0A4322FE" w14:textId="77777777" w:rsidR="00782CE6" w:rsidRPr="00444C27" w:rsidRDefault="00782CE6" w:rsidP="00782CE6">
            <w:pPr>
              <w:pStyle w:val="Tabletext"/>
            </w:pPr>
            <w:r w:rsidRPr="00444C27">
              <w:t>12 to 18</w:t>
            </w:r>
          </w:p>
        </w:tc>
      </w:tr>
      <w:tr w:rsidR="003A321A" w:rsidRPr="002D5943" w14:paraId="05775E18" w14:textId="77777777">
        <w:tc>
          <w:tcPr>
            <w:tcW w:w="2552" w:type="dxa"/>
            <w:tcBorders>
              <w:top w:val="single" w:sz="4" w:space="0" w:color="auto"/>
              <w:left w:val="single" w:sz="4" w:space="0" w:color="auto"/>
              <w:bottom w:val="single" w:sz="4" w:space="0" w:color="auto"/>
              <w:right w:val="single" w:sz="4" w:space="0" w:color="auto"/>
            </w:tcBorders>
            <w:vAlign w:val="center"/>
            <w:hideMark/>
          </w:tcPr>
          <w:p w14:paraId="7FFABBD6" w14:textId="77777777" w:rsidR="00782CE6" w:rsidRPr="00444C27" w:rsidRDefault="00782CE6" w:rsidP="00782CE6">
            <w:pPr>
              <w:pStyle w:val="Tabletext"/>
            </w:pPr>
            <w:r w:rsidRPr="00444C27">
              <w:t xml:space="preserve">x1.7 </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104F7CD" w14:textId="77777777" w:rsidR="00782CE6" w:rsidRPr="00444C27" w:rsidRDefault="00782CE6" w:rsidP="00782CE6">
            <w:pPr>
              <w:pStyle w:val="Tabletext"/>
            </w:pPr>
            <w:r w:rsidRPr="00444C27">
              <w:t xml:space="preserve">At least 0.95 </w:t>
            </w:r>
          </w:p>
        </w:tc>
        <w:tc>
          <w:tcPr>
            <w:tcW w:w="3227" w:type="dxa"/>
            <w:tcBorders>
              <w:top w:val="single" w:sz="4" w:space="0" w:color="auto"/>
              <w:left w:val="single" w:sz="4" w:space="0" w:color="auto"/>
              <w:bottom w:val="single" w:sz="4" w:space="0" w:color="auto"/>
              <w:right w:val="single" w:sz="4" w:space="0" w:color="auto"/>
            </w:tcBorders>
            <w:vAlign w:val="center"/>
            <w:hideMark/>
          </w:tcPr>
          <w:p w14:paraId="46A36570" w14:textId="77777777" w:rsidR="00782CE6" w:rsidRPr="00444C27" w:rsidRDefault="00782CE6" w:rsidP="00782CE6">
            <w:pPr>
              <w:pStyle w:val="Tabletext"/>
            </w:pPr>
            <w:r w:rsidRPr="00444C27">
              <w:t>At least 18</w:t>
            </w:r>
          </w:p>
        </w:tc>
      </w:tr>
    </w:tbl>
    <w:p w14:paraId="4F61817B" w14:textId="0514113D" w:rsidR="00782CE6" w:rsidRDefault="00782CE6" w:rsidP="003B3359">
      <w:pPr>
        <w:pStyle w:val="Tabletext"/>
      </w:pPr>
      <w:r>
        <w:t xml:space="preserve">Source: </w:t>
      </w:r>
      <w:r w:rsidRPr="009C2E1F">
        <w:t>NICE health technology evaluations: the manual</w:t>
      </w:r>
    </w:p>
    <w:p w14:paraId="3CE87C55" w14:textId="77777777" w:rsidR="003B3359" w:rsidRDefault="003B3359" w:rsidP="003B3359">
      <w:pPr>
        <w:pStyle w:val="Tabletext"/>
      </w:pPr>
    </w:p>
    <w:p w14:paraId="6BDC589A" w14:textId="77777777" w:rsidR="008747BE" w:rsidRDefault="008747BE" w:rsidP="008747BE">
      <w:pPr>
        <w:pStyle w:val="NICEnormalnumbered"/>
      </w:pPr>
      <w:r>
        <w:t>During the development of the severity modifier, NICE identified that there would be a small number of topics that had previously met the end of life criteria but would not have received additional weighting with the severity modifier. However, the retrospective review showed that the application of the severity modifier would span a broader range of conditions than had benefited from the end of life modifier, including non-end of life cancer indications, and musculoskeletal, inflammatory and mental health conditions. It would not have been possible to design the severity modifier in a way that did not disadvantage any topics without it being cost inflationary.</w:t>
      </w:r>
    </w:p>
    <w:p w14:paraId="7F40083F" w14:textId="0BBCC17C" w:rsidR="008747BE" w:rsidRDefault="008747BE" w:rsidP="008747BE">
      <w:pPr>
        <w:pStyle w:val="NICEnormalnumbered"/>
      </w:pPr>
      <w:r>
        <w:t xml:space="preserve">The principle of exceptionality was emphasised throughout the methods review process. NICE’s position was that </w:t>
      </w:r>
      <w:r w:rsidRPr="007762AF">
        <w:t xml:space="preserve">health benefits are of equal value (regardless of </w:t>
      </w:r>
      <w:r>
        <w:t>the</w:t>
      </w:r>
      <w:r w:rsidRPr="007762AF">
        <w:t xml:space="preserve"> characteristics of the technology and </w:t>
      </w:r>
      <w:r>
        <w:t xml:space="preserve">the </w:t>
      </w:r>
      <w:r w:rsidRPr="007762AF">
        <w:t xml:space="preserve">people having those benefits), apart from in very exceptional circumstances. As was the case for the </w:t>
      </w:r>
      <w:r>
        <w:t>end of life</w:t>
      </w:r>
      <w:r w:rsidRPr="007762AF">
        <w:t xml:space="preserve"> </w:t>
      </w:r>
      <w:r>
        <w:t>modifier</w:t>
      </w:r>
      <w:r w:rsidRPr="007762AF">
        <w:t xml:space="preserve">, </w:t>
      </w:r>
      <w:r>
        <w:t xml:space="preserve">the </w:t>
      </w:r>
      <w:r w:rsidRPr="007762AF">
        <w:t xml:space="preserve">severity modifier </w:t>
      </w:r>
      <w:r w:rsidR="007321F6">
        <w:t>was intended to</w:t>
      </w:r>
      <w:r w:rsidRPr="007762AF">
        <w:t xml:space="preserve"> be applied as an exception.</w:t>
      </w:r>
      <w:r>
        <w:t xml:space="preserve"> </w:t>
      </w:r>
    </w:p>
    <w:p w14:paraId="06FC27BF" w14:textId="77777777" w:rsidR="00AD5ED3" w:rsidRDefault="00AD5ED3" w:rsidP="00AD5ED3">
      <w:pPr>
        <w:pStyle w:val="Heading2boardreport"/>
      </w:pPr>
      <w:r>
        <w:t>Initial data on frequency of use</w:t>
      </w:r>
    </w:p>
    <w:p w14:paraId="1EC2453E" w14:textId="77777777" w:rsidR="00017552" w:rsidRDefault="00017552" w:rsidP="00017552">
      <w:pPr>
        <w:pStyle w:val="NICEnormalnumbered"/>
      </w:pPr>
      <w:r>
        <w:t>Initial d</w:t>
      </w:r>
      <w:r w:rsidRPr="00AF0478">
        <w:t xml:space="preserve">ata on experience of using the new manual was reported to the NICE </w:t>
      </w:r>
      <w:r>
        <w:t>B</w:t>
      </w:r>
      <w:r w:rsidRPr="00AF0478">
        <w:t xml:space="preserve">oard in December 2023. </w:t>
      </w:r>
      <w:r>
        <w:t>High level s</w:t>
      </w:r>
      <w:r w:rsidRPr="00AF0478">
        <w:t xml:space="preserve">tatistics on the use of the severity modifier were based on a sample of 52 appraisals (all topics that had been to at least 1 committee meeting and reached either published </w:t>
      </w:r>
      <w:r>
        <w:t>final</w:t>
      </w:r>
      <w:r w:rsidRPr="00AF0478">
        <w:t xml:space="preserve"> </w:t>
      </w:r>
      <w:r>
        <w:t xml:space="preserve">or draft </w:t>
      </w:r>
      <w:r w:rsidRPr="00AF0478">
        <w:t xml:space="preserve">guidance stage). The </w:t>
      </w:r>
      <w:r>
        <w:t>B</w:t>
      </w:r>
      <w:r w:rsidRPr="00AF0478">
        <w:t xml:space="preserve">oard paper noted that </w:t>
      </w:r>
      <w:r>
        <w:t>w</w:t>
      </w:r>
      <w:r w:rsidRPr="00AF0478">
        <w:t>ider use of the 1.2 severity weighting had been anticipated</w:t>
      </w:r>
      <w:r>
        <w:t xml:space="preserve">, and that </w:t>
      </w:r>
      <w:r w:rsidRPr="00AF0478">
        <w:t>this would be the subject of a review in 2024</w:t>
      </w:r>
      <w:r>
        <w:t>-</w:t>
      </w:r>
      <w:r w:rsidRPr="00AF0478">
        <w:t xml:space="preserve">25. </w:t>
      </w:r>
    </w:p>
    <w:p w14:paraId="3C7F1CC8" w14:textId="77777777" w:rsidR="008F1CFD" w:rsidRPr="00541B09" w:rsidRDefault="008F1CFD" w:rsidP="008F1CFD">
      <w:pPr>
        <w:pStyle w:val="Heading1boardreport"/>
      </w:pPr>
      <w:r w:rsidRPr="003078DE">
        <w:t>Aim of this review</w:t>
      </w:r>
    </w:p>
    <w:p w14:paraId="4705E3AC" w14:textId="79465067" w:rsidR="00E23F4C" w:rsidRDefault="00E23F4C" w:rsidP="00E23F4C">
      <w:pPr>
        <w:pStyle w:val="NICEnormalnumbered"/>
      </w:pPr>
      <w:r w:rsidRPr="00180747">
        <w:t xml:space="preserve">The aim of </w:t>
      </w:r>
      <w:r>
        <w:t>this</w:t>
      </w:r>
      <w:r w:rsidRPr="00180747">
        <w:t xml:space="preserve"> review is to </w:t>
      </w:r>
      <w:r>
        <w:t xml:space="preserve">assess whether the severity modifier is operating as intended, </w:t>
      </w:r>
      <w:r w:rsidR="009C742F">
        <w:t>including whether it has been opportunity cost neutral compared to the end of life modifier it replaced</w:t>
      </w:r>
      <w:r w:rsidRPr="00180747">
        <w:t>.</w:t>
      </w:r>
    </w:p>
    <w:p w14:paraId="6DEA9AAC" w14:textId="77777777" w:rsidR="003C15E7" w:rsidRDefault="003C15E7" w:rsidP="003C15E7">
      <w:pPr>
        <w:pStyle w:val="Heading1boardreport"/>
      </w:pPr>
      <w:r>
        <w:t>Commissioned DSU analysis</w:t>
      </w:r>
    </w:p>
    <w:p w14:paraId="3FC91013" w14:textId="77777777" w:rsidR="00E36206" w:rsidRDefault="00E36206" w:rsidP="00E36206">
      <w:pPr>
        <w:pStyle w:val="NICEnormalnumbered"/>
      </w:pPr>
      <w:r>
        <w:t>NICE commissioned the Decision Support Unit (DSU) to undertake an in-depth analysis of the use of the severity modifier in technology appraisals. NICE reviewed the draft DSU report and requested amendments and additional analysis as needed.</w:t>
      </w:r>
    </w:p>
    <w:p w14:paraId="73E33304" w14:textId="732924FA" w:rsidR="00D56E56" w:rsidRDefault="00D56E56" w:rsidP="00D56E56">
      <w:pPr>
        <w:pStyle w:val="NICEnormalnumbered"/>
      </w:pPr>
      <w:r w:rsidRPr="00105A1E">
        <w:t>Full explanation of the DSU’s method</w:t>
      </w:r>
      <w:r>
        <w:t>s</w:t>
      </w:r>
      <w:r w:rsidR="000A2969">
        <w:t xml:space="preserve"> and findings</w:t>
      </w:r>
      <w:r w:rsidRPr="00105A1E">
        <w:t>, including statistical analysis methods, can be found in</w:t>
      </w:r>
      <w:r w:rsidR="00651745">
        <w:t xml:space="preserve"> a </w:t>
      </w:r>
      <w:hyperlink r:id="rId14" w:history="1">
        <w:r w:rsidR="001618D6">
          <w:rPr>
            <w:rStyle w:val="Hyperlink"/>
          </w:rPr>
          <w:t xml:space="preserve">severity weights </w:t>
        </w:r>
        <w:r w:rsidR="00BF05E7">
          <w:rPr>
            <w:rStyle w:val="Hyperlink"/>
          </w:rPr>
          <w:t>report on the DSU website</w:t>
        </w:r>
      </w:hyperlink>
      <w:r>
        <w:t xml:space="preserve">. </w:t>
      </w:r>
    </w:p>
    <w:p w14:paraId="6E292885" w14:textId="77777777" w:rsidR="00D56E56" w:rsidRDefault="00D56E56" w:rsidP="00D56E56">
      <w:pPr>
        <w:pStyle w:val="NICEnormalnumbered"/>
      </w:pPr>
      <w:r>
        <w:t>In brief, the DSU analysis was based on:</w:t>
      </w:r>
    </w:p>
    <w:p w14:paraId="3C047120" w14:textId="77777777" w:rsidR="00D56E56" w:rsidRDefault="00D56E56" w:rsidP="00D56E56">
      <w:pPr>
        <w:pStyle w:val="Bullets"/>
      </w:pPr>
      <w:r>
        <w:t xml:space="preserve">A historical sample comprising 464 decisions from 269 technology appraisals published between January 2009 and March 2021 for which severity weightings could be estimated (decisions from appraisals that were conducted using cost comparison analyses rather than cost utility analyses would not include the necessary information, for example). This is referred to as the primary+ subsample in both the DSU report and this paper. Among these decisions were 423 that were based on health and cost outcomes over a lifetime horizon. </w:t>
      </w:r>
    </w:p>
    <w:p w14:paraId="1174A761" w14:textId="2B4E1639" w:rsidR="00D56E56" w:rsidRDefault="00D56E56" w:rsidP="00D56E56">
      <w:pPr>
        <w:pStyle w:val="Bulletslast"/>
      </w:pPr>
      <w:r>
        <w:t>A ‘new methods’ sample comprising 68 decisions from 47 technology appraisals published between January 2022 and March 2024, excluding cost comparisons and decisions where severity was not calculated.</w:t>
      </w:r>
      <w:r w:rsidDel="005B60ED">
        <w:t xml:space="preserve"> </w:t>
      </w:r>
      <w:r>
        <w:t xml:space="preserve">This is referred to as the implementation subsample in both the DSU report and this paper. All </w:t>
      </w:r>
      <w:r w:rsidR="00FC1124">
        <w:t xml:space="preserve">68 </w:t>
      </w:r>
      <w:r>
        <w:t>decisions were based on health and cost outcomes over a lifetime horizon</w:t>
      </w:r>
      <w:r w:rsidR="009C5121">
        <w:t>.</w:t>
      </w:r>
    </w:p>
    <w:p w14:paraId="4345E40B" w14:textId="77777777" w:rsidR="00D56E56" w:rsidRDefault="00D56E56" w:rsidP="00D56E56">
      <w:pPr>
        <w:pStyle w:val="NICEnormalnumbered"/>
      </w:pPr>
      <w:r>
        <w:t xml:space="preserve">Note that </w:t>
      </w:r>
      <w:r w:rsidRPr="00682E18">
        <w:t>technology appraisal decisions differ from technology appraisal topics since one topic can include multiple decisions</w:t>
      </w:r>
      <w:r w:rsidRPr="00CD31D9">
        <w:t xml:space="preserve">, for example in multiple technology appraisals where each decision relates to a different treatment or combination therapy option, or when there are different patient subgroups or comparator options that </w:t>
      </w:r>
      <w:r>
        <w:t>are</w:t>
      </w:r>
      <w:r w:rsidRPr="00CD31D9">
        <w:t xml:space="preserve"> considered separately.</w:t>
      </w:r>
    </w:p>
    <w:p w14:paraId="78A45BFA" w14:textId="77777777" w:rsidR="00501CD4" w:rsidRPr="00231E89" w:rsidRDefault="00501CD4" w:rsidP="001843F2">
      <w:pPr>
        <w:pStyle w:val="Heading2boardreport"/>
      </w:pPr>
      <w:r>
        <w:t>Estimated and actual use of the severity modifier</w:t>
      </w:r>
    </w:p>
    <w:p w14:paraId="4A687A85" w14:textId="32397548" w:rsidR="002C1D24" w:rsidRDefault="002C1D24" w:rsidP="006B3906">
      <w:pPr>
        <w:pStyle w:val="NICEnormalnumbered"/>
      </w:pPr>
      <w:r>
        <w:t>The DSU anal</w:t>
      </w:r>
      <w:r w:rsidR="000A6118">
        <w:t>y</w:t>
      </w:r>
      <w:r>
        <w:t xml:space="preserve">sis found minimal differences between </w:t>
      </w:r>
      <w:r w:rsidR="00BB5D82">
        <w:t>estimated and actual use of the severity modifier.</w:t>
      </w:r>
    </w:p>
    <w:p w14:paraId="2AC0CC18" w14:textId="2CA5EACA" w:rsidR="006B3906" w:rsidRDefault="00BB5D82" w:rsidP="006B3906">
      <w:pPr>
        <w:pStyle w:val="NICEnormalnumbered"/>
      </w:pPr>
      <w:r>
        <w:t>T</w:t>
      </w:r>
      <w:r w:rsidR="006B3906">
        <w:t xml:space="preserve">he proportion of decisions meeting the criteria for a 1.2 weight in the implementation subsample was </w:t>
      </w:r>
      <w:r w:rsidR="006B3906" w:rsidDel="00A04225">
        <w:t xml:space="preserve">lower </w:t>
      </w:r>
      <w:r w:rsidR="006B3906">
        <w:t xml:space="preserve">than the proportion estimated in the primary+ subsample, </w:t>
      </w:r>
      <w:r w:rsidR="00CE01B7">
        <w:t xml:space="preserve">while </w:t>
      </w:r>
      <w:r w:rsidR="00411FA1">
        <w:t xml:space="preserve">for a 1.7 weight the proportion was higher. However, </w:t>
      </w:r>
      <w:r w:rsidR="006B3906">
        <w:t>the difference</w:t>
      </w:r>
      <w:r w:rsidR="00196BDF">
        <w:t>s</w:t>
      </w:r>
      <w:r w:rsidR="006B3906">
        <w:t xml:space="preserve"> </w:t>
      </w:r>
      <w:r w:rsidR="00196BDF">
        <w:t xml:space="preserve">are </w:t>
      </w:r>
      <w:r w:rsidR="006B3906">
        <w:t xml:space="preserve">not statistically significant. </w:t>
      </w:r>
    </w:p>
    <w:p w14:paraId="41628EDC" w14:textId="067B924D" w:rsidR="006B3906" w:rsidRDefault="006B3906" w:rsidP="006B3906">
      <w:pPr>
        <w:pStyle w:val="NICEnormalnumbered"/>
      </w:pPr>
      <w:r>
        <w:t xml:space="preserve">The differences in the application of the severity modifier across the primary+ and implementation subsamples vary depending on the type of QALY shortfall being measured – AS or PS – and the weight being applied. </w:t>
      </w:r>
    </w:p>
    <w:p w14:paraId="7D0F551A" w14:textId="77777777" w:rsidR="006B3906" w:rsidRDefault="006B3906" w:rsidP="006B3906">
      <w:pPr>
        <w:pStyle w:val="NICEnormalnumbered"/>
      </w:pPr>
      <w:r>
        <w:t>The overall mean severity weight observed across the implementation subsample was 1.103. This compares to estimated mean weights of:</w:t>
      </w:r>
    </w:p>
    <w:p w14:paraId="5040B5B7" w14:textId="77777777" w:rsidR="006B3906" w:rsidRDefault="006B3906" w:rsidP="006B3906">
      <w:pPr>
        <w:pStyle w:val="Bullets"/>
      </w:pPr>
      <w:r>
        <w:t xml:space="preserve">1.119 for the original historical dataset based on which the severity modifier was initially designed, covering </w:t>
      </w:r>
      <w:r w:rsidRPr="00963602">
        <w:t xml:space="preserve">April 2011 </w:t>
      </w:r>
      <w:r>
        <w:t>to</w:t>
      </w:r>
      <w:r w:rsidRPr="00963602">
        <w:t xml:space="preserve"> November 2019 </w:t>
      </w:r>
      <w:r>
        <w:t>(described as the primary subsample)</w:t>
      </w:r>
    </w:p>
    <w:p w14:paraId="5D87FD47" w14:textId="77777777" w:rsidR="006B3906" w:rsidRDefault="006B3906" w:rsidP="006B3906">
      <w:pPr>
        <w:pStyle w:val="Bullets"/>
      </w:pPr>
      <w:r>
        <w:t>1.116 for the extended dataset, covering January 2009 to March 2021 (the primary+ subsample)</w:t>
      </w:r>
    </w:p>
    <w:p w14:paraId="5A947501" w14:textId="77777777" w:rsidR="00323C26" w:rsidRDefault="00323C26" w:rsidP="0031143C">
      <w:pPr>
        <w:pStyle w:val="Heading2boardreport"/>
      </w:pPr>
      <w:r>
        <w:t>Comparing the severity and end of life modifiers</w:t>
      </w:r>
    </w:p>
    <w:p w14:paraId="390DC5B5" w14:textId="6F33716E" w:rsidR="008F1B99" w:rsidRDefault="00D60BEE" w:rsidP="00D60BEE">
      <w:pPr>
        <w:pStyle w:val="NICEnormalnumbered"/>
      </w:pPr>
      <w:r w:rsidRPr="00257B09">
        <w:t xml:space="preserve">The DSU analysis </w:t>
      </w:r>
      <w:r w:rsidR="00EB2FB1">
        <w:t xml:space="preserve">found a </w:t>
      </w:r>
      <w:r w:rsidR="0046229F">
        <w:t>high level of consistency between eligibility for the severity modifier and eligibility for the end of life modifier.</w:t>
      </w:r>
      <w:r w:rsidRPr="00257B09">
        <w:t xml:space="preserve"> </w:t>
      </w:r>
    </w:p>
    <w:p w14:paraId="2DEF15BF" w14:textId="4A6FAB5C" w:rsidR="00D60BEE" w:rsidRDefault="00D60BEE" w:rsidP="00D60BEE">
      <w:pPr>
        <w:pStyle w:val="NICEnormalnumbered"/>
      </w:pPr>
      <w:r w:rsidRPr="00257B09">
        <w:t>The applicability of the end of life criteria to the 68 decisions that were published after implementation of the severity modifier in January 2022 was estimated by NICE staff.</w:t>
      </w:r>
      <w:r>
        <w:t xml:space="preserve"> </w:t>
      </w:r>
      <w:r w:rsidRPr="000C6F92">
        <w:t xml:space="preserve">The </w:t>
      </w:r>
      <w:r>
        <w:t>report</w:t>
      </w:r>
      <w:r w:rsidRPr="000C6F92">
        <w:t xml:space="preserve"> </w:t>
      </w:r>
      <w:r>
        <w:t>describes</w:t>
      </w:r>
      <w:r w:rsidRPr="000C6F92">
        <w:t xml:space="preserve"> </w:t>
      </w:r>
      <w:r>
        <w:t>several</w:t>
      </w:r>
      <w:r w:rsidRPr="000C6F92">
        <w:t xml:space="preserve"> caveats about the data underpinning the comparison of the severity and end of life modifiers. </w:t>
      </w:r>
    </w:p>
    <w:p w14:paraId="3890A5E9" w14:textId="62341A4C" w:rsidR="00D504C1" w:rsidRDefault="00ED372E" w:rsidP="00D504C1">
      <w:pPr>
        <w:pStyle w:val="NICEnormalnumbered"/>
      </w:pPr>
      <w:r>
        <w:t xml:space="preserve">Decisions </w:t>
      </w:r>
      <w:r w:rsidR="00CE557D">
        <w:t>considered</w:t>
      </w:r>
      <w:r w:rsidR="00F75216">
        <w:t xml:space="preserve"> to qualify for</w:t>
      </w:r>
      <w:r>
        <w:t xml:space="preserve"> addi</w:t>
      </w:r>
      <w:r w:rsidR="006F2D2D">
        <w:t>tional weighting under the end of life modifier almost always a</w:t>
      </w:r>
      <w:r w:rsidR="00CE557D">
        <w:t xml:space="preserve">chieved </w:t>
      </w:r>
      <w:r w:rsidR="00713703">
        <w:t>additional severity weighting.</w:t>
      </w:r>
      <w:r w:rsidR="00B34201">
        <w:t xml:space="preserve"> </w:t>
      </w:r>
    </w:p>
    <w:p w14:paraId="0D34944F" w14:textId="77777777" w:rsidR="007F133B" w:rsidRDefault="007F133B" w:rsidP="0031143C">
      <w:pPr>
        <w:pStyle w:val="Heading2boardreport"/>
      </w:pPr>
      <w:r w:rsidRPr="00AE7775">
        <w:t>Summary of the DSU report findings</w:t>
      </w:r>
      <w:r>
        <w:t xml:space="preserve"> </w:t>
      </w:r>
    </w:p>
    <w:p w14:paraId="352A4F73" w14:textId="36A62A6C" w:rsidR="007F133B" w:rsidRDefault="007F133B" w:rsidP="007F133B">
      <w:pPr>
        <w:pStyle w:val="NICEnormalnumbered"/>
      </w:pPr>
      <w:r>
        <w:fldChar w:fldCharType="begin"/>
      </w:r>
      <w:r>
        <w:instrText xml:space="preserve"> REF _Ref176858165 \h  \* MERGEFORMAT </w:instrText>
      </w:r>
      <w:r>
        <w:fldChar w:fldCharType="separate"/>
      </w:r>
      <w:r w:rsidR="00066186">
        <w:t>Table 2</w:t>
      </w:r>
      <w:r>
        <w:fldChar w:fldCharType="end"/>
      </w:r>
      <w:r>
        <w:t xml:space="preserve"> summarises key findings of the DSU quantitative analyses.</w:t>
      </w:r>
    </w:p>
    <w:p w14:paraId="02CC81A4" w14:textId="585F8F77" w:rsidR="009863BB" w:rsidRDefault="009863BB" w:rsidP="009863BB">
      <w:pPr>
        <w:pStyle w:val="Caption"/>
      </w:pPr>
      <w:bookmarkStart w:id="4" w:name="_Ref176858165"/>
      <w:r>
        <w:t xml:space="preserve">Table </w:t>
      </w:r>
      <w:r>
        <w:fldChar w:fldCharType="begin"/>
      </w:r>
      <w:r>
        <w:instrText xml:space="preserve"> SEQ Table \* ARABIC </w:instrText>
      </w:r>
      <w:r>
        <w:fldChar w:fldCharType="separate"/>
      </w:r>
      <w:r w:rsidR="00066186">
        <w:rPr>
          <w:noProof/>
        </w:rPr>
        <w:t>2</w:t>
      </w:r>
      <w:r>
        <w:fldChar w:fldCharType="end"/>
      </w:r>
      <w:bookmarkEnd w:id="4"/>
      <w:r>
        <w:t>: Summary of the DSU report findings</w:t>
      </w:r>
    </w:p>
    <w:tbl>
      <w:tblPr>
        <w:tblStyle w:val="TableGridLight"/>
        <w:tblW w:w="8926" w:type="dxa"/>
        <w:tblLook w:val="04A0" w:firstRow="1" w:lastRow="0" w:firstColumn="1" w:lastColumn="0" w:noHBand="0" w:noVBand="1"/>
        <w:tblCaption w:val="Table 2: Summary of the DSU report findings"/>
        <w:tblDescription w:val="Summary of the DSU report findings"/>
      </w:tblPr>
      <w:tblGrid>
        <w:gridCol w:w="4106"/>
        <w:gridCol w:w="4820"/>
      </w:tblGrid>
      <w:tr w:rsidR="009863BB" w14:paraId="63372E0C" w14:textId="77777777" w:rsidTr="005402F2">
        <w:trPr>
          <w:tblHeader/>
        </w:trPr>
        <w:tc>
          <w:tcPr>
            <w:tcW w:w="4106" w:type="dxa"/>
          </w:tcPr>
          <w:p w14:paraId="7A96350F" w14:textId="77777777" w:rsidR="009863BB" w:rsidRPr="00F153F7" w:rsidRDefault="009863BB" w:rsidP="009863BB">
            <w:pPr>
              <w:pStyle w:val="Tablecolumnheading"/>
            </w:pPr>
            <w:r w:rsidRPr="00F153F7">
              <w:t>Research question</w:t>
            </w:r>
          </w:p>
        </w:tc>
        <w:tc>
          <w:tcPr>
            <w:tcW w:w="4820" w:type="dxa"/>
          </w:tcPr>
          <w:p w14:paraId="6F7E8167" w14:textId="77777777" w:rsidR="009863BB" w:rsidRPr="00F153F7" w:rsidRDefault="009863BB" w:rsidP="009863BB">
            <w:pPr>
              <w:pStyle w:val="Tablecolumnheading"/>
            </w:pPr>
            <w:r w:rsidRPr="00F153F7">
              <w:t>Key findings</w:t>
            </w:r>
          </w:p>
        </w:tc>
      </w:tr>
      <w:tr w:rsidR="009863BB" w14:paraId="41D189DE" w14:textId="77777777" w:rsidTr="005402F2">
        <w:trPr>
          <w:trHeight w:val="799"/>
        </w:trPr>
        <w:tc>
          <w:tcPr>
            <w:tcW w:w="4106" w:type="dxa"/>
          </w:tcPr>
          <w:p w14:paraId="56EE7646" w14:textId="77777777" w:rsidR="009863BB" w:rsidRDefault="009863BB" w:rsidP="009863BB">
            <w:pPr>
              <w:pStyle w:val="Tabletext"/>
            </w:pPr>
            <w:r>
              <w:t>Are there significant differences between expected and actual use of severity modifier?</w:t>
            </w:r>
          </w:p>
        </w:tc>
        <w:tc>
          <w:tcPr>
            <w:tcW w:w="4820" w:type="dxa"/>
          </w:tcPr>
          <w:p w14:paraId="153C3532" w14:textId="1ED6EBF1" w:rsidR="009863BB" w:rsidRPr="0031132B" w:rsidRDefault="009863BB" w:rsidP="009863BB">
            <w:pPr>
              <w:pStyle w:val="Tabletext"/>
            </w:pPr>
            <w:r w:rsidRPr="0031132B">
              <w:t>The difference</w:t>
            </w:r>
            <w:r w:rsidR="00797391">
              <w:t>s</w:t>
            </w:r>
            <w:r w:rsidRPr="0031132B">
              <w:t xml:space="preserve"> in the overall proportion</w:t>
            </w:r>
            <w:r w:rsidR="00797391">
              <w:t>s</w:t>
            </w:r>
            <w:r w:rsidRPr="0031132B">
              <w:t xml:space="preserve"> of decisions </w:t>
            </w:r>
            <w:r>
              <w:t>in which</w:t>
            </w:r>
            <w:r w:rsidRPr="0031132B">
              <w:t xml:space="preserve"> a 1.2 or 1.7 weight </w:t>
            </w:r>
            <w:r>
              <w:t xml:space="preserve">was received </w:t>
            </w:r>
            <w:r w:rsidR="00325B62">
              <w:t>are</w:t>
            </w:r>
            <w:r w:rsidRPr="0031132B">
              <w:t xml:space="preserve"> not statistically significant. </w:t>
            </w:r>
          </w:p>
        </w:tc>
      </w:tr>
      <w:tr w:rsidR="009863BB" w14:paraId="6C69B7A9" w14:textId="77777777" w:rsidTr="005402F2">
        <w:trPr>
          <w:trHeight w:val="868"/>
        </w:trPr>
        <w:tc>
          <w:tcPr>
            <w:tcW w:w="4106" w:type="dxa"/>
          </w:tcPr>
          <w:p w14:paraId="1EA2E729" w14:textId="63DCD18D" w:rsidR="009863BB" w:rsidRDefault="009863BB" w:rsidP="009863BB">
            <w:pPr>
              <w:pStyle w:val="Tabletext"/>
            </w:pPr>
            <w:r>
              <w:t xml:space="preserve">How does the severity modifier compare to the end of life </w:t>
            </w:r>
            <w:r w:rsidR="008B34A8">
              <w:t>modifier</w:t>
            </w:r>
            <w:r>
              <w:t>?</w:t>
            </w:r>
          </w:p>
        </w:tc>
        <w:tc>
          <w:tcPr>
            <w:tcW w:w="4820" w:type="dxa"/>
          </w:tcPr>
          <w:p w14:paraId="6A8ADDBE" w14:textId="7DA81AD7" w:rsidR="009863BB" w:rsidRDefault="009863BB" w:rsidP="009863BB">
            <w:pPr>
              <w:pStyle w:val="Tabletext"/>
            </w:pPr>
            <w:r>
              <w:t xml:space="preserve">A high level of consistency between the severity modifier and the end of life </w:t>
            </w:r>
            <w:r w:rsidR="008B34A8">
              <w:t>modifier</w:t>
            </w:r>
            <w:r>
              <w:t xml:space="preserve"> can be observed. As was expected, </w:t>
            </w:r>
            <w:r w:rsidR="00551755">
              <w:t xml:space="preserve">the majority of </w:t>
            </w:r>
            <w:r>
              <w:t>decisions qualifying for the severity modifier achieved a QALY weight of 1.2, which is lower than the equivalent weight had the end of life criteria been applied (1.7).</w:t>
            </w:r>
          </w:p>
        </w:tc>
      </w:tr>
      <w:tr w:rsidR="009863BB" w14:paraId="10C40A04" w14:textId="77777777" w:rsidTr="0003331A">
        <w:trPr>
          <w:trHeight w:val="768"/>
        </w:trPr>
        <w:tc>
          <w:tcPr>
            <w:tcW w:w="4106" w:type="dxa"/>
          </w:tcPr>
          <w:p w14:paraId="2EB7AEFA" w14:textId="77777777" w:rsidR="009863BB" w:rsidRDefault="009863BB" w:rsidP="009863BB">
            <w:pPr>
              <w:pStyle w:val="Tabletext"/>
            </w:pPr>
            <w:r>
              <w:t>What is the impact of different QALY shortfall calculation methods on the use of severity modifier?</w:t>
            </w:r>
          </w:p>
        </w:tc>
        <w:tc>
          <w:tcPr>
            <w:tcW w:w="4820" w:type="dxa"/>
          </w:tcPr>
          <w:p w14:paraId="57C08BE7" w14:textId="77777777" w:rsidR="009863BB" w:rsidRDefault="009863BB" w:rsidP="009863BB">
            <w:pPr>
              <w:pStyle w:val="Tabletext"/>
            </w:pPr>
            <w:r>
              <w:t>N</w:t>
            </w:r>
            <w:r w:rsidRPr="00145D27">
              <w:t xml:space="preserve">o </w:t>
            </w:r>
            <w:r>
              <w:t>substantial</w:t>
            </w:r>
            <w:r w:rsidRPr="00145D27">
              <w:t xml:space="preserve"> </w:t>
            </w:r>
            <w:r>
              <w:t>impact was identified from differences in calculation methods.</w:t>
            </w:r>
          </w:p>
        </w:tc>
      </w:tr>
      <w:tr w:rsidR="009863BB" w14:paraId="0C4B2181" w14:textId="77777777" w:rsidTr="005402F2">
        <w:tc>
          <w:tcPr>
            <w:tcW w:w="4106" w:type="dxa"/>
          </w:tcPr>
          <w:p w14:paraId="4BC100E9" w14:textId="77777777" w:rsidR="009863BB" w:rsidRDefault="009863BB" w:rsidP="009863BB">
            <w:pPr>
              <w:pStyle w:val="Tabletext"/>
            </w:pPr>
            <w:r>
              <w:t xml:space="preserve">Is there a change </w:t>
            </w:r>
            <w:r w:rsidRPr="003A5FA6">
              <w:t>in the distribution of weights for severity over</w:t>
            </w:r>
            <w:r>
              <w:t xml:space="preserve"> time?</w:t>
            </w:r>
          </w:p>
        </w:tc>
        <w:tc>
          <w:tcPr>
            <w:tcW w:w="4820" w:type="dxa"/>
          </w:tcPr>
          <w:p w14:paraId="464CD318" w14:textId="77777777" w:rsidR="009863BB" w:rsidRDefault="009863BB" w:rsidP="009863BB">
            <w:pPr>
              <w:pStyle w:val="Tabletext"/>
            </w:pPr>
            <w:r>
              <w:t xml:space="preserve">No clear pattern was identified in the decisions published from 2011 to 2020 but there is substantial variation across years. </w:t>
            </w:r>
          </w:p>
        </w:tc>
      </w:tr>
      <w:tr w:rsidR="009863BB" w14:paraId="6212A8E2" w14:textId="77777777" w:rsidTr="005402F2">
        <w:tc>
          <w:tcPr>
            <w:tcW w:w="4106" w:type="dxa"/>
          </w:tcPr>
          <w:p w14:paraId="395106EA" w14:textId="77777777" w:rsidR="009863BB" w:rsidRDefault="009863BB" w:rsidP="009863BB">
            <w:pPr>
              <w:pStyle w:val="Tabletext"/>
            </w:pPr>
            <w:r w:rsidRPr="00654590">
              <w:t>What is the relationship between age and absolute and proportional shortfall?</w:t>
            </w:r>
          </w:p>
        </w:tc>
        <w:tc>
          <w:tcPr>
            <w:tcW w:w="4820" w:type="dxa"/>
          </w:tcPr>
          <w:p w14:paraId="7483098F" w14:textId="77777777" w:rsidR="009863BB" w:rsidRDefault="009863BB" w:rsidP="009863BB">
            <w:pPr>
              <w:pStyle w:val="Tabletext"/>
            </w:pPr>
            <w:r w:rsidRPr="00C64E9B">
              <w:t>Age is strongly related to absolute shortfall. The relationship with proportional shortfall is more complex.</w:t>
            </w:r>
          </w:p>
        </w:tc>
      </w:tr>
    </w:tbl>
    <w:p w14:paraId="13104CF7" w14:textId="77777777" w:rsidR="007F133B" w:rsidRDefault="007F133B" w:rsidP="007F133B">
      <w:pPr>
        <w:pStyle w:val="NICEnormalnumbered"/>
        <w:numPr>
          <w:ilvl w:val="0"/>
          <w:numId w:val="0"/>
        </w:numPr>
        <w:ind w:left="360" w:hanging="360"/>
      </w:pPr>
    </w:p>
    <w:p w14:paraId="7D583166" w14:textId="77777777" w:rsidR="003671EB" w:rsidRDefault="003671EB" w:rsidP="00221937">
      <w:pPr>
        <w:pStyle w:val="Heading1boardreport"/>
      </w:pPr>
      <w:r>
        <w:t>Additional analyses and further considerations</w:t>
      </w:r>
    </w:p>
    <w:p w14:paraId="116AA22D" w14:textId="77777777" w:rsidR="009B08A3" w:rsidRDefault="009B08A3" w:rsidP="009B08A3">
      <w:pPr>
        <w:pStyle w:val="Heading2boardreport"/>
      </w:pPr>
      <w:r>
        <w:t>Updated results using extended implementation subsample</w:t>
      </w:r>
    </w:p>
    <w:p w14:paraId="39C686E1" w14:textId="77777777" w:rsidR="00A8068F" w:rsidRDefault="00A8068F" w:rsidP="00A8068F">
      <w:pPr>
        <w:pStyle w:val="NICEnormalnumbered"/>
      </w:pPr>
      <w:r>
        <w:t xml:space="preserve">The commissioned DSU analysis included decisions published between January 2022 and March 2024 in its implementation subsample, reflecting the data available at the point of commissioning the work. We extended this dataset to include decisions published up until the end of July 2024, referred to hereafter as the implementation+ subsample. Analyses of the implementation+ subsample were undertaken by NICE and validated by the DSU. </w:t>
      </w:r>
    </w:p>
    <w:p w14:paraId="103136E4" w14:textId="09D206CB" w:rsidR="00A8068F" w:rsidRDefault="00A8068F" w:rsidP="00A8068F">
      <w:pPr>
        <w:pStyle w:val="NICEnormalnumbered"/>
      </w:pPr>
      <w:r>
        <w:t>The implementation+ subsample contained 9</w:t>
      </w:r>
      <w:r w:rsidR="007A50E4">
        <w:t>1</w:t>
      </w:r>
      <w:r>
        <w:t xml:space="preserve"> decisions across 6</w:t>
      </w:r>
      <w:r w:rsidR="009F19E8">
        <w:t>2</w:t>
      </w:r>
      <w:r>
        <w:t xml:space="preserve"> appraisals. It excluded cost comparisons and any decisions where AS and PS information was not available.</w:t>
      </w:r>
    </w:p>
    <w:p w14:paraId="70554335" w14:textId="58305BCE" w:rsidR="00147242" w:rsidRDefault="00A8068F" w:rsidP="00F9437A">
      <w:pPr>
        <w:pStyle w:val="NICEnormalnumbered"/>
      </w:pPr>
      <w:r>
        <w:t>Decisions in the implementation+ subsample received a mean severity weight of 1.12</w:t>
      </w:r>
      <w:r w:rsidR="00165F58">
        <w:t>5</w:t>
      </w:r>
      <w:r>
        <w:t xml:space="preserve">. This compares to a mean severity weight of 1.103 for decisions in the implementation subsample, and 1.116 in the primary+ subsample. </w:t>
      </w:r>
      <w:r w:rsidR="00147242">
        <w:fldChar w:fldCharType="begin"/>
      </w:r>
      <w:r w:rsidR="00147242">
        <w:instrText xml:space="preserve"> REF _Ref176984728 \h </w:instrText>
      </w:r>
      <w:r w:rsidR="00147242">
        <w:fldChar w:fldCharType="separate"/>
      </w:r>
      <w:r w:rsidR="00066186">
        <w:t>Table 3</w:t>
      </w:r>
      <w:r w:rsidR="00147242">
        <w:fldChar w:fldCharType="end"/>
      </w:r>
      <w:r w:rsidR="00147242">
        <w:t xml:space="preserve"> </w:t>
      </w:r>
      <w:r>
        <w:t xml:space="preserve">compares the </w:t>
      </w:r>
      <w:r w:rsidR="00B518AB">
        <w:t>3</w:t>
      </w:r>
      <w:r>
        <w:t xml:space="preserve"> subsamples in terms of mean weights and distributions across AS, PS and overall weighting categories. It is an adapted version of Table 2 in the DSU report. </w:t>
      </w:r>
    </w:p>
    <w:p w14:paraId="1DC35F3B" w14:textId="34124D2D" w:rsidR="007F0297" w:rsidRDefault="007F0297" w:rsidP="007F0297">
      <w:pPr>
        <w:pStyle w:val="Caption"/>
      </w:pPr>
      <w:bookmarkStart w:id="5" w:name="_Ref176984728"/>
      <w:r>
        <w:t xml:space="preserve">Table </w:t>
      </w:r>
      <w:r>
        <w:fldChar w:fldCharType="begin"/>
      </w:r>
      <w:r>
        <w:instrText xml:space="preserve"> SEQ Table \* ARABIC </w:instrText>
      </w:r>
      <w:r>
        <w:fldChar w:fldCharType="separate"/>
      </w:r>
      <w:r w:rsidR="00066186">
        <w:rPr>
          <w:noProof/>
        </w:rPr>
        <w:t>3</w:t>
      </w:r>
      <w:r>
        <w:fldChar w:fldCharType="end"/>
      </w:r>
      <w:bookmarkEnd w:id="5"/>
      <w:r>
        <w:t xml:space="preserve">: </w:t>
      </w:r>
      <w:r w:rsidRPr="007F0297">
        <w:t>Distribution of AS/PS and combined severity weighting categories in technology appraisal decisions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Distribution of AS/PS and combined severity weighting categories in technology appraisal decisions"/>
        <w:tblDescription w:val="This table shows the distribution of AS and PS and combined severity weighting categories in technology appraisal decisions"/>
      </w:tblPr>
      <w:tblGrid>
        <w:gridCol w:w="1762"/>
        <w:gridCol w:w="1770"/>
        <w:gridCol w:w="1500"/>
        <w:gridCol w:w="2013"/>
        <w:gridCol w:w="1971"/>
      </w:tblGrid>
      <w:tr w:rsidR="003C4BB2" w:rsidRPr="006E0F0C" w14:paraId="7B07964A" w14:textId="3EE2630D" w:rsidTr="005A4024">
        <w:trPr>
          <w:trHeight w:val="300"/>
        </w:trPr>
        <w:tc>
          <w:tcPr>
            <w:tcW w:w="1762" w:type="dxa"/>
          </w:tcPr>
          <w:p w14:paraId="3C22844C" w14:textId="2118517C" w:rsidR="005B095A" w:rsidRPr="006E0F0C" w:rsidRDefault="005B095A">
            <w:pPr>
              <w:pStyle w:val="Tableheadingboardreport"/>
            </w:pPr>
          </w:p>
        </w:tc>
        <w:tc>
          <w:tcPr>
            <w:tcW w:w="1770" w:type="dxa"/>
          </w:tcPr>
          <w:p w14:paraId="133A320D" w14:textId="615678E7" w:rsidR="005B095A" w:rsidRPr="006E0F0C" w:rsidRDefault="005B095A">
            <w:pPr>
              <w:pStyle w:val="Tableheadingboardreport"/>
            </w:pPr>
          </w:p>
        </w:tc>
        <w:tc>
          <w:tcPr>
            <w:tcW w:w="1500" w:type="dxa"/>
          </w:tcPr>
          <w:p w14:paraId="3A9ED96A" w14:textId="03D15937" w:rsidR="005B095A" w:rsidRPr="006E0F0C" w:rsidRDefault="00FC7AA7">
            <w:pPr>
              <w:pStyle w:val="Tableheadingboardreport"/>
            </w:pPr>
            <w:r>
              <w:t>Primary+</w:t>
            </w:r>
          </w:p>
        </w:tc>
        <w:tc>
          <w:tcPr>
            <w:tcW w:w="2013" w:type="dxa"/>
          </w:tcPr>
          <w:p w14:paraId="76F0DB79" w14:textId="68D26EEA" w:rsidR="005B095A" w:rsidRPr="006E0F0C" w:rsidRDefault="003C4BB2">
            <w:pPr>
              <w:pStyle w:val="Tableheadingboardreport"/>
            </w:pPr>
            <w:r>
              <w:t>Implementation</w:t>
            </w:r>
          </w:p>
        </w:tc>
        <w:tc>
          <w:tcPr>
            <w:tcW w:w="1971" w:type="dxa"/>
          </w:tcPr>
          <w:p w14:paraId="0DFECA75" w14:textId="36009ED4" w:rsidR="005B095A" w:rsidRPr="006E0F0C" w:rsidRDefault="003C4BB2">
            <w:pPr>
              <w:pStyle w:val="Tableheadingboardreport"/>
            </w:pPr>
            <w:r>
              <w:t>Implementation+</w:t>
            </w:r>
          </w:p>
        </w:tc>
      </w:tr>
      <w:tr w:rsidR="003C4BB2" w:rsidRPr="007277C3" w14:paraId="02172D96" w14:textId="440C6012" w:rsidTr="005A4024">
        <w:trPr>
          <w:trHeight w:val="300"/>
        </w:trPr>
        <w:tc>
          <w:tcPr>
            <w:tcW w:w="1762" w:type="dxa"/>
          </w:tcPr>
          <w:p w14:paraId="6D1D8C77" w14:textId="5400B922" w:rsidR="005B095A" w:rsidRPr="007277C3" w:rsidRDefault="005B095A" w:rsidP="00296D1E">
            <w:pPr>
              <w:pStyle w:val="Tabletext"/>
            </w:pPr>
          </w:p>
        </w:tc>
        <w:tc>
          <w:tcPr>
            <w:tcW w:w="1770" w:type="dxa"/>
          </w:tcPr>
          <w:p w14:paraId="21A2AD8A" w14:textId="5667EAD4" w:rsidR="005B095A" w:rsidRPr="007277C3" w:rsidRDefault="006F6EDD" w:rsidP="00296D1E">
            <w:pPr>
              <w:pStyle w:val="Tabletext"/>
            </w:pPr>
            <w:r>
              <w:t>n</w:t>
            </w:r>
          </w:p>
        </w:tc>
        <w:tc>
          <w:tcPr>
            <w:tcW w:w="1500" w:type="dxa"/>
          </w:tcPr>
          <w:p w14:paraId="78E847CB" w14:textId="712F7A6A" w:rsidR="005B095A" w:rsidRPr="007277C3" w:rsidRDefault="006F6EDD" w:rsidP="00296D1E">
            <w:pPr>
              <w:pStyle w:val="Tabletext"/>
            </w:pPr>
            <w:r>
              <w:t>464</w:t>
            </w:r>
          </w:p>
        </w:tc>
        <w:tc>
          <w:tcPr>
            <w:tcW w:w="2013" w:type="dxa"/>
          </w:tcPr>
          <w:p w14:paraId="53AEBB48" w14:textId="45B83996" w:rsidR="005B095A" w:rsidRPr="007277C3" w:rsidRDefault="00560D5C" w:rsidP="00296D1E">
            <w:pPr>
              <w:pStyle w:val="Tabletext"/>
            </w:pPr>
            <w:r>
              <w:t>68</w:t>
            </w:r>
          </w:p>
        </w:tc>
        <w:tc>
          <w:tcPr>
            <w:tcW w:w="1971" w:type="dxa"/>
          </w:tcPr>
          <w:p w14:paraId="29CE6436" w14:textId="3B6B4C74" w:rsidR="005B095A" w:rsidRPr="007277C3" w:rsidRDefault="009C324E" w:rsidP="00296D1E">
            <w:pPr>
              <w:pStyle w:val="Tabletext"/>
            </w:pPr>
            <w:r>
              <w:t>9</w:t>
            </w:r>
            <w:r w:rsidR="00932CA5">
              <w:t>1</w:t>
            </w:r>
          </w:p>
        </w:tc>
      </w:tr>
      <w:tr w:rsidR="006C3994" w:rsidRPr="007277C3" w14:paraId="339A2D9D" w14:textId="77777777" w:rsidTr="005A4024">
        <w:trPr>
          <w:trHeight w:val="300"/>
        </w:trPr>
        <w:tc>
          <w:tcPr>
            <w:tcW w:w="9016" w:type="dxa"/>
            <w:gridSpan w:val="5"/>
          </w:tcPr>
          <w:p w14:paraId="473767E9" w14:textId="43A26331" w:rsidR="006C3994" w:rsidRDefault="006C3994" w:rsidP="00296D1E">
            <w:pPr>
              <w:pStyle w:val="Tabletext"/>
            </w:pPr>
            <w:r>
              <w:t>Absolute shortfall</w:t>
            </w:r>
          </w:p>
        </w:tc>
      </w:tr>
      <w:tr w:rsidR="007A5E39" w:rsidRPr="007277C3" w14:paraId="53E6E9AE" w14:textId="77777777" w:rsidTr="005A4024">
        <w:trPr>
          <w:trHeight w:val="300"/>
        </w:trPr>
        <w:tc>
          <w:tcPr>
            <w:tcW w:w="1762" w:type="dxa"/>
          </w:tcPr>
          <w:p w14:paraId="29333EA5" w14:textId="77777777" w:rsidR="007A5E39" w:rsidRPr="007277C3" w:rsidRDefault="007A5E39" w:rsidP="00296D1E">
            <w:pPr>
              <w:pStyle w:val="Tabletext"/>
            </w:pPr>
          </w:p>
        </w:tc>
        <w:tc>
          <w:tcPr>
            <w:tcW w:w="1770" w:type="dxa"/>
          </w:tcPr>
          <w:p w14:paraId="2DF6F9A3" w14:textId="5DC5B5CD" w:rsidR="007A5E39" w:rsidRDefault="007A5E39" w:rsidP="00296D1E">
            <w:pPr>
              <w:pStyle w:val="Tabletext"/>
            </w:pPr>
            <w:r>
              <w:t>Mean</w:t>
            </w:r>
          </w:p>
        </w:tc>
        <w:tc>
          <w:tcPr>
            <w:tcW w:w="1500" w:type="dxa"/>
            <w:vAlign w:val="center"/>
          </w:tcPr>
          <w:p w14:paraId="76D3B6CE" w14:textId="6A161B02" w:rsidR="007A5E39" w:rsidRDefault="007A5E39" w:rsidP="00296D1E">
            <w:pPr>
              <w:pStyle w:val="Tabletext"/>
            </w:pPr>
            <w:r>
              <w:t>9.31</w:t>
            </w:r>
          </w:p>
        </w:tc>
        <w:tc>
          <w:tcPr>
            <w:tcW w:w="2013" w:type="dxa"/>
            <w:vAlign w:val="center"/>
          </w:tcPr>
          <w:p w14:paraId="3318FFD0" w14:textId="6D170FA3" w:rsidR="007A5E39" w:rsidRDefault="007A5E39" w:rsidP="00296D1E">
            <w:pPr>
              <w:pStyle w:val="Tabletext"/>
            </w:pPr>
            <w:r>
              <w:t>7.79</w:t>
            </w:r>
          </w:p>
        </w:tc>
        <w:tc>
          <w:tcPr>
            <w:tcW w:w="1971" w:type="dxa"/>
            <w:vAlign w:val="center"/>
          </w:tcPr>
          <w:p w14:paraId="611A9585" w14:textId="61F17831" w:rsidR="007A5E39" w:rsidRDefault="007A5E39" w:rsidP="00296D1E">
            <w:pPr>
              <w:pStyle w:val="Tabletext"/>
            </w:pPr>
            <w:r>
              <w:t>8.6</w:t>
            </w:r>
            <w:r w:rsidR="00901352">
              <w:t>2</w:t>
            </w:r>
          </w:p>
        </w:tc>
      </w:tr>
      <w:tr w:rsidR="00440446" w14:paraId="19C5DFAA" w14:textId="6455FB64" w:rsidTr="005A4024">
        <w:trPr>
          <w:trHeight w:val="300"/>
        </w:trPr>
        <w:tc>
          <w:tcPr>
            <w:tcW w:w="1762" w:type="dxa"/>
            <w:vAlign w:val="center"/>
          </w:tcPr>
          <w:p w14:paraId="3F2C314A" w14:textId="77777777" w:rsidR="00440446" w:rsidRDefault="00440446" w:rsidP="00296D1E">
            <w:pPr>
              <w:pStyle w:val="Tabletext"/>
            </w:pPr>
            <w:r>
              <w:t xml:space="preserve">Cat 1 </w:t>
            </w:r>
          </w:p>
          <w:p w14:paraId="4E3C8A44" w14:textId="1D6BCCA3" w:rsidR="00440446" w:rsidRPr="007277C3" w:rsidRDefault="00440446" w:rsidP="00296D1E">
            <w:pPr>
              <w:pStyle w:val="Tabletext"/>
            </w:pPr>
            <w:r>
              <w:t>(AS&lt;12)</w:t>
            </w:r>
          </w:p>
        </w:tc>
        <w:tc>
          <w:tcPr>
            <w:tcW w:w="1770" w:type="dxa"/>
          </w:tcPr>
          <w:p w14:paraId="03912415" w14:textId="3351BBBB" w:rsidR="00440446" w:rsidRPr="007277C3" w:rsidRDefault="00440446" w:rsidP="00296D1E">
            <w:pPr>
              <w:pStyle w:val="Tabletext"/>
            </w:pPr>
            <w:r>
              <w:t>%</w:t>
            </w:r>
          </w:p>
        </w:tc>
        <w:tc>
          <w:tcPr>
            <w:tcW w:w="1500" w:type="dxa"/>
            <w:vAlign w:val="center"/>
          </w:tcPr>
          <w:p w14:paraId="7221E7C8" w14:textId="640E5AD2" w:rsidR="00440446" w:rsidRDefault="00440446" w:rsidP="00296D1E">
            <w:pPr>
              <w:pStyle w:val="Tabletext"/>
            </w:pPr>
            <w:r>
              <w:t>73.7</w:t>
            </w:r>
          </w:p>
        </w:tc>
        <w:tc>
          <w:tcPr>
            <w:tcW w:w="2013" w:type="dxa"/>
            <w:vAlign w:val="center"/>
          </w:tcPr>
          <w:p w14:paraId="291034F1" w14:textId="15BF15BD" w:rsidR="00440446" w:rsidRDefault="00440446" w:rsidP="00296D1E">
            <w:pPr>
              <w:pStyle w:val="Tabletext"/>
            </w:pPr>
            <w:r>
              <w:t>94.1</w:t>
            </w:r>
          </w:p>
        </w:tc>
        <w:tc>
          <w:tcPr>
            <w:tcW w:w="1971" w:type="dxa"/>
            <w:vAlign w:val="center"/>
          </w:tcPr>
          <w:p w14:paraId="519A1DAB" w14:textId="3E62F24B" w:rsidR="00440446" w:rsidRDefault="00440446" w:rsidP="00296D1E">
            <w:pPr>
              <w:pStyle w:val="Tabletext"/>
            </w:pPr>
            <w:r>
              <w:t>84.</w:t>
            </w:r>
            <w:r w:rsidR="00FF0E70">
              <w:t>6</w:t>
            </w:r>
          </w:p>
        </w:tc>
      </w:tr>
      <w:tr w:rsidR="00440446" w14:paraId="17F2F0F6" w14:textId="77777777" w:rsidTr="005A4024">
        <w:trPr>
          <w:trHeight w:val="300"/>
        </w:trPr>
        <w:tc>
          <w:tcPr>
            <w:tcW w:w="1762" w:type="dxa"/>
            <w:vAlign w:val="center"/>
          </w:tcPr>
          <w:p w14:paraId="62FD2FCA" w14:textId="4B963A25" w:rsidR="00440446" w:rsidRDefault="00440446" w:rsidP="00296D1E">
            <w:pPr>
              <w:pStyle w:val="Tabletext"/>
            </w:pPr>
            <w:r w:rsidRPr="00B423CE">
              <w:t>Cat 1.2 (12</w:t>
            </w:r>
            <w:r w:rsidRPr="00B423CE">
              <w:rPr>
                <w:rFonts w:cs="Arial"/>
              </w:rPr>
              <w:t>≤AS&lt;18)</w:t>
            </w:r>
          </w:p>
        </w:tc>
        <w:tc>
          <w:tcPr>
            <w:tcW w:w="1770" w:type="dxa"/>
          </w:tcPr>
          <w:p w14:paraId="261F30F3" w14:textId="2BCC54C3" w:rsidR="00440446" w:rsidRDefault="00440446" w:rsidP="00296D1E">
            <w:pPr>
              <w:pStyle w:val="Tabletext"/>
            </w:pPr>
            <w:r>
              <w:t>%</w:t>
            </w:r>
          </w:p>
        </w:tc>
        <w:tc>
          <w:tcPr>
            <w:tcW w:w="1500" w:type="dxa"/>
            <w:vAlign w:val="center"/>
          </w:tcPr>
          <w:p w14:paraId="15A5A895" w14:textId="631D5C17" w:rsidR="00440446" w:rsidRDefault="00440446" w:rsidP="00296D1E">
            <w:pPr>
              <w:pStyle w:val="Tabletext"/>
            </w:pPr>
            <w:r>
              <w:t>24.4</w:t>
            </w:r>
          </w:p>
        </w:tc>
        <w:tc>
          <w:tcPr>
            <w:tcW w:w="2013" w:type="dxa"/>
            <w:vAlign w:val="center"/>
          </w:tcPr>
          <w:p w14:paraId="0F41087D" w14:textId="7862B7E4" w:rsidR="00440446" w:rsidRDefault="00440446" w:rsidP="00296D1E">
            <w:pPr>
              <w:pStyle w:val="Tabletext"/>
            </w:pPr>
            <w:r>
              <w:t>5.9</w:t>
            </w:r>
          </w:p>
        </w:tc>
        <w:tc>
          <w:tcPr>
            <w:tcW w:w="1971" w:type="dxa"/>
            <w:vAlign w:val="center"/>
          </w:tcPr>
          <w:p w14:paraId="4CEF6B44" w14:textId="06640F19" w:rsidR="00440446" w:rsidRDefault="00440446" w:rsidP="00296D1E">
            <w:pPr>
              <w:pStyle w:val="Tabletext"/>
            </w:pPr>
            <w:r>
              <w:t>12.</w:t>
            </w:r>
            <w:r w:rsidR="00FF0E70">
              <w:t>1</w:t>
            </w:r>
          </w:p>
        </w:tc>
      </w:tr>
      <w:tr w:rsidR="00440446" w14:paraId="31DF8BEB" w14:textId="77777777" w:rsidTr="005A4024">
        <w:trPr>
          <w:trHeight w:val="300"/>
        </w:trPr>
        <w:tc>
          <w:tcPr>
            <w:tcW w:w="1762" w:type="dxa"/>
            <w:vAlign w:val="center"/>
          </w:tcPr>
          <w:p w14:paraId="5D41685E" w14:textId="77777777" w:rsidR="00440446" w:rsidRDefault="00440446" w:rsidP="00296D1E">
            <w:pPr>
              <w:pStyle w:val="Tabletext"/>
            </w:pPr>
            <w:r>
              <w:t xml:space="preserve">Cat 1.7 </w:t>
            </w:r>
          </w:p>
          <w:p w14:paraId="281726F3" w14:textId="314DD091" w:rsidR="00440446" w:rsidRDefault="00440446" w:rsidP="00296D1E">
            <w:pPr>
              <w:pStyle w:val="Tabletext"/>
            </w:pPr>
            <w:r>
              <w:t>(AS</w:t>
            </w:r>
            <w:r w:rsidRPr="00B423CE">
              <w:rPr>
                <w:rFonts w:cs="Arial"/>
                <w:bCs/>
              </w:rPr>
              <w:t>≥</w:t>
            </w:r>
            <w:r>
              <w:rPr>
                <w:rFonts w:cs="Arial"/>
                <w:bCs/>
              </w:rPr>
              <w:t>18)</w:t>
            </w:r>
          </w:p>
        </w:tc>
        <w:tc>
          <w:tcPr>
            <w:tcW w:w="1770" w:type="dxa"/>
          </w:tcPr>
          <w:p w14:paraId="1B3E02D5" w14:textId="46ACE1DB" w:rsidR="00440446" w:rsidRDefault="00440446" w:rsidP="00296D1E">
            <w:pPr>
              <w:pStyle w:val="Tabletext"/>
            </w:pPr>
            <w:r>
              <w:t>%</w:t>
            </w:r>
          </w:p>
        </w:tc>
        <w:tc>
          <w:tcPr>
            <w:tcW w:w="1500" w:type="dxa"/>
            <w:vAlign w:val="center"/>
          </w:tcPr>
          <w:p w14:paraId="34FF74F4" w14:textId="6B886EB7" w:rsidR="00440446" w:rsidRDefault="00440446" w:rsidP="00296D1E">
            <w:pPr>
              <w:pStyle w:val="Tabletext"/>
            </w:pPr>
            <w:r>
              <w:t>1.9</w:t>
            </w:r>
          </w:p>
        </w:tc>
        <w:tc>
          <w:tcPr>
            <w:tcW w:w="2013" w:type="dxa"/>
            <w:vAlign w:val="center"/>
          </w:tcPr>
          <w:p w14:paraId="47368ABC" w14:textId="6C0C6394" w:rsidR="00440446" w:rsidRDefault="00440446" w:rsidP="00296D1E">
            <w:pPr>
              <w:pStyle w:val="Tabletext"/>
            </w:pPr>
            <w:r>
              <w:t>0.0</w:t>
            </w:r>
          </w:p>
        </w:tc>
        <w:tc>
          <w:tcPr>
            <w:tcW w:w="1971" w:type="dxa"/>
            <w:vAlign w:val="center"/>
          </w:tcPr>
          <w:p w14:paraId="12751CD3" w14:textId="325523C5" w:rsidR="00440446" w:rsidRDefault="00440446" w:rsidP="00296D1E">
            <w:pPr>
              <w:pStyle w:val="Tabletext"/>
            </w:pPr>
            <w:r>
              <w:t>3.3</w:t>
            </w:r>
          </w:p>
        </w:tc>
      </w:tr>
      <w:tr w:rsidR="00440446" w14:paraId="194A6DDA" w14:textId="77777777" w:rsidTr="005A4024">
        <w:trPr>
          <w:trHeight w:val="300"/>
        </w:trPr>
        <w:tc>
          <w:tcPr>
            <w:tcW w:w="9016" w:type="dxa"/>
            <w:gridSpan w:val="5"/>
            <w:vAlign w:val="center"/>
          </w:tcPr>
          <w:p w14:paraId="0C9A5F65" w14:textId="628442A4" w:rsidR="00440446" w:rsidRDefault="00440446" w:rsidP="00296D1E">
            <w:pPr>
              <w:pStyle w:val="Tabletext"/>
            </w:pPr>
            <w:r>
              <w:t>Proportional shortfall</w:t>
            </w:r>
          </w:p>
        </w:tc>
      </w:tr>
      <w:tr w:rsidR="00210BEA" w14:paraId="0D95E0DA" w14:textId="77777777" w:rsidTr="005A4024">
        <w:trPr>
          <w:trHeight w:val="300"/>
        </w:trPr>
        <w:tc>
          <w:tcPr>
            <w:tcW w:w="1762" w:type="dxa"/>
          </w:tcPr>
          <w:p w14:paraId="53661496" w14:textId="77777777" w:rsidR="00210BEA" w:rsidRDefault="00210BEA" w:rsidP="00296D1E">
            <w:pPr>
              <w:pStyle w:val="Tabletext"/>
            </w:pPr>
          </w:p>
        </w:tc>
        <w:tc>
          <w:tcPr>
            <w:tcW w:w="1770" w:type="dxa"/>
          </w:tcPr>
          <w:p w14:paraId="0E30B2B6" w14:textId="6091A864" w:rsidR="00210BEA" w:rsidRDefault="00210BEA" w:rsidP="00296D1E">
            <w:pPr>
              <w:pStyle w:val="Tabletext"/>
            </w:pPr>
            <w:r>
              <w:t>Mean</w:t>
            </w:r>
          </w:p>
        </w:tc>
        <w:tc>
          <w:tcPr>
            <w:tcW w:w="1500" w:type="dxa"/>
            <w:vAlign w:val="center"/>
          </w:tcPr>
          <w:p w14:paraId="7D449906" w14:textId="2533C729" w:rsidR="00210BEA" w:rsidRDefault="00210BEA" w:rsidP="00296D1E">
            <w:pPr>
              <w:pStyle w:val="Tabletext"/>
            </w:pPr>
            <w:r>
              <w:t>0.61</w:t>
            </w:r>
          </w:p>
        </w:tc>
        <w:tc>
          <w:tcPr>
            <w:tcW w:w="2013" w:type="dxa"/>
            <w:vAlign w:val="center"/>
          </w:tcPr>
          <w:p w14:paraId="4BAF8220" w14:textId="4E6C471C" w:rsidR="00210BEA" w:rsidRDefault="00210BEA" w:rsidP="00296D1E">
            <w:pPr>
              <w:pStyle w:val="Tabletext"/>
            </w:pPr>
            <w:r>
              <w:t>0.62</w:t>
            </w:r>
          </w:p>
        </w:tc>
        <w:tc>
          <w:tcPr>
            <w:tcW w:w="1971" w:type="dxa"/>
            <w:vAlign w:val="center"/>
          </w:tcPr>
          <w:p w14:paraId="271FE4B6" w14:textId="2AF0E77F" w:rsidR="00210BEA" w:rsidRDefault="00210BEA" w:rsidP="00296D1E">
            <w:pPr>
              <w:pStyle w:val="Tabletext"/>
            </w:pPr>
            <w:r>
              <w:t>0.64</w:t>
            </w:r>
          </w:p>
        </w:tc>
      </w:tr>
      <w:tr w:rsidR="00670A52" w14:paraId="3976F19E" w14:textId="77777777" w:rsidTr="005A4024">
        <w:trPr>
          <w:trHeight w:val="300"/>
        </w:trPr>
        <w:tc>
          <w:tcPr>
            <w:tcW w:w="1762" w:type="dxa"/>
            <w:vAlign w:val="center"/>
          </w:tcPr>
          <w:p w14:paraId="0E4890E6" w14:textId="77777777" w:rsidR="00670A52" w:rsidRDefault="00670A52" w:rsidP="00296D1E">
            <w:pPr>
              <w:pStyle w:val="Tabletext"/>
            </w:pPr>
            <w:r>
              <w:t xml:space="preserve">Cat 1 </w:t>
            </w:r>
          </w:p>
          <w:p w14:paraId="77941A4E" w14:textId="10EB7989" w:rsidR="00670A52" w:rsidRDefault="00670A52" w:rsidP="00296D1E">
            <w:pPr>
              <w:pStyle w:val="Tabletext"/>
            </w:pPr>
            <w:r>
              <w:t>(PS&lt;0.85)</w:t>
            </w:r>
          </w:p>
        </w:tc>
        <w:tc>
          <w:tcPr>
            <w:tcW w:w="1770" w:type="dxa"/>
          </w:tcPr>
          <w:p w14:paraId="07C21BA6" w14:textId="47AE0880" w:rsidR="00670A52" w:rsidRDefault="00670A52" w:rsidP="00296D1E">
            <w:pPr>
              <w:pStyle w:val="Tabletext"/>
            </w:pPr>
            <w:r>
              <w:t>%</w:t>
            </w:r>
          </w:p>
        </w:tc>
        <w:tc>
          <w:tcPr>
            <w:tcW w:w="1500" w:type="dxa"/>
            <w:vAlign w:val="center"/>
          </w:tcPr>
          <w:p w14:paraId="3CAB65C7" w14:textId="3B617952" w:rsidR="00670A52" w:rsidRDefault="00670A52" w:rsidP="00296D1E">
            <w:pPr>
              <w:pStyle w:val="Tabletext"/>
            </w:pPr>
            <w:r>
              <w:t>71.6</w:t>
            </w:r>
          </w:p>
        </w:tc>
        <w:tc>
          <w:tcPr>
            <w:tcW w:w="2013" w:type="dxa"/>
            <w:vAlign w:val="center"/>
          </w:tcPr>
          <w:p w14:paraId="166C5F28" w14:textId="257809F2" w:rsidR="00670A52" w:rsidRDefault="00670A52" w:rsidP="00296D1E">
            <w:pPr>
              <w:pStyle w:val="Tabletext"/>
            </w:pPr>
            <w:r>
              <w:t>72.1</w:t>
            </w:r>
          </w:p>
        </w:tc>
        <w:tc>
          <w:tcPr>
            <w:tcW w:w="1971" w:type="dxa"/>
            <w:vAlign w:val="center"/>
          </w:tcPr>
          <w:p w14:paraId="568B4F88" w14:textId="484A923A" w:rsidR="00670A52" w:rsidRDefault="00670A52" w:rsidP="00296D1E">
            <w:pPr>
              <w:pStyle w:val="Tabletext"/>
            </w:pPr>
            <w:r>
              <w:t>72.</w:t>
            </w:r>
            <w:r w:rsidR="00901352">
              <w:t>5</w:t>
            </w:r>
          </w:p>
        </w:tc>
      </w:tr>
      <w:tr w:rsidR="00670A52" w14:paraId="23C93E9F" w14:textId="77777777" w:rsidTr="005A4024">
        <w:trPr>
          <w:trHeight w:val="300"/>
        </w:trPr>
        <w:tc>
          <w:tcPr>
            <w:tcW w:w="1762" w:type="dxa"/>
            <w:vAlign w:val="center"/>
          </w:tcPr>
          <w:p w14:paraId="60FF18A0" w14:textId="34A2362A" w:rsidR="00670A52" w:rsidRDefault="00670A52" w:rsidP="00296D1E">
            <w:pPr>
              <w:pStyle w:val="Tabletext"/>
            </w:pPr>
            <w:r w:rsidRPr="00B423CE">
              <w:t xml:space="preserve">Cat 1.2 </w:t>
            </w:r>
            <w:r>
              <w:t>(0.85</w:t>
            </w:r>
            <w:r w:rsidRPr="00B423CE">
              <w:rPr>
                <w:rFonts w:cs="Arial"/>
              </w:rPr>
              <w:t>≤</w:t>
            </w:r>
            <w:r>
              <w:rPr>
                <w:rFonts w:cs="Arial"/>
              </w:rPr>
              <w:t>P</w:t>
            </w:r>
            <w:r w:rsidRPr="00B423CE">
              <w:rPr>
                <w:rFonts w:cs="Arial"/>
              </w:rPr>
              <w:t>S&lt;</w:t>
            </w:r>
            <w:r>
              <w:rPr>
                <w:rFonts w:cs="Arial"/>
              </w:rPr>
              <w:t>0.95</w:t>
            </w:r>
            <w:r w:rsidRPr="00B423CE">
              <w:rPr>
                <w:rFonts w:cs="Arial"/>
              </w:rPr>
              <w:t>)</w:t>
            </w:r>
          </w:p>
        </w:tc>
        <w:tc>
          <w:tcPr>
            <w:tcW w:w="1770" w:type="dxa"/>
          </w:tcPr>
          <w:p w14:paraId="3560A18B" w14:textId="34984925" w:rsidR="00670A52" w:rsidRDefault="00670A52" w:rsidP="00296D1E">
            <w:pPr>
              <w:pStyle w:val="Tabletext"/>
            </w:pPr>
            <w:r>
              <w:t>%</w:t>
            </w:r>
          </w:p>
        </w:tc>
        <w:tc>
          <w:tcPr>
            <w:tcW w:w="1500" w:type="dxa"/>
            <w:vAlign w:val="center"/>
          </w:tcPr>
          <w:p w14:paraId="57222F28" w14:textId="0284ADB8" w:rsidR="00670A52" w:rsidRDefault="00670A52" w:rsidP="00296D1E">
            <w:pPr>
              <w:pStyle w:val="Tabletext"/>
            </w:pPr>
            <w:r>
              <w:t>21.6</w:t>
            </w:r>
          </w:p>
        </w:tc>
        <w:tc>
          <w:tcPr>
            <w:tcW w:w="2013" w:type="dxa"/>
            <w:vAlign w:val="center"/>
          </w:tcPr>
          <w:p w14:paraId="5577ED51" w14:textId="37091701" w:rsidR="00670A52" w:rsidRDefault="00670A52" w:rsidP="00296D1E">
            <w:pPr>
              <w:pStyle w:val="Tabletext"/>
            </w:pPr>
            <w:r>
              <w:t>19.1</w:t>
            </w:r>
          </w:p>
        </w:tc>
        <w:tc>
          <w:tcPr>
            <w:tcW w:w="1971" w:type="dxa"/>
            <w:vAlign w:val="center"/>
          </w:tcPr>
          <w:p w14:paraId="74D829D1" w14:textId="40D64693" w:rsidR="00670A52" w:rsidRDefault="00901352" w:rsidP="00296D1E">
            <w:pPr>
              <w:pStyle w:val="Tabletext"/>
            </w:pPr>
            <w:r>
              <w:t>19.8</w:t>
            </w:r>
          </w:p>
        </w:tc>
      </w:tr>
      <w:tr w:rsidR="00670A52" w14:paraId="18B28072" w14:textId="77777777" w:rsidTr="005A4024">
        <w:trPr>
          <w:trHeight w:val="300"/>
        </w:trPr>
        <w:tc>
          <w:tcPr>
            <w:tcW w:w="1762" w:type="dxa"/>
            <w:vAlign w:val="center"/>
          </w:tcPr>
          <w:p w14:paraId="65161A09" w14:textId="4E04C857" w:rsidR="00670A52" w:rsidRDefault="00670A52" w:rsidP="00296D1E">
            <w:pPr>
              <w:pStyle w:val="Tabletext"/>
            </w:pPr>
            <w:r>
              <w:t>Cat 1.7 (PS</w:t>
            </w:r>
            <w:r w:rsidRPr="00B423CE">
              <w:rPr>
                <w:rFonts w:cs="Arial"/>
                <w:bCs/>
              </w:rPr>
              <w:t>≥</w:t>
            </w:r>
            <w:r>
              <w:rPr>
                <w:rFonts w:cs="Arial"/>
                <w:bCs/>
              </w:rPr>
              <w:t>0.95)</w:t>
            </w:r>
          </w:p>
        </w:tc>
        <w:tc>
          <w:tcPr>
            <w:tcW w:w="1770" w:type="dxa"/>
          </w:tcPr>
          <w:p w14:paraId="1BF1BF7C" w14:textId="540FE3F6" w:rsidR="00670A52" w:rsidRDefault="00670A52" w:rsidP="00296D1E">
            <w:pPr>
              <w:pStyle w:val="Tabletext"/>
            </w:pPr>
            <w:r>
              <w:t>%</w:t>
            </w:r>
          </w:p>
        </w:tc>
        <w:tc>
          <w:tcPr>
            <w:tcW w:w="1500" w:type="dxa"/>
            <w:vAlign w:val="center"/>
          </w:tcPr>
          <w:p w14:paraId="244BC753" w14:textId="6FC3DB65" w:rsidR="00670A52" w:rsidRDefault="00670A52" w:rsidP="00296D1E">
            <w:pPr>
              <w:pStyle w:val="Tabletext"/>
            </w:pPr>
            <w:r>
              <w:t>6.9</w:t>
            </w:r>
          </w:p>
        </w:tc>
        <w:tc>
          <w:tcPr>
            <w:tcW w:w="2013" w:type="dxa"/>
            <w:vAlign w:val="center"/>
          </w:tcPr>
          <w:p w14:paraId="0A2A7560" w14:textId="47C49A11" w:rsidR="00670A52" w:rsidRDefault="00670A52" w:rsidP="00296D1E">
            <w:pPr>
              <w:pStyle w:val="Tabletext"/>
            </w:pPr>
            <w:r>
              <w:t>8.8</w:t>
            </w:r>
          </w:p>
        </w:tc>
        <w:tc>
          <w:tcPr>
            <w:tcW w:w="1971" w:type="dxa"/>
            <w:vAlign w:val="center"/>
          </w:tcPr>
          <w:p w14:paraId="19E59C86" w14:textId="1EA98026" w:rsidR="00670A52" w:rsidRDefault="00670A52" w:rsidP="00296D1E">
            <w:pPr>
              <w:pStyle w:val="Tabletext"/>
            </w:pPr>
            <w:r>
              <w:t>7.</w:t>
            </w:r>
            <w:r w:rsidR="00901352">
              <w:t>7</w:t>
            </w:r>
          </w:p>
        </w:tc>
      </w:tr>
      <w:tr w:rsidR="0082290C" w14:paraId="052C4DA8" w14:textId="77777777" w:rsidTr="005A4024">
        <w:trPr>
          <w:trHeight w:val="300"/>
        </w:trPr>
        <w:tc>
          <w:tcPr>
            <w:tcW w:w="9016" w:type="dxa"/>
            <w:gridSpan w:val="5"/>
          </w:tcPr>
          <w:p w14:paraId="65AEFCFC" w14:textId="154902F7" w:rsidR="0082290C" w:rsidRDefault="0082290C" w:rsidP="00296D1E">
            <w:pPr>
              <w:pStyle w:val="Tabletext"/>
            </w:pPr>
            <w:r>
              <w:t>Overall</w:t>
            </w:r>
          </w:p>
        </w:tc>
      </w:tr>
      <w:tr w:rsidR="00150CCC" w14:paraId="7B36A422" w14:textId="77777777" w:rsidTr="005A4024">
        <w:trPr>
          <w:trHeight w:val="300"/>
        </w:trPr>
        <w:tc>
          <w:tcPr>
            <w:tcW w:w="1762" w:type="dxa"/>
          </w:tcPr>
          <w:p w14:paraId="0EB6C325" w14:textId="77777777" w:rsidR="00150CCC" w:rsidRDefault="00150CCC" w:rsidP="00296D1E">
            <w:pPr>
              <w:pStyle w:val="Tabletext"/>
            </w:pPr>
          </w:p>
        </w:tc>
        <w:tc>
          <w:tcPr>
            <w:tcW w:w="1770" w:type="dxa"/>
          </w:tcPr>
          <w:p w14:paraId="14691672" w14:textId="0EF129EE" w:rsidR="00150CCC" w:rsidRDefault="00150CCC" w:rsidP="00296D1E">
            <w:pPr>
              <w:pStyle w:val="Tabletext"/>
            </w:pPr>
            <w:r>
              <w:t>Mean weight</w:t>
            </w:r>
          </w:p>
        </w:tc>
        <w:tc>
          <w:tcPr>
            <w:tcW w:w="1500" w:type="dxa"/>
            <w:vAlign w:val="center"/>
          </w:tcPr>
          <w:p w14:paraId="1E8EC924" w14:textId="1CB5CDC2" w:rsidR="00150CCC" w:rsidRDefault="00150CCC" w:rsidP="00296D1E">
            <w:pPr>
              <w:pStyle w:val="Tabletext"/>
            </w:pPr>
            <w:r>
              <w:t>1.116</w:t>
            </w:r>
          </w:p>
        </w:tc>
        <w:tc>
          <w:tcPr>
            <w:tcW w:w="2013" w:type="dxa"/>
            <w:vAlign w:val="center"/>
          </w:tcPr>
          <w:p w14:paraId="66C7269E" w14:textId="05A346E6" w:rsidR="00150CCC" w:rsidRDefault="00150CCC" w:rsidP="00296D1E">
            <w:pPr>
              <w:pStyle w:val="Tabletext"/>
            </w:pPr>
            <w:r>
              <w:t>1.103</w:t>
            </w:r>
          </w:p>
        </w:tc>
        <w:tc>
          <w:tcPr>
            <w:tcW w:w="1971" w:type="dxa"/>
            <w:vAlign w:val="center"/>
          </w:tcPr>
          <w:p w14:paraId="0121729D" w14:textId="33E0578A" w:rsidR="00150CCC" w:rsidRDefault="00150CCC" w:rsidP="00296D1E">
            <w:pPr>
              <w:pStyle w:val="Tabletext"/>
            </w:pPr>
            <w:r>
              <w:t>1.12</w:t>
            </w:r>
            <w:r w:rsidR="006344A2">
              <w:t>5</w:t>
            </w:r>
          </w:p>
        </w:tc>
      </w:tr>
      <w:tr w:rsidR="00362A78" w14:paraId="2FB4CB66" w14:textId="77777777" w:rsidTr="005A4024">
        <w:trPr>
          <w:trHeight w:val="300"/>
        </w:trPr>
        <w:tc>
          <w:tcPr>
            <w:tcW w:w="1762" w:type="dxa"/>
          </w:tcPr>
          <w:p w14:paraId="094B0858" w14:textId="6A0DD148" w:rsidR="00362A78" w:rsidRDefault="00362A78" w:rsidP="00296D1E">
            <w:pPr>
              <w:pStyle w:val="Tabletext"/>
            </w:pPr>
            <w:r>
              <w:t>Cat 1</w:t>
            </w:r>
          </w:p>
        </w:tc>
        <w:tc>
          <w:tcPr>
            <w:tcW w:w="1770" w:type="dxa"/>
          </w:tcPr>
          <w:p w14:paraId="1E8BCE72" w14:textId="5618DE32" w:rsidR="00362A78" w:rsidRDefault="00362A78" w:rsidP="00296D1E">
            <w:pPr>
              <w:pStyle w:val="Tabletext"/>
            </w:pPr>
            <w:r>
              <w:t>%</w:t>
            </w:r>
          </w:p>
        </w:tc>
        <w:tc>
          <w:tcPr>
            <w:tcW w:w="1500" w:type="dxa"/>
            <w:vAlign w:val="center"/>
          </w:tcPr>
          <w:p w14:paraId="747BA0E9" w14:textId="4F02A649" w:rsidR="00362A78" w:rsidRDefault="00362A78" w:rsidP="00296D1E">
            <w:pPr>
              <w:pStyle w:val="Tabletext"/>
            </w:pPr>
            <w:r>
              <w:t>62.5</w:t>
            </w:r>
          </w:p>
        </w:tc>
        <w:tc>
          <w:tcPr>
            <w:tcW w:w="2013" w:type="dxa"/>
            <w:vAlign w:val="center"/>
          </w:tcPr>
          <w:p w14:paraId="45D8FF02" w14:textId="33B22732" w:rsidR="00362A78" w:rsidRDefault="00362A78" w:rsidP="00296D1E">
            <w:pPr>
              <w:pStyle w:val="Tabletext"/>
            </w:pPr>
            <w:r>
              <w:t>70.6</w:t>
            </w:r>
          </w:p>
        </w:tc>
        <w:tc>
          <w:tcPr>
            <w:tcW w:w="1971" w:type="dxa"/>
            <w:vAlign w:val="center"/>
          </w:tcPr>
          <w:p w14:paraId="30BBCD03" w14:textId="466A2671" w:rsidR="00362A78" w:rsidRDefault="00362A78" w:rsidP="00296D1E">
            <w:pPr>
              <w:pStyle w:val="Tabletext"/>
            </w:pPr>
            <w:r>
              <w:t>64.</w:t>
            </w:r>
            <w:r w:rsidR="006344A2">
              <w:t>8</w:t>
            </w:r>
          </w:p>
        </w:tc>
      </w:tr>
      <w:tr w:rsidR="00362A78" w14:paraId="37DBC657" w14:textId="77777777" w:rsidTr="005A4024">
        <w:trPr>
          <w:trHeight w:val="300"/>
        </w:trPr>
        <w:tc>
          <w:tcPr>
            <w:tcW w:w="1762" w:type="dxa"/>
          </w:tcPr>
          <w:p w14:paraId="7AF3FC1C" w14:textId="55EA49F0" w:rsidR="00362A78" w:rsidRDefault="00362A78" w:rsidP="00296D1E">
            <w:pPr>
              <w:pStyle w:val="Tabletext"/>
            </w:pPr>
            <w:r>
              <w:t>Cat 1.2</w:t>
            </w:r>
          </w:p>
        </w:tc>
        <w:tc>
          <w:tcPr>
            <w:tcW w:w="1770" w:type="dxa"/>
          </w:tcPr>
          <w:p w14:paraId="7D1BB3CE" w14:textId="064F5485" w:rsidR="00362A78" w:rsidRDefault="00362A78" w:rsidP="00296D1E">
            <w:pPr>
              <w:pStyle w:val="Tabletext"/>
            </w:pPr>
            <w:r>
              <w:t>%</w:t>
            </w:r>
          </w:p>
        </w:tc>
        <w:tc>
          <w:tcPr>
            <w:tcW w:w="1500" w:type="dxa"/>
            <w:vAlign w:val="center"/>
          </w:tcPr>
          <w:p w14:paraId="2ACDECEF" w14:textId="2BBF7F76" w:rsidR="00362A78" w:rsidRDefault="00362A78" w:rsidP="00296D1E">
            <w:pPr>
              <w:pStyle w:val="Tabletext"/>
            </w:pPr>
            <w:r>
              <w:t>29.3</w:t>
            </w:r>
          </w:p>
        </w:tc>
        <w:tc>
          <w:tcPr>
            <w:tcW w:w="2013" w:type="dxa"/>
            <w:vAlign w:val="center"/>
          </w:tcPr>
          <w:p w14:paraId="3907537B" w14:textId="6C899D8B" w:rsidR="00362A78" w:rsidRDefault="00362A78" w:rsidP="00296D1E">
            <w:pPr>
              <w:pStyle w:val="Tabletext"/>
            </w:pPr>
            <w:r>
              <w:t>20.6</w:t>
            </w:r>
          </w:p>
        </w:tc>
        <w:tc>
          <w:tcPr>
            <w:tcW w:w="1971" w:type="dxa"/>
            <w:vAlign w:val="center"/>
          </w:tcPr>
          <w:p w14:paraId="691A7A89" w14:textId="2FF6D42E" w:rsidR="00362A78" w:rsidRDefault="00362A78" w:rsidP="00296D1E">
            <w:pPr>
              <w:pStyle w:val="Tabletext"/>
            </w:pPr>
            <w:r>
              <w:t>24.</w:t>
            </w:r>
            <w:r w:rsidR="006555FB">
              <w:t>2</w:t>
            </w:r>
          </w:p>
        </w:tc>
      </w:tr>
      <w:tr w:rsidR="00362A78" w14:paraId="7FF38C87" w14:textId="77777777" w:rsidTr="005A4024">
        <w:trPr>
          <w:trHeight w:val="300"/>
        </w:trPr>
        <w:tc>
          <w:tcPr>
            <w:tcW w:w="1762" w:type="dxa"/>
          </w:tcPr>
          <w:p w14:paraId="35ED192B" w14:textId="2526524A" w:rsidR="00362A78" w:rsidRDefault="00362A78" w:rsidP="00296D1E">
            <w:pPr>
              <w:pStyle w:val="Tabletext"/>
            </w:pPr>
            <w:r>
              <w:t>Cat 1.7</w:t>
            </w:r>
          </w:p>
        </w:tc>
        <w:tc>
          <w:tcPr>
            <w:tcW w:w="1770" w:type="dxa"/>
          </w:tcPr>
          <w:p w14:paraId="63EB5598" w14:textId="09BEAE6D" w:rsidR="00362A78" w:rsidRDefault="00362A78" w:rsidP="00296D1E">
            <w:pPr>
              <w:pStyle w:val="Tabletext"/>
            </w:pPr>
            <w:r>
              <w:t>%</w:t>
            </w:r>
          </w:p>
        </w:tc>
        <w:tc>
          <w:tcPr>
            <w:tcW w:w="1500" w:type="dxa"/>
            <w:vAlign w:val="center"/>
          </w:tcPr>
          <w:p w14:paraId="563F934A" w14:textId="6CBFD1B9" w:rsidR="00362A78" w:rsidRDefault="00362A78" w:rsidP="00296D1E">
            <w:pPr>
              <w:pStyle w:val="Tabletext"/>
            </w:pPr>
            <w:r>
              <w:t>8.2</w:t>
            </w:r>
          </w:p>
        </w:tc>
        <w:tc>
          <w:tcPr>
            <w:tcW w:w="2013" w:type="dxa"/>
            <w:vAlign w:val="center"/>
          </w:tcPr>
          <w:p w14:paraId="60026D60" w14:textId="15DDA7C3" w:rsidR="00362A78" w:rsidRDefault="00362A78" w:rsidP="00296D1E">
            <w:pPr>
              <w:pStyle w:val="Tabletext"/>
            </w:pPr>
            <w:r>
              <w:t>8.8</w:t>
            </w:r>
          </w:p>
        </w:tc>
        <w:tc>
          <w:tcPr>
            <w:tcW w:w="1971" w:type="dxa"/>
            <w:vAlign w:val="center"/>
          </w:tcPr>
          <w:p w14:paraId="582AE081" w14:textId="18E777B4" w:rsidR="00362A78" w:rsidRDefault="00362A78" w:rsidP="00296D1E">
            <w:pPr>
              <w:pStyle w:val="Tabletext"/>
            </w:pPr>
            <w:r>
              <w:t>11.</w:t>
            </w:r>
            <w:r w:rsidR="006555FB">
              <w:t>0</w:t>
            </w:r>
          </w:p>
        </w:tc>
      </w:tr>
    </w:tbl>
    <w:p w14:paraId="6BDF23CE" w14:textId="77777777" w:rsidR="00A8068F" w:rsidRDefault="00A8068F" w:rsidP="00A537D7">
      <w:pPr>
        <w:pStyle w:val="NICEnormalnumbered"/>
        <w:numPr>
          <w:ilvl w:val="0"/>
          <w:numId w:val="0"/>
        </w:numPr>
        <w:ind w:left="360" w:hanging="360"/>
      </w:pPr>
    </w:p>
    <w:p w14:paraId="611FD3B9" w14:textId="146458EA" w:rsidR="00826F87" w:rsidRDefault="00826F87" w:rsidP="00826F87">
      <w:pPr>
        <w:pStyle w:val="NICEnormalnumbered"/>
      </w:pPr>
      <w:r>
        <w:t>The DSU analysis exploring severity weighting categories according to whether the end of life criteria were (or would have been) met was updated using the implementation+ subsample. As with the implementation subsample, this was based on the judgement of NICE staff retrospectively considering the available data. Results of this analysis are presented in</w:t>
      </w:r>
      <w:r w:rsidR="00511B55">
        <w:t xml:space="preserve"> </w:t>
      </w:r>
      <w:r w:rsidR="00511B55">
        <w:fldChar w:fldCharType="begin"/>
      </w:r>
      <w:r w:rsidR="00511B55">
        <w:instrText xml:space="preserve"> REF _Ref176984926 \h </w:instrText>
      </w:r>
      <w:r w:rsidR="00511B55">
        <w:fldChar w:fldCharType="separate"/>
      </w:r>
      <w:r w:rsidR="00066186">
        <w:t>Table 4</w:t>
      </w:r>
      <w:r w:rsidR="00511B55">
        <w:fldChar w:fldCharType="end"/>
      </w:r>
      <w:r>
        <w:t>, which is an adapted version of Table 5 in the DSU report.</w:t>
      </w:r>
      <w:r w:rsidRPr="00754FCE">
        <w:t xml:space="preserve"> For </w:t>
      </w:r>
      <w:r>
        <w:t>1</w:t>
      </w:r>
      <w:r w:rsidRPr="00754FCE">
        <w:t xml:space="preserve"> decision</w:t>
      </w:r>
      <w:r>
        <w:t xml:space="preserve"> in the primary+ subsample</w:t>
      </w:r>
      <w:r w:rsidRPr="00754FCE">
        <w:t>, the committee did not consider eligibility for the end of life modifier (TA192)</w:t>
      </w:r>
      <w:r>
        <w:t>, leaving 463 decisions.</w:t>
      </w:r>
    </w:p>
    <w:p w14:paraId="1D0A38DA" w14:textId="77777777" w:rsidR="00826F87" w:rsidRDefault="00826F87" w:rsidP="00826F87">
      <w:pPr>
        <w:pStyle w:val="NICEnormalnumbered"/>
      </w:pPr>
      <w:r>
        <w:t>Results using this extended dataset were consistent with those reported by the DSU and did not change the conclusions from the data.</w:t>
      </w:r>
    </w:p>
    <w:p w14:paraId="06B7F090" w14:textId="278C263A" w:rsidR="00CE747A" w:rsidRDefault="00CE747A" w:rsidP="00CE747A">
      <w:pPr>
        <w:pStyle w:val="Caption"/>
      </w:pPr>
      <w:bookmarkStart w:id="6" w:name="_Ref176984926"/>
      <w:r>
        <w:t xml:space="preserve">Table </w:t>
      </w:r>
      <w:r>
        <w:fldChar w:fldCharType="begin"/>
      </w:r>
      <w:r>
        <w:instrText xml:space="preserve"> SEQ Table \* ARABIC </w:instrText>
      </w:r>
      <w:r>
        <w:fldChar w:fldCharType="separate"/>
      </w:r>
      <w:r w:rsidR="00066186">
        <w:rPr>
          <w:noProof/>
        </w:rPr>
        <w:t>4</w:t>
      </w:r>
      <w:r>
        <w:fldChar w:fldCharType="end"/>
      </w:r>
      <w:bookmarkEnd w:id="6"/>
      <w:r w:rsidR="00247C6D" w:rsidRPr="00247C6D">
        <w:t>: Severity weighting categories for technology appraisal decisions according to meeting the end of life criteria</w:t>
      </w:r>
    </w:p>
    <w:tbl>
      <w:tblPr>
        <w:tblStyle w:val="TableGridLight"/>
        <w:tblW w:w="8820" w:type="dxa"/>
        <w:tblLayout w:type="fixed"/>
        <w:tblLook w:val="04A0" w:firstRow="1" w:lastRow="0" w:firstColumn="1" w:lastColumn="0" w:noHBand="0" w:noVBand="1"/>
        <w:tblCaption w:val="Table 4: Severity weighting categories for technology appraisal decisions according to meeting the end of life criteria"/>
        <w:tblDescription w:val="This table shows severity weighting categories for technology appraisal decisions according to meeting the end of life criteria"/>
      </w:tblPr>
      <w:tblGrid>
        <w:gridCol w:w="2830"/>
        <w:gridCol w:w="638"/>
        <w:gridCol w:w="780"/>
        <w:gridCol w:w="779"/>
        <w:gridCol w:w="780"/>
        <w:gridCol w:w="753"/>
        <w:gridCol w:w="753"/>
        <w:gridCol w:w="753"/>
        <w:gridCol w:w="754"/>
      </w:tblGrid>
      <w:tr w:rsidR="00CE747A" w14:paraId="2A7266B1" w14:textId="77777777">
        <w:trPr>
          <w:trHeight w:val="254"/>
        </w:trPr>
        <w:tc>
          <w:tcPr>
            <w:tcW w:w="2830" w:type="dxa"/>
            <w:vMerge w:val="restart"/>
          </w:tcPr>
          <w:p w14:paraId="1B86D42E" w14:textId="77777777" w:rsidR="00CE747A" w:rsidRDefault="00CE747A">
            <w:pPr>
              <w:pStyle w:val="NICEnormal"/>
              <w:spacing w:after="0" w:line="240" w:lineRule="auto"/>
            </w:pPr>
          </w:p>
        </w:tc>
        <w:tc>
          <w:tcPr>
            <w:tcW w:w="2977" w:type="dxa"/>
            <w:gridSpan w:val="4"/>
            <w:vAlign w:val="center"/>
          </w:tcPr>
          <w:p w14:paraId="1E86A195" w14:textId="77777777" w:rsidR="00CE747A" w:rsidRPr="00B423CE" w:rsidRDefault="00CE747A" w:rsidP="00CE747A">
            <w:pPr>
              <w:pStyle w:val="Tablecolumnheading"/>
            </w:pPr>
            <w:r w:rsidRPr="00B423CE">
              <w:t>Primary+</w:t>
            </w:r>
            <w:r>
              <w:t xml:space="preserve"> (n=464)</w:t>
            </w:r>
          </w:p>
        </w:tc>
        <w:tc>
          <w:tcPr>
            <w:tcW w:w="3013" w:type="dxa"/>
            <w:gridSpan w:val="4"/>
            <w:vAlign w:val="center"/>
          </w:tcPr>
          <w:p w14:paraId="2DF1A5CD" w14:textId="6EC8CE65" w:rsidR="00CE747A" w:rsidRPr="00B423CE" w:rsidRDefault="00CE747A" w:rsidP="00CE747A">
            <w:pPr>
              <w:pStyle w:val="Tablecolumnheading"/>
            </w:pPr>
            <w:r w:rsidRPr="00B423CE">
              <w:t>Implementation+</w:t>
            </w:r>
            <w:r>
              <w:t xml:space="preserve"> (n=9</w:t>
            </w:r>
            <w:r w:rsidR="00FD7131">
              <w:t>1</w:t>
            </w:r>
            <w:r>
              <w:t>)</w:t>
            </w:r>
          </w:p>
        </w:tc>
      </w:tr>
      <w:tr w:rsidR="00CE747A" w14:paraId="69BD1C7D" w14:textId="77777777">
        <w:trPr>
          <w:trHeight w:val="91"/>
        </w:trPr>
        <w:tc>
          <w:tcPr>
            <w:tcW w:w="2830" w:type="dxa"/>
            <w:vMerge/>
          </w:tcPr>
          <w:p w14:paraId="01DA5724" w14:textId="77777777" w:rsidR="00CE747A" w:rsidRDefault="00CE747A">
            <w:pPr>
              <w:pStyle w:val="NICEnormal"/>
              <w:spacing w:after="0" w:line="240" w:lineRule="auto"/>
            </w:pPr>
          </w:p>
        </w:tc>
        <w:tc>
          <w:tcPr>
            <w:tcW w:w="1418" w:type="dxa"/>
            <w:gridSpan w:val="2"/>
            <w:vAlign w:val="center"/>
          </w:tcPr>
          <w:p w14:paraId="304DB474" w14:textId="77777777" w:rsidR="00CE747A" w:rsidRPr="0067502B" w:rsidRDefault="00CE747A" w:rsidP="00CE747A">
            <w:pPr>
              <w:pStyle w:val="Tablecolumnheading"/>
            </w:pPr>
            <w:r w:rsidRPr="0067502B">
              <w:t>EoL Yes</w:t>
            </w:r>
          </w:p>
        </w:tc>
        <w:tc>
          <w:tcPr>
            <w:tcW w:w="1559" w:type="dxa"/>
            <w:gridSpan w:val="2"/>
            <w:vAlign w:val="center"/>
          </w:tcPr>
          <w:p w14:paraId="30109EB6" w14:textId="77777777" w:rsidR="00CE747A" w:rsidRPr="0067502B" w:rsidRDefault="00CE747A" w:rsidP="00CE747A">
            <w:pPr>
              <w:pStyle w:val="Tablecolumnheading"/>
            </w:pPr>
            <w:r w:rsidRPr="0067502B">
              <w:t>EoL No</w:t>
            </w:r>
          </w:p>
        </w:tc>
        <w:tc>
          <w:tcPr>
            <w:tcW w:w="1506" w:type="dxa"/>
            <w:gridSpan w:val="2"/>
            <w:vAlign w:val="center"/>
          </w:tcPr>
          <w:p w14:paraId="08A56B10" w14:textId="77777777" w:rsidR="00CE747A" w:rsidRPr="0067502B" w:rsidRDefault="00CE747A" w:rsidP="00CE747A">
            <w:pPr>
              <w:pStyle w:val="Tablecolumnheading"/>
            </w:pPr>
            <w:r w:rsidRPr="0067502B">
              <w:t>EoL Yes</w:t>
            </w:r>
          </w:p>
        </w:tc>
        <w:tc>
          <w:tcPr>
            <w:tcW w:w="1507" w:type="dxa"/>
            <w:gridSpan w:val="2"/>
            <w:vAlign w:val="center"/>
          </w:tcPr>
          <w:p w14:paraId="4D08E81A" w14:textId="77777777" w:rsidR="00CE747A" w:rsidRPr="0067502B" w:rsidRDefault="00CE747A" w:rsidP="00CE747A">
            <w:pPr>
              <w:pStyle w:val="Tablecolumnheading"/>
            </w:pPr>
            <w:r w:rsidRPr="0067502B">
              <w:t>EoL No</w:t>
            </w:r>
          </w:p>
        </w:tc>
      </w:tr>
      <w:tr w:rsidR="00CE747A" w14:paraId="0130F785" w14:textId="77777777">
        <w:trPr>
          <w:trHeight w:val="266"/>
        </w:trPr>
        <w:tc>
          <w:tcPr>
            <w:tcW w:w="2830" w:type="dxa"/>
            <w:vAlign w:val="center"/>
          </w:tcPr>
          <w:p w14:paraId="16FAC898" w14:textId="77777777" w:rsidR="00CE747A" w:rsidRDefault="00CE747A">
            <w:pPr>
              <w:pStyle w:val="NICEnormal"/>
              <w:spacing w:after="0" w:line="240" w:lineRule="auto"/>
              <w:jc w:val="center"/>
            </w:pPr>
          </w:p>
        </w:tc>
        <w:tc>
          <w:tcPr>
            <w:tcW w:w="638" w:type="dxa"/>
            <w:vAlign w:val="center"/>
          </w:tcPr>
          <w:p w14:paraId="2DEE3940" w14:textId="7DD0A2F4" w:rsidR="00CE747A" w:rsidRPr="0067502B" w:rsidRDefault="00CE747A" w:rsidP="00CE747A">
            <w:pPr>
              <w:pStyle w:val="Tablecolumnheading"/>
            </w:pPr>
            <w:r>
              <w:t>n</w:t>
            </w:r>
          </w:p>
        </w:tc>
        <w:tc>
          <w:tcPr>
            <w:tcW w:w="780" w:type="dxa"/>
            <w:vAlign w:val="center"/>
          </w:tcPr>
          <w:p w14:paraId="27171169" w14:textId="77777777" w:rsidR="00CE747A" w:rsidRPr="0067502B" w:rsidRDefault="00CE747A" w:rsidP="00CE747A">
            <w:pPr>
              <w:pStyle w:val="Tablecolumnheading"/>
            </w:pPr>
            <w:r w:rsidRPr="0067502B">
              <w:t>%</w:t>
            </w:r>
          </w:p>
        </w:tc>
        <w:tc>
          <w:tcPr>
            <w:tcW w:w="779" w:type="dxa"/>
            <w:vAlign w:val="center"/>
          </w:tcPr>
          <w:p w14:paraId="3B03B5B9" w14:textId="77B7D998" w:rsidR="00CE747A" w:rsidRPr="0067502B" w:rsidRDefault="00CE747A" w:rsidP="00CE747A">
            <w:pPr>
              <w:pStyle w:val="Tablecolumnheading"/>
            </w:pPr>
            <w:r>
              <w:t>n</w:t>
            </w:r>
          </w:p>
        </w:tc>
        <w:tc>
          <w:tcPr>
            <w:tcW w:w="780" w:type="dxa"/>
            <w:vAlign w:val="center"/>
          </w:tcPr>
          <w:p w14:paraId="185F461D" w14:textId="77777777" w:rsidR="00CE747A" w:rsidRPr="0067502B" w:rsidRDefault="00CE747A" w:rsidP="00CE747A">
            <w:pPr>
              <w:pStyle w:val="Tablecolumnheading"/>
            </w:pPr>
            <w:r w:rsidRPr="0067502B">
              <w:t>%</w:t>
            </w:r>
          </w:p>
        </w:tc>
        <w:tc>
          <w:tcPr>
            <w:tcW w:w="753" w:type="dxa"/>
            <w:vAlign w:val="center"/>
          </w:tcPr>
          <w:p w14:paraId="1A117A17" w14:textId="231D3089" w:rsidR="00CE747A" w:rsidRPr="0067502B" w:rsidRDefault="00CE747A" w:rsidP="00CE747A">
            <w:pPr>
              <w:pStyle w:val="Tablecolumnheading"/>
            </w:pPr>
            <w:r>
              <w:t>n</w:t>
            </w:r>
          </w:p>
        </w:tc>
        <w:tc>
          <w:tcPr>
            <w:tcW w:w="753" w:type="dxa"/>
            <w:vAlign w:val="center"/>
          </w:tcPr>
          <w:p w14:paraId="2B8576A2" w14:textId="77777777" w:rsidR="00CE747A" w:rsidRPr="0067502B" w:rsidRDefault="00CE747A" w:rsidP="00CE747A">
            <w:pPr>
              <w:pStyle w:val="Tablecolumnheading"/>
            </w:pPr>
            <w:r w:rsidRPr="0067502B">
              <w:t>%</w:t>
            </w:r>
          </w:p>
        </w:tc>
        <w:tc>
          <w:tcPr>
            <w:tcW w:w="753" w:type="dxa"/>
            <w:vAlign w:val="center"/>
          </w:tcPr>
          <w:p w14:paraId="3A24FA1F" w14:textId="5735F86B" w:rsidR="00CE747A" w:rsidRPr="0067502B" w:rsidRDefault="00CE747A" w:rsidP="00CE747A">
            <w:pPr>
              <w:pStyle w:val="Tablecolumnheading"/>
            </w:pPr>
            <w:r>
              <w:t>n</w:t>
            </w:r>
          </w:p>
        </w:tc>
        <w:tc>
          <w:tcPr>
            <w:tcW w:w="754" w:type="dxa"/>
            <w:vAlign w:val="center"/>
          </w:tcPr>
          <w:p w14:paraId="379C45DD" w14:textId="77777777" w:rsidR="00CE747A" w:rsidRPr="0067502B" w:rsidRDefault="00CE747A" w:rsidP="00CE747A">
            <w:pPr>
              <w:pStyle w:val="Tablecolumnheading"/>
            </w:pPr>
            <w:r w:rsidRPr="0067502B">
              <w:t>%</w:t>
            </w:r>
          </w:p>
        </w:tc>
      </w:tr>
      <w:tr w:rsidR="00CE747A" w14:paraId="10A50DC2" w14:textId="77777777">
        <w:trPr>
          <w:trHeight w:val="266"/>
        </w:trPr>
        <w:tc>
          <w:tcPr>
            <w:tcW w:w="2830" w:type="dxa"/>
            <w:vAlign w:val="center"/>
          </w:tcPr>
          <w:p w14:paraId="4E9460B0" w14:textId="77777777" w:rsidR="00CE747A" w:rsidRDefault="00CE747A" w:rsidP="00CE747A">
            <w:pPr>
              <w:pStyle w:val="Tabletext"/>
            </w:pPr>
            <w:r>
              <w:t>Total</w:t>
            </w:r>
          </w:p>
        </w:tc>
        <w:tc>
          <w:tcPr>
            <w:tcW w:w="638" w:type="dxa"/>
            <w:vAlign w:val="center"/>
          </w:tcPr>
          <w:p w14:paraId="2D4E22B2" w14:textId="77777777" w:rsidR="00CE747A" w:rsidRDefault="00CE747A" w:rsidP="00CE747A">
            <w:pPr>
              <w:pStyle w:val="Tabletext"/>
            </w:pPr>
            <w:r>
              <w:t>81</w:t>
            </w:r>
          </w:p>
        </w:tc>
        <w:tc>
          <w:tcPr>
            <w:tcW w:w="780" w:type="dxa"/>
            <w:vAlign w:val="center"/>
          </w:tcPr>
          <w:p w14:paraId="2995D50A" w14:textId="77777777" w:rsidR="00CE747A" w:rsidRDefault="00CE747A" w:rsidP="00CE747A">
            <w:pPr>
              <w:pStyle w:val="Tabletext"/>
            </w:pPr>
            <w:r>
              <w:t>17.5</w:t>
            </w:r>
          </w:p>
        </w:tc>
        <w:tc>
          <w:tcPr>
            <w:tcW w:w="779" w:type="dxa"/>
          </w:tcPr>
          <w:p w14:paraId="741ABA52" w14:textId="77777777" w:rsidR="00CE747A" w:rsidRDefault="00CE747A" w:rsidP="00CE747A">
            <w:pPr>
              <w:pStyle w:val="Tabletext"/>
            </w:pPr>
            <w:r>
              <w:t>382</w:t>
            </w:r>
          </w:p>
        </w:tc>
        <w:tc>
          <w:tcPr>
            <w:tcW w:w="780" w:type="dxa"/>
          </w:tcPr>
          <w:p w14:paraId="406AC5E3" w14:textId="77777777" w:rsidR="00CE747A" w:rsidRDefault="00CE747A" w:rsidP="00CE747A">
            <w:pPr>
              <w:pStyle w:val="Tabletext"/>
            </w:pPr>
            <w:r>
              <w:t>82.3</w:t>
            </w:r>
          </w:p>
        </w:tc>
        <w:tc>
          <w:tcPr>
            <w:tcW w:w="753" w:type="dxa"/>
            <w:vAlign w:val="center"/>
          </w:tcPr>
          <w:p w14:paraId="5B367718" w14:textId="77777777" w:rsidR="00CE747A" w:rsidRDefault="00CE747A" w:rsidP="00CE747A">
            <w:pPr>
              <w:pStyle w:val="Tabletext"/>
            </w:pPr>
            <w:r>
              <w:t>22</w:t>
            </w:r>
          </w:p>
        </w:tc>
        <w:tc>
          <w:tcPr>
            <w:tcW w:w="753" w:type="dxa"/>
          </w:tcPr>
          <w:p w14:paraId="5383C78F" w14:textId="3244047C" w:rsidR="00CE747A" w:rsidRDefault="00CE747A" w:rsidP="00CE747A">
            <w:pPr>
              <w:pStyle w:val="Tabletext"/>
            </w:pPr>
            <w:r>
              <w:t>24.</w:t>
            </w:r>
            <w:r w:rsidR="00E95749">
              <w:t>2</w:t>
            </w:r>
          </w:p>
        </w:tc>
        <w:tc>
          <w:tcPr>
            <w:tcW w:w="753" w:type="dxa"/>
          </w:tcPr>
          <w:p w14:paraId="018B8BC0" w14:textId="1C3AA156" w:rsidR="00CE747A" w:rsidRDefault="00CE747A" w:rsidP="00CE747A">
            <w:pPr>
              <w:pStyle w:val="Tabletext"/>
            </w:pPr>
            <w:r>
              <w:t>6</w:t>
            </w:r>
            <w:r w:rsidR="00E95749">
              <w:t>9</w:t>
            </w:r>
          </w:p>
        </w:tc>
        <w:tc>
          <w:tcPr>
            <w:tcW w:w="754" w:type="dxa"/>
          </w:tcPr>
          <w:p w14:paraId="617CED36" w14:textId="079D5B98" w:rsidR="00CE747A" w:rsidRDefault="00CE747A" w:rsidP="00CE747A">
            <w:pPr>
              <w:pStyle w:val="Tabletext"/>
            </w:pPr>
            <w:r>
              <w:t>75.</w:t>
            </w:r>
            <w:r w:rsidR="00E95749">
              <w:t>8</w:t>
            </w:r>
          </w:p>
        </w:tc>
      </w:tr>
      <w:tr w:rsidR="00CE747A" w14:paraId="4C3F2324" w14:textId="77777777">
        <w:trPr>
          <w:trHeight w:val="266"/>
        </w:trPr>
        <w:tc>
          <w:tcPr>
            <w:tcW w:w="8820" w:type="dxa"/>
            <w:gridSpan w:val="9"/>
            <w:vAlign w:val="center"/>
          </w:tcPr>
          <w:p w14:paraId="270D81F4" w14:textId="77777777" w:rsidR="00CE747A" w:rsidRPr="0067502B" w:rsidRDefault="00CE747A" w:rsidP="00CE747A">
            <w:pPr>
              <w:pStyle w:val="Tabletext"/>
              <w:rPr>
                <w:b/>
                <w:bCs/>
              </w:rPr>
            </w:pPr>
            <w:r w:rsidRPr="0067502B">
              <w:rPr>
                <w:b/>
                <w:bCs/>
              </w:rPr>
              <w:t xml:space="preserve">Absolute </w:t>
            </w:r>
            <w:r>
              <w:rPr>
                <w:b/>
                <w:bCs/>
              </w:rPr>
              <w:t>shortfall</w:t>
            </w:r>
          </w:p>
        </w:tc>
      </w:tr>
      <w:tr w:rsidR="00CE747A" w14:paraId="558A60E3" w14:textId="77777777">
        <w:trPr>
          <w:trHeight w:val="266"/>
        </w:trPr>
        <w:tc>
          <w:tcPr>
            <w:tcW w:w="2830" w:type="dxa"/>
            <w:vAlign w:val="center"/>
          </w:tcPr>
          <w:p w14:paraId="2D33EA14" w14:textId="77777777" w:rsidR="00CE747A" w:rsidRDefault="00CE747A" w:rsidP="00CE747A">
            <w:pPr>
              <w:pStyle w:val="Tabletext"/>
            </w:pPr>
            <w:r>
              <w:t>Cat 1 (AS&lt;12)</w:t>
            </w:r>
          </w:p>
        </w:tc>
        <w:tc>
          <w:tcPr>
            <w:tcW w:w="638" w:type="dxa"/>
            <w:vAlign w:val="center"/>
          </w:tcPr>
          <w:p w14:paraId="3BA7DE7A" w14:textId="77777777" w:rsidR="00CE747A" w:rsidRDefault="00CE747A" w:rsidP="00CE747A">
            <w:pPr>
              <w:pStyle w:val="Tabletext"/>
            </w:pPr>
            <w:r>
              <w:t>43</w:t>
            </w:r>
          </w:p>
        </w:tc>
        <w:tc>
          <w:tcPr>
            <w:tcW w:w="780" w:type="dxa"/>
            <w:vAlign w:val="center"/>
          </w:tcPr>
          <w:p w14:paraId="320EC6A9" w14:textId="77777777" w:rsidR="00CE747A" w:rsidRDefault="00CE747A" w:rsidP="00CE747A">
            <w:pPr>
              <w:pStyle w:val="Tabletext"/>
            </w:pPr>
            <w:r>
              <w:t>53.1</w:t>
            </w:r>
          </w:p>
        </w:tc>
        <w:tc>
          <w:tcPr>
            <w:tcW w:w="779" w:type="dxa"/>
            <w:vAlign w:val="center"/>
          </w:tcPr>
          <w:p w14:paraId="7BE82126" w14:textId="77777777" w:rsidR="00CE747A" w:rsidRDefault="00CE747A" w:rsidP="00CE747A">
            <w:pPr>
              <w:pStyle w:val="Tabletext"/>
            </w:pPr>
            <w:r>
              <w:t>299</w:t>
            </w:r>
          </w:p>
        </w:tc>
        <w:tc>
          <w:tcPr>
            <w:tcW w:w="780" w:type="dxa"/>
            <w:vAlign w:val="center"/>
          </w:tcPr>
          <w:p w14:paraId="134CB441" w14:textId="77777777" w:rsidR="00CE747A" w:rsidRDefault="00CE747A" w:rsidP="00CE747A">
            <w:pPr>
              <w:pStyle w:val="Tabletext"/>
            </w:pPr>
            <w:r>
              <w:t>78.3</w:t>
            </w:r>
          </w:p>
        </w:tc>
        <w:tc>
          <w:tcPr>
            <w:tcW w:w="753" w:type="dxa"/>
            <w:vAlign w:val="center"/>
          </w:tcPr>
          <w:p w14:paraId="00ABE86D" w14:textId="77777777" w:rsidR="00CE747A" w:rsidRDefault="00CE747A" w:rsidP="00CE747A">
            <w:pPr>
              <w:pStyle w:val="Tabletext"/>
            </w:pPr>
            <w:r>
              <w:t>17</w:t>
            </w:r>
          </w:p>
        </w:tc>
        <w:tc>
          <w:tcPr>
            <w:tcW w:w="753" w:type="dxa"/>
            <w:vAlign w:val="center"/>
          </w:tcPr>
          <w:p w14:paraId="5E0043A9" w14:textId="77777777" w:rsidR="00CE747A" w:rsidRDefault="00CE747A" w:rsidP="00CE747A">
            <w:pPr>
              <w:pStyle w:val="Tabletext"/>
            </w:pPr>
            <w:r>
              <w:t>77.3</w:t>
            </w:r>
          </w:p>
        </w:tc>
        <w:tc>
          <w:tcPr>
            <w:tcW w:w="753" w:type="dxa"/>
            <w:vAlign w:val="center"/>
          </w:tcPr>
          <w:p w14:paraId="4B308EB9" w14:textId="287C8992" w:rsidR="00CE747A" w:rsidRDefault="00042BD4" w:rsidP="00CE747A">
            <w:pPr>
              <w:pStyle w:val="Tabletext"/>
            </w:pPr>
            <w:r>
              <w:t>60</w:t>
            </w:r>
          </w:p>
        </w:tc>
        <w:tc>
          <w:tcPr>
            <w:tcW w:w="754" w:type="dxa"/>
            <w:vAlign w:val="center"/>
          </w:tcPr>
          <w:p w14:paraId="20E03CD4" w14:textId="34127F5F" w:rsidR="00CE747A" w:rsidRDefault="00CE747A" w:rsidP="00CE747A">
            <w:pPr>
              <w:pStyle w:val="Tabletext"/>
            </w:pPr>
            <w:r>
              <w:t>8</w:t>
            </w:r>
            <w:r w:rsidR="003363DE">
              <w:t>7.0</w:t>
            </w:r>
          </w:p>
        </w:tc>
      </w:tr>
      <w:tr w:rsidR="00CE747A" w14:paraId="7731C1D7" w14:textId="77777777">
        <w:trPr>
          <w:trHeight w:val="77"/>
        </w:trPr>
        <w:tc>
          <w:tcPr>
            <w:tcW w:w="2830" w:type="dxa"/>
            <w:vAlign w:val="center"/>
          </w:tcPr>
          <w:p w14:paraId="38B3D66E" w14:textId="77777777" w:rsidR="00CE747A" w:rsidRPr="00B423CE" w:rsidRDefault="00CE747A" w:rsidP="00CE747A">
            <w:pPr>
              <w:pStyle w:val="Tabletext"/>
            </w:pPr>
            <w:r w:rsidRPr="00B423CE">
              <w:t>Cat 1.2 (12</w:t>
            </w:r>
            <w:r w:rsidRPr="00B423CE">
              <w:rPr>
                <w:rFonts w:cs="Arial"/>
              </w:rPr>
              <w:t>≤AS&lt;18)</w:t>
            </w:r>
          </w:p>
        </w:tc>
        <w:tc>
          <w:tcPr>
            <w:tcW w:w="638" w:type="dxa"/>
            <w:vAlign w:val="center"/>
          </w:tcPr>
          <w:p w14:paraId="66361E5D" w14:textId="77777777" w:rsidR="00CE747A" w:rsidRDefault="00CE747A" w:rsidP="00CE747A">
            <w:pPr>
              <w:pStyle w:val="Tabletext"/>
            </w:pPr>
            <w:r>
              <w:t>37</w:t>
            </w:r>
          </w:p>
        </w:tc>
        <w:tc>
          <w:tcPr>
            <w:tcW w:w="780" w:type="dxa"/>
            <w:vAlign w:val="center"/>
          </w:tcPr>
          <w:p w14:paraId="4537BEE9" w14:textId="77777777" w:rsidR="00CE747A" w:rsidRDefault="00CE747A" w:rsidP="00CE747A">
            <w:pPr>
              <w:pStyle w:val="Tabletext"/>
            </w:pPr>
            <w:r>
              <w:t>45.7</w:t>
            </w:r>
          </w:p>
        </w:tc>
        <w:tc>
          <w:tcPr>
            <w:tcW w:w="779" w:type="dxa"/>
            <w:vAlign w:val="center"/>
          </w:tcPr>
          <w:p w14:paraId="06A3C46B" w14:textId="77777777" w:rsidR="00CE747A" w:rsidRDefault="00CE747A" w:rsidP="00CE747A">
            <w:pPr>
              <w:pStyle w:val="Tabletext"/>
            </w:pPr>
            <w:r>
              <w:t>75</w:t>
            </w:r>
          </w:p>
        </w:tc>
        <w:tc>
          <w:tcPr>
            <w:tcW w:w="780" w:type="dxa"/>
            <w:vAlign w:val="center"/>
          </w:tcPr>
          <w:p w14:paraId="53B2F331" w14:textId="77777777" w:rsidR="00CE747A" w:rsidRDefault="00CE747A" w:rsidP="00CE747A">
            <w:pPr>
              <w:pStyle w:val="Tabletext"/>
            </w:pPr>
            <w:r>
              <w:t>19.6</w:t>
            </w:r>
          </w:p>
        </w:tc>
        <w:tc>
          <w:tcPr>
            <w:tcW w:w="753" w:type="dxa"/>
            <w:vAlign w:val="center"/>
          </w:tcPr>
          <w:p w14:paraId="13289318" w14:textId="77777777" w:rsidR="00CE747A" w:rsidRDefault="00CE747A" w:rsidP="00CE747A">
            <w:pPr>
              <w:pStyle w:val="Tabletext"/>
            </w:pPr>
            <w:r>
              <w:t>5</w:t>
            </w:r>
          </w:p>
        </w:tc>
        <w:tc>
          <w:tcPr>
            <w:tcW w:w="753" w:type="dxa"/>
            <w:vAlign w:val="center"/>
          </w:tcPr>
          <w:p w14:paraId="169FAF9A" w14:textId="77777777" w:rsidR="00CE747A" w:rsidRDefault="00CE747A" w:rsidP="00CE747A">
            <w:pPr>
              <w:pStyle w:val="Tabletext"/>
            </w:pPr>
            <w:r>
              <w:t>22.7</w:t>
            </w:r>
          </w:p>
        </w:tc>
        <w:tc>
          <w:tcPr>
            <w:tcW w:w="753" w:type="dxa"/>
            <w:vAlign w:val="center"/>
          </w:tcPr>
          <w:p w14:paraId="07205D0C" w14:textId="77777777" w:rsidR="00CE747A" w:rsidRDefault="00CE747A" w:rsidP="00CE747A">
            <w:pPr>
              <w:pStyle w:val="Tabletext"/>
            </w:pPr>
            <w:r>
              <w:t>6</w:t>
            </w:r>
          </w:p>
        </w:tc>
        <w:tc>
          <w:tcPr>
            <w:tcW w:w="754" w:type="dxa"/>
            <w:vAlign w:val="center"/>
          </w:tcPr>
          <w:p w14:paraId="7F9E4E60" w14:textId="54CF672F" w:rsidR="00CE747A" w:rsidRDefault="00CE747A" w:rsidP="00CE747A">
            <w:pPr>
              <w:pStyle w:val="Tabletext"/>
            </w:pPr>
            <w:r>
              <w:t>8.</w:t>
            </w:r>
            <w:r w:rsidR="00A54B04">
              <w:t>7</w:t>
            </w:r>
          </w:p>
        </w:tc>
      </w:tr>
      <w:tr w:rsidR="00CE747A" w14:paraId="21AAD67E" w14:textId="77777777">
        <w:trPr>
          <w:trHeight w:val="181"/>
        </w:trPr>
        <w:tc>
          <w:tcPr>
            <w:tcW w:w="2830" w:type="dxa"/>
            <w:vAlign w:val="center"/>
          </w:tcPr>
          <w:p w14:paraId="4AE656CE" w14:textId="77777777" w:rsidR="00CE747A" w:rsidRDefault="00CE747A" w:rsidP="00CE747A">
            <w:pPr>
              <w:pStyle w:val="Tabletext"/>
            </w:pPr>
            <w:r>
              <w:t>Cat 1.7 (AS</w:t>
            </w:r>
            <w:r w:rsidRPr="00B423CE">
              <w:rPr>
                <w:rFonts w:cs="Arial"/>
                <w:bCs/>
              </w:rPr>
              <w:t>≥</w:t>
            </w:r>
            <w:r>
              <w:rPr>
                <w:rFonts w:cs="Arial"/>
                <w:bCs/>
              </w:rPr>
              <w:t>18)</w:t>
            </w:r>
          </w:p>
        </w:tc>
        <w:tc>
          <w:tcPr>
            <w:tcW w:w="638" w:type="dxa"/>
            <w:vAlign w:val="center"/>
          </w:tcPr>
          <w:p w14:paraId="019D06DD" w14:textId="77777777" w:rsidR="00CE747A" w:rsidRDefault="00CE747A" w:rsidP="00CE747A">
            <w:pPr>
              <w:pStyle w:val="Tabletext"/>
            </w:pPr>
            <w:r>
              <w:t>1</w:t>
            </w:r>
          </w:p>
        </w:tc>
        <w:tc>
          <w:tcPr>
            <w:tcW w:w="780" w:type="dxa"/>
            <w:vAlign w:val="center"/>
          </w:tcPr>
          <w:p w14:paraId="001D0097" w14:textId="77777777" w:rsidR="00CE747A" w:rsidRDefault="00CE747A" w:rsidP="00CE747A">
            <w:pPr>
              <w:pStyle w:val="Tabletext"/>
            </w:pPr>
            <w:r>
              <w:t>1.2</w:t>
            </w:r>
          </w:p>
        </w:tc>
        <w:tc>
          <w:tcPr>
            <w:tcW w:w="779" w:type="dxa"/>
            <w:vAlign w:val="center"/>
          </w:tcPr>
          <w:p w14:paraId="73AC4C16" w14:textId="77777777" w:rsidR="00CE747A" w:rsidRDefault="00CE747A" w:rsidP="00CE747A">
            <w:pPr>
              <w:pStyle w:val="Tabletext"/>
            </w:pPr>
            <w:r>
              <w:t>8</w:t>
            </w:r>
          </w:p>
        </w:tc>
        <w:tc>
          <w:tcPr>
            <w:tcW w:w="780" w:type="dxa"/>
            <w:vAlign w:val="center"/>
          </w:tcPr>
          <w:p w14:paraId="33EFEC47" w14:textId="77777777" w:rsidR="00CE747A" w:rsidRDefault="00CE747A" w:rsidP="00CE747A">
            <w:pPr>
              <w:pStyle w:val="Tabletext"/>
            </w:pPr>
            <w:r>
              <w:t>2.1</w:t>
            </w:r>
          </w:p>
        </w:tc>
        <w:tc>
          <w:tcPr>
            <w:tcW w:w="753" w:type="dxa"/>
            <w:vAlign w:val="center"/>
          </w:tcPr>
          <w:p w14:paraId="16482CBF" w14:textId="77777777" w:rsidR="00CE747A" w:rsidRDefault="00CE747A" w:rsidP="00CE747A">
            <w:pPr>
              <w:pStyle w:val="Tabletext"/>
            </w:pPr>
            <w:r>
              <w:t>0</w:t>
            </w:r>
          </w:p>
        </w:tc>
        <w:tc>
          <w:tcPr>
            <w:tcW w:w="753" w:type="dxa"/>
            <w:vAlign w:val="center"/>
          </w:tcPr>
          <w:p w14:paraId="69E963C4" w14:textId="77777777" w:rsidR="00CE747A" w:rsidRDefault="00CE747A" w:rsidP="00CE747A">
            <w:pPr>
              <w:pStyle w:val="Tabletext"/>
            </w:pPr>
            <w:r>
              <w:t>0.0</w:t>
            </w:r>
          </w:p>
        </w:tc>
        <w:tc>
          <w:tcPr>
            <w:tcW w:w="753" w:type="dxa"/>
            <w:vAlign w:val="center"/>
          </w:tcPr>
          <w:p w14:paraId="39A541E0" w14:textId="77777777" w:rsidR="00CE747A" w:rsidRDefault="00CE747A" w:rsidP="00CE747A">
            <w:pPr>
              <w:pStyle w:val="Tabletext"/>
            </w:pPr>
            <w:r>
              <w:t>3</w:t>
            </w:r>
          </w:p>
        </w:tc>
        <w:tc>
          <w:tcPr>
            <w:tcW w:w="754" w:type="dxa"/>
            <w:vAlign w:val="center"/>
          </w:tcPr>
          <w:p w14:paraId="13DD08E4" w14:textId="1103003C" w:rsidR="00CE747A" w:rsidRDefault="00CE747A" w:rsidP="00CE747A">
            <w:pPr>
              <w:pStyle w:val="Tabletext"/>
            </w:pPr>
            <w:r>
              <w:t>4.</w:t>
            </w:r>
            <w:r w:rsidR="00A54B04">
              <w:t>3</w:t>
            </w:r>
          </w:p>
        </w:tc>
      </w:tr>
      <w:tr w:rsidR="00CE747A" w14:paraId="5EED2E7F" w14:textId="77777777">
        <w:trPr>
          <w:trHeight w:val="103"/>
        </w:trPr>
        <w:tc>
          <w:tcPr>
            <w:tcW w:w="8820" w:type="dxa"/>
            <w:gridSpan w:val="9"/>
            <w:vAlign w:val="center"/>
          </w:tcPr>
          <w:p w14:paraId="31F35413" w14:textId="77777777" w:rsidR="00CE747A" w:rsidRPr="0067502B" w:rsidRDefault="00CE747A" w:rsidP="00CE747A">
            <w:pPr>
              <w:pStyle w:val="Tabletext"/>
              <w:rPr>
                <w:b/>
                <w:bCs/>
              </w:rPr>
            </w:pPr>
            <w:r w:rsidRPr="0067502B">
              <w:rPr>
                <w:b/>
                <w:bCs/>
              </w:rPr>
              <w:t>Proportional shortfall</w:t>
            </w:r>
          </w:p>
        </w:tc>
      </w:tr>
      <w:tr w:rsidR="00CE747A" w14:paraId="71A4DA17" w14:textId="77777777">
        <w:trPr>
          <w:trHeight w:val="198"/>
        </w:trPr>
        <w:tc>
          <w:tcPr>
            <w:tcW w:w="2830" w:type="dxa"/>
            <w:vAlign w:val="center"/>
          </w:tcPr>
          <w:p w14:paraId="4C1DB6EC" w14:textId="77777777" w:rsidR="00CE747A" w:rsidRDefault="00CE747A" w:rsidP="00CE747A">
            <w:pPr>
              <w:pStyle w:val="Tabletext"/>
            </w:pPr>
            <w:r>
              <w:t>Cat 1 (PS&lt;0.85)</w:t>
            </w:r>
          </w:p>
        </w:tc>
        <w:tc>
          <w:tcPr>
            <w:tcW w:w="638" w:type="dxa"/>
            <w:vAlign w:val="center"/>
          </w:tcPr>
          <w:p w14:paraId="2AFF4E15" w14:textId="77777777" w:rsidR="00CE747A" w:rsidRDefault="00CE747A" w:rsidP="00CE747A">
            <w:pPr>
              <w:pStyle w:val="Tabletext"/>
            </w:pPr>
            <w:r>
              <w:t>11</w:t>
            </w:r>
          </w:p>
        </w:tc>
        <w:tc>
          <w:tcPr>
            <w:tcW w:w="780" w:type="dxa"/>
            <w:vAlign w:val="center"/>
          </w:tcPr>
          <w:p w14:paraId="1F634702" w14:textId="77777777" w:rsidR="00CE747A" w:rsidRDefault="00CE747A" w:rsidP="00CE747A">
            <w:pPr>
              <w:pStyle w:val="Tabletext"/>
            </w:pPr>
            <w:r>
              <w:t>13.6</w:t>
            </w:r>
          </w:p>
        </w:tc>
        <w:tc>
          <w:tcPr>
            <w:tcW w:w="779" w:type="dxa"/>
            <w:vAlign w:val="center"/>
          </w:tcPr>
          <w:p w14:paraId="3EA7E73A" w14:textId="77777777" w:rsidR="00CE747A" w:rsidRDefault="00CE747A" w:rsidP="00CE747A">
            <w:pPr>
              <w:pStyle w:val="Tabletext"/>
            </w:pPr>
            <w:r>
              <w:t>321</w:t>
            </w:r>
          </w:p>
        </w:tc>
        <w:tc>
          <w:tcPr>
            <w:tcW w:w="780" w:type="dxa"/>
            <w:vAlign w:val="center"/>
          </w:tcPr>
          <w:p w14:paraId="4A5E6B32" w14:textId="77777777" w:rsidR="00CE747A" w:rsidRDefault="00CE747A" w:rsidP="00CE747A">
            <w:pPr>
              <w:pStyle w:val="Tabletext"/>
            </w:pPr>
            <w:r>
              <w:t>84.0</w:t>
            </w:r>
          </w:p>
        </w:tc>
        <w:tc>
          <w:tcPr>
            <w:tcW w:w="753" w:type="dxa"/>
            <w:vAlign w:val="center"/>
          </w:tcPr>
          <w:p w14:paraId="23432FD0" w14:textId="77777777" w:rsidR="00CE747A" w:rsidRDefault="00CE747A" w:rsidP="00CE747A">
            <w:pPr>
              <w:pStyle w:val="Tabletext"/>
            </w:pPr>
            <w:r>
              <w:t>2</w:t>
            </w:r>
          </w:p>
        </w:tc>
        <w:tc>
          <w:tcPr>
            <w:tcW w:w="753" w:type="dxa"/>
            <w:vAlign w:val="center"/>
          </w:tcPr>
          <w:p w14:paraId="638DFF73" w14:textId="77777777" w:rsidR="00CE747A" w:rsidRDefault="00CE747A" w:rsidP="00CE747A">
            <w:pPr>
              <w:pStyle w:val="Tabletext"/>
            </w:pPr>
            <w:r>
              <w:t>9.1</w:t>
            </w:r>
          </w:p>
        </w:tc>
        <w:tc>
          <w:tcPr>
            <w:tcW w:w="753" w:type="dxa"/>
            <w:vAlign w:val="center"/>
          </w:tcPr>
          <w:p w14:paraId="598DC427" w14:textId="4446373D" w:rsidR="00CE747A" w:rsidRDefault="00CE747A" w:rsidP="00CE747A">
            <w:pPr>
              <w:pStyle w:val="Tabletext"/>
            </w:pPr>
            <w:r>
              <w:t>6</w:t>
            </w:r>
            <w:r w:rsidR="008E212C">
              <w:t>4</w:t>
            </w:r>
          </w:p>
        </w:tc>
        <w:tc>
          <w:tcPr>
            <w:tcW w:w="754" w:type="dxa"/>
            <w:vAlign w:val="center"/>
          </w:tcPr>
          <w:p w14:paraId="2EAB0328" w14:textId="32BBC23F" w:rsidR="00CE747A" w:rsidRDefault="00CE747A" w:rsidP="00CE747A">
            <w:pPr>
              <w:pStyle w:val="Tabletext"/>
            </w:pPr>
            <w:r>
              <w:t>92.</w:t>
            </w:r>
            <w:r w:rsidR="008E212C">
              <w:t>8</w:t>
            </w:r>
          </w:p>
        </w:tc>
      </w:tr>
      <w:tr w:rsidR="00CE747A" w14:paraId="722E511E" w14:textId="77777777">
        <w:trPr>
          <w:trHeight w:val="271"/>
        </w:trPr>
        <w:tc>
          <w:tcPr>
            <w:tcW w:w="2830" w:type="dxa"/>
            <w:vAlign w:val="center"/>
          </w:tcPr>
          <w:p w14:paraId="5C4F85E9" w14:textId="77777777" w:rsidR="00CE747A" w:rsidRDefault="00CE747A" w:rsidP="00CE747A">
            <w:pPr>
              <w:pStyle w:val="Tabletext"/>
            </w:pPr>
            <w:r w:rsidRPr="00B423CE">
              <w:t>Cat 1.2 (</w:t>
            </w:r>
            <w:r>
              <w:t>0.85</w:t>
            </w:r>
            <w:r w:rsidRPr="00B423CE">
              <w:rPr>
                <w:rFonts w:cs="Arial"/>
              </w:rPr>
              <w:t>≤</w:t>
            </w:r>
            <w:r>
              <w:rPr>
                <w:rFonts w:cs="Arial"/>
              </w:rPr>
              <w:t>P</w:t>
            </w:r>
            <w:r w:rsidRPr="00B423CE">
              <w:rPr>
                <w:rFonts w:cs="Arial"/>
              </w:rPr>
              <w:t>S&lt;</w:t>
            </w:r>
            <w:r>
              <w:rPr>
                <w:rFonts w:cs="Arial"/>
              </w:rPr>
              <w:t>0.95</w:t>
            </w:r>
            <w:r w:rsidRPr="00B423CE">
              <w:rPr>
                <w:rFonts w:cs="Arial"/>
              </w:rPr>
              <w:t>)</w:t>
            </w:r>
          </w:p>
        </w:tc>
        <w:tc>
          <w:tcPr>
            <w:tcW w:w="638" w:type="dxa"/>
            <w:vAlign w:val="center"/>
          </w:tcPr>
          <w:p w14:paraId="71D128AA" w14:textId="77777777" w:rsidR="00CE747A" w:rsidRDefault="00CE747A" w:rsidP="00CE747A">
            <w:pPr>
              <w:pStyle w:val="Tabletext"/>
            </w:pPr>
            <w:r>
              <w:t>54</w:t>
            </w:r>
          </w:p>
        </w:tc>
        <w:tc>
          <w:tcPr>
            <w:tcW w:w="780" w:type="dxa"/>
            <w:vAlign w:val="center"/>
          </w:tcPr>
          <w:p w14:paraId="0011E69E" w14:textId="77777777" w:rsidR="00CE747A" w:rsidRDefault="00CE747A" w:rsidP="00CE747A">
            <w:pPr>
              <w:pStyle w:val="Tabletext"/>
            </w:pPr>
            <w:r>
              <w:t>66.7</w:t>
            </w:r>
          </w:p>
        </w:tc>
        <w:tc>
          <w:tcPr>
            <w:tcW w:w="779" w:type="dxa"/>
            <w:vAlign w:val="center"/>
          </w:tcPr>
          <w:p w14:paraId="49C8DB64" w14:textId="77777777" w:rsidR="00CE747A" w:rsidRDefault="00CE747A" w:rsidP="00CE747A">
            <w:pPr>
              <w:pStyle w:val="Tabletext"/>
            </w:pPr>
            <w:r>
              <w:t>45</w:t>
            </w:r>
          </w:p>
        </w:tc>
        <w:tc>
          <w:tcPr>
            <w:tcW w:w="780" w:type="dxa"/>
            <w:vAlign w:val="center"/>
          </w:tcPr>
          <w:p w14:paraId="39957AAC" w14:textId="77777777" w:rsidR="00CE747A" w:rsidRDefault="00CE747A" w:rsidP="00CE747A">
            <w:pPr>
              <w:pStyle w:val="Tabletext"/>
            </w:pPr>
            <w:r>
              <w:t>11.8</w:t>
            </w:r>
          </w:p>
        </w:tc>
        <w:tc>
          <w:tcPr>
            <w:tcW w:w="753" w:type="dxa"/>
            <w:vAlign w:val="center"/>
          </w:tcPr>
          <w:p w14:paraId="368FFCD0" w14:textId="77777777" w:rsidR="00CE747A" w:rsidRDefault="00CE747A" w:rsidP="00CE747A">
            <w:pPr>
              <w:pStyle w:val="Tabletext"/>
            </w:pPr>
            <w:r>
              <w:t>13</w:t>
            </w:r>
          </w:p>
        </w:tc>
        <w:tc>
          <w:tcPr>
            <w:tcW w:w="753" w:type="dxa"/>
            <w:vAlign w:val="center"/>
          </w:tcPr>
          <w:p w14:paraId="4CE299B8" w14:textId="77777777" w:rsidR="00CE747A" w:rsidRDefault="00CE747A" w:rsidP="00CE747A">
            <w:pPr>
              <w:pStyle w:val="Tabletext"/>
            </w:pPr>
            <w:r>
              <w:t>59.1</w:t>
            </w:r>
          </w:p>
        </w:tc>
        <w:tc>
          <w:tcPr>
            <w:tcW w:w="753" w:type="dxa"/>
            <w:vAlign w:val="center"/>
          </w:tcPr>
          <w:p w14:paraId="2C2FFFBC" w14:textId="77777777" w:rsidR="00CE747A" w:rsidRDefault="00CE747A" w:rsidP="00CE747A">
            <w:pPr>
              <w:pStyle w:val="Tabletext"/>
            </w:pPr>
            <w:r>
              <w:t>5</w:t>
            </w:r>
          </w:p>
        </w:tc>
        <w:tc>
          <w:tcPr>
            <w:tcW w:w="754" w:type="dxa"/>
            <w:vAlign w:val="center"/>
          </w:tcPr>
          <w:p w14:paraId="4872AB9C" w14:textId="1D940F7B" w:rsidR="00CE747A" w:rsidRDefault="00CE747A" w:rsidP="00CE747A">
            <w:pPr>
              <w:pStyle w:val="Tabletext"/>
            </w:pPr>
            <w:r>
              <w:t>7.</w:t>
            </w:r>
            <w:r w:rsidR="008E212C">
              <w:t>2</w:t>
            </w:r>
          </w:p>
        </w:tc>
      </w:tr>
      <w:tr w:rsidR="00CE747A" w14:paraId="50B7F966" w14:textId="77777777">
        <w:trPr>
          <w:trHeight w:val="77"/>
        </w:trPr>
        <w:tc>
          <w:tcPr>
            <w:tcW w:w="2830" w:type="dxa"/>
            <w:vAlign w:val="center"/>
          </w:tcPr>
          <w:p w14:paraId="75EAD6BE" w14:textId="77777777" w:rsidR="00CE747A" w:rsidRDefault="00CE747A" w:rsidP="00CE747A">
            <w:pPr>
              <w:pStyle w:val="Tabletext"/>
            </w:pPr>
            <w:r>
              <w:t>Cat 1.7 (PS</w:t>
            </w:r>
            <w:r w:rsidRPr="00B423CE">
              <w:rPr>
                <w:rFonts w:cs="Arial"/>
                <w:bCs/>
              </w:rPr>
              <w:t>≥</w:t>
            </w:r>
            <w:r>
              <w:rPr>
                <w:rFonts w:cs="Arial"/>
                <w:bCs/>
              </w:rPr>
              <w:t>0.95)</w:t>
            </w:r>
          </w:p>
        </w:tc>
        <w:tc>
          <w:tcPr>
            <w:tcW w:w="638" w:type="dxa"/>
            <w:vAlign w:val="center"/>
          </w:tcPr>
          <w:p w14:paraId="4D3D3820" w14:textId="77777777" w:rsidR="00CE747A" w:rsidRDefault="00CE747A" w:rsidP="00CE747A">
            <w:pPr>
              <w:pStyle w:val="Tabletext"/>
            </w:pPr>
            <w:r>
              <w:t>16</w:t>
            </w:r>
          </w:p>
        </w:tc>
        <w:tc>
          <w:tcPr>
            <w:tcW w:w="780" w:type="dxa"/>
            <w:vAlign w:val="center"/>
          </w:tcPr>
          <w:p w14:paraId="409EFC44" w14:textId="77777777" w:rsidR="00CE747A" w:rsidRDefault="00CE747A" w:rsidP="00CE747A">
            <w:pPr>
              <w:pStyle w:val="Tabletext"/>
            </w:pPr>
            <w:r>
              <w:t>19.8</w:t>
            </w:r>
          </w:p>
        </w:tc>
        <w:tc>
          <w:tcPr>
            <w:tcW w:w="779" w:type="dxa"/>
            <w:vAlign w:val="center"/>
          </w:tcPr>
          <w:p w14:paraId="2E4091F9" w14:textId="77777777" w:rsidR="00CE747A" w:rsidRDefault="00CE747A" w:rsidP="00CE747A">
            <w:pPr>
              <w:pStyle w:val="Tabletext"/>
            </w:pPr>
            <w:r>
              <w:t>16</w:t>
            </w:r>
          </w:p>
        </w:tc>
        <w:tc>
          <w:tcPr>
            <w:tcW w:w="780" w:type="dxa"/>
            <w:vAlign w:val="center"/>
          </w:tcPr>
          <w:p w14:paraId="7E2CCC0E" w14:textId="77777777" w:rsidR="00CE747A" w:rsidRDefault="00CE747A" w:rsidP="00CE747A">
            <w:pPr>
              <w:pStyle w:val="Tabletext"/>
            </w:pPr>
            <w:r>
              <w:t>4.2</w:t>
            </w:r>
          </w:p>
        </w:tc>
        <w:tc>
          <w:tcPr>
            <w:tcW w:w="753" w:type="dxa"/>
            <w:vAlign w:val="center"/>
          </w:tcPr>
          <w:p w14:paraId="179D23AF" w14:textId="77777777" w:rsidR="00CE747A" w:rsidRDefault="00CE747A" w:rsidP="00CE747A">
            <w:pPr>
              <w:pStyle w:val="Tabletext"/>
            </w:pPr>
            <w:r>
              <w:t>7</w:t>
            </w:r>
          </w:p>
        </w:tc>
        <w:tc>
          <w:tcPr>
            <w:tcW w:w="753" w:type="dxa"/>
            <w:vAlign w:val="center"/>
          </w:tcPr>
          <w:p w14:paraId="026EA7F3" w14:textId="77777777" w:rsidR="00CE747A" w:rsidRDefault="00CE747A" w:rsidP="00CE747A">
            <w:pPr>
              <w:pStyle w:val="Tabletext"/>
            </w:pPr>
            <w:r>
              <w:t>31.8</w:t>
            </w:r>
          </w:p>
        </w:tc>
        <w:tc>
          <w:tcPr>
            <w:tcW w:w="753" w:type="dxa"/>
            <w:vAlign w:val="center"/>
          </w:tcPr>
          <w:p w14:paraId="6A2DD1AB" w14:textId="77777777" w:rsidR="00CE747A" w:rsidRDefault="00CE747A" w:rsidP="00CE747A">
            <w:pPr>
              <w:pStyle w:val="Tabletext"/>
            </w:pPr>
            <w:r>
              <w:t>0</w:t>
            </w:r>
          </w:p>
        </w:tc>
        <w:tc>
          <w:tcPr>
            <w:tcW w:w="754" w:type="dxa"/>
            <w:vAlign w:val="center"/>
          </w:tcPr>
          <w:p w14:paraId="7AD17665" w14:textId="77777777" w:rsidR="00CE747A" w:rsidRDefault="00CE747A" w:rsidP="00CE747A">
            <w:pPr>
              <w:pStyle w:val="Tabletext"/>
            </w:pPr>
            <w:r>
              <w:t>0.0</w:t>
            </w:r>
          </w:p>
        </w:tc>
      </w:tr>
      <w:tr w:rsidR="00CE747A" w14:paraId="1F52D47B" w14:textId="77777777">
        <w:trPr>
          <w:trHeight w:val="247"/>
        </w:trPr>
        <w:tc>
          <w:tcPr>
            <w:tcW w:w="8820" w:type="dxa"/>
            <w:gridSpan w:val="9"/>
            <w:vAlign w:val="center"/>
          </w:tcPr>
          <w:p w14:paraId="3CE7AFDF" w14:textId="77777777" w:rsidR="00CE747A" w:rsidRPr="0067502B" w:rsidRDefault="00CE747A" w:rsidP="00CE747A">
            <w:pPr>
              <w:pStyle w:val="Tabletext"/>
              <w:rPr>
                <w:b/>
                <w:bCs/>
              </w:rPr>
            </w:pPr>
            <w:r w:rsidRPr="0067502B">
              <w:rPr>
                <w:b/>
                <w:bCs/>
              </w:rPr>
              <w:t>Overall</w:t>
            </w:r>
          </w:p>
        </w:tc>
      </w:tr>
      <w:tr w:rsidR="00CE747A" w14:paraId="4759EDE2" w14:textId="77777777">
        <w:trPr>
          <w:trHeight w:val="254"/>
        </w:trPr>
        <w:tc>
          <w:tcPr>
            <w:tcW w:w="2830" w:type="dxa"/>
          </w:tcPr>
          <w:p w14:paraId="47AE3DB0" w14:textId="77777777" w:rsidR="00CE747A" w:rsidRDefault="00CE747A" w:rsidP="00CE747A">
            <w:pPr>
              <w:pStyle w:val="Tabletext"/>
            </w:pPr>
            <w:r>
              <w:t>Mean weight</w:t>
            </w:r>
          </w:p>
        </w:tc>
        <w:tc>
          <w:tcPr>
            <w:tcW w:w="1418" w:type="dxa"/>
            <w:gridSpan w:val="2"/>
            <w:vAlign w:val="center"/>
          </w:tcPr>
          <w:p w14:paraId="02815BF6" w14:textId="77777777" w:rsidR="00CE747A" w:rsidRDefault="00CE747A" w:rsidP="00CE747A">
            <w:pPr>
              <w:pStyle w:val="Tabletext"/>
            </w:pPr>
            <w:r>
              <w:t>1.281</w:t>
            </w:r>
          </w:p>
        </w:tc>
        <w:tc>
          <w:tcPr>
            <w:tcW w:w="1559" w:type="dxa"/>
            <w:gridSpan w:val="2"/>
          </w:tcPr>
          <w:p w14:paraId="37B1A9BC" w14:textId="77777777" w:rsidR="00CE747A" w:rsidRDefault="00CE747A" w:rsidP="00CE747A">
            <w:pPr>
              <w:pStyle w:val="Tabletext"/>
            </w:pPr>
            <w:r>
              <w:t>1.081</w:t>
            </w:r>
          </w:p>
        </w:tc>
        <w:tc>
          <w:tcPr>
            <w:tcW w:w="1506" w:type="dxa"/>
            <w:gridSpan w:val="2"/>
            <w:vAlign w:val="center"/>
          </w:tcPr>
          <w:p w14:paraId="35C96213" w14:textId="77777777" w:rsidR="00CE747A" w:rsidRDefault="00CE747A" w:rsidP="00CE747A">
            <w:pPr>
              <w:pStyle w:val="Tabletext"/>
            </w:pPr>
            <w:r>
              <w:t>1.350</w:t>
            </w:r>
          </w:p>
        </w:tc>
        <w:tc>
          <w:tcPr>
            <w:tcW w:w="1507" w:type="dxa"/>
            <w:gridSpan w:val="2"/>
          </w:tcPr>
          <w:p w14:paraId="09C4360B" w14:textId="77777777" w:rsidR="00CE747A" w:rsidRDefault="00CE747A" w:rsidP="00CE747A">
            <w:pPr>
              <w:pStyle w:val="Tabletext"/>
            </w:pPr>
            <w:r>
              <w:t>1.054</w:t>
            </w:r>
          </w:p>
        </w:tc>
      </w:tr>
      <w:tr w:rsidR="00CE747A" w14:paraId="4E7F6C09" w14:textId="77777777">
        <w:trPr>
          <w:trHeight w:val="268"/>
        </w:trPr>
        <w:tc>
          <w:tcPr>
            <w:tcW w:w="2830" w:type="dxa"/>
            <w:vAlign w:val="center"/>
          </w:tcPr>
          <w:p w14:paraId="6007BF2E" w14:textId="77777777" w:rsidR="00CE747A" w:rsidRDefault="00CE747A" w:rsidP="00CE747A">
            <w:pPr>
              <w:pStyle w:val="Tabletext"/>
            </w:pPr>
            <w:r>
              <w:t xml:space="preserve">Cat 1 </w:t>
            </w:r>
          </w:p>
        </w:tc>
        <w:tc>
          <w:tcPr>
            <w:tcW w:w="638" w:type="dxa"/>
            <w:vAlign w:val="center"/>
          </w:tcPr>
          <w:p w14:paraId="243E3DE0" w14:textId="77777777" w:rsidR="00CE747A" w:rsidRDefault="00CE747A" w:rsidP="00CE747A">
            <w:pPr>
              <w:pStyle w:val="Tabletext"/>
            </w:pPr>
            <w:r>
              <w:t>7</w:t>
            </w:r>
          </w:p>
        </w:tc>
        <w:tc>
          <w:tcPr>
            <w:tcW w:w="780" w:type="dxa"/>
            <w:vAlign w:val="center"/>
          </w:tcPr>
          <w:p w14:paraId="02D87F03" w14:textId="77777777" w:rsidR="00CE747A" w:rsidRDefault="00CE747A" w:rsidP="00CE747A">
            <w:pPr>
              <w:pStyle w:val="Tabletext"/>
            </w:pPr>
            <w:r>
              <w:t>8.6</w:t>
            </w:r>
          </w:p>
        </w:tc>
        <w:tc>
          <w:tcPr>
            <w:tcW w:w="779" w:type="dxa"/>
            <w:vAlign w:val="center"/>
          </w:tcPr>
          <w:p w14:paraId="468D5840" w14:textId="77777777" w:rsidR="00CE747A" w:rsidRDefault="00CE747A" w:rsidP="00CE747A">
            <w:pPr>
              <w:pStyle w:val="Tabletext"/>
            </w:pPr>
            <w:r>
              <w:t>283</w:t>
            </w:r>
          </w:p>
        </w:tc>
        <w:tc>
          <w:tcPr>
            <w:tcW w:w="780" w:type="dxa"/>
            <w:vAlign w:val="center"/>
          </w:tcPr>
          <w:p w14:paraId="377F7801" w14:textId="77777777" w:rsidR="00CE747A" w:rsidRDefault="00CE747A" w:rsidP="00CE747A">
            <w:pPr>
              <w:pStyle w:val="Tabletext"/>
            </w:pPr>
            <w:r>
              <w:t>74.1</w:t>
            </w:r>
          </w:p>
        </w:tc>
        <w:tc>
          <w:tcPr>
            <w:tcW w:w="753" w:type="dxa"/>
            <w:vAlign w:val="center"/>
          </w:tcPr>
          <w:p w14:paraId="302B864C" w14:textId="77777777" w:rsidR="00CE747A" w:rsidRDefault="00CE747A" w:rsidP="00CE747A">
            <w:pPr>
              <w:pStyle w:val="Tabletext"/>
            </w:pPr>
            <w:r>
              <w:t>1</w:t>
            </w:r>
          </w:p>
        </w:tc>
        <w:tc>
          <w:tcPr>
            <w:tcW w:w="753" w:type="dxa"/>
            <w:vAlign w:val="center"/>
          </w:tcPr>
          <w:p w14:paraId="10CBD379" w14:textId="77777777" w:rsidR="00CE747A" w:rsidRDefault="00CE747A" w:rsidP="00CE747A">
            <w:pPr>
              <w:pStyle w:val="Tabletext"/>
            </w:pPr>
            <w:r>
              <w:t>4.6</w:t>
            </w:r>
          </w:p>
        </w:tc>
        <w:tc>
          <w:tcPr>
            <w:tcW w:w="753" w:type="dxa"/>
            <w:vAlign w:val="center"/>
          </w:tcPr>
          <w:p w14:paraId="767C95D5" w14:textId="4429A670" w:rsidR="00CE747A" w:rsidRDefault="00CE747A" w:rsidP="00CE747A">
            <w:pPr>
              <w:pStyle w:val="Tabletext"/>
            </w:pPr>
            <w:r>
              <w:t>5</w:t>
            </w:r>
            <w:r w:rsidR="00260FBA">
              <w:t>8</w:t>
            </w:r>
          </w:p>
        </w:tc>
        <w:tc>
          <w:tcPr>
            <w:tcW w:w="754" w:type="dxa"/>
            <w:vAlign w:val="center"/>
          </w:tcPr>
          <w:p w14:paraId="248CF428" w14:textId="2BA438E2" w:rsidR="00CE747A" w:rsidRDefault="00CE747A" w:rsidP="00CE747A">
            <w:pPr>
              <w:pStyle w:val="Tabletext"/>
            </w:pPr>
            <w:r>
              <w:t>8</w:t>
            </w:r>
            <w:r w:rsidR="00260FBA">
              <w:t>4.1</w:t>
            </w:r>
          </w:p>
        </w:tc>
      </w:tr>
      <w:tr w:rsidR="00CE747A" w14:paraId="4E36833E" w14:textId="77777777">
        <w:trPr>
          <w:trHeight w:val="276"/>
        </w:trPr>
        <w:tc>
          <w:tcPr>
            <w:tcW w:w="2830" w:type="dxa"/>
            <w:vAlign w:val="center"/>
          </w:tcPr>
          <w:p w14:paraId="09607661" w14:textId="77777777" w:rsidR="00CE747A" w:rsidRDefault="00CE747A" w:rsidP="00CE747A">
            <w:pPr>
              <w:pStyle w:val="Tabletext"/>
            </w:pPr>
            <w:r w:rsidRPr="00B423CE">
              <w:t xml:space="preserve">Cat 1.2 </w:t>
            </w:r>
          </w:p>
        </w:tc>
        <w:tc>
          <w:tcPr>
            <w:tcW w:w="638" w:type="dxa"/>
            <w:vAlign w:val="center"/>
          </w:tcPr>
          <w:p w14:paraId="54AA2A4C" w14:textId="77777777" w:rsidR="00CE747A" w:rsidRDefault="00CE747A" w:rsidP="00CE747A">
            <w:pPr>
              <w:pStyle w:val="Tabletext"/>
            </w:pPr>
            <w:r>
              <w:t>58</w:t>
            </w:r>
          </w:p>
        </w:tc>
        <w:tc>
          <w:tcPr>
            <w:tcW w:w="780" w:type="dxa"/>
            <w:vAlign w:val="center"/>
          </w:tcPr>
          <w:p w14:paraId="1F259541" w14:textId="77777777" w:rsidR="00CE747A" w:rsidRDefault="00CE747A" w:rsidP="00CE747A">
            <w:pPr>
              <w:pStyle w:val="Tabletext"/>
            </w:pPr>
            <w:r>
              <w:t>71.6</w:t>
            </w:r>
          </w:p>
        </w:tc>
        <w:tc>
          <w:tcPr>
            <w:tcW w:w="779" w:type="dxa"/>
            <w:vAlign w:val="center"/>
          </w:tcPr>
          <w:p w14:paraId="7FDBAAD0" w14:textId="77777777" w:rsidR="00CE747A" w:rsidRDefault="00CE747A" w:rsidP="00CE747A">
            <w:pPr>
              <w:pStyle w:val="Tabletext"/>
            </w:pPr>
            <w:r>
              <w:t>77</w:t>
            </w:r>
          </w:p>
        </w:tc>
        <w:tc>
          <w:tcPr>
            <w:tcW w:w="780" w:type="dxa"/>
            <w:vAlign w:val="center"/>
          </w:tcPr>
          <w:p w14:paraId="2934E35A" w14:textId="77777777" w:rsidR="00CE747A" w:rsidRDefault="00CE747A" w:rsidP="00CE747A">
            <w:pPr>
              <w:pStyle w:val="Tabletext"/>
            </w:pPr>
            <w:r>
              <w:t>20.2</w:t>
            </w:r>
          </w:p>
        </w:tc>
        <w:tc>
          <w:tcPr>
            <w:tcW w:w="753" w:type="dxa"/>
            <w:vAlign w:val="center"/>
          </w:tcPr>
          <w:p w14:paraId="6D02BBD9" w14:textId="77777777" w:rsidR="00CE747A" w:rsidRDefault="00CE747A" w:rsidP="00CE747A">
            <w:pPr>
              <w:pStyle w:val="Tabletext"/>
            </w:pPr>
            <w:r>
              <w:t>14</w:t>
            </w:r>
          </w:p>
        </w:tc>
        <w:tc>
          <w:tcPr>
            <w:tcW w:w="753" w:type="dxa"/>
            <w:vAlign w:val="center"/>
          </w:tcPr>
          <w:p w14:paraId="1CED70F7" w14:textId="77777777" w:rsidR="00CE747A" w:rsidRDefault="00CE747A" w:rsidP="00CE747A">
            <w:pPr>
              <w:pStyle w:val="Tabletext"/>
            </w:pPr>
            <w:r>
              <w:t>63.6</w:t>
            </w:r>
          </w:p>
        </w:tc>
        <w:tc>
          <w:tcPr>
            <w:tcW w:w="753" w:type="dxa"/>
            <w:vAlign w:val="center"/>
          </w:tcPr>
          <w:p w14:paraId="5C137464" w14:textId="77777777" w:rsidR="00CE747A" w:rsidRDefault="00CE747A" w:rsidP="00CE747A">
            <w:pPr>
              <w:pStyle w:val="Tabletext"/>
            </w:pPr>
            <w:r>
              <w:t>8</w:t>
            </w:r>
          </w:p>
        </w:tc>
        <w:tc>
          <w:tcPr>
            <w:tcW w:w="754" w:type="dxa"/>
            <w:vAlign w:val="center"/>
          </w:tcPr>
          <w:p w14:paraId="71651729" w14:textId="2028E6C2" w:rsidR="00CE747A" w:rsidRDefault="00CE747A" w:rsidP="00CE747A">
            <w:pPr>
              <w:pStyle w:val="Tabletext"/>
            </w:pPr>
            <w:r>
              <w:t>11.</w:t>
            </w:r>
            <w:r w:rsidR="00260FBA">
              <w:t>6</w:t>
            </w:r>
          </w:p>
        </w:tc>
      </w:tr>
      <w:tr w:rsidR="00CE747A" w14:paraId="2CBBB6A4" w14:textId="77777777">
        <w:trPr>
          <w:trHeight w:val="266"/>
        </w:trPr>
        <w:tc>
          <w:tcPr>
            <w:tcW w:w="2830" w:type="dxa"/>
            <w:vAlign w:val="center"/>
          </w:tcPr>
          <w:p w14:paraId="1C55CB66" w14:textId="77777777" w:rsidR="00CE747A" w:rsidRDefault="00CE747A" w:rsidP="00CE747A">
            <w:pPr>
              <w:pStyle w:val="Tabletext"/>
            </w:pPr>
            <w:r>
              <w:t>Cat 1.7</w:t>
            </w:r>
          </w:p>
        </w:tc>
        <w:tc>
          <w:tcPr>
            <w:tcW w:w="638" w:type="dxa"/>
            <w:vAlign w:val="center"/>
          </w:tcPr>
          <w:p w14:paraId="2268D4C9" w14:textId="77777777" w:rsidR="00CE747A" w:rsidRDefault="00CE747A" w:rsidP="00CE747A">
            <w:pPr>
              <w:pStyle w:val="Tabletext"/>
            </w:pPr>
            <w:r>
              <w:t>16</w:t>
            </w:r>
          </w:p>
        </w:tc>
        <w:tc>
          <w:tcPr>
            <w:tcW w:w="780" w:type="dxa"/>
            <w:vAlign w:val="center"/>
          </w:tcPr>
          <w:p w14:paraId="2AB7D67F" w14:textId="77777777" w:rsidR="00CE747A" w:rsidRDefault="00CE747A" w:rsidP="00CE747A">
            <w:pPr>
              <w:pStyle w:val="Tabletext"/>
            </w:pPr>
            <w:r>
              <w:t>19.8</w:t>
            </w:r>
          </w:p>
        </w:tc>
        <w:tc>
          <w:tcPr>
            <w:tcW w:w="779" w:type="dxa"/>
            <w:vAlign w:val="center"/>
          </w:tcPr>
          <w:p w14:paraId="69AC97CE" w14:textId="77777777" w:rsidR="00CE747A" w:rsidRDefault="00CE747A" w:rsidP="00CE747A">
            <w:pPr>
              <w:pStyle w:val="Tabletext"/>
            </w:pPr>
            <w:r>
              <w:t>22</w:t>
            </w:r>
          </w:p>
        </w:tc>
        <w:tc>
          <w:tcPr>
            <w:tcW w:w="780" w:type="dxa"/>
            <w:vAlign w:val="center"/>
          </w:tcPr>
          <w:p w14:paraId="1D48B997" w14:textId="77777777" w:rsidR="00CE747A" w:rsidRDefault="00CE747A" w:rsidP="00CE747A">
            <w:pPr>
              <w:pStyle w:val="Tabletext"/>
            </w:pPr>
            <w:r>
              <w:t>5.8</w:t>
            </w:r>
          </w:p>
        </w:tc>
        <w:tc>
          <w:tcPr>
            <w:tcW w:w="753" w:type="dxa"/>
            <w:vAlign w:val="center"/>
          </w:tcPr>
          <w:p w14:paraId="0A04A416" w14:textId="77777777" w:rsidR="00CE747A" w:rsidRDefault="00CE747A" w:rsidP="00CE747A">
            <w:pPr>
              <w:pStyle w:val="Tabletext"/>
            </w:pPr>
            <w:r>
              <w:t>7</w:t>
            </w:r>
          </w:p>
        </w:tc>
        <w:tc>
          <w:tcPr>
            <w:tcW w:w="753" w:type="dxa"/>
            <w:vAlign w:val="center"/>
          </w:tcPr>
          <w:p w14:paraId="6F178561" w14:textId="77777777" w:rsidR="00CE747A" w:rsidRDefault="00CE747A" w:rsidP="00CE747A">
            <w:pPr>
              <w:pStyle w:val="Tabletext"/>
            </w:pPr>
            <w:r>
              <w:t>31.8</w:t>
            </w:r>
          </w:p>
        </w:tc>
        <w:tc>
          <w:tcPr>
            <w:tcW w:w="753" w:type="dxa"/>
            <w:vAlign w:val="center"/>
          </w:tcPr>
          <w:p w14:paraId="7464CC93" w14:textId="77777777" w:rsidR="00CE747A" w:rsidRDefault="00CE747A" w:rsidP="00CE747A">
            <w:pPr>
              <w:pStyle w:val="Tabletext"/>
            </w:pPr>
            <w:r>
              <w:t>3</w:t>
            </w:r>
          </w:p>
        </w:tc>
        <w:tc>
          <w:tcPr>
            <w:tcW w:w="754" w:type="dxa"/>
            <w:vAlign w:val="center"/>
          </w:tcPr>
          <w:p w14:paraId="5A092ACC" w14:textId="5BB16A76" w:rsidR="00CE747A" w:rsidRDefault="00CE747A" w:rsidP="00CE747A">
            <w:pPr>
              <w:pStyle w:val="Tabletext"/>
            </w:pPr>
            <w:r>
              <w:t>4.</w:t>
            </w:r>
            <w:r w:rsidR="000A0F77">
              <w:t>3</w:t>
            </w:r>
          </w:p>
        </w:tc>
      </w:tr>
    </w:tbl>
    <w:p w14:paraId="3798B1FF" w14:textId="77777777" w:rsidR="00826F87" w:rsidRDefault="00826F87" w:rsidP="00826F87">
      <w:pPr>
        <w:pStyle w:val="NICEnormalnumbered"/>
        <w:numPr>
          <w:ilvl w:val="0"/>
          <w:numId w:val="0"/>
        </w:numPr>
        <w:ind w:left="360" w:hanging="360"/>
      </w:pPr>
    </w:p>
    <w:p w14:paraId="42A42C24" w14:textId="2ADBB77C" w:rsidR="007E1862" w:rsidRPr="00781FC0" w:rsidRDefault="007E1862" w:rsidP="007E1862">
      <w:pPr>
        <w:pStyle w:val="NICEnormalnumbered"/>
      </w:pPr>
      <w:r w:rsidRPr="00781FC0">
        <w:t>Since the introduction of the severity modifier:</w:t>
      </w:r>
    </w:p>
    <w:p w14:paraId="2F3E3154" w14:textId="77777777" w:rsidR="007E1862" w:rsidRPr="00B52F7B" w:rsidRDefault="007E1862" w:rsidP="007E1862">
      <w:pPr>
        <w:pStyle w:val="Bullets"/>
        <w:rPr>
          <w:rFonts w:eastAsia="Arial"/>
        </w:rPr>
      </w:pPr>
      <w:r w:rsidRPr="00B52F7B">
        <w:rPr>
          <w:rFonts w:eastAsia="Arial"/>
        </w:rPr>
        <w:t xml:space="preserve">98% of the decisions that did not attract additional weighting under the severity modifier wouldn’t have been eligible for additional weighting under the end of life criteria either. </w:t>
      </w:r>
    </w:p>
    <w:p w14:paraId="7FF72B98" w14:textId="5C290835" w:rsidR="007E1862" w:rsidRPr="00B52F7B" w:rsidRDefault="007E1862" w:rsidP="007E1862">
      <w:pPr>
        <w:pStyle w:val="Bullets"/>
        <w:rPr>
          <w:rFonts w:eastAsia="Arial"/>
        </w:rPr>
      </w:pPr>
      <w:r w:rsidRPr="00B52F7B">
        <w:rPr>
          <w:rFonts w:eastAsia="Arial"/>
        </w:rPr>
        <w:t xml:space="preserve">Only 1 of the </w:t>
      </w:r>
      <w:r>
        <w:rPr>
          <w:rFonts w:eastAsia="Arial"/>
        </w:rPr>
        <w:t>22</w:t>
      </w:r>
      <w:r w:rsidRPr="00B52F7B">
        <w:rPr>
          <w:rFonts w:eastAsia="Arial"/>
        </w:rPr>
        <w:t xml:space="preserve"> decisions estimated to have met the end of life criteria (</w:t>
      </w:r>
      <w:r w:rsidRPr="0EA61B06">
        <w:rPr>
          <w:rFonts w:eastAsia="Arial"/>
        </w:rPr>
        <w:t>5</w:t>
      </w:r>
      <w:r w:rsidRPr="00B52F7B">
        <w:rPr>
          <w:rFonts w:eastAsia="Arial"/>
        </w:rPr>
        <w:t xml:space="preserve">%) did not achieve additional weighting under the severity modifier. On the other hand, </w:t>
      </w:r>
      <w:r w:rsidRPr="0EA61B06">
        <w:rPr>
          <w:rFonts w:eastAsia="Arial"/>
        </w:rPr>
        <w:t>11</w:t>
      </w:r>
      <w:r w:rsidRPr="00B52F7B">
        <w:rPr>
          <w:rFonts w:eastAsia="Arial"/>
        </w:rPr>
        <w:t xml:space="preserve"> of the </w:t>
      </w:r>
      <w:r w:rsidRPr="0EA61B06">
        <w:rPr>
          <w:rFonts w:eastAsia="Arial"/>
        </w:rPr>
        <w:t>6</w:t>
      </w:r>
      <w:r w:rsidR="000A0F77">
        <w:rPr>
          <w:rFonts w:eastAsia="Arial"/>
        </w:rPr>
        <w:t>9</w:t>
      </w:r>
      <w:r w:rsidRPr="00B52F7B">
        <w:rPr>
          <w:rFonts w:eastAsia="Arial"/>
        </w:rPr>
        <w:t xml:space="preserve"> decisions estimated not to have met the end of life criteria (</w:t>
      </w:r>
      <w:r>
        <w:rPr>
          <w:rFonts w:eastAsia="Arial"/>
        </w:rPr>
        <w:t>1</w:t>
      </w:r>
      <w:r w:rsidRPr="00B52F7B">
        <w:rPr>
          <w:rFonts w:eastAsia="Arial"/>
        </w:rPr>
        <w:t>6%) achieved additional weighting under the severity modifier</w:t>
      </w:r>
      <w:r>
        <w:rPr>
          <w:rFonts w:eastAsia="Arial"/>
        </w:rPr>
        <w:t>, 3 of which achieved a weight of 1.7</w:t>
      </w:r>
      <w:r w:rsidRPr="0EA61B06">
        <w:rPr>
          <w:rFonts w:eastAsia="Arial"/>
        </w:rPr>
        <w:t>.</w:t>
      </w:r>
    </w:p>
    <w:p w14:paraId="4DF4E04F" w14:textId="19925FDE" w:rsidR="007E1862" w:rsidRPr="007E1862" w:rsidRDefault="007E1862" w:rsidP="007E1862">
      <w:pPr>
        <w:pStyle w:val="Bulletslast"/>
        <w:rPr>
          <w:rFonts w:eastAsia="Arial"/>
        </w:rPr>
      </w:pPr>
      <w:r w:rsidRPr="00B52F7B">
        <w:rPr>
          <w:rFonts w:eastAsia="Arial"/>
        </w:rPr>
        <w:t xml:space="preserve">In the majority of cases where the severity modifier was applied and where the end of life criteria were judged also </w:t>
      </w:r>
      <w:r>
        <w:rPr>
          <w:rFonts w:eastAsia="Arial"/>
        </w:rPr>
        <w:t xml:space="preserve">to </w:t>
      </w:r>
      <w:r w:rsidRPr="00B52F7B">
        <w:rPr>
          <w:rFonts w:eastAsia="Arial"/>
        </w:rPr>
        <w:t>have been met, a weight of 1.2 was used (</w:t>
      </w:r>
      <w:r w:rsidRPr="0EA61B06">
        <w:rPr>
          <w:rFonts w:eastAsia="Arial"/>
        </w:rPr>
        <w:t>14</w:t>
      </w:r>
      <w:r w:rsidRPr="00B52F7B">
        <w:rPr>
          <w:rFonts w:eastAsia="Arial"/>
        </w:rPr>
        <w:t xml:space="preserve"> out of </w:t>
      </w:r>
      <w:r w:rsidRPr="0EA61B06">
        <w:rPr>
          <w:rFonts w:eastAsia="Arial"/>
        </w:rPr>
        <w:t>21</w:t>
      </w:r>
      <w:r w:rsidRPr="00B52F7B">
        <w:rPr>
          <w:rFonts w:eastAsia="Arial"/>
        </w:rPr>
        <w:t xml:space="preserve"> decisions; </w:t>
      </w:r>
      <w:r w:rsidRPr="0EA61B06">
        <w:rPr>
          <w:rFonts w:eastAsia="Arial"/>
        </w:rPr>
        <w:t>67</w:t>
      </w:r>
      <w:r w:rsidRPr="00B52F7B">
        <w:rPr>
          <w:rFonts w:eastAsia="Arial"/>
        </w:rPr>
        <w:t xml:space="preserve">%). For the remaining </w:t>
      </w:r>
      <w:r w:rsidRPr="0EA61B06">
        <w:rPr>
          <w:rFonts w:eastAsia="Arial"/>
        </w:rPr>
        <w:t>7</w:t>
      </w:r>
      <w:r w:rsidRPr="00B52F7B">
        <w:rPr>
          <w:rFonts w:eastAsia="Arial"/>
        </w:rPr>
        <w:t xml:space="preserve"> decisions (</w:t>
      </w:r>
      <w:r w:rsidRPr="0EA61B06">
        <w:rPr>
          <w:rFonts w:eastAsia="Arial"/>
        </w:rPr>
        <w:t>33</w:t>
      </w:r>
      <w:r w:rsidRPr="00B52F7B">
        <w:rPr>
          <w:rFonts w:eastAsia="Arial"/>
        </w:rPr>
        <w:t xml:space="preserve">%), the 1.7 severity weighting given was the same as </w:t>
      </w:r>
      <w:r w:rsidR="00D727AB">
        <w:rPr>
          <w:rFonts w:eastAsia="Arial"/>
        </w:rPr>
        <w:t xml:space="preserve">the maximum that </w:t>
      </w:r>
      <w:r w:rsidRPr="00B52F7B">
        <w:rPr>
          <w:rFonts w:eastAsia="Arial"/>
        </w:rPr>
        <w:t>would have been applied under end of life.</w:t>
      </w:r>
    </w:p>
    <w:p w14:paraId="464E2631" w14:textId="68A68930" w:rsidR="007E1862" w:rsidRDefault="007E1862" w:rsidP="007E1862">
      <w:pPr>
        <w:pStyle w:val="NICEnormalnumbered"/>
      </w:pPr>
      <w:r>
        <w:t xml:space="preserve">It is true that for the majority of decisions where the end of life modifier would have likely applied, a 1.2 weight was applied under the severity modifier (rather than </w:t>
      </w:r>
      <w:r w:rsidR="00BF70A8">
        <w:t xml:space="preserve">up to </w:t>
      </w:r>
      <w:r>
        <w:t xml:space="preserve">the </w:t>
      </w:r>
      <w:r w:rsidR="00BF70A8">
        <w:t xml:space="preserve">maximum </w:t>
      </w:r>
      <w:r>
        <w:t xml:space="preserve">1.7 weight that would have been used under end of life). However, this shift was to be expected as it would not have been possible to allocate additional weightings to a broader range of decisions, within the principle of achieving opportunity cost neutrality, without some decisions attracting lower weighting than would have applied historically. </w:t>
      </w:r>
    </w:p>
    <w:p w14:paraId="3F1C0A6E" w14:textId="115D2C28" w:rsidR="007E1862" w:rsidRDefault="007E1862" w:rsidP="007E1862">
      <w:pPr>
        <w:pStyle w:val="NICEnormalnumbered"/>
      </w:pPr>
      <w:r>
        <w:t>Within the implementation+ subsample, the proportion of decisions that were considered likely to have met the end of life criteria and achieved the highest 1.7 weighting for severity was substantial (3</w:t>
      </w:r>
      <w:r w:rsidR="00054499">
        <w:t>2</w:t>
      </w:r>
      <w:r>
        <w:t xml:space="preserve">%), indicating that NICE still gives precedence to drugs that extend life in its decision making. </w:t>
      </w:r>
    </w:p>
    <w:p w14:paraId="31C8F5A1" w14:textId="220342C5" w:rsidR="007E1862" w:rsidRDefault="007E1862" w:rsidP="007E1862">
      <w:pPr>
        <w:pStyle w:val="NICEnormalnumbered"/>
      </w:pPr>
      <w:r>
        <w:t>Of the 5</w:t>
      </w:r>
      <w:r w:rsidR="000635A3">
        <w:t>9</w:t>
      </w:r>
      <w:r>
        <w:t xml:space="preserve"> decisions that did not attract additional weight with the severity modifier, only 1 was estimated to have met the end of life criteria. This topic was for a first line non-small cell lung cancer (NSCLC) treatment, dabrafenib with trametinib for treating advanced BRAF V600 mutation-positive NSCLC. It received a positive recommendation without a severity weight.</w:t>
      </w:r>
    </w:p>
    <w:p w14:paraId="1BEF4651" w14:textId="7800244F" w:rsidR="007E1862" w:rsidRDefault="007E1862" w:rsidP="007E1862">
      <w:pPr>
        <w:pStyle w:val="NICEnormalnumbered"/>
      </w:pPr>
      <w:r>
        <w:t>Of the 32 decisions that had a severity weighting higher than 1 applied, 11 (34%) would not have met the end of life criteria for additional weight. Of these, 8 decisions had a 1.2 severity weighting applied by committee, with the remaining 3 receiving a 1.7 severity weighting. These decisions came from appraisals of treatments for hepatitis D, cystic fibrosis, and a range of cancer conditions including leukaemia and glioma.</w:t>
      </w:r>
    </w:p>
    <w:p w14:paraId="57854135" w14:textId="27E0E801" w:rsidR="00C43147" w:rsidRDefault="00582055" w:rsidP="00C43147">
      <w:pPr>
        <w:pStyle w:val="Heading2boardreport"/>
      </w:pPr>
      <w:r>
        <w:t>Impact of the severity modifier on proportion of recommendations</w:t>
      </w:r>
    </w:p>
    <w:p w14:paraId="6A4C1CA3" w14:textId="491017DC" w:rsidR="00443853" w:rsidRDefault="00D87BCC" w:rsidP="009C0081">
      <w:pPr>
        <w:pStyle w:val="NICEnormalnumbered"/>
      </w:pPr>
      <w:r>
        <w:t xml:space="preserve">We </w:t>
      </w:r>
      <w:r w:rsidR="00051C7F">
        <w:t>examined</w:t>
      </w:r>
      <w:r>
        <w:t xml:space="preserve"> </w:t>
      </w:r>
      <w:r w:rsidR="009C0081">
        <w:t>the proportion</w:t>
      </w:r>
      <w:r w:rsidR="00390AA1">
        <w:t>s</w:t>
      </w:r>
      <w:r w:rsidR="009C0081">
        <w:t xml:space="preserve"> of positive recommendations </w:t>
      </w:r>
      <w:r w:rsidR="00F96EEC">
        <w:t>(covering decisions recorded as recommended, optimised, or recommended with a managed access arrangement)</w:t>
      </w:r>
      <w:r w:rsidR="00CD79A7">
        <w:t xml:space="preserve"> </w:t>
      </w:r>
      <w:r w:rsidR="009C0081">
        <w:t xml:space="preserve">associated with decisions </w:t>
      </w:r>
      <w:r w:rsidR="00BE0CEF">
        <w:t>in</w:t>
      </w:r>
      <w:r w:rsidR="009C0081">
        <w:t xml:space="preserve"> the historical primary+ </w:t>
      </w:r>
      <w:r w:rsidR="008D433D">
        <w:t xml:space="preserve">subsample </w:t>
      </w:r>
      <w:r w:rsidR="009C0081">
        <w:t xml:space="preserve">and </w:t>
      </w:r>
      <w:r w:rsidR="008D433D">
        <w:t xml:space="preserve">the </w:t>
      </w:r>
      <w:r w:rsidR="009C0081">
        <w:t>implementation+</w:t>
      </w:r>
      <w:r w:rsidR="003E685D">
        <w:t xml:space="preserve"> subsample</w:t>
      </w:r>
      <w:r w:rsidR="009C0081">
        <w:t>:</w:t>
      </w:r>
    </w:p>
    <w:p w14:paraId="2A4600EE" w14:textId="6996D6A1" w:rsidR="009C0081" w:rsidRDefault="00972403" w:rsidP="009C0081">
      <w:pPr>
        <w:pStyle w:val="Bullets"/>
        <w:rPr>
          <w:rFonts w:eastAsia="Arial"/>
        </w:rPr>
      </w:pPr>
      <w:r>
        <w:rPr>
          <w:rFonts w:eastAsia="Arial"/>
        </w:rPr>
        <w:t>38</w:t>
      </w:r>
      <w:r w:rsidR="002850BD">
        <w:rPr>
          <w:rFonts w:eastAsia="Arial"/>
        </w:rPr>
        <w:t>3</w:t>
      </w:r>
      <w:r>
        <w:rPr>
          <w:rFonts w:eastAsia="Arial"/>
        </w:rPr>
        <w:t xml:space="preserve"> of the 464 </w:t>
      </w:r>
      <w:r w:rsidR="008526E0">
        <w:rPr>
          <w:rFonts w:eastAsia="Arial"/>
        </w:rPr>
        <w:t xml:space="preserve">decisions in the historical primary+ subsample </w:t>
      </w:r>
      <w:r w:rsidR="00994A6D">
        <w:rPr>
          <w:rFonts w:eastAsia="Arial"/>
        </w:rPr>
        <w:t>were</w:t>
      </w:r>
      <w:r w:rsidR="008526E0">
        <w:rPr>
          <w:rFonts w:eastAsia="Arial"/>
        </w:rPr>
        <w:t xml:space="preserve"> positive recommendation</w:t>
      </w:r>
      <w:r w:rsidR="00994A6D">
        <w:rPr>
          <w:rFonts w:eastAsia="Arial"/>
        </w:rPr>
        <w:t>s</w:t>
      </w:r>
      <w:r w:rsidR="008526E0">
        <w:rPr>
          <w:rFonts w:eastAsia="Arial"/>
        </w:rPr>
        <w:t xml:space="preserve"> (</w:t>
      </w:r>
      <w:r>
        <w:rPr>
          <w:rFonts w:eastAsia="Arial"/>
        </w:rPr>
        <w:t>82.</w:t>
      </w:r>
      <w:r w:rsidR="00D12256">
        <w:rPr>
          <w:rFonts w:eastAsia="Arial"/>
        </w:rPr>
        <w:t>5%</w:t>
      </w:r>
      <w:r>
        <w:rPr>
          <w:rFonts w:eastAsia="Arial"/>
        </w:rPr>
        <w:t>).</w:t>
      </w:r>
      <w:r w:rsidR="00D12256">
        <w:rPr>
          <w:rFonts w:eastAsia="Arial"/>
        </w:rPr>
        <w:t xml:space="preserve"> Of the 81 decisions where </w:t>
      </w:r>
      <w:r w:rsidR="006C6615">
        <w:rPr>
          <w:rFonts w:eastAsia="Arial"/>
        </w:rPr>
        <w:t>additional end of life weighting was applied</w:t>
      </w:r>
      <w:r w:rsidR="00D12256">
        <w:rPr>
          <w:rFonts w:eastAsia="Arial"/>
        </w:rPr>
        <w:t xml:space="preserve">, 67 </w:t>
      </w:r>
      <w:r w:rsidR="0008766E">
        <w:rPr>
          <w:rFonts w:eastAsia="Arial"/>
        </w:rPr>
        <w:t>were</w:t>
      </w:r>
      <w:r w:rsidR="00D12256">
        <w:rPr>
          <w:rFonts w:eastAsia="Arial"/>
        </w:rPr>
        <w:t xml:space="preserve"> positive recommendation</w:t>
      </w:r>
      <w:r w:rsidR="006A3A9A">
        <w:rPr>
          <w:rFonts w:eastAsia="Arial"/>
        </w:rPr>
        <w:t>s</w:t>
      </w:r>
      <w:r w:rsidR="00D12256">
        <w:rPr>
          <w:rFonts w:eastAsia="Arial"/>
        </w:rPr>
        <w:t xml:space="preserve"> (82.7%).</w:t>
      </w:r>
    </w:p>
    <w:p w14:paraId="758245F1" w14:textId="5723826A" w:rsidR="00D12256" w:rsidRDefault="007A6299" w:rsidP="009C0081">
      <w:pPr>
        <w:pStyle w:val="Bullets"/>
        <w:rPr>
          <w:rFonts w:eastAsia="Arial"/>
        </w:rPr>
      </w:pPr>
      <w:r>
        <w:rPr>
          <w:rFonts w:eastAsia="Arial"/>
        </w:rPr>
        <w:t>7</w:t>
      </w:r>
      <w:r w:rsidR="00463504">
        <w:rPr>
          <w:rFonts w:eastAsia="Arial"/>
        </w:rPr>
        <w:t>6</w:t>
      </w:r>
      <w:r>
        <w:rPr>
          <w:rFonts w:eastAsia="Arial"/>
        </w:rPr>
        <w:t xml:space="preserve"> of the 9</w:t>
      </w:r>
      <w:r w:rsidR="0088313D">
        <w:rPr>
          <w:rFonts w:eastAsia="Arial"/>
        </w:rPr>
        <w:t>1</w:t>
      </w:r>
      <w:r>
        <w:rPr>
          <w:rFonts w:eastAsia="Arial"/>
        </w:rPr>
        <w:t xml:space="preserve"> decisions in the implementation+ subsample </w:t>
      </w:r>
      <w:r w:rsidR="0094043A">
        <w:rPr>
          <w:rFonts w:eastAsia="Arial"/>
        </w:rPr>
        <w:t>were</w:t>
      </w:r>
      <w:r>
        <w:rPr>
          <w:rFonts w:eastAsia="Arial"/>
        </w:rPr>
        <w:t xml:space="preserve"> positive recommendation</w:t>
      </w:r>
      <w:r w:rsidR="0094043A">
        <w:rPr>
          <w:rFonts w:eastAsia="Arial"/>
        </w:rPr>
        <w:t>s</w:t>
      </w:r>
      <w:r>
        <w:rPr>
          <w:rFonts w:eastAsia="Arial"/>
        </w:rPr>
        <w:t xml:space="preserve"> (</w:t>
      </w:r>
      <w:r w:rsidR="008E42B4">
        <w:rPr>
          <w:rFonts w:eastAsia="Arial"/>
        </w:rPr>
        <w:t>83</w:t>
      </w:r>
      <w:r w:rsidR="008D742D">
        <w:rPr>
          <w:rFonts w:eastAsia="Arial"/>
        </w:rPr>
        <w:t>.</w:t>
      </w:r>
      <w:r w:rsidR="00463504">
        <w:rPr>
          <w:rFonts w:eastAsia="Arial"/>
        </w:rPr>
        <w:t>5</w:t>
      </w:r>
      <w:r w:rsidR="008E42B4">
        <w:rPr>
          <w:rFonts w:eastAsia="Arial"/>
        </w:rPr>
        <w:t xml:space="preserve">%). Of the 32 decisions </w:t>
      </w:r>
      <w:r w:rsidR="00222C54">
        <w:rPr>
          <w:rFonts w:eastAsia="Arial"/>
        </w:rPr>
        <w:t>where additional</w:t>
      </w:r>
      <w:r w:rsidR="008E42B4">
        <w:rPr>
          <w:rFonts w:eastAsia="Arial"/>
        </w:rPr>
        <w:t xml:space="preserve"> severity weighting </w:t>
      </w:r>
      <w:r w:rsidR="00222C54">
        <w:rPr>
          <w:rFonts w:eastAsia="Arial"/>
        </w:rPr>
        <w:t>was</w:t>
      </w:r>
      <w:r w:rsidR="008E42B4">
        <w:rPr>
          <w:rFonts w:eastAsia="Arial"/>
        </w:rPr>
        <w:t xml:space="preserve"> applied, </w:t>
      </w:r>
      <w:r w:rsidR="00261196">
        <w:rPr>
          <w:rFonts w:eastAsia="Arial"/>
        </w:rPr>
        <w:t xml:space="preserve">27 </w:t>
      </w:r>
      <w:r w:rsidR="001F5232">
        <w:rPr>
          <w:rFonts w:eastAsia="Arial"/>
        </w:rPr>
        <w:t>were</w:t>
      </w:r>
      <w:r w:rsidR="00261196">
        <w:rPr>
          <w:rFonts w:eastAsia="Arial"/>
        </w:rPr>
        <w:t xml:space="preserve"> positive recommendation</w:t>
      </w:r>
      <w:r w:rsidR="001F5232">
        <w:rPr>
          <w:rFonts w:eastAsia="Arial"/>
        </w:rPr>
        <w:t>s</w:t>
      </w:r>
      <w:r w:rsidR="00261196">
        <w:rPr>
          <w:rFonts w:eastAsia="Arial"/>
        </w:rPr>
        <w:t xml:space="preserve"> (84</w:t>
      </w:r>
      <w:r w:rsidR="008D742D">
        <w:rPr>
          <w:rFonts w:eastAsia="Arial"/>
        </w:rPr>
        <w:t>.4</w:t>
      </w:r>
      <w:r w:rsidR="00261196">
        <w:rPr>
          <w:rFonts w:eastAsia="Arial"/>
        </w:rPr>
        <w:t>%).</w:t>
      </w:r>
    </w:p>
    <w:p w14:paraId="2011D969" w14:textId="70ECC10F" w:rsidR="001F5232" w:rsidRDefault="00785D60" w:rsidP="009C0081">
      <w:pPr>
        <w:pStyle w:val="Bullets"/>
        <w:rPr>
          <w:rFonts w:eastAsia="Arial"/>
        </w:rPr>
      </w:pPr>
      <w:r>
        <w:rPr>
          <w:rFonts w:eastAsia="Arial"/>
        </w:rPr>
        <w:t xml:space="preserve">Considering appraisals of treatments for cancer specifically, </w:t>
      </w:r>
      <w:r w:rsidR="00F904FE">
        <w:rPr>
          <w:rFonts w:eastAsia="Arial"/>
        </w:rPr>
        <w:t xml:space="preserve">the </w:t>
      </w:r>
      <w:r w:rsidR="00915139">
        <w:rPr>
          <w:rFonts w:eastAsia="Arial"/>
        </w:rPr>
        <w:t xml:space="preserve">proportion of positive recommendation decisions was </w:t>
      </w:r>
      <w:r w:rsidR="008E6E64">
        <w:rPr>
          <w:rFonts w:eastAsia="Arial"/>
        </w:rPr>
        <w:t>75</w:t>
      </w:r>
      <w:r w:rsidR="00915139">
        <w:rPr>
          <w:rFonts w:eastAsia="Arial"/>
        </w:rPr>
        <w:t xml:space="preserve">% in the historical primary+ subsample, compared to </w:t>
      </w:r>
      <w:r w:rsidR="008E6E64">
        <w:rPr>
          <w:rFonts w:eastAsia="Arial"/>
        </w:rPr>
        <w:t>80% in the implementation+ subsample.</w:t>
      </w:r>
    </w:p>
    <w:p w14:paraId="5054B922" w14:textId="221A43D0" w:rsidR="00DB01EA" w:rsidRDefault="008E6E64" w:rsidP="00DB01EA">
      <w:pPr>
        <w:pStyle w:val="Bulletslast"/>
        <w:rPr>
          <w:rFonts w:eastAsia="Arial"/>
        </w:rPr>
      </w:pPr>
      <w:r>
        <w:rPr>
          <w:rFonts w:eastAsia="Arial"/>
        </w:rPr>
        <w:t>Considering appraisals of treatments for advanced and/or metastatic cancer specifically, the propor</w:t>
      </w:r>
      <w:r w:rsidR="00F66538">
        <w:rPr>
          <w:rFonts w:eastAsia="Arial"/>
        </w:rPr>
        <w:t xml:space="preserve">tion </w:t>
      </w:r>
      <w:r w:rsidR="00070BBC">
        <w:rPr>
          <w:rFonts w:eastAsia="Arial"/>
        </w:rPr>
        <w:t xml:space="preserve">of positive recommendation decisions </w:t>
      </w:r>
      <w:r w:rsidR="00F66538">
        <w:rPr>
          <w:rFonts w:eastAsia="Arial"/>
        </w:rPr>
        <w:t xml:space="preserve">was </w:t>
      </w:r>
      <w:r w:rsidR="00D661B0">
        <w:rPr>
          <w:rFonts w:eastAsia="Arial"/>
        </w:rPr>
        <w:t xml:space="preserve">69% in the historical primary+ subsample, compared to </w:t>
      </w:r>
      <w:r w:rsidR="004A0BCB">
        <w:rPr>
          <w:rFonts w:eastAsia="Arial"/>
        </w:rPr>
        <w:t>81% in the implementation+ subsample.</w:t>
      </w:r>
    </w:p>
    <w:p w14:paraId="425C5CF1" w14:textId="665C7F12" w:rsidR="00005F48" w:rsidRPr="00DB01EA" w:rsidRDefault="00005F48" w:rsidP="00DB01EA">
      <w:pPr>
        <w:pStyle w:val="Bulletslast"/>
        <w:rPr>
          <w:rFonts w:eastAsia="Arial"/>
        </w:rPr>
      </w:pPr>
      <w:r>
        <w:rPr>
          <w:rFonts w:eastAsia="Arial"/>
        </w:rPr>
        <w:t xml:space="preserve">Considering appraisals of treatment for non-cancer conditions, the proportion of positive recommendation decisions was </w:t>
      </w:r>
      <w:r w:rsidR="00236B30">
        <w:rPr>
          <w:rFonts w:eastAsia="Arial"/>
        </w:rPr>
        <w:t xml:space="preserve">88% in the historical primary+ subsample, compared to </w:t>
      </w:r>
      <w:r w:rsidR="00E76BF7">
        <w:rPr>
          <w:rFonts w:eastAsia="Arial"/>
        </w:rPr>
        <w:t>90% in the implementation+ subsample.</w:t>
      </w:r>
    </w:p>
    <w:p w14:paraId="303A6500" w14:textId="1A3B93F0" w:rsidR="0036584D" w:rsidRDefault="00E90B98" w:rsidP="00851B01">
      <w:pPr>
        <w:pStyle w:val="Bulletslast"/>
        <w:rPr>
          <w:rFonts w:eastAsia="Arial"/>
        </w:rPr>
      </w:pPr>
      <w:r>
        <w:rPr>
          <w:rFonts w:eastAsia="Arial"/>
        </w:rPr>
        <w:t>It</w:t>
      </w:r>
      <w:r w:rsidR="00287C62">
        <w:rPr>
          <w:rFonts w:eastAsia="Arial"/>
        </w:rPr>
        <w:t xml:space="preserve"> should be noted that the implementation+ subsample contains </w:t>
      </w:r>
      <w:r w:rsidR="006710AD">
        <w:rPr>
          <w:rFonts w:eastAsia="Arial"/>
        </w:rPr>
        <w:t>a larger proportion of cancer</w:t>
      </w:r>
      <w:r w:rsidR="006E5852">
        <w:rPr>
          <w:rFonts w:eastAsia="Arial"/>
        </w:rPr>
        <w:t xml:space="preserve"> topics</w:t>
      </w:r>
      <w:r w:rsidR="001627B1">
        <w:rPr>
          <w:rFonts w:eastAsia="Arial"/>
        </w:rPr>
        <w:t xml:space="preserve"> </w:t>
      </w:r>
      <w:r w:rsidR="006E5852">
        <w:rPr>
          <w:rFonts w:eastAsia="Arial"/>
        </w:rPr>
        <w:t xml:space="preserve">than the primary+ subsample. </w:t>
      </w:r>
      <w:r w:rsidR="001627B1">
        <w:rPr>
          <w:rFonts w:eastAsia="Arial"/>
        </w:rPr>
        <w:t xml:space="preserve">Cancer topics have been </w:t>
      </w:r>
      <w:r w:rsidR="003C1985">
        <w:rPr>
          <w:rFonts w:eastAsia="Arial"/>
        </w:rPr>
        <w:t>more likely to result in negative recommendations than non-cancer topics.</w:t>
      </w:r>
      <w:r w:rsidR="006D5B42">
        <w:rPr>
          <w:rFonts w:eastAsia="Arial"/>
        </w:rPr>
        <w:t xml:space="preserve"> This disparity </w:t>
      </w:r>
      <w:r w:rsidR="00B41915">
        <w:rPr>
          <w:rFonts w:eastAsia="Arial"/>
        </w:rPr>
        <w:t xml:space="preserve">may explain why </w:t>
      </w:r>
      <w:r w:rsidR="0041413A">
        <w:rPr>
          <w:rFonts w:eastAsia="Arial"/>
        </w:rPr>
        <w:t xml:space="preserve">the </w:t>
      </w:r>
      <w:r w:rsidR="00AA5CC9">
        <w:rPr>
          <w:rFonts w:eastAsia="Arial"/>
        </w:rPr>
        <w:t xml:space="preserve">overall proportion </w:t>
      </w:r>
      <w:r w:rsidR="00ED308D">
        <w:rPr>
          <w:rFonts w:eastAsia="Arial"/>
        </w:rPr>
        <w:t xml:space="preserve">of positive recommendation decisions is very similar across the subsamples despite the </w:t>
      </w:r>
      <w:r w:rsidR="00287EE2">
        <w:rPr>
          <w:rFonts w:eastAsia="Arial"/>
        </w:rPr>
        <w:t xml:space="preserve">implementation+ subsample containing </w:t>
      </w:r>
      <w:r w:rsidR="00D712A6">
        <w:rPr>
          <w:rFonts w:eastAsia="Arial"/>
        </w:rPr>
        <w:t xml:space="preserve">higher proportions of </w:t>
      </w:r>
      <w:r w:rsidR="00B67531">
        <w:rPr>
          <w:rFonts w:eastAsia="Arial"/>
        </w:rPr>
        <w:t>positive recommendations for both cancer and non-cancer decisions</w:t>
      </w:r>
      <w:r w:rsidR="004F00E1">
        <w:rPr>
          <w:rFonts w:eastAsia="Arial"/>
        </w:rPr>
        <w:t xml:space="preserve"> (</w:t>
      </w:r>
      <w:r w:rsidR="001A618C">
        <w:rPr>
          <w:rFonts w:eastAsia="Arial"/>
        </w:rPr>
        <w:t xml:space="preserve">a statistical </w:t>
      </w:r>
      <w:r w:rsidR="00B47A5C">
        <w:rPr>
          <w:rFonts w:eastAsia="Arial"/>
        </w:rPr>
        <w:t>phenom</w:t>
      </w:r>
      <w:r w:rsidR="009D1249">
        <w:rPr>
          <w:rFonts w:eastAsia="Arial"/>
        </w:rPr>
        <w:t>eno</w:t>
      </w:r>
      <w:r w:rsidR="00B47A5C">
        <w:rPr>
          <w:rFonts w:eastAsia="Arial"/>
        </w:rPr>
        <w:t>n known as Simpson’s paradox).</w:t>
      </w:r>
    </w:p>
    <w:p w14:paraId="2A6BC34E" w14:textId="197B6C80" w:rsidR="0036584D" w:rsidRDefault="00D56184" w:rsidP="00F171AC">
      <w:pPr>
        <w:pStyle w:val="NICEnormalnumbered"/>
        <w:rPr>
          <w:rFonts w:eastAsia="Arial"/>
        </w:rPr>
      </w:pPr>
      <w:r>
        <w:rPr>
          <w:rFonts w:eastAsia="Arial"/>
        </w:rPr>
        <w:t>The s</w:t>
      </w:r>
      <w:r w:rsidR="00845876">
        <w:rPr>
          <w:rFonts w:eastAsia="Arial"/>
        </w:rPr>
        <w:t xml:space="preserve">tatistics on </w:t>
      </w:r>
      <w:r>
        <w:rPr>
          <w:rFonts w:eastAsia="Arial"/>
        </w:rPr>
        <w:t>recommendation rates</w:t>
      </w:r>
      <w:r w:rsidR="00845876">
        <w:rPr>
          <w:rFonts w:eastAsia="Arial"/>
        </w:rPr>
        <w:t xml:space="preserve"> </w:t>
      </w:r>
      <w:r w:rsidR="006E3058">
        <w:rPr>
          <w:rFonts w:eastAsia="Arial"/>
        </w:rPr>
        <w:t xml:space="preserve">reported above </w:t>
      </w:r>
      <w:r w:rsidR="00845876">
        <w:rPr>
          <w:rFonts w:eastAsia="Arial"/>
        </w:rPr>
        <w:t xml:space="preserve">are </w:t>
      </w:r>
      <w:r w:rsidR="004C7AF4">
        <w:rPr>
          <w:rFonts w:eastAsia="Arial"/>
        </w:rPr>
        <w:t>subject to limitations</w:t>
      </w:r>
      <w:r w:rsidR="00100C71">
        <w:rPr>
          <w:rFonts w:eastAsia="Arial"/>
        </w:rPr>
        <w:t xml:space="preserve">. </w:t>
      </w:r>
      <w:r w:rsidR="000C6445">
        <w:rPr>
          <w:rFonts w:eastAsia="Arial"/>
        </w:rPr>
        <w:t>D</w:t>
      </w:r>
      <w:r w:rsidR="003D0017">
        <w:rPr>
          <w:rFonts w:eastAsia="Arial"/>
        </w:rPr>
        <w:t xml:space="preserve">ecisions </w:t>
      </w:r>
      <w:r w:rsidR="000C6445">
        <w:rPr>
          <w:rFonts w:eastAsia="Arial"/>
        </w:rPr>
        <w:t xml:space="preserve">were categorised </w:t>
      </w:r>
      <w:r w:rsidR="003D0017">
        <w:rPr>
          <w:rFonts w:eastAsia="Arial"/>
        </w:rPr>
        <w:t>according to whether they related to</w:t>
      </w:r>
      <w:r w:rsidR="000C6445">
        <w:rPr>
          <w:rFonts w:eastAsia="Arial"/>
        </w:rPr>
        <w:t xml:space="preserve"> </w:t>
      </w:r>
      <w:r w:rsidR="003D0017">
        <w:rPr>
          <w:rFonts w:eastAsia="Arial"/>
        </w:rPr>
        <w:t xml:space="preserve">advanced and/or metastatic cancer </w:t>
      </w:r>
      <w:r w:rsidR="007B4AA2">
        <w:rPr>
          <w:rFonts w:eastAsia="Arial"/>
        </w:rPr>
        <w:t>by NICE staff, and</w:t>
      </w:r>
      <w:r w:rsidR="008A2F24">
        <w:rPr>
          <w:rFonts w:eastAsia="Arial"/>
        </w:rPr>
        <w:t xml:space="preserve"> this categorisation </w:t>
      </w:r>
      <w:r w:rsidR="006D01D2">
        <w:rPr>
          <w:rFonts w:eastAsia="Arial"/>
        </w:rPr>
        <w:t xml:space="preserve">did not capture blood cancer or brain cancer conditions </w:t>
      </w:r>
      <w:r w:rsidR="00AA2DC7">
        <w:rPr>
          <w:rFonts w:eastAsia="Arial"/>
        </w:rPr>
        <w:t>which are</w:t>
      </w:r>
      <w:r w:rsidR="006D01D2">
        <w:rPr>
          <w:rFonts w:eastAsia="Arial"/>
        </w:rPr>
        <w:t xml:space="preserve"> staged differently </w:t>
      </w:r>
      <w:r w:rsidR="008A6789">
        <w:rPr>
          <w:rFonts w:eastAsia="Arial"/>
        </w:rPr>
        <w:t>from other cancer conditions.</w:t>
      </w:r>
      <w:r w:rsidR="00834BD4">
        <w:rPr>
          <w:rFonts w:eastAsia="Arial"/>
        </w:rPr>
        <w:t xml:space="preserve"> </w:t>
      </w:r>
      <w:r w:rsidR="00DE58E9">
        <w:rPr>
          <w:rFonts w:eastAsia="Arial"/>
        </w:rPr>
        <w:t xml:space="preserve">Missing </w:t>
      </w:r>
      <w:r w:rsidR="00851B01">
        <w:rPr>
          <w:rFonts w:eastAsia="Arial"/>
        </w:rPr>
        <w:t xml:space="preserve">historical </w:t>
      </w:r>
      <w:r w:rsidR="00DE58E9">
        <w:rPr>
          <w:rFonts w:eastAsia="Arial"/>
        </w:rPr>
        <w:t xml:space="preserve">data </w:t>
      </w:r>
      <w:r w:rsidR="003A21F8">
        <w:rPr>
          <w:rFonts w:eastAsia="Arial"/>
        </w:rPr>
        <w:t xml:space="preserve">has </w:t>
      </w:r>
      <w:r>
        <w:rPr>
          <w:rFonts w:eastAsia="Arial"/>
        </w:rPr>
        <w:t>led to further uncertainty.</w:t>
      </w:r>
    </w:p>
    <w:p w14:paraId="1F32CECF" w14:textId="49DFB775" w:rsidR="004A0BCB" w:rsidRDefault="00A15051" w:rsidP="00A15051">
      <w:pPr>
        <w:pStyle w:val="NICEnormalnumbered"/>
        <w:rPr>
          <w:rFonts w:eastAsia="Arial"/>
        </w:rPr>
      </w:pPr>
      <w:r>
        <w:rPr>
          <w:rFonts w:eastAsia="Arial"/>
        </w:rPr>
        <w:t xml:space="preserve">Notwithstanding these limitations, there is no </w:t>
      </w:r>
      <w:r w:rsidR="007F2CF3">
        <w:rPr>
          <w:rFonts w:eastAsia="Arial"/>
        </w:rPr>
        <w:t xml:space="preserve">evidence to suggest that </w:t>
      </w:r>
      <w:r w:rsidR="00904AD5">
        <w:rPr>
          <w:rFonts w:eastAsia="Arial"/>
        </w:rPr>
        <w:t xml:space="preserve">replacing the </w:t>
      </w:r>
      <w:r w:rsidR="00081C6B">
        <w:rPr>
          <w:rFonts w:eastAsia="Arial"/>
        </w:rPr>
        <w:t>end of life modif</w:t>
      </w:r>
      <w:r w:rsidR="006E5A1A">
        <w:rPr>
          <w:rFonts w:eastAsia="Arial"/>
        </w:rPr>
        <w:t>i</w:t>
      </w:r>
      <w:r w:rsidR="00081C6B">
        <w:rPr>
          <w:rFonts w:eastAsia="Arial"/>
        </w:rPr>
        <w:t>er with the</w:t>
      </w:r>
      <w:r w:rsidR="007F2CF3">
        <w:rPr>
          <w:rFonts w:eastAsia="Arial"/>
        </w:rPr>
        <w:t xml:space="preserve"> severity modifier has </w:t>
      </w:r>
      <w:r w:rsidR="00396AAB">
        <w:rPr>
          <w:rFonts w:eastAsia="Arial"/>
        </w:rPr>
        <w:t xml:space="preserve">meant that positive </w:t>
      </w:r>
      <w:r w:rsidR="00A0528E">
        <w:rPr>
          <w:rFonts w:eastAsia="Arial"/>
        </w:rPr>
        <w:t>recommendations are less likely to be reached.</w:t>
      </w:r>
    </w:p>
    <w:p w14:paraId="10461F92" w14:textId="2347550E" w:rsidR="009C0081" w:rsidRPr="00353778" w:rsidRDefault="009C0081" w:rsidP="006B73D4">
      <w:pPr>
        <w:pStyle w:val="Bullets"/>
        <w:numPr>
          <w:ilvl w:val="0"/>
          <w:numId w:val="0"/>
        </w:numPr>
        <w:ind w:left="1134"/>
        <w:rPr>
          <w:rFonts w:eastAsia="Arial"/>
        </w:rPr>
      </w:pPr>
    </w:p>
    <w:p w14:paraId="242E1D39" w14:textId="0F99D78F" w:rsidR="00553D4C" w:rsidRDefault="00553D4C" w:rsidP="00553D4C">
      <w:pPr>
        <w:pStyle w:val="Heading2boardreport"/>
      </w:pPr>
      <w:r>
        <w:t>Impact of the severity modifier on mean QALY weights</w:t>
      </w:r>
    </w:p>
    <w:p w14:paraId="53F5CD6D" w14:textId="18F2C5CA" w:rsidR="00800B10" w:rsidRDefault="00800B10" w:rsidP="00800B10">
      <w:pPr>
        <w:pStyle w:val="NICEnormalnumbered"/>
      </w:pPr>
      <w:r>
        <w:t>We used the implementation+ s</w:t>
      </w:r>
      <w:r w:rsidR="001E460C">
        <w:t>ubs</w:t>
      </w:r>
      <w:r>
        <w:t>ample to examine whether the QALY weights applied in NICE’s decisions had changed much on average since the introduction of the severity modifier.</w:t>
      </w:r>
    </w:p>
    <w:p w14:paraId="17D6A6F1" w14:textId="5B4DFF47" w:rsidR="00800B10" w:rsidRDefault="00800B10" w:rsidP="00800B10">
      <w:pPr>
        <w:pStyle w:val="NICEnormalnumbered"/>
      </w:pPr>
      <w:r>
        <w:t>Under the severity modifier, decisions in the implementation+ subsample received a mean severity weight of 1.12</w:t>
      </w:r>
      <w:r w:rsidR="00F208CE">
        <w:t>5</w:t>
      </w:r>
      <w:r>
        <w:t>. This compares to a mean weight of 1.122 for the historical primary+ subsample under the end of life modifier (giving a difference of 0.00</w:t>
      </w:r>
      <w:r w:rsidR="00716B82">
        <w:t>3</w:t>
      </w:r>
      <w:r>
        <w:t xml:space="preserve">), and 1.116 for the primary+ subsample had the severity modifier instead been applied. </w:t>
      </w:r>
    </w:p>
    <w:p w14:paraId="20CF24F3" w14:textId="08AF88A1" w:rsidR="00800B10" w:rsidRDefault="00800B10" w:rsidP="00800B10">
      <w:pPr>
        <w:pStyle w:val="NICEnormalnumbered"/>
      </w:pPr>
      <w:r>
        <w:t>If NICE had continued with the end of life modifier, decisions in the implementation+ subsample would have received an estimated mean weight of 1.1</w:t>
      </w:r>
      <w:r w:rsidR="00595F02">
        <w:t>69</w:t>
      </w:r>
      <w:r>
        <w:t>. As above, this was based on the judgement of NICE staff retrospectively considering the available data. Due to the conservative approach taken to making these judgements, it is more likely to be an overestimate than an underestimate.</w:t>
      </w:r>
    </w:p>
    <w:p w14:paraId="45C936FF" w14:textId="25819363" w:rsidR="00800B10" w:rsidRPr="0044243D" w:rsidRDefault="00800B10" w:rsidP="00800B10">
      <w:pPr>
        <w:pStyle w:val="NICEnormalnumbered"/>
      </w:pPr>
      <w:r>
        <w:t xml:space="preserve">Additional information on mean weights across the different subsamples is presented in </w:t>
      </w:r>
      <w:r>
        <w:fldChar w:fldCharType="begin"/>
      </w:r>
      <w:r>
        <w:instrText xml:space="preserve"> REF _Ref176979866 \h  \* MERGEFORMAT </w:instrText>
      </w:r>
      <w:r>
        <w:fldChar w:fldCharType="separate"/>
      </w:r>
      <w:r w:rsidR="00066186">
        <w:t>Table 5</w:t>
      </w:r>
      <w:r>
        <w:fldChar w:fldCharType="end"/>
      </w:r>
      <w:r>
        <w:t xml:space="preserve">. </w:t>
      </w:r>
      <w:r w:rsidRPr="00311965">
        <w:rPr>
          <w:szCs w:val="22"/>
        </w:rPr>
        <w:t xml:space="preserve">For </w:t>
      </w:r>
      <w:r>
        <w:rPr>
          <w:szCs w:val="22"/>
        </w:rPr>
        <w:t>1</w:t>
      </w:r>
      <w:r w:rsidRPr="00311965">
        <w:rPr>
          <w:szCs w:val="22"/>
        </w:rPr>
        <w:t xml:space="preserve"> decision</w:t>
      </w:r>
      <w:r>
        <w:rPr>
          <w:szCs w:val="22"/>
        </w:rPr>
        <w:t xml:space="preserve"> in the historical primary+ subsample,</w:t>
      </w:r>
      <w:r w:rsidRPr="00311965">
        <w:rPr>
          <w:szCs w:val="22"/>
        </w:rPr>
        <w:t xml:space="preserve"> the committee did not consider </w:t>
      </w:r>
      <w:r w:rsidRPr="00E2374A">
        <w:rPr>
          <w:szCs w:val="22"/>
        </w:rPr>
        <w:t>eligibility for the end of life modifier</w:t>
      </w:r>
      <w:r w:rsidRPr="00311965">
        <w:rPr>
          <w:szCs w:val="22"/>
        </w:rPr>
        <w:t xml:space="preserve"> (TA192)</w:t>
      </w:r>
      <w:r>
        <w:rPr>
          <w:szCs w:val="22"/>
        </w:rPr>
        <w:t>.</w:t>
      </w:r>
      <w:r w:rsidR="008D0AFF">
        <w:rPr>
          <w:szCs w:val="22"/>
        </w:rPr>
        <w:t xml:space="preserve"> </w:t>
      </w:r>
    </w:p>
    <w:p w14:paraId="5D922784" w14:textId="4C26E8C6" w:rsidR="0044243D" w:rsidRDefault="009D487D" w:rsidP="0044243D">
      <w:pPr>
        <w:pStyle w:val="NICEnormalnumbered"/>
      </w:pPr>
      <w:r>
        <w:t>It appears that the impact of implementing the severity modifier on mean weights has been minimal, as t</w:t>
      </w:r>
      <w:r w:rsidR="0044243D">
        <w:t>here is no evidence to reject the hypothesis that there is no difference in mean weight between the subsamples</w:t>
      </w:r>
      <w:r>
        <w:t>.</w:t>
      </w:r>
      <w:r w:rsidR="0044243D">
        <w:t xml:space="preserve"> However, the size of the implementation+ subsample is small.</w:t>
      </w:r>
    </w:p>
    <w:p w14:paraId="4B02EDAF" w14:textId="4A1AC732" w:rsidR="0044243D" w:rsidRDefault="0044243D" w:rsidP="0044243D">
      <w:pPr>
        <w:pStyle w:val="NICEnormalnumbered"/>
      </w:pPr>
      <w:r>
        <w:t xml:space="preserve">These findings are subject to the same limitations as the DSU’s results related to end of life, but they provide some evidence to refute the assertions made by some stakeholders that the adoption of severity modifier has been ‘conservative’ and is making it harder for patients to access new treatments. </w:t>
      </w:r>
    </w:p>
    <w:p w14:paraId="4A6540A5" w14:textId="77777777" w:rsidR="0044243D" w:rsidRDefault="0044243D" w:rsidP="0044243D">
      <w:pPr>
        <w:pStyle w:val="NICEnormalnumbered"/>
      </w:pPr>
      <w:r>
        <w:t>In order to detect a much larger difference of at least 0.05 QALYs, we estimate that over 400 decisions in the implementation+ subsample would be needed.</w:t>
      </w:r>
    </w:p>
    <w:p w14:paraId="6C2560FC" w14:textId="38B901BA" w:rsidR="00140CD1" w:rsidRDefault="00140CD1" w:rsidP="00140CD1">
      <w:pPr>
        <w:pStyle w:val="Caption"/>
      </w:pPr>
      <w:bookmarkStart w:id="7" w:name="_Ref176979866"/>
      <w:r>
        <w:t xml:space="preserve">Table </w:t>
      </w:r>
      <w:r>
        <w:fldChar w:fldCharType="begin"/>
      </w:r>
      <w:r>
        <w:instrText xml:space="preserve"> SEQ Table \* ARABIC </w:instrText>
      </w:r>
      <w:r>
        <w:fldChar w:fldCharType="separate"/>
      </w:r>
      <w:r w:rsidR="00066186">
        <w:rPr>
          <w:noProof/>
        </w:rPr>
        <w:t>5</w:t>
      </w:r>
      <w:r>
        <w:fldChar w:fldCharType="end"/>
      </w:r>
      <w:bookmarkEnd w:id="7"/>
      <w:r>
        <w:t>: Comparison of mean weights across subsamples</w:t>
      </w:r>
    </w:p>
    <w:tbl>
      <w:tblPr>
        <w:tblStyle w:val="TableGridLight"/>
        <w:tblW w:w="8887" w:type="dxa"/>
        <w:tblLook w:val="04A0" w:firstRow="1" w:lastRow="0" w:firstColumn="1" w:lastColumn="0" w:noHBand="0" w:noVBand="1"/>
        <w:tblCaption w:val="Table 5: Comparison of mean weights across subsamples"/>
        <w:tblDescription w:val="This table compares mean weights across subsamples"/>
      </w:tblPr>
      <w:tblGrid>
        <w:gridCol w:w="4248"/>
        <w:gridCol w:w="2470"/>
        <w:gridCol w:w="2169"/>
      </w:tblGrid>
      <w:tr w:rsidR="00140CD1" w14:paraId="63126D7E" w14:textId="77777777">
        <w:trPr>
          <w:trHeight w:val="201"/>
        </w:trPr>
        <w:tc>
          <w:tcPr>
            <w:tcW w:w="4248" w:type="dxa"/>
          </w:tcPr>
          <w:p w14:paraId="7106882C" w14:textId="77777777" w:rsidR="00140CD1" w:rsidRDefault="00140CD1" w:rsidP="0081242D">
            <w:pPr>
              <w:pStyle w:val="Tablecolumnheading"/>
              <w:keepNext/>
            </w:pPr>
            <w:r>
              <w:t>Subsample</w:t>
            </w:r>
          </w:p>
        </w:tc>
        <w:tc>
          <w:tcPr>
            <w:tcW w:w="2470" w:type="dxa"/>
          </w:tcPr>
          <w:p w14:paraId="22A2FE17" w14:textId="77777777" w:rsidR="00140CD1" w:rsidRDefault="00140CD1" w:rsidP="00140CD1">
            <w:pPr>
              <w:pStyle w:val="Tablecolumnheading"/>
            </w:pPr>
            <w:r>
              <w:t>Modifier applied</w:t>
            </w:r>
          </w:p>
        </w:tc>
        <w:tc>
          <w:tcPr>
            <w:tcW w:w="2169" w:type="dxa"/>
          </w:tcPr>
          <w:p w14:paraId="61FA86CE" w14:textId="77777777" w:rsidR="00140CD1" w:rsidRDefault="00140CD1" w:rsidP="00140CD1">
            <w:pPr>
              <w:pStyle w:val="Tablecolumnheading"/>
            </w:pPr>
            <w:r>
              <w:t>Mean weight</w:t>
            </w:r>
          </w:p>
        </w:tc>
      </w:tr>
      <w:tr w:rsidR="00140CD1" w14:paraId="28F64B84" w14:textId="77777777">
        <w:trPr>
          <w:trHeight w:val="322"/>
        </w:trPr>
        <w:tc>
          <w:tcPr>
            <w:tcW w:w="4248" w:type="dxa"/>
            <w:vMerge w:val="restart"/>
          </w:tcPr>
          <w:p w14:paraId="61C5B5EF" w14:textId="77777777" w:rsidR="00D21293" w:rsidRDefault="00140CD1" w:rsidP="00140CD1">
            <w:pPr>
              <w:pStyle w:val="Tabletext"/>
            </w:pPr>
            <w:r>
              <w:t>Primary</w:t>
            </w:r>
          </w:p>
          <w:p w14:paraId="692ED881" w14:textId="77777777" w:rsidR="00D21293" w:rsidRDefault="00140CD1" w:rsidP="00140CD1">
            <w:pPr>
              <w:pStyle w:val="Tabletext"/>
            </w:pPr>
            <w:r>
              <w:t>n=364</w:t>
            </w:r>
          </w:p>
          <w:p w14:paraId="54FF60C0" w14:textId="0EEB0501" w:rsidR="00140CD1" w:rsidRDefault="00140CD1" w:rsidP="00140CD1">
            <w:pPr>
              <w:pStyle w:val="Tabletext"/>
            </w:pPr>
            <w:r>
              <w:t>Apr 2011 to Nov 2019</w:t>
            </w:r>
          </w:p>
        </w:tc>
        <w:tc>
          <w:tcPr>
            <w:tcW w:w="2470" w:type="dxa"/>
            <w:vAlign w:val="center"/>
          </w:tcPr>
          <w:p w14:paraId="642F87C1" w14:textId="77777777" w:rsidR="00140CD1" w:rsidRDefault="00140CD1" w:rsidP="00140CD1">
            <w:pPr>
              <w:pStyle w:val="Tabletext"/>
            </w:pPr>
            <w:r>
              <w:t>End of life (actual)</w:t>
            </w:r>
          </w:p>
        </w:tc>
        <w:tc>
          <w:tcPr>
            <w:tcW w:w="2169" w:type="dxa"/>
            <w:vAlign w:val="center"/>
          </w:tcPr>
          <w:p w14:paraId="0E77E76F" w14:textId="77777777" w:rsidR="00140CD1" w:rsidRDefault="00140CD1" w:rsidP="00140CD1">
            <w:pPr>
              <w:pStyle w:val="Tabletext"/>
            </w:pPr>
            <w:r>
              <w:t>1.125</w:t>
            </w:r>
          </w:p>
        </w:tc>
      </w:tr>
      <w:tr w:rsidR="00140CD1" w14:paraId="1169FED5" w14:textId="77777777">
        <w:trPr>
          <w:trHeight w:val="71"/>
        </w:trPr>
        <w:tc>
          <w:tcPr>
            <w:tcW w:w="4248" w:type="dxa"/>
            <w:vMerge/>
          </w:tcPr>
          <w:p w14:paraId="0BBBD7A8" w14:textId="77777777" w:rsidR="00140CD1" w:rsidRDefault="00140CD1" w:rsidP="00140CD1">
            <w:pPr>
              <w:pStyle w:val="Tabletext"/>
            </w:pPr>
          </w:p>
        </w:tc>
        <w:tc>
          <w:tcPr>
            <w:tcW w:w="2470" w:type="dxa"/>
            <w:vAlign w:val="center"/>
          </w:tcPr>
          <w:p w14:paraId="404CED32" w14:textId="77777777" w:rsidR="00140CD1" w:rsidRDefault="00140CD1" w:rsidP="00140CD1">
            <w:pPr>
              <w:pStyle w:val="Tabletext"/>
            </w:pPr>
            <w:r>
              <w:t>Severity (estimated)</w:t>
            </w:r>
          </w:p>
        </w:tc>
        <w:tc>
          <w:tcPr>
            <w:tcW w:w="2169" w:type="dxa"/>
            <w:vAlign w:val="center"/>
          </w:tcPr>
          <w:p w14:paraId="62347499" w14:textId="77777777" w:rsidR="00140CD1" w:rsidRDefault="00140CD1" w:rsidP="00140CD1">
            <w:pPr>
              <w:pStyle w:val="Tabletext"/>
            </w:pPr>
            <w:r>
              <w:t>1.119</w:t>
            </w:r>
          </w:p>
        </w:tc>
      </w:tr>
      <w:tr w:rsidR="00140CD1" w14:paraId="6DBFDA70" w14:textId="77777777">
        <w:trPr>
          <w:trHeight w:val="322"/>
        </w:trPr>
        <w:tc>
          <w:tcPr>
            <w:tcW w:w="4248" w:type="dxa"/>
            <w:vMerge w:val="restart"/>
          </w:tcPr>
          <w:p w14:paraId="40A8753C" w14:textId="77777777" w:rsidR="00D21293" w:rsidRDefault="00140CD1" w:rsidP="00140CD1">
            <w:pPr>
              <w:pStyle w:val="Tabletext"/>
            </w:pPr>
            <w:r>
              <w:t>Primary+</w:t>
            </w:r>
          </w:p>
          <w:p w14:paraId="365E4888" w14:textId="77777777" w:rsidR="00D21293" w:rsidRDefault="00140CD1" w:rsidP="00140CD1">
            <w:pPr>
              <w:pStyle w:val="Tabletext"/>
            </w:pPr>
            <w:r>
              <w:t>n=464</w:t>
            </w:r>
          </w:p>
          <w:p w14:paraId="2A61DE6A" w14:textId="1146B3D8" w:rsidR="00140CD1" w:rsidRDefault="00140CD1" w:rsidP="00140CD1">
            <w:pPr>
              <w:pStyle w:val="Tabletext"/>
            </w:pPr>
            <w:r>
              <w:t>Jan 2009 to Mar 2021</w:t>
            </w:r>
          </w:p>
        </w:tc>
        <w:tc>
          <w:tcPr>
            <w:tcW w:w="2470" w:type="dxa"/>
            <w:vAlign w:val="center"/>
          </w:tcPr>
          <w:p w14:paraId="079E425B" w14:textId="77777777" w:rsidR="00140CD1" w:rsidRDefault="00140CD1" w:rsidP="00140CD1">
            <w:pPr>
              <w:pStyle w:val="Tabletext"/>
            </w:pPr>
            <w:r>
              <w:t>End of life (actual)</w:t>
            </w:r>
          </w:p>
        </w:tc>
        <w:tc>
          <w:tcPr>
            <w:tcW w:w="2169" w:type="dxa"/>
            <w:vAlign w:val="center"/>
          </w:tcPr>
          <w:p w14:paraId="5D645939" w14:textId="77777777" w:rsidR="00140CD1" w:rsidRDefault="00140CD1" w:rsidP="00140CD1">
            <w:pPr>
              <w:pStyle w:val="Tabletext"/>
            </w:pPr>
            <w:r>
              <w:t>1.122</w:t>
            </w:r>
          </w:p>
        </w:tc>
      </w:tr>
      <w:tr w:rsidR="00140CD1" w14:paraId="411CBABF" w14:textId="77777777">
        <w:trPr>
          <w:trHeight w:val="71"/>
        </w:trPr>
        <w:tc>
          <w:tcPr>
            <w:tcW w:w="4248" w:type="dxa"/>
            <w:vMerge/>
          </w:tcPr>
          <w:p w14:paraId="742BE8C1" w14:textId="77777777" w:rsidR="00140CD1" w:rsidRDefault="00140CD1" w:rsidP="00140CD1">
            <w:pPr>
              <w:pStyle w:val="Tabletext"/>
            </w:pPr>
          </w:p>
        </w:tc>
        <w:tc>
          <w:tcPr>
            <w:tcW w:w="2470" w:type="dxa"/>
            <w:vAlign w:val="center"/>
          </w:tcPr>
          <w:p w14:paraId="538D2DDF" w14:textId="77777777" w:rsidR="00140CD1" w:rsidRDefault="00140CD1" w:rsidP="00140CD1">
            <w:pPr>
              <w:pStyle w:val="Tabletext"/>
            </w:pPr>
            <w:r>
              <w:t>Severity (estimated)</w:t>
            </w:r>
          </w:p>
        </w:tc>
        <w:tc>
          <w:tcPr>
            <w:tcW w:w="2169" w:type="dxa"/>
            <w:vAlign w:val="center"/>
          </w:tcPr>
          <w:p w14:paraId="6A25A44B" w14:textId="77777777" w:rsidR="00140CD1" w:rsidRDefault="00140CD1" w:rsidP="00140CD1">
            <w:pPr>
              <w:pStyle w:val="Tabletext"/>
            </w:pPr>
            <w:r>
              <w:t>1.116</w:t>
            </w:r>
          </w:p>
        </w:tc>
      </w:tr>
      <w:tr w:rsidR="00140CD1" w14:paraId="7FD2781F" w14:textId="77777777">
        <w:trPr>
          <w:trHeight w:val="427"/>
        </w:trPr>
        <w:tc>
          <w:tcPr>
            <w:tcW w:w="4248" w:type="dxa"/>
          </w:tcPr>
          <w:p w14:paraId="231D8224" w14:textId="77777777" w:rsidR="00D21293" w:rsidRDefault="00140CD1" w:rsidP="00140CD1">
            <w:pPr>
              <w:pStyle w:val="Tabletext"/>
            </w:pPr>
            <w:r>
              <w:t>Implementation</w:t>
            </w:r>
          </w:p>
          <w:p w14:paraId="5ADD3B6D" w14:textId="77777777" w:rsidR="00D21293" w:rsidRDefault="00140CD1" w:rsidP="00140CD1">
            <w:pPr>
              <w:pStyle w:val="Tabletext"/>
            </w:pPr>
            <w:r>
              <w:t>n=68</w:t>
            </w:r>
          </w:p>
          <w:p w14:paraId="5596DDC7" w14:textId="32ED7639" w:rsidR="00140CD1" w:rsidRDefault="00140CD1" w:rsidP="00140CD1">
            <w:pPr>
              <w:pStyle w:val="Tabletext"/>
            </w:pPr>
            <w:r>
              <w:t>Jan 2022 to Mar 2024</w:t>
            </w:r>
          </w:p>
        </w:tc>
        <w:tc>
          <w:tcPr>
            <w:tcW w:w="2470" w:type="dxa"/>
            <w:vAlign w:val="center"/>
          </w:tcPr>
          <w:p w14:paraId="17C70325" w14:textId="77777777" w:rsidR="00140CD1" w:rsidRDefault="00140CD1" w:rsidP="00140CD1">
            <w:pPr>
              <w:pStyle w:val="Tabletext"/>
            </w:pPr>
            <w:r>
              <w:t>Severity (actual)</w:t>
            </w:r>
          </w:p>
        </w:tc>
        <w:tc>
          <w:tcPr>
            <w:tcW w:w="2169" w:type="dxa"/>
            <w:vAlign w:val="center"/>
          </w:tcPr>
          <w:p w14:paraId="48D072D7" w14:textId="77777777" w:rsidR="00140CD1" w:rsidRDefault="00140CD1" w:rsidP="00140CD1">
            <w:pPr>
              <w:pStyle w:val="Tabletext"/>
            </w:pPr>
            <w:r>
              <w:t>1.103</w:t>
            </w:r>
          </w:p>
        </w:tc>
      </w:tr>
      <w:tr w:rsidR="00140CD1" w14:paraId="6E855F56" w14:textId="77777777">
        <w:trPr>
          <w:trHeight w:val="322"/>
        </w:trPr>
        <w:tc>
          <w:tcPr>
            <w:tcW w:w="4248" w:type="dxa"/>
          </w:tcPr>
          <w:p w14:paraId="5DE93EC9" w14:textId="77777777" w:rsidR="00D21293" w:rsidRDefault="00140CD1" w:rsidP="00140CD1">
            <w:pPr>
              <w:pStyle w:val="Tabletext"/>
            </w:pPr>
            <w:r>
              <w:t>Implementation+</w:t>
            </w:r>
          </w:p>
          <w:p w14:paraId="6B2CD413" w14:textId="25FD1656" w:rsidR="00D21293" w:rsidRDefault="00140CD1" w:rsidP="00140CD1">
            <w:pPr>
              <w:pStyle w:val="Tabletext"/>
            </w:pPr>
            <w:r>
              <w:t>n=9</w:t>
            </w:r>
            <w:r w:rsidR="00F77FDC">
              <w:t>1</w:t>
            </w:r>
          </w:p>
          <w:p w14:paraId="48572B2E" w14:textId="4E829662" w:rsidR="00140CD1" w:rsidRDefault="00140CD1" w:rsidP="00140CD1">
            <w:pPr>
              <w:pStyle w:val="Tabletext"/>
            </w:pPr>
            <w:r>
              <w:t>Jan 2022 to Jul 2024</w:t>
            </w:r>
          </w:p>
        </w:tc>
        <w:tc>
          <w:tcPr>
            <w:tcW w:w="2470" w:type="dxa"/>
            <w:vAlign w:val="center"/>
          </w:tcPr>
          <w:p w14:paraId="53206F88" w14:textId="77777777" w:rsidR="00140CD1" w:rsidRDefault="00140CD1" w:rsidP="00140CD1">
            <w:pPr>
              <w:pStyle w:val="Tabletext"/>
            </w:pPr>
            <w:r>
              <w:t>Severity (actual)</w:t>
            </w:r>
          </w:p>
        </w:tc>
        <w:tc>
          <w:tcPr>
            <w:tcW w:w="2169" w:type="dxa"/>
            <w:vAlign w:val="center"/>
          </w:tcPr>
          <w:p w14:paraId="1E639CDC" w14:textId="020B9A3C" w:rsidR="00140CD1" w:rsidRDefault="00140CD1" w:rsidP="00140CD1">
            <w:pPr>
              <w:pStyle w:val="Tabletext"/>
            </w:pPr>
            <w:r>
              <w:t>1.12</w:t>
            </w:r>
            <w:r w:rsidR="001F1180">
              <w:t>5</w:t>
            </w:r>
          </w:p>
        </w:tc>
      </w:tr>
    </w:tbl>
    <w:p w14:paraId="1B1F1613" w14:textId="77777777" w:rsidR="00800B10" w:rsidRDefault="00800B10" w:rsidP="00800B10">
      <w:pPr>
        <w:pStyle w:val="NICEnormalnumbered"/>
        <w:numPr>
          <w:ilvl w:val="0"/>
          <w:numId w:val="0"/>
        </w:numPr>
        <w:ind w:left="360" w:hanging="360"/>
      </w:pPr>
    </w:p>
    <w:p w14:paraId="656BEDCD" w14:textId="4210BDE0" w:rsidR="009F2418" w:rsidRPr="00862D4D" w:rsidRDefault="009F2418" w:rsidP="009F2418">
      <w:pPr>
        <w:pStyle w:val="Caption"/>
      </w:pPr>
      <w:r>
        <w:t xml:space="preserve">Figure </w:t>
      </w:r>
      <w:r>
        <w:fldChar w:fldCharType="begin"/>
      </w:r>
      <w:r>
        <w:instrText xml:space="preserve"> SEQ Figure \* ARABIC </w:instrText>
      </w:r>
      <w:r>
        <w:fldChar w:fldCharType="separate"/>
      </w:r>
      <w:r w:rsidR="00066186">
        <w:rPr>
          <w:noProof/>
        </w:rPr>
        <w:t>2</w:t>
      </w:r>
      <w:r>
        <w:fldChar w:fldCharType="end"/>
      </w:r>
      <w:r>
        <w:t>: Mean weight over time, tracked on a quarterly basis</w:t>
      </w:r>
    </w:p>
    <w:p w14:paraId="1682A1EA" w14:textId="4DF40B62" w:rsidR="00EA15A9" w:rsidRPr="00235F2B" w:rsidRDefault="00235F2B" w:rsidP="00235F2B">
      <w:pPr>
        <w:pStyle w:val="NICEnormal"/>
        <w:rPr>
          <w:b/>
        </w:rPr>
      </w:pPr>
      <w:r w:rsidRPr="00AF072B">
        <w:rPr>
          <w:noProof/>
          <w:color w:val="ED7D31"/>
        </w:rPr>
        <w:drawing>
          <wp:inline distT="0" distB="0" distL="0" distR="0" wp14:anchorId="266595A1" wp14:editId="565A6E25">
            <wp:extent cx="5486400" cy="3600000"/>
            <wp:effectExtent l="0" t="0" r="0" b="635"/>
            <wp:docPr id="298923758" name="Chart 1" descr="This figure shows how the mean weight has changed over time when tracked on a quarterly basis, compared to target lines representing opportunity cost neutral target levels.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3613DC" w14:textId="77777777" w:rsidR="004D02F2" w:rsidRPr="004D02F2" w:rsidRDefault="004D02F2" w:rsidP="004D02F2">
      <w:pPr>
        <w:pStyle w:val="NICEnormalnumbered"/>
      </w:pPr>
      <w:r>
        <w:t xml:space="preserve">Figure 1 </w:t>
      </w:r>
      <w:r>
        <w:rPr>
          <w:rFonts w:eastAsia="Arial"/>
        </w:rPr>
        <w:t xml:space="preserve">shows how the </w:t>
      </w:r>
      <w:r w:rsidR="00160912">
        <w:rPr>
          <w:rFonts w:eastAsia="Arial"/>
        </w:rPr>
        <w:t xml:space="preserve">mean </w:t>
      </w:r>
      <w:r>
        <w:rPr>
          <w:rFonts w:eastAsia="Arial"/>
        </w:rPr>
        <w:t>weighting applied to technology appraisal decisions has changed over time since the introduction of the severity modifier.</w:t>
      </w:r>
    </w:p>
    <w:p w14:paraId="366D3D72" w14:textId="362B3251" w:rsidR="004D02F2" w:rsidRDefault="004D02F2" w:rsidP="004D02F2">
      <w:pPr>
        <w:pStyle w:val="NICEnormalnumbered"/>
      </w:pPr>
      <w:r>
        <w:rPr>
          <w:rFonts w:eastAsia="Arial"/>
        </w:rPr>
        <w:t xml:space="preserve">The mean weighting is calculated for each individual quarter (blue line), as well as cumulatively, where the mean </w:t>
      </w:r>
      <w:r w:rsidR="00160912">
        <w:rPr>
          <w:rFonts w:eastAsia="Arial"/>
        </w:rPr>
        <w:t xml:space="preserve">weight </w:t>
      </w:r>
      <w:r>
        <w:rPr>
          <w:rFonts w:eastAsia="Arial"/>
        </w:rPr>
        <w:t>for each quarter also includes any decisions published in earlier quarters (orange line). These are compared to the mean weights calculated for the historical dataset, applying either the severity modifier (solid black line) or the end of life modifier (dashed black line).</w:t>
      </w:r>
    </w:p>
    <w:p w14:paraId="30AEB4A2" w14:textId="57A2C82E" w:rsidR="00BE3F8E" w:rsidRDefault="00160912" w:rsidP="00C53198">
      <w:pPr>
        <w:pStyle w:val="NICEnormalnumbered"/>
      </w:pPr>
      <w:r>
        <w:t xml:space="preserve">The mean weight </w:t>
      </w:r>
      <w:r w:rsidR="0000171A">
        <w:rPr>
          <w:rFonts w:eastAsia="Arial"/>
        </w:rPr>
        <w:t>for the implementation+ subsample</w:t>
      </w:r>
      <w:r w:rsidR="00264ED8">
        <w:t xml:space="preserve"> </w:t>
      </w:r>
      <w:r w:rsidR="005B66C9">
        <w:t>shows high variability when tracked on a quarterly basis</w:t>
      </w:r>
      <w:r w:rsidR="00B51F4B">
        <w:t>, fluctuating</w:t>
      </w:r>
      <w:r w:rsidR="007901BA">
        <w:t xml:space="preserve"> above and below the </w:t>
      </w:r>
      <w:r w:rsidR="00B5388B">
        <w:t xml:space="preserve">mean weights for the </w:t>
      </w:r>
      <w:r w:rsidR="00AA15CF">
        <w:t>p</w:t>
      </w:r>
      <w:r w:rsidR="00B5388B">
        <w:t>rimary+ subsample</w:t>
      </w:r>
      <w:r w:rsidR="00AA15CF">
        <w:t xml:space="preserve">. </w:t>
      </w:r>
    </w:p>
    <w:p w14:paraId="4705E4CF" w14:textId="2795CAF7" w:rsidR="009F5643" w:rsidRDefault="009F5643" w:rsidP="00C53198">
      <w:pPr>
        <w:pStyle w:val="NICEnormalnumbered"/>
      </w:pPr>
      <w:r w:rsidRPr="009F5643">
        <w:t xml:space="preserve">In </w:t>
      </w:r>
      <w:r w:rsidR="00222279">
        <w:t>3</w:t>
      </w:r>
      <w:r w:rsidRPr="009F5643">
        <w:t xml:space="preserve"> quarters, the mean weight based on cumulative decisions in the implementation+ subsample under the severity modifier was greater than the historical mean weight under the end of life modifier (1.122), in </w:t>
      </w:r>
      <w:r w:rsidR="000315FE">
        <w:t>3</w:t>
      </w:r>
      <w:r w:rsidRPr="009F5643">
        <w:t xml:space="preserve"> quarters it was lower</w:t>
      </w:r>
      <w:r w:rsidR="008A3FCB">
        <w:t>, and in 1 quarter it was the same (to 3 decimal places).</w:t>
      </w:r>
    </w:p>
    <w:p w14:paraId="03840D51" w14:textId="77777777" w:rsidR="00143CC4" w:rsidRDefault="00143CC4" w:rsidP="00143CC4">
      <w:pPr>
        <w:pStyle w:val="Heading2boardreport"/>
      </w:pPr>
      <w:r>
        <w:t>Alternative methods for assessing opportunity cost neutrality</w:t>
      </w:r>
    </w:p>
    <w:p w14:paraId="517DBED8" w14:textId="77777777" w:rsidR="00284EE0" w:rsidRDefault="00284EE0" w:rsidP="00284EE0">
      <w:pPr>
        <w:pStyle w:val="NICEnormalnumbered"/>
      </w:pPr>
      <w:r>
        <w:t xml:space="preserve">The analyses that underpinned the design of the severity modifier used individual decisions as the unit of analysis. Opportunity cost neutral options were identified by considering the average QALY weight per decision. The analyses did not account for the relative size (for example, population size or budget impact) of each decision. </w:t>
      </w:r>
    </w:p>
    <w:p w14:paraId="600F481F" w14:textId="77777777" w:rsidR="00284EE0" w:rsidRDefault="00284EE0" w:rsidP="00284EE0">
      <w:pPr>
        <w:pStyle w:val="NICEnormalnumbered"/>
      </w:pPr>
      <w:r>
        <w:t xml:space="preserve">There could be multiple decisions within a single appraisal, for example in multiple technology appraisals where each decision relates to a different treatment or combination therapy option, or when there are different patient subgroups or comparator options that were considered separately. Using decisions rather than topics as the unit of analysis made full use of the granularity of the available data and better reflected how committees make decisions in practice. To allow meaningful comparisons with the historical dataset, the analyses in this review also used individual decisions as the unit of analysis. </w:t>
      </w:r>
    </w:p>
    <w:p w14:paraId="03E0B0C0" w14:textId="5C14428C" w:rsidR="0039422C" w:rsidRDefault="00284EE0" w:rsidP="00284EE0">
      <w:pPr>
        <w:pStyle w:val="NICEnormalnumbered"/>
      </w:pPr>
      <w:r>
        <w:t xml:space="preserve">We are aware that the Association of the British Pharmaceutical Industry (ABPI) has been monitoring the impact of the new manual via its </w:t>
      </w:r>
      <w:hyperlink r:id="rId16" w:history="1">
        <w:r w:rsidRPr="00C940B9">
          <w:rPr>
            <w:rStyle w:val="Hyperlink"/>
          </w:rPr>
          <w:t>Continuous NICE Implementation Evaluation (CONNIE)</w:t>
        </w:r>
      </w:hyperlink>
      <w:r>
        <w:t xml:space="preserve"> initiative. ABPI has reported statistics on the use of the severity modifier, derived using data submitted by companies for completed appraisals and using each topic as the unit of analysis. </w:t>
      </w:r>
    </w:p>
    <w:p w14:paraId="454EBD6E" w14:textId="5CA01208" w:rsidR="00284EE0" w:rsidRDefault="00284EE0" w:rsidP="00284EE0">
      <w:pPr>
        <w:pStyle w:val="NICEnormalnumbered"/>
      </w:pPr>
      <w:r>
        <w:t xml:space="preserve">We acknowledge the CONNIE findings and note two key differences why they differ from the results reported above. </w:t>
      </w:r>
    </w:p>
    <w:p w14:paraId="44817CA2" w14:textId="77777777" w:rsidR="002304BE" w:rsidRDefault="00284EE0" w:rsidP="00284EE0">
      <w:pPr>
        <w:pStyle w:val="NICEnormalnumbered"/>
      </w:pPr>
      <w:r>
        <w:t>First, the CONNIE database relies on company data submissions and does not include data on all completed technology appraisals. The latest version of CONNIE has data on 70 completed technology appraisals</w:t>
      </w:r>
      <w:r w:rsidR="002D5063">
        <w:t xml:space="preserve"> (including</w:t>
      </w:r>
      <w:r w:rsidR="009833C9">
        <w:t xml:space="preserve"> 9</w:t>
      </w:r>
      <w:r w:rsidR="002D5063">
        <w:t xml:space="preserve"> </w:t>
      </w:r>
      <w:r w:rsidR="00C137DB">
        <w:t>cost comparisons)</w:t>
      </w:r>
      <w:r w:rsidR="00EC28D1">
        <w:t xml:space="preserve"> from </w:t>
      </w:r>
      <w:r w:rsidR="00E81693">
        <w:t>submissions made</w:t>
      </w:r>
      <w:r w:rsidR="00EC28D1">
        <w:t xml:space="preserve"> </w:t>
      </w:r>
      <w:r w:rsidR="007F5EBF">
        <w:t xml:space="preserve">to ABPI by </w:t>
      </w:r>
      <w:r w:rsidR="00E81693">
        <w:t>4 September 2024.</w:t>
      </w:r>
      <w:r>
        <w:t xml:space="preserve"> </w:t>
      </w:r>
      <w:r w:rsidR="00E81693">
        <w:t>A</w:t>
      </w:r>
      <w:r>
        <w:t>ccording to the ABPI</w:t>
      </w:r>
      <w:r w:rsidR="00E81693">
        <w:t xml:space="preserve"> this</w:t>
      </w:r>
      <w:r>
        <w:t xml:space="preserve"> represents 76% </w:t>
      </w:r>
      <w:r w:rsidRPr="00966972">
        <w:t xml:space="preserve">of the completed eligible appraisals </w:t>
      </w:r>
      <w:r>
        <w:t>over the</w:t>
      </w:r>
      <w:r w:rsidRPr="00966972">
        <w:t xml:space="preserve"> time period</w:t>
      </w:r>
      <w:r>
        <w:t xml:space="preserve"> covered. </w:t>
      </w:r>
    </w:p>
    <w:p w14:paraId="78C5FB93" w14:textId="1F3B643F" w:rsidR="00284EE0" w:rsidRDefault="00284EE0" w:rsidP="00284EE0">
      <w:pPr>
        <w:pStyle w:val="NICEnormalnumbered"/>
      </w:pPr>
      <w:r>
        <w:t>By comparison, the NICE review included data for all technology appraisals undertaken using the new methods that were published up until the end of July 2024, excluding cost comparisons and decisions where severity weighting could not be calculated due to missing data. As noted above, the implementation+ subsample contains data on 9</w:t>
      </w:r>
      <w:r w:rsidR="002D4D7C">
        <w:t>1</w:t>
      </w:r>
      <w:r>
        <w:t xml:space="preserve"> decisions from 6</w:t>
      </w:r>
      <w:r w:rsidR="002D4D7C">
        <w:t>2</w:t>
      </w:r>
      <w:r>
        <w:t xml:space="preserve"> topics. </w:t>
      </w:r>
    </w:p>
    <w:p w14:paraId="40982B63" w14:textId="6E7CBFBF" w:rsidR="00A97DE4" w:rsidRDefault="00D0193D" w:rsidP="002A60FE">
      <w:pPr>
        <w:pStyle w:val="Paragraph"/>
        <w:spacing w:line="360" w:lineRule="auto"/>
      </w:pPr>
      <w:r>
        <w:t>C</w:t>
      </w:r>
      <w:r w:rsidR="00A97DE4">
        <w:t>ost</w:t>
      </w:r>
      <w:r w:rsidR="00093956">
        <w:t xml:space="preserve"> </w:t>
      </w:r>
      <w:r w:rsidR="00A97DE4">
        <w:t xml:space="preserve">comparison analysis </w:t>
      </w:r>
      <w:r w:rsidR="006743D7">
        <w:t>compares</w:t>
      </w:r>
      <w:r w:rsidR="00A97DE4">
        <w:t xml:space="preserve"> the costs and resource use associated with </w:t>
      </w:r>
      <w:r w:rsidR="006743D7">
        <w:t>a</w:t>
      </w:r>
      <w:r w:rsidR="00A97DE4">
        <w:t xml:space="preserve"> technology with that of </w:t>
      </w:r>
      <w:r w:rsidR="006743D7">
        <w:t>its</w:t>
      </w:r>
      <w:r w:rsidR="00A97DE4">
        <w:t xml:space="preserve"> comparator(s). The effects of the </w:t>
      </w:r>
      <w:r w:rsidR="00EB5606">
        <w:t>technology</w:t>
      </w:r>
      <w:r w:rsidR="00A97DE4">
        <w:t xml:space="preserve"> and comparator(s) on health outcomes are captured in the clinical effectiveness evidence and are not included in the cost</w:t>
      </w:r>
      <w:r w:rsidR="001C334F">
        <w:t xml:space="preserve"> </w:t>
      </w:r>
      <w:r w:rsidR="00A97DE4">
        <w:t>comparison analysis.</w:t>
      </w:r>
    </w:p>
    <w:p w14:paraId="33507350" w14:textId="6B583879" w:rsidR="00A97DE4" w:rsidRDefault="00A97DE4" w:rsidP="002A60FE">
      <w:pPr>
        <w:pStyle w:val="Paragraph"/>
        <w:spacing w:line="360" w:lineRule="auto"/>
      </w:pPr>
      <w:r>
        <w:t>It is not possible to apply a severity weight to cost comparison evaluations as health outcomes are not captured in the model. Application of societal value would instead be indirect. If a comparator had received additional weighting or a higher threshold when evaluated by NICE, e.g.</w:t>
      </w:r>
      <w:r w:rsidR="00CE7C93">
        <w:t xml:space="preserve"> via</w:t>
      </w:r>
      <w:r>
        <w:t xml:space="preserve"> </w:t>
      </w:r>
      <w:r w:rsidR="002A60FE">
        <w:t>e</w:t>
      </w:r>
      <w:r>
        <w:t xml:space="preserve">nd of </w:t>
      </w:r>
      <w:r w:rsidR="002A60FE">
        <w:t>l</w:t>
      </w:r>
      <w:r>
        <w:t xml:space="preserve">ife or </w:t>
      </w:r>
      <w:r w:rsidR="002A60FE">
        <w:t>s</w:t>
      </w:r>
      <w:r>
        <w:t xml:space="preserve">everity weighting, </w:t>
      </w:r>
      <w:r w:rsidR="00940561">
        <w:t>or the highly specialised technolog</w:t>
      </w:r>
      <w:r w:rsidR="005E0E07">
        <w:t>ies process</w:t>
      </w:r>
      <w:r>
        <w:t xml:space="preserve">, the health benefits for the new </w:t>
      </w:r>
      <w:r w:rsidR="00A06B94">
        <w:t xml:space="preserve">technology </w:t>
      </w:r>
      <w:r>
        <w:t>would be valued equally to the past evaluation. This value is not considered or captured as part of the evaluation process. </w:t>
      </w:r>
    </w:p>
    <w:p w14:paraId="7EF6F766" w14:textId="5982CEA7" w:rsidR="00A97DE4" w:rsidRDefault="00A97DE4" w:rsidP="002A60FE">
      <w:pPr>
        <w:pStyle w:val="Paragraph"/>
        <w:spacing w:line="360" w:lineRule="auto"/>
      </w:pPr>
      <w:r>
        <w:t>The same considerations would be applied to evaluations captured in the historical dataset</w:t>
      </w:r>
      <w:r w:rsidR="0001761F">
        <w:t xml:space="preserve">, which </w:t>
      </w:r>
      <w:r>
        <w:t xml:space="preserve">included only decisions where the </w:t>
      </w:r>
      <w:r w:rsidR="0001761F">
        <w:t xml:space="preserve">incremental cost effectiveness ratio </w:t>
      </w:r>
      <w:r>
        <w:t xml:space="preserve">and QALY shortfall could be calculated. </w:t>
      </w:r>
      <w:r w:rsidR="007F43C0">
        <w:t>I</w:t>
      </w:r>
      <w:r>
        <w:t xml:space="preserve">t is </w:t>
      </w:r>
      <w:r w:rsidR="007F43C0">
        <w:t>therefore</w:t>
      </w:r>
      <w:r>
        <w:t xml:space="preserve"> </w:t>
      </w:r>
      <w:r w:rsidR="00536884">
        <w:t>appropriate and</w:t>
      </w:r>
      <w:r>
        <w:t xml:space="preserve"> aligned to the methodological development of the severity modifier to exclude decisions </w:t>
      </w:r>
      <w:r w:rsidR="00D15633">
        <w:t>based on cost comparisons</w:t>
      </w:r>
      <w:r>
        <w:t xml:space="preserve"> from the implementation+ </w:t>
      </w:r>
      <w:r w:rsidR="00496163">
        <w:t>subsample analysis</w:t>
      </w:r>
      <w:r>
        <w:t>.</w:t>
      </w:r>
    </w:p>
    <w:p w14:paraId="7243C4C1" w14:textId="77777777" w:rsidR="00284EE0" w:rsidRDefault="00284EE0" w:rsidP="00284EE0">
      <w:pPr>
        <w:pStyle w:val="NICEnormalnumbered"/>
      </w:pPr>
      <w:r>
        <w:t>Second, the CONNIE analyses used topics as the unit of analysis, whereas the NICE review used decisions. ABPI have advised that i</w:t>
      </w:r>
      <w:r w:rsidRPr="005C6D2B">
        <w:t xml:space="preserve">n calculating the average QALY weight, </w:t>
      </w:r>
      <w:r>
        <w:t>they</w:t>
      </w:r>
      <w:r w:rsidRPr="005C6D2B">
        <w:t xml:space="preserve"> used an averaged weighting for topics where a different weight was granted for different subgroups (not accounting for patient population sizes). For </w:t>
      </w:r>
      <w:r>
        <w:t>multiple technology appraisals</w:t>
      </w:r>
      <w:r w:rsidRPr="005C6D2B">
        <w:t>, ABPI included each medicine as a separate input.</w:t>
      </w:r>
    </w:p>
    <w:p w14:paraId="2CE00C3C" w14:textId="6204153B" w:rsidR="00284EE0" w:rsidRDefault="00284EE0" w:rsidP="00284EE0">
      <w:pPr>
        <w:pStyle w:val="NICEnormalnumbered"/>
      </w:pPr>
      <w:r>
        <w:t>We conducted further exploratory analysis to investigate how using topics as the unit of analysis would affect the average severity weight across the primary+</w:t>
      </w:r>
      <w:r w:rsidR="00C82B36">
        <w:t>,</w:t>
      </w:r>
      <w:r>
        <w:t xml:space="preserve"> implementation and implementation+ subsamples:</w:t>
      </w:r>
    </w:p>
    <w:p w14:paraId="2A4237D5" w14:textId="77777777" w:rsidR="00284EE0" w:rsidRDefault="00284EE0" w:rsidP="00284EE0">
      <w:pPr>
        <w:pStyle w:val="Bullets"/>
      </w:pPr>
      <w:r>
        <w:t xml:space="preserve">The primary+ subsample included 464 decisions across 269 topics. The average weight per topic under the end of life modifier was 1.157, compared to a per decision weight of 1.122. 1 topic was excluded from the analysis when considering the end of life modifier. </w:t>
      </w:r>
    </w:p>
    <w:p w14:paraId="4964BEA5" w14:textId="77777777" w:rsidR="00284EE0" w:rsidRDefault="00284EE0" w:rsidP="00284EE0">
      <w:pPr>
        <w:pStyle w:val="Bullets"/>
      </w:pPr>
      <w:r>
        <w:t>When applying the severity modifier criteria to the primary+ subsample, the mean severity weight per topic was 1.139 compared to a per decision weight of 1.116.</w:t>
      </w:r>
    </w:p>
    <w:p w14:paraId="38F298BB" w14:textId="77777777" w:rsidR="00284EE0" w:rsidRDefault="00284EE0" w:rsidP="00284EE0">
      <w:pPr>
        <w:pStyle w:val="Bullets"/>
      </w:pPr>
      <w:r>
        <w:t>The implementation subsample included 68 decisions across 47 topics. The mean severity weight per topic was 1.078 compared to a per decision weight of 1.103,</w:t>
      </w:r>
    </w:p>
    <w:p w14:paraId="4DDA2123" w14:textId="49C7CFD3" w:rsidR="00284EE0" w:rsidRDefault="00284EE0" w:rsidP="00284EE0">
      <w:pPr>
        <w:pStyle w:val="Bulletslast"/>
      </w:pPr>
      <w:r>
        <w:t>The implementation+ subsample included 9</w:t>
      </w:r>
      <w:r w:rsidR="002C1074">
        <w:t>1</w:t>
      </w:r>
      <w:r>
        <w:t xml:space="preserve"> decisions across 6</w:t>
      </w:r>
      <w:r w:rsidR="002C1074">
        <w:t>2</w:t>
      </w:r>
      <w:r>
        <w:t xml:space="preserve"> topics. The mean severity weight per topic was 1.10</w:t>
      </w:r>
      <w:r w:rsidR="002C1074">
        <w:t>2</w:t>
      </w:r>
      <w:r>
        <w:t xml:space="preserve"> compared to a per decision weight of 1.12</w:t>
      </w:r>
      <w:r w:rsidR="002C1074">
        <w:t>5</w:t>
      </w:r>
      <w:r>
        <w:t>.</w:t>
      </w:r>
    </w:p>
    <w:p w14:paraId="44362870" w14:textId="77777777" w:rsidR="00284EE0" w:rsidRDefault="00284EE0" w:rsidP="00284EE0">
      <w:pPr>
        <w:pStyle w:val="NICEnormalnumbered"/>
      </w:pPr>
      <w:r>
        <w:t xml:space="preserve">As noted above, there are multiple reasons why decisions could be considered separately within a technology appraisal. Since the historical dataset that informed the design of the modifier used decisions rather than appraisal topics, </w:t>
      </w:r>
      <w:r w:rsidRPr="00590DAD">
        <w:t>to allow meaningful comparisons</w:t>
      </w:r>
      <w:r>
        <w:t xml:space="preserve"> with that dataset</w:t>
      </w:r>
      <w:r w:rsidRPr="00590DAD">
        <w:t xml:space="preserve"> </w:t>
      </w:r>
      <w:r>
        <w:t xml:space="preserve">the relevant unit of measurement is decisions. </w:t>
      </w:r>
    </w:p>
    <w:p w14:paraId="72B0F7DF" w14:textId="0FD9E07E" w:rsidR="00143CC4" w:rsidRDefault="00284EE0" w:rsidP="00284EE0">
      <w:pPr>
        <w:pStyle w:val="NICEnormalnumbered"/>
      </w:pPr>
      <w:r>
        <w:t xml:space="preserve">Any change to the severity modifier based on the reported ABPI CONNIE results would be cost inflationary. </w:t>
      </w:r>
      <w:r w:rsidR="00B961F6">
        <w:t xml:space="preserve">As </w:t>
      </w:r>
      <w:r w:rsidR="00070F12">
        <w:t xml:space="preserve">noted previously, </w:t>
      </w:r>
      <w:r>
        <w:t>NICE is not in a position to implement actions that are</w:t>
      </w:r>
      <w:r w:rsidR="00B961F6">
        <w:t xml:space="preserve"> cost</w:t>
      </w:r>
      <w:r>
        <w:t xml:space="preserve"> inflationary without the agreement of the Department of Health and Social Care.</w:t>
      </w:r>
    </w:p>
    <w:p w14:paraId="52DE3405" w14:textId="77777777" w:rsidR="007E3FC9" w:rsidRDefault="007E3FC9" w:rsidP="007E3FC9">
      <w:pPr>
        <w:pStyle w:val="Heading2boardreport"/>
      </w:pPr>
      <w:r>
        <w:t>Limitations</w:t>
      </w:r>
    </w:p>
    <w:p w14:paraId="4C78CB22" w14:textId="77777777" w:rsidR="000B14E2" w:rsidRDefault="000B14E2" w:rsidP="000B14E2">
      <w:pPr>
        <w:pStyle w:val="NICEnormalnumbered"/>
      </w:pPr>
      <w:r>
        <w:t xml:space="preserve">The DSU report highlights several important limitations regarding the completeness and subjectivity of the data used in its quantitative analyses. </w:t>
      </w:r>
    </w:p>
    <w:p w14:paraId="5115A461" w14:textId="77777777" w:rsidR="000B14E2" w:rsidRDefault="000B14E2" w:rsidP="000B14E2">
      <w:pPr>
        <w:pStyle w:val="NICEnormalnumbered"/>
      </w:pPr>
      <w:r>
        <w:t xml:space="preserve">While limitations were identified in the historical data that support the current analyses, these were also known and accepted at the time of the methods review, which is why the design of the modifier, including the weights and cutoffs, was described as pragmatic in documents supporting the introduction of modifier and approved by the NICE Board in 2021. </w:t>
      </w:r>
    </w:p>
    <w:p w14:paraId="464FEC96" w14:textId="74DDEAED" w:rsidR="000B14E2" w:rsidRDefault="000B14E2" w:rsidP="000B14E2">
      <w:pPr>
        <w:pStyle w:val="NICEnormalnumbered"/>
      </w:pPr>
      <w:r>
        <w:t>Of all the limitations discussed in the DSU report, the one we consider most relevant is the size of the implementation subsample (n=68 decisions). For this reason, we extended the analyses to include decisions published up until the end of July 2024. While the sample size remains small in comparison with the primary+ subsample (9</w:t>
      </w:r>
      <w:r w:rsidR="00932CA5">
        <w:t>1</w:t>
      </w:r>
      <w:r>
        <w:t xml:space="preserve"> decisions versus 464 decisions), the analyses undertaken make best use of the data available at the time of writing. </w:t>
      </w:r>
    </w:p>
    <w:p w14:paraId="03341E0C" w14:textId="77777777" w:rsidR="000B14E2" w:rsidRDefault="000B14E2" w:rsidP="000B14E2">
      <w:pPr>
        <w:pStyle w:val="NICEnormalnumbered"/>
      </w:pPr>
      <w:r>
        <w:t>Reporting on the use of the severity modifier has changed over time. In the first year of implementation monitoring, all topics that had gone to at least 1 committee meeting were included in reports. However, the latest analysis includes only published final guidance to ensure accuracy of the findings.</w:t>
      </w:r>
    </w:p>
    <w:p w14:paraId="017166E3" w14:textId="649B48D7" w:rsidR="000B14E2" w:rsidRDefault="000C16DD" w:rsidP="000B14E2">
      <w:pPr>
        <w:pStyle w:val="NICEnormalnumbered"/>
      </w:pPr>
      <w:r>
        <w:t>The</w:t>
      </w:r>
      <w:r w:rsidR="000B14E2">
        <w:t xml:space="preserve"> approach </w:t>
      </w:r>
      <w:r>
        <w:t xml:space="preserve">of including only published </w:t>
      </w:r>
      <w:r w:rsidR="006C1555">
        <w:t>final guidance also</w:t>
      </w:r>
      <w:r w:rsidR="000B14E2">
        <w:t xml:space="preserve"> </w:t>
      </w:r>
      <w:r w:rsidR="001D05E0">
        <w:t>has</w:t>
      </w:r>
      <w:r w:rsidR="000B14E2">
        <w:t xml:space="preserve"> limitations as complex topics or topics that are appealed take longer to reach publication.</w:t>
      </w:r>
    </w:p>
    <w:p w14:paraId="53F261F6" w14:textId="7ECEBDC8" w:rsidR="007D312A" w:rsidRDefault="007D312A" w:rsidP="007D312A">
      <w:pPr>
        <w:pStyle w:val="Heading1boardreport"/>
      </w:pPr>
      <w:r>
        <w:t>Conclusion based on this review</w:t>
      </w:r>
    </w:p>
    <w:p w14:paraId="013803D7" w14:textId="4CA28253" w:rsidR="00BC4CC4" w:rsidRDefault="00BC4CC4" w:rsidP="00BC4CC4">
      <w:pPr>
        <w:pStyle w:val="NICEnormalnumbered"/>
      </w:pPr>
      <w:r w:rsidRPr="00BC4CC4">
        <w:t xml:space="preserve">The severity modifier is operating as intended and has been applied to a wider range of diseases </w:t>
      </w:r>
      <w:r w:rsidR="00BD4CF6">
        <w:t xml:space="preserve">than the </w:t>
      </w:r>
      <w:r w:rsidR="004A7AAD">
        <w:t xml:space="preserve">end of life modifier, </w:t>
      </w:r>
      <w:r w:rsidRPr="00BC4CC4">
        <w:t>as it was designed to do. Based on the data to date, it has remained opportunity cost neutral compared to the end of life modifier</w:t>
      </w:r>
      <w:r w:rsidR="003E376F">
        <w:t>.</w:t>
      </w:r>
    </w:p>
    <w:p w14:paraId="1B9D0209" w14:textId="2BFCE095" w:rsidR="00BA144D" w:rsidRDefault="00BA144D" w:rsidP="00BA144D">
      <w:pPr>
        <w:pStyle w:val="NICEnormalnumbered"/>
      </w:pPr>
      <w:r>
        <w:t xml:space="preserve">The results and discussion points presented in the DSU report do not indicate that NICE’s approach to the design of the modifier lacked validity. Nor do they indicate that use of the modifier is leading to outcomes that differ from what was originally intended when the pragmatic approach was adopted, i.e. that the </w:t>
      </w:r>
      <w:r w:rsidRPr="00CA0BBD">
        <w:t xml:space="preserve">levels for AS and PS </w:t>
      </w:r>
      <w:r>
        <w:t xml:space="preserve">would </w:t>
      </w:r>
      <w:r w:rsidRPr="00CA0BBD">
        <w:t>represent an appropriate level of severity at which to apply a QALY weight, and which capture a suitable range of cancer and non-cancer topics, within the principle of exceptionality</w:t>
      </w:r>
      <w:r>
        <w:t xml:space="preserve">, and without increasing resource use or displacing more health compared to the use of the end of life modifier. </w:t>
      </w:r>
    </w:p>
    <w:p w14:paraId="7163D86D" w14:textId="77777777" w:rsidR="00BA144D" w:rsidRDefault="00BA144D" w:rsidP="00BA144D">
      <w:pPr>
        <w:pStyle w:val="NICEnormalnumbered"/>
      </w:pPr>
      <w:r>
        <w:t>Further analyses undertaken by NICE, including analyses using a more up-to-date dataset, have led to the same conclusion.</w:t>
      </w:r>
    </w:p>
    <w:p w14:paraId="5D2DFA5F" w14:textId="2DA6140F" w:rsidR="00261173" w:rsidRDefault="00261173" w:rsidP="00261173">
      <w:pPr>
        <w:pStyle w:val="Heading1boardreport"/>
      </w:pPr>
      <w:r>
        <w:t>Plans for further work</w:t>
      </w:r>
    </w:p>
    <w:p w14:paraId="4547AF77" w14:textId="43C9E992" w:rsidR="00261173" w:rsidRPr="00261173" w:rsidRDefault="00261173" w:rsidP="00261173">
      <w:pPr>
        <w:pStyle w:val="Heading2boardreport"/>
      </w:pPr>
      <w:r>
        <w:t>Further monitoring of the use of the severity modifier</w:t>
      </w:r>
    </w:p>
    <w:p w14:paraId="44B5A2DC" w14:textId="446EF543" w:rsidR="00D172B2" w:rsidRDefault="00E375BE" w:rsidP="00BB22C6">
      <w:pPr>
        <w:pStyle w:val="NICEnormalnumbered"/>
      </w:pPr>
      <w:r w:rsidRPr="00E375BE">
        <w:t xml:space="preserve">Given the high </w:t>
      </w:r>
      <w:r w:rsidR="005B5FC0">
        <w:t xml:space="preserve">level of </w:t>
      </w:r>
      <w:r w:rsidRPr="00E375BE">
        <w:t>variability</w:t>
      </w:r>
      <w:r>
        <w:t xml:space="preserve"> observed over time</w:t>
      </w:r>
      <w:r w:rsidRPr="00E375BE">
        <w:t xml:space="preserve">, we </w:t>
      </w:r>
      <w:r w:rsidR="00050ECE">
        <w:t>will continue</w:t>
      </w:r>
      <w:r w:rsidRPr="00E375BE">
        <w:t xml:space="preserve"> monitor</w:t>
      </w:r>
      <w:r w:rsidR="00050ECE">
        <w:t>ing</w:t>
      </w:r>
      <w:r w:rsidRPr="00E375BE">
        <w:t xml:space="preserve"> the mean weighting applied to technology appraisal decisions. If the cumulative mean weighting </w:t>
      </w:r>
      <w:r w:rsidR="006B73D4">
        <w:t>were to fall</w:t>
      </w:r>
      <w:r w:rsidRPr="00E375BE">
        <w:t xml:space="preserve"> below 1.10 for </w:t>
      </w:r>
      <w:r w:rsidR="004C190A">
        <w:t>2</w:t>
      </w:r>
      <w:r w:rsidRPr="00E375BE">
        <w:t xml:space="preserve"> consecutive quarters, we would investigate the causes and identify whether corrective action was needed. </w:t>
      </w:r>
      <w:r w:rsidR="00BB22C6" w:rsidRPr="00BB22C6">
        <w:t>Any actions taken would depend on the findings of the investigation.</w:t>
      </w:r>
    </w:p>
    <w:p w14:paraId="3FDD019A" w14:textId="54A6DDEB" w:rsidR="003F5DBB" w:rsidRDefault="00816438" w:rsidP="00261173">
      <w:pPr>
        <w:pStyle w:val="Heading2boardreport"/>
      </w:pPr>
      <w:r>
        <w:t>R</w:t>
      </w:r>
      <w:r w:rsidR="003F5DBB">
        <w:t>esearch on societal preferences</w:t>
      </w:r>
    </w:p>
    <w:p w14:paraId="4ECDCAC9" w14:textId="77777777" w:rsidR="004731C1" w:rsidRDefault="004731C1" w:rsidP="004731C1">
      <w:pPr>
        <w:pStyle w:val="NICEnormalnumbered"/>
      </w:pPr>
      <w:r>
        <w:t xml:space="preserve">When the severity modifier was designed, the underlying analyses and pragmatic approach were considered acceptable in the absence of robust evidence on the extent of societal value from treating severe conditions. </w:t>
      </w:r>
    </w:p>
    <w:p w14:paraId="47E96E1D" w14:textId="7BA8B351" w:rsidR="004731C1" w:rsidRDefault="004731C1" w:rsidP="004731C1">
      <w:pPr>
        <w:pStyle w:val="NICEnormalnumbered"/>
      </w:pPr>
      <w:r>
        <w:t>The existing evidence suggests that there is broad support for placing greater value on health gains in severe conditions (</w:t>
      </w:r>
      <w:hyperlink r:id="rId17" w:history="1">
        <w:r w:rsidR="00886E98" w:rsidRPr="00801127">
          <w:rPr>
            <w:rStyle w:val="Hyperlink"/>
          </w:rPr>
          <w:t xml:space="preserve">see </w:t>
        </w:r>
        <w:r w:rsidR="00396F92" w:rsidRPr="00801127">
          <w:rPr>
            <w:rStyle w:val="Hyperlink"/>
          </w:rPr>
          <w:t xml:space="preserve">paper by </w:t>
        </w:r>
        <w:r w:rsidRPr="00801127">
          <w:rPr>
            <w:rStyle w:val="Hyperlink"/>
          </w:rPr>
          <w:t>Skedgel et al.</w:t>
        </w:r>
      </w:hyperlink>
      <w:r>
        <w:t xml:space="preserve">, </w:t>
      </w:r>
      <w:r w:rsidR="00396F92">
        <w:t>for example</w:t>
      </w:r>
      <w:r>
        <w:t>). However, t</w:t>
      </w:r>
      <w:r w:rsidRPr="00361BFA">
        <w:t xml:space="preserve">he results of </w:t>
      </w:r>
      <w:r>
        <w:t>published</w:t>
      </w:r>
      <w:r w:rsidRPr="00361BFA">
        <w:t xml:space="preserve"> studies are subject to experimental framing effects and biases</w:t>
      </w:r>
      <w:r>
        <w:t>, and</w:t>
      </w:r>
      <w:r w:rsidRPr="00361BFA">
        <w:t xml:space="preserve"> vary depending </w:t>
      </w:r>
      <w:r>
        <w:t xml:space="preserve">on the </w:t>
      </w:r>
      <w:r w:rsidRPr="004145CF">
        <w:t xml:space="preserve">concepts </w:t>
      </w:r>
      <w:r>
        <w:t xml:space="preserve">used </w:t>
      </w:r>
      <w:r w:rsidRPr="004145CF">
        <w:t>to define severity</w:t>
      </w:r>
      <w:r>
        <w:t xml:space="preserve"> or the methodology used. Further work is needed to understand the degree to which society favours treating severe diseases, and how categorisation, grouping, </w:t>
      </w:r>
      <w:r w:rsidRPr="00807B91">
        <w:rPr>
          <w:rFonts w:cs="Arial"/>
          <w:color w:val="1F1F1F"/>
        </w:rPr>
        <w:t>other equity factors</w:t>
      </w:r>
      <w:r>
        <w:rPr>
          <w:rFonts w:cs="Arial"/>
          <w:color w:val="1F1F1F"/>
        </w:rPr>
        <w:t>,</w:t>
      </w:r>
      <w:r w:rsidRPr="00807B91">
        <w:rPr>
          <w:rFonts w:cs="Arial"/>
          <w:color w:val="1F1F1F"/>
        </w:rPr>
        <w:t> </w:t>
      </w:r>
      <w:r>
        <w:t xml:space="preserve">and type of health gain may influence </w:t>
      </w:r>
      <w:r>
        <w:rPr>
          <w:rFonts w:cs="Arial"/>
        </w:rPr>
        <w:t>societal</w:t>
      </w:r>
      <w:r>
        <w:t xml:space="preserve"> preferences.</w:t>
      </w:r>
    </w:p>
    <w:p w14:paraId="61323A5B" w14:textId="00589705" w:rsidR="004731C1" w:rsidRDefault="004731C1" w:rsidP="004731C1">
      <w:pPr>
        <w:pStyle w:val="NICEnormalnumbered"/>
      </w:pPr>
      <w:r>
        <w:t xml:space="preserve">We are aware of an ABPI-funded study conducted by the Office of Health Economics that has found evidence of societal concern for treating severe conditions that differs from that currently embodied in the NICE modifier, and that starts at an earlier degree of severity than is reflected in the current cutoffs. It should be noted that severity weighting has been applied in over a third of decisions in the implementation+ subsample. Expanding the severity modifier to make even more conditions eligible for additional weighting would run counter to the principle of exceptionality. Nevertheless, we welcome such research in this important area and will carefully consider the findings. </w:t>
      </w:r>
    </w:p>
    <w:p w14:paraId="5EF59D82" w14:textId="3152ED1B" w:rsidR="004731C1" w:rsidRDefault="004731C1" w:rsidP="004731C1">
      <w:pPr>
        <w:pStyle w:val="NICEnormalnumbered"/>
      </w:pPr>
      <w:r>
        <w:t>As part of NICE’s own commitment to pursue further research on societal preferences in relation to severity, a first stage of research was commissioned through the National Institute for Health and Care Research (NIHR) Policy Research Programme. The focus was to provide recommendations to NICE on how best to elicit severity weights from a UK population. This work was conducted through the Policy Research Unit in Economic Methods of Evaluation in Health and Social Care (EEPRU) in 2023</w:t>
      </w:r>
      <w:r w:rsidR="00850CE0">
        <w:t xml:space="preserve">. </w:t>
      </w:r>
      <w:hyperlink r:id="rId18" w:history="1">
        <w:r w:rsidR="00850CE0" w:rsidRPr="00886E98">
          <w:rPr>
            <w:rStyle w:val="Hyperlink"/>
          </w:rPr>
          <w:t>The EEPRU report by Keetharuth et al. was</w:t>
        </w:r>
        <w:r w:rsidRPr="00886E98">
          <w:rPr>
            <w:rStyle w:val="Hyperlink"/>
          </w:rPr>
          <w:t xml:space="preserve"> published in 2024</w:t>
        </w:r>
        <w:r w:rsidR="00850CE0" w:rsidRPr="00886E98">
          <w:rPr>
            <w:rStyle w:val="Hyperlink"/>
          </w:rPr>
          <w:t>.</w:t>
        </w:r>
      </w:hyperlink>
      <w:r>
        <w:t xml:space="preserve"> </w:t>
      </w:r>
      <w:r w:rsidR="00850CE0">
        <w:t>It</w:t>
      </w:r>
      <w:r>
        <w:t xml:space="preserve"> presents a critical review of relevant literature and findings from an expert elicitation exercise.</w:t>
      </w:r>
    </w:p>
    <w:p w14:paraId="0FA86603" w14:textId="77777777" w:rsidR="004731C1" w:rsidRDefault="004731C1" w:rsidP="004731C1">
      <w:pPr>
        <w:pStyle w:val="NICEnormalnumbered"/>
      </w:pPr>
      <w:r>
        <w:t>The report recommends that while there are several techniques that could be used to elicit societal preferences, NICE should not specify a single technique as all have limitations. Research should instead be undertaken using multiple approaches. A reasonable attempt to triangulate and reconcile the different results can then be made where the goal is not to obtain a precise number but to achieve broad agreement.</w:t>
      </w:r>
    </w:p>
    <w:p w14:paraId="4A5E3624" w14:textId="73D6059D" w:rsidR="004731C1" w:rsidRDefault="004731C1" w:rsidP="004731C1">
      <w:pPr>
        <w:pStyle w:val="NICEnormalnumbered"/>
      </w:pPr>
      <w:r>
        <w:t xml:space="preserve">Following publication of the EEPRU report, we </w:t>
      </w:r>
      <w:r w:rsidR="00BD32DB">
        <w:t xml:space="preserve">have begun scoping </w:t>
      </w:r>
      <w:r w:rsidR="004C6AF3">
        <w:t>further research</w:t>
      </w:r>
      <w:r>
        <w:t xml:space="preserve"> </w:t>
      </w:r>
      <w:r w:rsidR="00342F83">
        <w:t xml:space="preserve">on </w:t>
      </w:r>
      <w:r w:rsidR="0014683B">
        <w:t xml:space="preserve">society’s </w:t>
      </w:r>
      <w:r w:rsidR="00593EE4">
        <w:t xml:space="preserve">preferences </w:t>
      </w:r>
      <w:r w:rsidR="00F47DEA" w:rsidRPr="00F47DEA">
        <w:t xml:space="preserve">on how much additional weighting to </w:t>
      </w:r>
      <w:r w:rsidR="002C1086">
        <w:t>apply to</w:t>
      </w:r>
      <w:r w:rsidR="00F47DEA" w:rsidRPr="00F47DEA">
        <w:t xml:space="preserve"> health benefits for people with severe diseases</w:t>
      </w:r>
      <w:r w:rsidR="00F47DEA">
        <w:t xml:space="preserve">. </w:t>
      </w:r>
      <w:r w:rsidR="009B32FB" w:rsidRPr="009B32FB">
        <w:t xml:space="preserve">We intend to tender for this work in December </w:t>
      </w:r>
      <w:r w:rsidR="009B32FB">
        <w:t>2024</w:t>
      </w:r>
      <w:r w:rsidR="00AC28D3">
        <w:t>.</w:t>
      </w:r>
      <w:r w:rsidR="009B32FB" w:rsidRPr="009B32FB">
        <w:t xml:space="preserve"> </w:t>
      </w:r>
      <w:r w:rsidR="008B738F">
        <w:t>I</w:t>
      </w:r>
      <w:r w:rsidR="009B32FB" w:rsidRPr="009B32FB">
        <w:t xml:space="preserve">t will report back </w:t>
      </w:r>
      <w:r w:rsidR="003E5A41">
        <w:t>around</w:t>
      </w:r>
      <w:r w:rsidR="005E20F2">
        <w:t xml:space="preserve"> </w:t>
      </w:r>
      <w:r w:rsidR="009B32FB">
        <w:t>2</w:t>
      </w:r>
      <w:r w:rsidR="009B32FB" w:rsidRPr="009B32FB">
        <w:t xml:space="preserve"> years after field work begins. The findings will support future consideration of the severity modifier.</w:t>
      </w:r>
      <w:r>
        <w:t xml:space="preserve"> </w:t>
      </w:r>
    </w:p>
    <w:p w14:paraId="7313DDC3" w14:textId="77777777" w:rsidR="0044243D" w:rsidRDefault="0044243D" w:rsidP="0044243D">
      <w:pPr>
        <w:pStyle w:val="NICEnormalnumbered"/>
        <w:numPr>
          <w:ilvl w:val="0"/>
          <w:numId w:val="0"/>
        </w:numPr>
        <w:ind w:left="360"/>
      </w:pPr>
    </w:p>
    <w:p w14:paraId="092AC226" w14:textId="4E71F159" w:rsidR="004B4705" w:rsidRPr="00DB6F82" w:rsidRDefault="004B4705" w:rsidP="004B4705">
      <w:pPr>
        <w:pStyle w:val="NICEnormal"/>
      </w:pPr>
      <w:r w:rsidRPr="00DB6F82">
        <w:t xml:space="preserve">© NICE </w:t>
      </w:r>
      <w:r w:rsidR="005402F2">
        <w:t>2024.</w:t>
      </w:r>
      <w:r w:rsidRPr="00DB6F82">
        <w:t xml:space="preserve"> All rights reserved. </w:t>
      </w:r>
      <w:hyperlink r:id="rId19" w:anchor="notice-of-rights" w:history="1">
        <w:r w:rsidRPr="00DB6F82">
          <w:rPr>
            <w:rStyle w:val="Hyperlink"/>
          </w:rPr>
          <w:t>Subject to Notice of rights</w:t>
        </w:r>
      </w:hyperlink>
      <w:r w:rsidRPr="00DB6F82">
        <w:t>.</w:t>
      </w:r>
    </w:p>
    <w:p w14:paraId="4866E5A6" w14:textId="579C0F3E" w:rsidR="004B4705" w:rsidRDefault="005402F2" w:rsidP="004511A7">
      <w:pPr>
        <w:pStyle w:val="NICEnormal"/>
      </w:pPr>
      <w:r>
        <w:t>September 2024</w:t>
      </w:r>
    </w:p>
    <w:sectPr w:rsidR="004B4705"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80F32" w14:textId="77777777" w:rsidR="004442C8" w:rsidRDefault="004442C8">
      <w:r>
        <w:separator/>
      </w:r>
    </w:p>
  </w:endnote>
  <w:endnote w:type="continuationSeparator" w:id="0">
    <w:p w14:paraId="71C4C088" w14:textId="77777777" w:rsidR="004442C8" w:rsidRDefault="004442C8">
      <w:r>
        <w:continuationSeparator/>
      </w:r>
    </w:p>
  </w:endnote>
  <w:endnote w:type="continuationNotice" w:id="1">
    <w:p w14:paraId="3EF69A14" w14:textId="77777777" w:rsidR="004442C8" w:rsidRDefault="0044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E289" w14:textId="5505988D" w:rsidR="004B4705" w:rsidRPr="00E9522B" w:rsidRDefault="00E9522B" w:rsidP="004B4705">
    <w:pPr>
      <w:pStyle w:val="Footer"/>
      <w:rPr>
        <w:szCs w:val="16"/>
      </w:rPr>
    </w:pPr>
    <w:r w:rsidRPr="00E9522B">
      <w:rPr>
        <w:szCs w:val="16"/>
      </w:rPr>
      <w:t>Review of the implementation of the severity modifier</w:t>
    </w:r>
    <w:r w:rsidR="008D4FB7">
      <w:rPr>
        <w:szCs w:val="16"/>
      </w:rPr>
      <w:t xml:space="preserve"> </w:t>
    </w:r>
    <w:r w:rsidR="008D4FB7">
      <w:rPr>
        <w:szCs w:val="16"/>
      </w:rPr>
      <w:tab/>
    </w:r>
    <w:r w:rsidR="008D4FB7">
      <w:rPr>
        <w:szCs w:val="16"/>
      </w:rPr>
      <w:tab/>
    </w:r>
    <w:r w:rsidR="008D4FB7" w:rsidRPr="00E9522B">
      <w:rPr>
        <w:szCs w:val="16"/>
      </w:rPr>
      <w:t xml:space="preserve">Page </w:t>
    </w:r>
    <w:r w:rsidR="008D4FB7" w:rsidRPr="00E9522B">
      <w:rPr>
        <w:szCs w:val="16"/>
      </w:rPr>
      <w:fldChar w:fldCharType="begin"/>
    </w:r>
    <w:r w:rsidR="008D4FB7" w:rsidRPr="00E9522B">
      <w:rPr>
        <w:szCs w:val="16"/>
      </w:rPr>
      <w:instrText xml:space="preserve"> PAGE  \* Arabic  \* MERGEFORMAT </w:instrText>
    </w:r>
    <w:r w:rsidR="008D4FB7" w:rsidRPr="00E9522B">
      <w:rPr>
        <w:szCs w:val="16"/>
      </w:rPr>
      <w:fldChar w:fldCharType="separate"/>
    </w:r>
    <w:r w:rsidR="008D4FB7">
      <w:rPr>
        <w:szCs w:val="16"/>
      </w:rPr>
      <w:t>19</w:t>
    </w:r>
    <w:r w:rsidR="008D4FB7" w:rsidRPr="00E9522B">
      <w:rPr>
        <w:szCs w:val="16"/>
      </w:rPr>
      <w:fldChar w:fldCharType="end"/>
    </w:r>
    <w:r w:rsidR="008D4FB7" w:rsidRPr="00E9522B">
      <w:rPr>
        <w:szCs w:val="16"/>
      </w:rPr>
      <w:t xml:space="preserve"> of </w:t>
    </w:r>
    <w:r w:rsidR="008D4FB7" w:rsidRPr="00E9522B">
      <w:rPr>
        <w:szCs w:val="16"/>
      </w:rPr>
      <w:fldChar w:fldCharType="begin"/>
    </w:r>
    <w:r w:rsidR="008D4FB7" w:rsidRPr="00E9522B">
      <w:rPr>
        <w:szCs w:val="16"/>
      </w:rPr>
      <w:instrText xml:space="preserve"> NUMPAGES  \* Arabic  \* MERGEFORMAT </w:instrText>
    </w:r>
    <w:r w:rsidR="008D4FB7" w:rsidRPr="00E9522B">
      <w:rPr>
        <w:szCs w:val="16"/>
      </w:rPr>
      <w:fldChar w:fldCharType="separate"/>
    </w:r>
    <w:r w:rsidR="008D4FB7">
      <w:rPr>
        <w:szCs w:val="16"/>
      </w:rPr>
      <w:t>23</w:t>
    </w:r>
    <w:r w:rsidR="008D4FB7" w:rsidRPr="00E9522B">
      <w:rPr>
        <w:szCs w:val="16"/>
      </w:rPr>
      <w:fldChar w:fldCharType="end"/>
    </w:r>
  </w:p>
  <w:p w14:paraId="24B6498A" w14:textId="2A20E64F" w:rsidR="008D4FB7" w:rsidRDefault="008D4FB7" w:rsidP="004B4705">
    <w:pPr>
      <w:pStyle w:val="Footer"/>
      <w:rPr>
        <w:szCs w:val="16"/>
      </w:rPr>
    </w:pPr>
    <w:r>
      <w:rPr>
        <w:szCs w:val="16"/>
      </w:rPr>
      <w:t>Public Board meeting</w:t>
    </w:r>
  </w:p>
  <w:p w14:paraId="72385F6F" w14:textId="2AA20569" w:rsidR="004B4705" w:rsidRPr="002A231B" w:rsidRDefault="00E9522B" w:rsidP="004B4705">
    <w:pPr>
      <w:pStyle w:val="Footer"/>
      <w:rPr>
        <w:szCs w:val="16"/>
      </w:rPr>
    </w:pPr>
    <w:r w:rsidRPr="00E9522B">
      <w:rPr>
        <w:szCs w:val="16"/>
      </w:rPr>
      <w:t>25 September 2024</w:t>
    </w:r>
    <w:r w:rsidR="004B4705" w:rsidRPr="00E9522B">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0D038" w14:textId="77777777" w:rsidR="004442C8" w:rsidRDefault="004442C8">
      <w:r>
        <w:separator/>
      </w:r>
    </w:p>
  </w:footnote>
  <w:footnote w:type="continuationSeparator" w:id="0">
    <w:p w14:paraId="4F3CE89A" w14:textId="77777777" w:rsidR="004442C8" w:rsidRDefault="004442C8">
      <w:r>
        <w:continuationSeparator/>
      </w:r>
    </w:p>
  </w:footnote>
  <w:footnote w:type="continuationNotice" w:id="1">
    <w:p w14:paraId="13520841" w14:textId="77777777" w:rsidR="004442C8" w:rsidRDefault="00444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68C3" w14:textId="4F2A739C" w:rsidR="004B4705" w:rsidRPr="006E0F0C" w:rsidRDefault="006E0F0C" w:rsidP="006E0F0C">
    <w:pPr>
      <w:pStyle w:val="Header"/>
      <w:ind w:left="0"/>
    </w:pPr>
    <w:r>
      <w:rPr>
        <w:noProof/>
      </w:rPr>
      <w:drawing>
        <wp:inline distT="0" distB="0" distL="0" distR="0" wp14:anchorId="0B5D793A" wp14:editId="1C005DF8">
          <wp:extent cx="2352675" cy="257175"/>
          <wp:effectExtent l="0" t="0" r="9525" b="9525"/>
          <wp:docPr id="1737617985" name="Picture 1737617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8D4FB7">
      <w:t xml:space="preserve">Item </w:t>
    </w:r>
    <w:r w:rsidR="008D4FB7" w:rsidRPr="008D4FB7">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F5D64"/>
    <w:multiLevelType w:val="hybridMultilevel"/>
    <w:tmpl w:val="846461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002829"/>
    <w:multiLevelType w:val="hybridMultilevel"/>
    <w:tmpl w:val="31608EAA"/>
    <w:lvl w:ilvl="0" w:tplc="FFFFFFFF">
      <w:start w:val="1"/>
      <w:numFmt w:val="decimal"/>
      <w:lvlText w:val="%1."/>
      <w:lvlJc w:val="left"/>
      <w:pPr>
        <w:ind w:left="720" w:hanging="360"/>
      </w:pPr>
      <w:rPr>
        <w:b w:val="0"/>
        <w:bCs w:val="0"/>
        <w:color w:val="auto"/>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7D64BA"/>
    <w:multiLevelType w:val="hybridMultilevel"/>
    <w:tmpl w:val="EC14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3F0349"/>
    <w:multiLevelType w:val="hybridMultilevel"/>
    <w:tmpl w:val="AE9417CA"/>
    <w:lvl w:ilvl="0" w:tplc="1540B9CA">
      <w:start w:val="1"/>
      <w:numFmt w:val="bullet"/>
      <w:lvlText w:val="·"/>
      <w:lvlJc w:val="left"/>
      <w:pPr>
        <w:ind w:left="720" w:hanging="360"/>
      </w:pPr>
      <w:rPr>
        <w:rFonts w:ascii="Symbol" w:hAnsi="Symbol" w:hint="default"/>
      </w:rPr>
    </w:lvl>
    <w:lvl w:ilvl="1" w:tplc="EB826C54">
      <w:start w:val="1"/>
      <w:numFmt w:val="bullet"/>
      <w:lvlText w:val="o"/>
      <w:lvlJc w:val="left"/>
      <w:pPr>
        <w:ind w:left="1440" w:hanging="360"/>
      </w:pPr>
      <w:rPr>
        <w:rFonts w:ascii="Courier New" w:hAnsi="Courier New" w:hint="default"/>
      </w:rPr>
    </w:lvl>
    <w:lvl w:ilvl="2" w:tplc="4D8EA5F4">
      <w:start w:val="1"/>
      <w:numFmt w:val="bullet"/>
      <w:lvlText w:val=""/>
      <w:lvlJc w:val="left"/>
      <w:pPr>
        <w:ind w:left="2160" w:hanging="360"/>
      </w:pPr>
      <w:rPr>
        <w:rFonts w:ascii="Wingdings" w:hAnsi="Wingdings" w:hint="default"/>
      </w:rPr>
    </w:lvl>
    <w:lvl w:ilvl="3" w:tplc="209A18A2">
      <w:start w:val="1"/>
      <w:numFmt w:val="bullet"/>
      <w:lvlText w:val=""/>
      <w:lvlJc w:val="left"/>
      <w:pPr>
        <w:ind w:left="2880" w:hanging="360"/>
      </w:pPr>
      <w:rPr>
        <w:rFonts w:ascii="Symbol" w:hAnsi="Symbol" w:hint="default"/>
      </w:rPr>
    </w:lvl>
    <w:lvl w:ilvl="4" w:tplc="821AAD2C">
      <w:start w:val="1"/>
      <w:numFmt w:val="bullet"/>
      <w:lvlText w:val="o"/>
      <w:lvlJc w:val="left"/>
      <w:pPr>
        <w:ind w:left="3600" w:hanging="360"/>
      </w:pPr>
      <w:rPr>
        <w:rFonts w:ascii="Courier New" w:hAnsi="Courier New" w:hint="default"/>
      </w:rPr>
    </w:lvl>
    <w:lvl w:ilvl="5" w:tplc="EF08A406">
      <w:start w:val="1"/>
      <w:numFmt w:val="bullet"/>
      <w:lvlText w:val=""/>
      <w:lvlJc w:val="left"/>
      <w:pPr>
        <w:ind w:left="4320" w:hanging="360"/>
      </w:pPr>
      <w:rPr>
        <w:rFonts w:ascii="Wingdings" w:hAnsi="Wingdings" w:hint="default"/>
      </w:rPr>
    </w:lvl>
    <w:lvl w:ilvl="6" w:tplc="F01CF084">
      <w:start w:val="1"/>
      <w:numFmt w:val="bullet"/>
      <w:lvlText w:val=""/>
      <w:lvlJc w:val="left"/>
      <w:pPr>
        <w:ind w:left="5040" w:hanging="360"/>
      </w:pPr>
      <w:rPr>
        <w:rFonts w:ascii="Symbol" w:hAnsi="Symbol" w:hint="default"/>
      </w:rPr>
    </w:lvl>
    <w:lvl w:ilvl="7" w:tplc="8DA44D2C">
      <w:start w:val="1"/>
      <w:numFmt w:val="bullet"/>
      <w:lvlText w:val="o"/>
      <w:lvlJc w:val="left"/>
      <w:pPr>
        <w:ind w:left="5760" w:hanging="360"/>
      </w:pPr>
      <w:rPr>
        <w:rFonts w:ascii="Courier New" w:hAnsi="Courier New" w:hint="default"/>
      </w:rPr>
    </w:lvl>
    <w:lvl w:ilvl="8" w:tplc="0AF4A008">
      <w:start w:val="1"/>
      <w:numFmt w:val="bullet"/>
      <w:lvlText w:val=""/>
      <w:lvlJc w:val="left"/>
      <w:pPr>
        <w:ind w:left="6480" w:hanging="360"/>
      </w:pPr>
      <w:rPr>
        <w:rFonts w:ascii="Wingdings" w:hAnsi="Wingdings" w:hint="default"/>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461A96"/>
    <w:multiLevelType w:val="hybridMultilevel"/>
    <w:tmpl w:val="CD5AA7AA"/>
    <w:lvl w:ilvl="0" w:tplc="FFFFFFFF">
      <w:start w:val="1"/>
      <w:numFmt w:val="decimal"/>
      <w:lvlText w:val="%1."/>
      <w:lvlJc w:val="left"/>
      <w:pPr>
        <w:ind w:left="360" w:hanging="360"/>
      </w:pPr>
      <w:rPr>
        <w:b w:val="0"/>
        <w:bCs w:val="0"/>
        <w:color w:val="auto"/>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2AE1"/>
    <w:multiLevelType w:val="hybridMultilevel"/>
    <w:tmpl w:val="6E484D3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871DECF"/>
    <w:multiLevelType w:val="hybridMultilevel"/>
    <w:tmpl w:val="E098BD6A"/>
    <w:lvl w:ilvl="0" w:tplc="3E56F108">
      <w:start w:val="1"/>
      <w:numFmt w:val="bullet"/>
      <w:lvlText w:val="·"/>
      <w:lvlJc w:val="left"/>
      <w:pPr>
        <w:ind w:left="720" w:hanging="360"/>
      </w:pPr>
      <w:rPr>
        <w:rFonts w:ascii="Symbol" w:hAnsi="Symbol" w:hint="default"/>
      </w:rPr>
    </w:lvl>
    <w:lvl w:ilvl="1" w:tplc="7D06BA7C">
      <w:start w:val="1"/>
      <w:numFmt w:val="bullet"/>
      <w:lvlText w:val="o"/>
      <w:lvlJc w:val="left"/>
      <w:pPr>
        <w:ind w:left="1440" w:hanging="360"/>
      </w:pPr>
      <w:rPr>
        <w:rFonts w:ascii="Courier New" w:hAnsi="Courier New" w:hint="default"/>
      </w:rPr>
    </w:lvl>
    <w:lvl w:ilvl="2" w:tplc="AB06B4B4">
      <w:start w:val="1"/>
      <w:numFmt w:val="bullet"/>
      <w:lvlText w:val=""/>
      <w:lvlJc w:val="left"/>
      <w:pPr>
        <w:ind w:left="2160" w:hanging="360"/>
      </w:pPr>
      <w:rPr>
        <w:rFonts w:ascii="Wingdings" w:hAnsi="Wingdings" w:hint="default"/>
      </w:rPr>
    </w:lvl>
    <w:lvl w:ilvl="3" w:tplc="0942627C">
      <w:start w:val="1"/>
      <w:numFmt w:val="bullet"/>
      <w:lvlText w:val=""/>
      <w:lvlJc w:val="left"/>
      <w:pPr>
        <w:ind w:left="2880" w:hanging="360"/>
      </w:pPr>
      <w:rPr>
        <w:rFonts w:ascii="Symbol" w:hAnsi="Symbol" w:hint="default"/>
      </w:rPr>
    </w:lvl>
    <w:lvl w:ilvl="4" w:tplc="B274BC34">
      <w:start w:val="1"/>
      <w:numFmt w:val="bullet"/>
      <w:lvlText w:val="o"/>
      <w:lvlJc w:val="left"/>
      <w:pPr>
        <w:ind w:left="3600" w:hanging="360"/>
      </w:pPr>
      <w:rPr>
        <w:rFonts w:ascii="Courier New" w:hAnsi="Courier New" w:hint="default"/>
      </w:rPr>
    </w:lvl>
    <w:lvl w:ilvl="5" w:tplc="9B48B5F6">
      <w:start w:val="1"/>
      <w:numFmt w:val="bullet"/>
      <w:lvlText w:val=""/>
      <w:lvlJc w:val="left"/>
      <w:pPr>
        <w:ind w:left="4320" w:hanging="360"/>
      </w:pPr>
      <w:rPr>
        <w:rFonts w:ascii="Wingdings" w:hAnsi="Wingdings" w:hint="default"/>
      </w:rPr>
    </w:lvl>
    <w:lvl w:ilvl="6" w:tplc="0C5A1BF0">
      <w:start w:val="1"/>
      <w:numFmt w:val="bullet"/>
      <w:lvlText w:val=""/>
      <w:lvlJc w:val="left"/>
      <w:pPr>
        <w:ind w:left="5040" w:hanging="360"/>
      </w:pPr>
      <w:rPr>
        <w:rFonts w:ascii="Symbol" w:hAnsi="Symbol" w:hint="default"/>
      </w:rPr>
    </w:lvl>
    <w:lvl w:ilvl="7" w:tplc="2DFA48BC">
      <w:start w:val="1"/>
      <w:numFmt w:val="bullet"/>
      <w:lvlText w:val="o"/>
      <w:lvlJc w:val="left"/>
      <w:pPr>
        <w:ind w:left="5760" w:hanging="360"/>
      </w:pPr>
      <w:rPr>
        <w:rFonts w:ascii="Courier New" w:hAnsi="Courier New" w:hint="default"/>
      </w:rPr>
    </w:lvl>
    <w:lvl w:ilvl="8" w:tplc="CFCA2874">
      <w:start w:val="1"/>
      <w:numFmt w:val="bullet"/>
      <w:lvlText w:val=""/>
      <w:lvlJc w:val="left"/>
      <w:pPr>
        <w:ind w:left="6480" w:hanging="360"/>
      </w:pPr>
      <w:rPr>
        <w:rFonts w:ascii="Wingdings" w:hAnsi="Wingdings" w:hint="default"/>
      </w:rPr>
    </w:lvl>
  </w:abstractNum>
  <w:abstractNum w:abstractNumId="34"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EE66D"/>
    <w:multiLevelType w:val="hybridMultilevel"/>
    <w:tmpl w:val="C394B9F8"/>
    <w:lvl w:ilvl="0" w:tplc="DB82CB6E">
      <w:start w:val="1"/>
      <w:numFmt w:val="bullet"/>
      <w:lvlText w:val="·"/>
      <w:lvlJc w:val="left"/>
      <w:pPr>
        <w:ind w:left="720" w:hanging="360"/>
      </w:pPr>
      <w:rPr>
        <w:rFonts w:ascii="Symbol" w:hAnsi="Symbol" w:hint="default"/>
      </w:rPr>
    </w:lvl>
    <w:lvl w:ilvl="1" w:tplc="C958BA20">
      <w:start w:val="1"/>
      <w:numFmt w:val="bullet"/>
      <w:lvlText w:val="o"/>
      <w:lvlJc w:val="left"/>
      <w:pPr>
        <w:ind w:left="1440" w:hanging="360"/>
      </w:pPr>
      <w:rPr>
        <w:rFonts w:ascii="Courier New" w:hAnsi="Courier New" w:hint="default"/>
      </w:rPr>
    </w:lvl>
    <w:lvl w:ilvl="2" w:tplc="FA5091D0">
      <w:start w:val="1"/>
      <w:numFmt w:val="bullet"/>
      <w:lvlText w:val=""/>
      <w:lvlJc w:val="left"/>
      <w:pPr>
        <w:ind w:left="2160" w:hanging="360"/>
      </w:pPr>
      <w:rPr>
        <w:rFonts w:ascii="Wingdings" w:hAnsi="Wingdings" w:hint="default"/>
      </w:rPr>
    </w:lvl>
    <w:lvl w:ilvl="3" w:tplc="7A66087C">
      <w:start w:val="1"/>
      <w:numFmt w:val="bullet"/>
      <w:lvlText w:val=""/>
      <w:lvlJc w:val="left"/>
      <w:pPr>
        <w:ind w:left="2880" w:hanging="360"/>
      </w:pPr>
      <w:rPr>
        <w:rFonts w:ascii="Symbol" w:hAnsi="Symbol" w:hint="default"/>
      </w:rPr>
    </w:lvl>
    <w:lvl w:ilvl="4" w:tplc="D146184E">
      <w:start w:val="1"/>
      <w:numFmt w:val="bullet"/>
      <w:lvlText w:val="o"/>
      <w:lvlJc w:val="left"/>
      <w:pPr>
        <w:ind w:left="3600" w:hanging="360"/>
      </w:pPr>
      <w:rPr>
        <w:rFonts w:ascii="Courier New" w:hAnsi="Courier New" w:hint="default"/>
      </w:rPr>
    </w:lvl>
    <w:lvl w:ilvl="5" w:tplc="D67A8898">
      <w:start w:val="1"/>
      <w:numFmt w:val="bullet"/>
      <w:lvlText w:val=""/>
      <w:lvlJc w:val="left"/>
      <w:pPr>
        <w:ind w:left="4320" w:hanging="360"/>
      </w:pPr>
      <w:rPr>
        <w:rFonts w:ascii="Wingdings" w:hAnsi="Wingdings" w:hint="default"/>
      </w:rPr>
    </w:lvl>
    <w:lvl w:ilvl="6" w:tplc="CBB8F984">
      <w:start w:val="1"/>
      <w:numFmt w:val="bullet"/>
      <w:lvlText w:val=""/>
      <w:lvlJc w:val="left"/>
      <w:pPr>
        <w:ind w:left="5040" w:hanging="360"/>
      </w:pPr>
      <w:rPr>
        <w:rFonts w:ascii="Symbol" w:hAnsi="Symbol" w:hint="default"/>
      </w:rPr>
    </w:lvl>
    <w:lvl w:ilvl="7" w:tplc="07AE0262">
      <w:start w:val="1"/>
      <w:numFmt w:val="bullet"/>
      <w:lvlText w:val="o"/>
      <w:lvlJc w:val="left"/>
      <w:pPr>
        <w:ind w:left="5760" w:hanging="360"/>
      </w:pPr>
      <w:rPr>
        <w:rFonts w:ascii="Courier New" w:hAnsi="Courier New" w:hint="default"/>
      </w:rPr>
    </w:lvl>
    <w:lvl w:ilvl="8" w:tplc="C56EA84E">
      <w:start w:val="1"/>
      <w:numFmt w:val="bullet"/>
      <w:lvlText w:val=""/>
      <w:lvlJc w:val="left"/>
      <w:pPr>
        <w:ind w:left="6480" w:hanging="360"/>
      </w:pPr>
      <w:rPr>
        <w:rFonts w:ascii="Wingdings" w:hAnsi="Wingdings" w:hint="default"/>
      </w:rPr>
    </w:lvl>
  </w:abstractNum>
  <w:abstractNum w:abstractNumId="3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5"/>
  </w:num>
  <w:num w:numId="2" w16cid:durableId="2039620118">
    <w:abstractNumId w:val="32"/>
  </w:num>
  <w:num w:numId="3" w16cid:durableId="2116749296">
    <w:abstractNumId w:val="21"/>
  </w:num>
  <w:num w:numId="4" w16cid:durableId="611715962">
    <w:abstractNumId w:val="22"/>
  </w:num>
  <w:num w:numId="5" w16cid:durableId="377554922">
    <w:abstractNumId w:val="7"/>
  </w:num>
  <w:num w:numId="6" w16cid:durableId="1967815002">
    <w:abstractNumId w:val="10"/>
  </w:num>
  <w:num w:numId="7" w16cid:durableId="1478373446">
    <w:abstractNumId w:val="17"/>
  </w:num>
  <w:num w:numId="8" w16cid:durableId="1216622483">
    <w:abstractNumId w:val="20"/>
  </w:num>
  <w:num w:numId="9" w16cid:durableId="1028289363">
    <w:abstractNumId w:val="24"/>
  </w:num>
  <w:num w:numId="10" w16cid:durableId="1748379919">
    <w:abstractNumId w:val="9"/>
  </w:num>
  <w:num w:numId="11" w16cid:durableId="1008825018">
    <w:abstractNumId w:val="30"/>
  </w:num>
  <w:num w:numId="12" w16cid:durableId="128134450">
    <w:abstractNumId w:val="13"/>
  </w:num>
  <w:num w:numId="13" w16cid:durableId="503516617">
    <w:abstractNumId w:val="23"/>
  </w:num>
  <w:num w:numId="14" w16cid:durableId="1971012577">
    <w:abstractNumId w:val="26"/>
  </w:num>
  <w:num w:numId="15" w16cid:durableId="1256014139">
    <w:abstractNumId w:val="15"/>
  </w:num>
  <w:num w:numId="16" w16cid:durableId="230039927">
    <w:abstractNumId w:val="1"/>
  </w:num>
  <w:num w:numId="17" w16cid:durableId="882135492">
    <w:abstractNumId w:val="4"/>
  </w:num>
  <w:num w:numId="18" w16cid:durableId="194315641">
    <w:abstractNumId w:val="11"/>
  </w:num>
  <w:num w:numId="19" w16cid:durableId="1279488302">
    <w:abstractNumId w:val="19"/>
  </w:num>
  <w:num w:numId="20" w16cid:durableId="102305755">
    <w:abstractNumId w:val="8"/>
  </w:num>
  <w:num w:numId="21" w16cid:durableId="1863712968">
    <w:abstractNumId w:val="31"/>
  </w:num>
  <w:num w:numId="22" w16cid:durableId="426196748">
    <w:abstractNumId w:val="29"/>
  </w:num>
  <w:num w:numId="23" w16cid:durableId="1440686053">
    <w:abstractNumId w:val="34"/>
  </w:num>
  <w:num w:numId="24" w16cid:durableId="87122838">
    <w:abstractNumId w:val="12"/>
  </w:num>
  <w:num w:numId="25" w16cid:durableId="2069259383">
    <w:abstractNumId w:val="6"/>
  </w:num>
  <w:num w:numId="26" w16cid:durableId="1082874494">
    <w:abstractNumId w:val="6"/>
    <w:lvlOverride w:ilvl="0">
      <w:startOverride w:val="1"/>
    </w:lvlOverride>
  </w:num>
  <w:num w:numId="27" w16cid:durableId="1603490758">
    <w:abstractNumId w:val="14"/>
  </w:num>
  <w:num w:numId="28" w16cid:durableId="399716702">
    <w:abstractNumId w:val="27"/>
  </w:num>
  <w:num w:numId="29" w16cid:durableId="709960444">
    <w:abstractNumId w:val="18"/>
  </w:num>
  <w:num w:numId="30" w16cid:durableId="1267925304">
    <w:abstractNumId w:val="6"/>
    <w:lvlOverride w:ilvl="0">
      <w:startOverride w:val="1"/>
    </w:lvlOverride>
  </w:num>
  <w:num w:numId="31" w16cid:durableId="1714303981">
    <w:abstractNumId w:val="34"/>
    <w:lvlOverride w:ilvl="0">
      <w:startOverride w:val="1"/>
    </w:lvlOverride>
  </w:num>
  <w:num w:numId="32" w16cid:durableId="1039671961">
    <w:abstractNumId w:val="0"/>
  </w:num>
  <w:num w:numId="33" w16cid:durableId="1649625784">
    <w:abstractNumId w:val="3"/>
  </w:num>
  <w:num w:numId="34" w16cid:durableId="609512517">
    <w:abstractNumId w:val="36"/>
  </w:num>
  <w:num w:numId="35" w16cid:durableId="2077043108">
    <w:abstractNumId w:val="6"/>
    <w:lvlOverride w:ilvl="0">
      <w:startOverride w:val="1"/>
    </w:lvlOverride>
  </w:num>
  <w:num w:numId="36" w16cid:durableId="202255077">
    <w:abstractNumId w:val="2"/>
  </w:num>
  <w:num w:numId="37" w16cid:durableId="1030911270">
    <w:abstractNumId w:val="33"/>
  </w:num>
  <w:num w:numId="38" w16cid:durableId="842161338">
    <w:abstractNumId w:val="35"/>
  </w:num>
  <w:num w:numId="39" w16cid:durableId="1261573000">
    <w:abstractNumId w:val="16"/>
  </w:num>
  <w:num w:numId="40" w16cid:durableId="18914902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A5"/>
    <w:rsid w:val="0000171A"/>
    <w:rsid w:val="00001E5D"/>
    <w:rsid w:val="000024D7"/>
    <w:rsid w:val="0000292D"/>
    <w:rsid w:val="000037DD"/>
    <w:rsid w:val="00003DD6"/>
    <w:rsid w:val="00003E29"/>
    <w:rsid w:val="00004301"/>
    <w:rsid w:val="000049AA"/>
    <w:rsid w:val="00005EF7"/>
    <w:rsid w:val="00005F48"/>
    <w:rsid w:val="00007553"/>
    <w:rsid w:val="00007940"/>
    <w:rsid w:val="000119FB"/>
    <w:rsid w:val="0001283C"/>
    <w:rsid w:val="000128B5"/>
    <w:rsid w:val="000128D9"/>
    <w:rsid w:val="00012FAC"/>
    <w:rsid w:val="00013ED3"/>
    <w:rsid w:val="00015686"/>
    <w:rsid w:val="00017552"/>
    <w:rsid w:val="0001761F"/>
    <w:rsid w:val="00017774"/>
    <w:rsid w:val="00017874"/>
    <w:rsid w:val="00020213"/>
    <w:rsid w:val="00020253"/>
    <w:rsid w:val="00022333"/>
    <w:rsid w:val="000238F9"/>
    <w:rsid w:val="00023E46"/>
    <w:rsid w:val="000242AA"/>
    <w:rsid w:val="00024497"/>
    <w:rsid w:val="000251AD"/>
    <w:rsid w:val="00025227"/>
    <w:rsid w:val="00026060"/>
    <w:rsid w:val="000315FE"/>
    <w:rsid w:val="000319B3"/>
    <w:rsid w:val="00032835"/>
    <w:rsid w:val="0003331A"/>
    <w:rsid w:val="00033C15"/>
    <w:rsid w:val="000364F2"/>
    <w:rsid w:val="00036DD4"/>
    <w:rsid w:val="00036E2A"/>
    <w:rsid w:val="00037318"/>
    <w:rsid w:val="00037B95"/>
    <w:rsid w:val="00041126"/>
    <w:rsid w:val="000412E6"/>
    <w:rsid w:val="00041F84"/>
    <w:rsid w:val="00042BD4"/>
    <w:rsid w:val="000435AE"/>
    <w:rsid w:val="000438E9"/>
    <w:rsid w:val="00046254"/>
    <w:rsid w:val="00047174"/>
    <w:rsid w:val="0004755B"/>
    <w:rsid w:val="00050ECE"/>
    <w:rsid w:val="00050F7F"/>
    <w:rsid w:val="00051C7F"/>
    <w:rsid w:val="00051EFD"/>
    <w:rsid w:val="000520C1"/>
    <w:rsid w:val="0005223A"/>
    <w:rsid w:val="00054499"/>
    <w:rsid w:val="00055511"/>
    <w:rsid w:val="00055736"/>
    <w:rsid w:val="00056721"/>
    <w:rsid w:val="00056D3B"/>
    <w:rsid w:val="00057044"/>
    <w:rsid w:val="00057776"/>
    <w:rsid w:val="00061372"/>
    <w:rsid w:val="00061CB0"/>
    <w:rsid w:val="000635A3"/>
    <w:rsid w:val="00063696"/>
    <w:rsid w:val="000648A5"/>
    <w:rsid w:val="000648D1"/>
    <w:rsid w:val="00066186"/>
    <w:rsid w:val="000678A5"/>
    <w:rsid w:val="00070BBC"/>
    <w:rsid w:val="00070E6D"/>
    <w:rsid w:val="00070F12"/>
    <w:rsid w:val="000738DF"/>
    <w:rsid w:val="00080EA7"/>
    <w:rsid w:val="000810E9"/>
    <w:rsid w:val="00081316"/>
    <w:rsid w:val="00081536"/>
    <w:rsid w:val="00081C6B"/>
    <w:rsid w:val="000834ED"/>
    <w:rsid w:val="00083875"/>
    <w:rsid w:val="00084C66"/>
    <w:rsid w:val="000851BE"/>
    <w:rsid w:val="00085512"/>
    <w:rsid w:val="000861DE"/>
    <w:rsid w:val="000871AD"/>
    <w:rsid w:val="000872A5"/>
    <w:rsid w:val="0008766E"/>
    <w:rsid w:val="000878C9"/>
    <w:rsid w:val="00093956"/>
    <w:rsid w:val="00094065"/>
    <w:rsid w:val="00094663"/>
    <w:rsid w:val="00094B5D"/>
    <w:rsid w:val="00094F53"/>
    <w:rsid w:val="00095293"/>
    <w:rsid w:val="000954A4"/>
    <w:rsid w:val="000A04A3"/>
    <w:rsid w:val="000A0F68"/>
    <w:rsid w:val="000A0F77"/>
    <w:rsid w:val="000A103F"/>
    <w:rsid w:val="000A1EC0"/>
    <w:rsid w:val="000A2969"/>
    <w:rsid w:val="000A3962"/>
    <w:rsid w:val="000A3CA5"/>
    <w:rsid w:val="000A5004"/>
    <w:rsid w:val="000A58FE"/>
    <w:rsid w:val="000A6118"/>
    <w:rsid w:val="000A691E"/>
    <w:rsid w:val="000A7E66"/>
    <w:rsid w:val="000B003E"/>
    <w:rsid w:val="000B14E2"/>
    <w:rsid w:val="000B1DD6"/>
    <w:rsid w:val="000B203D"/>
    <w:rsid w:val="000B23EC"/>
    <w:rsid w:val="000B2A9F"/>
    <w:rsid w:val="000B36E0"/>
    <w:rsid w:val="000B4E68"/>
    <w:rsid w:val="000B6239"/>
    <w:rsid w:val="000B62F3"/>
    <w:rsid w:val="000B6548"/>
    <w:rsid w:val="000B7623"/>
    <w:rsid w:val="000B7ECE"/>
    <w:rsid w:val="000C16DD"/>
    <w:rsid w:val="000C3849"/>
    <w:rsid w:val="000C3C73"/>
    <w:rsid w:val="000C3F75"/>
    <w:rsid w:val="000C4168"/>
    <w:rsid w:val="000C43E9"/>
    <w:rsid w:val="000C449B"/>
    <w:rsid w:val="000C48CA"/>
    <w:rsid w:val="000C50AD"/>
    <w:rsid w:val="000C5300"/>
    <w:rsid w:val="000C5547"/>
    <w:rsid w:val="000C5A0D"/>
    <w:rsid w:val="000C5FDD"/>
    <w:rsid w:val="000C6445"/>
    <w:rsid w:val="000C7241"/>
    <w:rsid w:val="000D0A54"/>
    <w:rsid w:val="000D1BC4"/>
    <w:rsid w:val="000D202F"/>
    <w:rsid w:val="000D5249"/>
    <w:rsid w:val="000D53BB"/>
    <w:rsid w:val="000D56E5"/>
    <w:rsid w:val="000D7E38"/>
    <w:rsid w:val="000E0AAF"/>
    <w:rsid w:val="000E2126"/>
    <w:rsid w:val="000E22F2"/>
    <w:rsid w:val="000E32D3"/>
    <w:rsid w:val="000E3629"/>
    <w:rsid w:val="000E452D"/>
    <w:rsid w:val="000E4F9F"/>
    <w:rsid w:val="000E52FF"/>
    <w:rsid w:val="000E6C5F"/>
    <w:rsid w:val="000F13DD"/>
    <w:rsid w:val="000F13E1"/>
    <w:rsid w:val="000F1AF1"/>
    <w:rsid w:val="000F230F"/>
    <w:rsid w:val="000F275B"/>
    <w:rsid w:val="000F41DB"/>
    <w:rsid w:val="000F4AF0"/>
    <w:rsid w:val="000F5E7A"/>
    <w:rsid w:val="000F5EA9"/>
    <w:rsid w:val="000F6069"/>
    <w:rsid w:val="000F642F"/>
    <w:rsid w:val="000F66FB"/>
    <w:rsid w:val="000F7E6E"/>
    <w:rsid w:val="00100C71"/>
    <w:rsid w:val="0010144F"/>
    <w:rsid w:val="00101DFA"/>
    <w:rsid w:val="00101F34"/>
    <w:rsid w:val="00102B2A"/>
    <w:rsid w:val="00102B55"/>
    <w:rsid w:val="001039ED"/>
    <w:rsid w:val="00104418"/>
    <w:rsid w:val="001049E1"/>
    <w:rsid w:val="00104FF4"/>
    <w:rsid w:val="00105040"/>
    <w:rsid w:val="00105438"/>
    <w:rsid w:val="0010564F"/>
    <w:rsid w:val="001100C3"/>
    <w:rsid w:val="00111571"/>
    <w:rsid w:val="001117DB"/>
    <w:rsid w:val="00112518"/>
    <w:rsid w:val="0011334A"/>
    <w:rsid w:val="0011460B"/>
    <w:rsid w:val="001158DA"/>
    <w:rsid w:val="00116761"/>
    <w:rsid w:val="001172E1"/>
    <w:rsid w:val="0011749F"/>
    <w:rsid w:val="001179C9"/>
    <w:rsid w:val="00117CAF"/>
    <w:rsid w:val="0012026D"/>
    <w:rsid w:val="00120F83"/>
    <w:rsid w:val="00120FE9"/>
    <w:rsid w:val="001219F1"/>
    <w:rsid w:val="0012289B"/>
    <w:rsid w:val="00122DC2"/>
    <w:rsid w:val="00123D3F"/>
    <w:rsid w:val="00123EFB"/>
    <w:rsid w:val="001247F7"/>
    <w:rsid w:val="00124F47"/>
    <w:rsid w:val="0012671F"/>
    <w:rsid w:val="001273A1"/>
    <w:rsid w:val="00131AD9"/>
    <w:rsid w:val="00131EB8"/>
    <w:rsid w:val="00132D26"/>
    <w:rsid w:val="00133C69"/>
    <w:rsid w:val="001356BC"/>
    <w:rsid w:val="00136330"/>
    <w:rsid w:val="001363AC"/>
    <w:rsid w:val="00137492"/>
    <w:rsid w:val="00140CD1"/>
    <w:rsid w:val="001417AB"/>
    <w:rsid w:val="00143CC4"/>
    <w:rsid w:val="00146156"/>
    <w:rsid w:val="0014683B"/>
    <w:rsid w:val="00146BBE"/>
    <w:rsid w:val="00146CDD"/>
    <w:rsid w:val="00146FF3"/>
    <w:rsid w:val="00147242"/>
    <w:rsid w:val="00147928"/>
    <w:rsid w:val="001500EC"/>
    <w:rsid w:val="00150CCC"/>
    <w:rsid w:val="00151618"/>
    <w:rsid w:val="00151958"/>
    <w:rsid w:val="00151AE2"/>
    <w:rsid w:val="001561BB"/>
    <w:rsid w:val="00156B0E"/>
    <w:rsid w:val="0016074C"/>
    <w:rsid w:val="00160912"/>
    <w:rsid w:val="001610AC"/>
    <w:rsid w:val="001618D6"/>
    <w:rsid w:val="00161AA0"/>
    <w:rsid w:val="00161C6B"/>
    <w:rsid w:val="001627B1"/>
    <w:rsid w:val="00163018"/>
    <w:rsid w:val="00163471"/>
    <w:rsid w:val="00165F58"/>
    <w:rsid w:val="001665FE"/>
    <w:rsid w:val="001679E0"/>
    <w:rsid w:val="001701A5"/>
    <w:rsid w:val="0017190E"/>
    <w:rsid w:val="00171AE7"/>
    <w:rsid w:val="00171B26"/>
    <w:rsid w:val="00171E18"/>
    <w:rsid w:val="0017258E"/>
    <w:rsid w:val="0017277D"/>
    <w:rsid w:val="0017331A"/>
    <w:rsid w:val="00174ABE"/>
    <w:rsid w:val="00174CB7"/>
    <w:rsid w:val="001756B5"/>
    <w:rsid w:val="0017605B"/>
    <w:rsid w:val="0017663D"/>
    <w:rsid w:val="00176AF3"/>
    <w:rsid w:val="00181735"/>
    <w:rsid w:val="00182AC7"/>
    <w:rsid w:val="00184175"/>
    <w:rsid w:val="001843F2"/>
    <w:rsid w:val="00185F87"/>
    <w:rsid w:val="001865D3"/>
    <w:rsid w:val="00187E15"/>
    <w:rsid w:val="001900CC"/>
    <w:rsid w:val="00190B86"/>
    <w:rsid w:val="00194207"/>
    <w:rsid w:val="00194306"/>
    <w:rsid w:val="00196BDF"/>
    <w:rsid w:val="00197039"/>
    <w:rsid w:val="001972BB"/>
    <w:rsid w:val="00197A57"/>
    <w:rsid w:val="001A0E56"/>
    <w:rsid w:val="001A3962"/>
    <w:rsid w:val="001A618C"/>
    <w:rsid w:val="001A64CE"/>
    <w:rsid w:val="001A7041"/>
    <w:rsid w:val="001B0506"/>
    <w:rsid w:val="001B35A0"/>
    <w:rsid w:val="001B5143"/>
    <w:rsid w:val="001B6762"/>
    <w:rsid w:val="001B6E1B"/>
    <w:rsid w:val="001C032E"/>
    <w:rsid w:val="001C1137"/>
    <w:rsid w:val="001C147E"/>
    <w:rsid w:val="001C2220"/>
    <w:rsid w:val="001C2291"/>
    <w:rsid w:val="001C2508"/>
    <w:rsid w:val="001C27EC"/>
    <w:rsid w:val="001C3117"/>
    <w:rsid w:val="001C334F"/>
    <w:rsid w:val="001C361E"/>
    <w:rsid w:val="001C3CDF"/>
    <w:rsid w:val="001C3F0A"/>
    <w:rsid w:val="001C518A"/>
    <w:rsid w:val="001C54FE"/>
    <w:rsid w:val="001C605D"/>
    <w:rsid w:val="001C61BB"/>
    <w:rsid w:val="001C6DF0"/>
    <w:rsid w:val="001C743D"/>
    <w:rsid w:val="001D05E0"/>
    <w:rsid w:val="001D2127"/>
    <w:rsid w:val="001D219B"/>
    <w:rsid w:val="001D5529"/>
    <w:rsid w:val="001D59D7"/>
    <w:rsid w:val="001D6454"/>
    <w:rsid w:val="001D7A1B"/>
    <w:rsid w:val="001E38BF"/>
    <w:rsid w:val="001E460C"/>
    <w:rsid w:val="001E4A33"/>
    <w:rsid w:val="001E6921"/>
    <w:rsid w:val="001F0B15"/>
    <w:rsid w:val="001F0DED"/>
    <w:rsid w:val="001F0F0B"/>
    <w:rsid w:val="001F1180"/>
    <w:rsid w:val="001F1BB8"/>
    <w:rsid w:val="001F1EA0"/>
    <w:rsid w:val="001F2CE8"/>
    <w:rsid w:val="001F2DFC"/>
    <w:rsid w:val="001F5232"/>
    <w:rsid w:val="001F5267"/>
    <w:rsid w:val="001F53B1"/>
    <w:rsid w:val="001F6BC3"/>
    <w:rsid w:val="00201325"/>
    <w:rsid w:val="00202114"/>
    <w:rsid w:val="00203BF8"/>
    <w:rsid w:val="0020467D"/>
    <w:rsid w:val="0021029D"/>
    <w:rsid w:val="002104E1"/>
    <w:rsid w:val="00210BEA"/>
    <w:rsid w:val="00210EE4"/>
    <w:rsid w:val="00212F99"/>
    <w:rsid w:val="00214B5C"/>
    <w:rsid w:val="002152D2"/>
    <w:rsid w:val="00215735"/>
    <w:rsid w:val="002169E7"/>
    <w:rsid w:val="00216B72"/>
    <w:rsid w:val="002171AA"/>
    <w:rsid w:val="0022022A"/>
    <w:rsid w:val="002208F9"/>
    <w:rsid w:val="0022093F"/>
    <w:rsid w:val="00220C86"/>
    <w:rsid w:val="00221937"/>
    <w:rsid w:val="00222279"/>
    <w:rsid w:val="00222C54"/>
    <w:rsid w:val="00222DC4"/>
    <w:rsid w:val="00223144"/>
    <w:rsid w:val="002234F9"/>
    <w:rsid w:val="00223595"/>
    <w:rsid w:val="00225448"/>
    <w:rsid w:val="002258BD"/>
    <w:rsid w:val="002266F0"/>
    <w:rsid w:val="00226AC3"/>
    <w:rsid w:val="002301DB"/>
    <w:rsid w:val="002304BE"/>
    <w:rsid w:val="002304E2"/>
    <w:rsid w:val="00233911"/>
    <w:rsid w:val="00234027"/>
    <w:rsid w:val="00235CAB"/>
    <w:rsid w:val="00235F2B"/>
    <w:rsid w:val="00236B30"/>
    <w:rsid w:val="00236CEE"/>
    <w:rsid w:val="00236EF8"/>
    <w:rsid w:val="00237035"/>
    <w:rsid w:val="002444C1"/>
    <w:rsid w:val="00244EC3"/>
    <w:rsid w:val="0024509A"/>
    <w:rsid w:val="00246F24"/>
    <w:rsid w:val="002473D7"/>
    <w:rsid w:val="0024785D"/>
    <w:rsid w:val="00247BA9"/>
    <w:rsid w:val="00247C6D"/>
    <w:rsid w:val="00251850"/>
    <w:rsid w:val="00251D56"/>
    <w:rsid w:val="00252096"/>
    <w:rsid w:val="002526E6"/>
    <w:rsid w:val="0025286E"/>
    <w:rsid w:val="002534AE"/>
    <w:rsid w:val="002535B1"/>
    <w:rsid w:val="00253A0B"/>
    <w:rsid w:val="0025783E"/>
    <w:rsid w:val="00257A2E"/>
    <w:rsid w:val="002602BF"/>
    <w:rsid w:val="00260FBA"/>
    <w:rsid w:val="00261173"/>
    <w:rsid w:val="00261196"/>
    <w:rsid w:val="00261774"/>
    <w:rsid w:val="00261D24"/>
    <w:rsid w:val="00262C33"/>
    <w:rsid w:val="00262EEB"/>
    <w:rsid w:val="00264ED8"/>
    <w:rsid w:val="0026611B"/>
    <w:rsid w:val="002665BC"/>
    <w:rsid w:val="00267780"/>
    <w:rsid w:val="002677AB"/>
    <w:rsid w:val="00272027"/>
    <w:rsid w:val="00272900"/>
    <w:rsid w:val="00273F63"/>
    <w:rsid w:val="00274AE4"/>
    <w:rsid w:val="002763C5"/>
    <w:rsid w:val="002810E1"/>
    <w:rsid w:val="00284EE0"/>
    <w:rsid w:val="002850BD"/>
    <w:rsid w:val="002873EC"/>
    <w:rsid w:val="00287C62"/>
    <w:rsid w:val="00287EE2"/>
    <w:rsid w:val="00291784"/>
    <w:rsid w:val="00291E51"/>
    <w:rsid w:val="002921E1"/>
    <w:rsid w:val="00293848"/>
    <w:rsid w:val="002943E7"/>
    <w:rsid w:val="00296D1E"/>
    <w:rsid w:val="002A024B"/>
    <w:rsid w:val="002A041E"/>
    <w:rsid w:val="002A0DA5"/>
    <w:rsid w:val="002A1C7C"/>
    <w:rsid w:val="002A1E30"/>
    <w:rsid w:val="002A2A34"/>
    <w:rsid w:val="002A33CB"/>
    <w:rsid w:val="002A35C7"/>
    <w:rsid w:val="002A3712"/>
    <w:rsid w:val="002A4166"/>
    <w:rsid w:val="002A4B7D"/>
    <w:rsid w:val="002A583D"/>
    <w:rsid w:val="002A60FE"/>
    <w:rsid w:val="002A7430"/>
    <w:rsid w:val="002A7438"/>
    <w:rsid w:val="002B5341"/>
    <w:rsid w:val="002B6E99"/>
    <w:rsid w:val="002B70B6"/>
    <w:rsid w:val="002B72AE"/>
    <w:rsid w:val="002B7CB7"/>
    <w:rsid w:val="002C0EE9"/>
    <w:rsid w:val="002C1074"/>
    <w:rsid w:val="002C1086"/>
    <w:rsid w:val="002C1D24"/>
    <w:rsid w:val="002C1E19"/>
    <w:rsid w:val="002C3FAA"/>
    <w:rsid w:val="002D0C11"/>
    <w:rsid w:val="002D18CD"/>
    <w:rsid w:val="002D4D7C"/>
    <w:rsid w:val="002D5063"/>
    <w:rsid w:val="002D5919"/>
    <w:rsid w:val="002D62A7"/>
    <w:rsid w:val="002E08B7"/>
    <w:rsid w:val="002E14E0"/>
    <w:rsid w:val="002E16A6"/>
    <w:rsid w:val="002E1DEE"/>
    <w:rsid w:val="002E73D5"/>
    <w:rsid w:val="002E77F8"/>
    <w:rsid w:val="002E780C"/>
    <w:rsid w:val="002F0F0D"/>
    <w:rsid w:val="002F15CF"/>
    <w:rsid w:val="002F1B68"/>
    <w:rsid w:val="002F3CE6"/>
    <w:rsid w:val="002F4D77"/>
    <w:rsid w:val="002F689D"/>
    <w:rsid w:val="002F6ABD"/>
    <w:rsid w:val="002F73B7"/>
    <w:rsid w:val="002F74C2"/>
    <w:rsid w:val="002F7BEB"/>
    <w:rsid w:val="00300681"/>
    <w:rsid w:val="00300C37"/>
    <w:rsid w:val="00300C9F"/>
    <w:rsid w:val="00301322"/>
    <w:rsid w:val="00301F9A"/>
    <w:rsid w:val="00302378"/>
    <w:rsid w:val="00303462"/>
    <w:rsid w:val="00304B12"/>
    <w:rsid w:val="00304D36"/>
    <w:rsid w:val="00305870"/>
    <w:rsid w:val="0030780D"/>
    <w:rsid w:val="00307FBA"/>
    <w:rsid w:val="00310074"/>
    <w:rsid w:val="0031143C"/>
    <w:rsid w:val="00312797"/>
    <w:rsid w:val="00312CDC"/>
    <w:rsid w:val="0031664C"/>
    <w:rsid w:val="003229C7"/>
    <w:rsid w:val="003230AA"/>
    <w:rsid w:val="00323C26"/>
    <w:rsid w:val="00323FBF"/>
    <w:rsid w:val="00325B62"/>
    <w:rsid w:val="0032614B"/>
    <w:rsid w:val="003267D2"/>
    <w:rsid w:val="00326CBC"/>
    <w:rsid w:val="003304CE"/>
    <w:rsid w:val="00330E6C"/>
    <w:rsid w:val="0033112B"/>
    <w:rsid w:val="003318F5"/>
    <w:rsid w:val="0033196A"/>
    <w:rsid w:val="00331CF7"/>
    <w:rsid w:val="003330E6"/>
    <w:rsid w:val="00334AC4"/>
    <w:rsid w:val="00335267"/>
    <w:rsid w:val="00335FE4"/>
    <w:rsid w:val="00336111"/>
    <w:rsid w:val="003363DE"/>
    <w:rsid w:val="00342F83"/>
    <w:rsid w:val="00344789"/>
    <w:rsid w:val="00345E88"/>
    <w:rsid w:val="0034602F"/>
    <w:rsid w:val="00346344"/>
    <w:rsid w:val="003472FB"/>
    <w:rsid w:val="00350B49"/>
    <w:rsid w:val="00350B9B"/>
    <w:rsid w:val="00350E4E"/>
    <w:rsid w:val="00351318"/>
    <w:rsid w:val="003520FB"/>
    <w:rsid w:val="0035275D"/>
    <w:rsid w:val="00353778"/>
    <w:rsid w:val="00353C48"/>
    <w:rsid w:val="00353D3E"/>
    <w:rsid w:val="003543EA"/>
    <w:rsid w:val="003575EC"/>
    <w:rsid w:val="003611A2"/>
    <w:rsid w:val="003612D5"/>
    <w:rsid w:val="00362226"/>
    <w:rsid w:val="00362706"/>
    <w:rsid w:val="00362A78"/>
    <w:rsid w:val="003632E7"/>
    <w:rsid w:val="0036362D"/>
    <w:rsid w:val="003640DC"/>
    <w:rsid w:val="00364D13"/>
    <w:rsid w:val="00364F05"/>
    <w:rsid w:val="00365167"/>
    <w:rsid w:val="0036584D"/>
    <w:rsid w:val="00365E31"/>
    <w:rsid w:val="003671EB"/>
    <w:rsid w:val="0037125B"/>
    <w:rsid w:val="003716DB"/>
    <w:rsid w:val="003727A3"/>
    <w:rsid w:val="00372BD5"/>
    <w:rsid w:val="00372D77"/>
    <w:rsid w:val="003736EF"/>
    <w:rsid w:val="00373CE6"/>
    <w:rsid w:val="00374357"/>
    <w:rsid w:val="0037616B"/>
    <w:rsid w:val="00376562"/>
    <w:rsid w:val="00377C47"/>
    <w:rsid w:val="00377E36"/>
    <w:rsid w:val="0038143A"/>
    <w:rsid w:val="00382401"/>
    <w:rsid w:val="0038272D"/>
    <w:rsid w:val="003830CE"/>
    <w:rsid w:val="0038432D"/>
    <w:rsid w:val="003846AC"/>
    <w:rsid w:val="00386461"/>
    <w:rsid w:val="00387769"/>
    <w:rsid w:val="00390AA1"/>
    <w:rsid w:val="00390F48"/>
    <w:rsid w:val="00392BA4"/>
    <w:rsid w:val="00393634"/>
    <w:rsid w:val="003938D1"/>
    <w:rsid w:val="0039422C"/>
    <w:rsid w:val="00396AAB"/>
    <w:rsid w:val="00396F92"/>
    <w:rsid w:val="003979EE"/>
    <w:rsid w:val="003A00EB"/>
    <w:rsid w:val="003A01FD"/>
    <w:rsid w:val="003A21F8"/>
    <w:rsid w:val="003A2639"/>
    <w:rsid w:val="003A321A"/>
    <w:rsid w:val="003A452E"/>
    <w:rsid w:val="003A47D0"/>
    <w:rsid w:val="003A4FD4"/>
    <w:rsid w:val="003A594E"/>
    <w:rsid w:val="003A5FC9"/>
    <w:rsid w:val="003B1071"/>
    <w:rsid w:val="003B1379"/>
    <w:rsid w:val="003B270E"/>
    <w:rsid w:val="003B2901"/>
    <w:rsid w:val="003B2EF4"/>
    <w:rsid w:val="003B3359"/>
    <w:rsid w:val="003B6DC2"/>
    <w:rsid w:val="003B6F36"/>
    <w:rsid w:val="003B7BCF"/>
    <w:rsid w:val="003C00EF"/>
    <w:rsid w:val="003C10E0"/>
    <w:rsid w:val="003C15E7"/>
    <w:rsid w:val="003C1985"/>
    <w:rsid w:val="003C1C18"/>
    <w:rsid w:val="003C20C3"/>
    <w:rsid w:val="003C23C2"/>
    <w:rsid w:val="003C36AC"/>
    <w:rsid w:val="003C44FD"/>
    <w:rsid w:val="003C4BB2"/>
    <w:rsid w:val="003C59B4"/>
    <w:rsid w:val="003C7A0A"/>
    <w:rsid w:val="003C7F00"/>
    <w:rsid w:val="003D0017"/>
    <w:rsid w:val="003D2CB7"/>
    <w:rsid w:val="003D33FC"/>
    <w:rsid w:val="003D3643"/>
    <w:rsid w:val="003D3B28"/>
    <w:rsid w:val="003D77C9"/>
    <w:rsid w:val="003E0DA3"/>
    <w:rsid w:val="003E1CB0"/>
    <w:rsid w:val="003E24CB"/>
    <w:rsid w:val="003E2D64"/>
    <w:rsid w:val="003E2EEF"/>
    <w:rsid w:val="003E32C2"/>
    <w:rsid w:val="003E376F"/>
    <w:rsid w:val="003E3874"/>
    <w:rsid w:val="003E3D92"/>
    <w:rsid w:val="003E5A41"/>
    <w:rsid w:val="003E62CB"/>
    <w:rsid w:val="003E67AC"/>
    <w:rsid w:val="003E67CD"/>
    <w:rsid w:val="003E685D"/>
    <w:rsid w:val="003E6FDE"/>
    <w:rsid w:val="003E701B"/>
    <w:rsid w:val="003E751D"/>
    <w:rsid w:val="003F1C15"/>
    <w:rsid w:val="003F1DE7"/>
    <w:rsid w:val="003F2F86"/>
    <w:rsid w:val="003F3CE4"/>
    <w:rsid w:val="003F4982"/>
    <w:rsid w:val="003F4DE8"/>
    <w:rsid w:val="003F5615"/>
    <w:rsid w:val="003F5DBB"/>
    <w:rsid w:val="003F64F7"/>
    <w:rsid w:val="003F6CE2"/>
    <w:rsid w:val="003F6D81"/>
    <w:rsid w:val="003F70F3"/>
    <w:rsid w:val="003F7782"/>
    <w:rsid w:val="003F7DE9"/>
    <w:rsid w:val="003F7ED0"/>
    <w:rsid w:val="0040090A"/>
    <w:rsid w:val="00400EEA"/>
    <w:rsid w:val="004014EA"/>
    <w:rsid w:val="004015CF"/>
    <w:rsid w:val="00401777"/>
    <w:rsid w:val="0040367D"/>
    <w:rsid w:val="0040424E"/>
    <w:rsid w:val="00406272"/>
    <w:rsid w:val="004074E2"/>
    <w:rsid w:val="004107A9"/>
    <w:rsid w:val="00411338"/>
    <w:rsid w:val="00411595"/>
    <w:rsid w:val="00411A4E"/>
    <w:rsid w:val="00411B83"/>
    <w:rsid w:val="00411FA1"/>
    <w:rsid w:val="00412522"/>
    <w:rsid w:val="0041279F"/>
    <w:rsid w:val="004128AD"/>
    <w:rsid w:val="00413187"/>
    <w:rsid w:val="00413600"/>
    <w:rsid w:val="00413F30"/>
    <w:rsid w:val="0041413A"/>
    <w:rsid w:val="0041496B"/>
    <w:rsid w:val="004168BD"/>
    <w:rsid w:val="00420169"/>
    <w:rsid w:val="00423EFE"/>
    <w:rsid w:val="00424853"/>
    <w:rsid w:val="00425499"/>
    <w:rsid w:val="00425802"/>
    <w:rsid w:val="00425C84"/>
    <w:rsid w:val="00426FE2"/>
    <w:rsid w:val="00427F80"/>
    <w:rsid w:val="0043087E"/>
    <w:rsid w:val="00430C58"/>
    <w:rsid w:val="004318B0"/>
    <w:rsid w:val="00431E57"/>
    <w:rsid w:val="00431EB8"/>
    <w:rsid w:val="00433214"/>
    <w:rsid w:val="004337C3"/>
    <w:rsid w:val="00433C52"/>
    <w:rsid w:val="00434DFD"/>
    <w:rsid w:val="00436F48"/>
    <w:rsid w:val="004379F1"/>
    <w:rsid w:val="00440446"/>
    <w:rsid w:val="00441A71"/>
    <w:rsid w:val="00441FA6"/>
    <w:rsid w:val="0044243D"/>
    <w:rsid w:val="00442620"/>
    <w:rsid w:val="00443853"/>
    <w:rsid w:val="004442C8"/>
    <w:rsid w:val="0044586D"/>
    <w:rsid w:val="00447C1F"/>
    <w:rsid w:val="00450F22"/>
    <w:rsid w:val="004511A7"/>
    <w:rsid w:val="004519B2"/>
    <w:rsid w:val="00454C3B"/>
    <w:rsid w:val="004555F7"/>
    <w:rsid w:val="00455B25"/>
    <w:rsid w:val="004575CD"/>
    <w:rsid w:val="004607AD"/>
    <w:rsid w:val="00460CA1"/>
    <w:rsid w:val="00461997"/>
    <w:rsid w:val="00461F0F"/>
    <w:rsid w:val="0046229F"/>
    <w:rsid w:val="00462C3B"/>
    <w:rsid w:val="00463504"/>
    <w:rsid w:val="00464306"/>
    <w:rsid w:val="00465F36"/>
    <w:rsid w:val="00465F6A"/>
    <w:rsid w:val="00466184"/>
    <w:rsid w:val="00466224"/>
    <w:rsid w:val="0047159A"/>
    <w:rsid w:val="004715E8"/>
    <w:rsid w:val="00473189"/>
    <w:rsid w:val="004731C1"/>
    <w:rsid w:val="00473571"/>
    <w:rsid w:val="0047414E"/>
    <w:rsid w:val="004769D3"/>
    <w:rsid w:val="00477BDE"/>
    <w:rsid w:val="00480B9C"/>
    <w:rsid w:val="00480E2C"/>
    <w:rsid w:val="0048206C"/>
    <w:rsid w:val="004820E9"/>
    <w:rsid w:val="00483203"/>
    <w:rsid w:val="0048361F"/>
    <w:rsid w:val="004849A2"/>
    <w:rsid w:val="00484A81"/>
    <w:rsid w:val="00484FA2"/>
    <w:rsid w:val="00484FE9"/>
    <w:rsid w:val="00485B88"/>
    <w:rsid w:val="00490731"/>
    <w:rsid w:val="004914C0"/>
    <w:rsid w:val="00491E4B"/>
    <w:rsid w:val="00491EF8"/>
    <w:rsid w:val="004922DC"/>
    <w:rsid w:val="00493DDC"/>
    <w:rsid w:val="0049499A"/>
    <w:rsid w:val="00495D54"/>
    <w:rsid w:val="00496163"/>
    <w:rsid w:val="00496B45"/>
    <w:rsid w:val="00497762"/>
    <w:rsid w:val="004A03B3"/>
    <w:rsid w:val="004A08B0"/>
    <w:rsid w:val="004A0A3E"/>
    <w:rsid w:val="004A0BCB"/>
    <w:rsid w:val="004A1343"/>
    <w:rsid w:val="004A2455"/>
    <w:rsid w:val="004A2F97"/>
    <w:rsid w:val="004A3059"/>
    <w:rsid w:val="004A32D4"/>
    <w:rsid w:val="004A464C"/>
    <w:rsid w:val="004A5731"/>
    <w:rsid w:val="004A6C87"/>
    <w:rsid w:val="004A781F"/>
    <w:rsid w:val="004A7AAD"/>
    <w:rsid w:val="004B2324"/>
    <w:rsid w:val="004B2A11"/>
    <w:rsid w:val="004B3126"/>
    <w:rsid w:val="004B3AE8"/>
    <w:rsid w:val="004B40A7"/>
    <w:rsid w:val="004B4705"/>
    <w:rsid w:val="004B514C"/>
    <w:rsid w:val="004B689E"/>
    <w:rsid w:val="004B6AAE"/>
    <w:rsid w:val="004C190A"/>
    <w:rsid w:val="004C57BD"/>
    <w:rsid w:val="004C5A30"/>
    <w:rsid w:val="004C6AF3"/>
    <w:rsid w:val="004C75A1"/>
    <w:rsid w:val="004C7AF4"/>
    <w:rsid w:val="004D02F2"/>
    <w:rsid w:val="004D0312"/>
    <w:rsid w:val="004D04AE"/>
    <w:rsid w:val="004D04D5"/>
    <w:rsid w:val="004D0782"/>
    <w:rsid w:val="004D108E"/>
    <w:rsid w:val="004D3DBF"/>
    <w:rsid w:val="004D4789"/>
    <w:rsid w:val="004D4F06"/>
    <w:rsid w:val="004D5411"/>
    <w:rsid w:val="004D6649"/>
    <w:rsid w:val="004D6CB1"/>
    <w:rsid w:val="004D7BFC"/>
    <w:rsid w:val="004E3393"/>
    <w:rsid w:val="004E365E"/>
    <w:rsid w:val="004E398C"/>
    <w:rsid w:val="004E3F64"/>
    <w:rsid w:val="004E41E9"/>
    <w:rsid w:val="004E4D85"/>
    <w:rsid w:val="004E577E"/>
    <w:rsid w:val="004F00E1"/>
    <w:rsid w:val="004F08DF"/>
    <w:rsid w:val="004F0C69"/>
    <w:rsid w:val="004F16D2"/>
    <w:rsid w:val="004F16EF"/>
    <w:rsid w:val="004F2E9C"/>
    <w:rsid w:val="004F3C3C"/>
    <w:rsid w:val="004F3EB6"/>
    <w:rsid w:val="004F570E"/>
    <w:rsid w:val="004F5E4A"/>
    <w:rsid w:val="004F635C"/>
    <w:rsid w:val="00501CD4"/>
    <w:rsid w:val="00503454"/>
    <w:rsid w:val="005044B2"/>
    <w:rsid w:val="0050585E"/>
    <w:rsid w:val="005068F6"/>
    <w:rsid w:val="005075D0"/>
    <w:rsid w:val="00507B1B"/>
    <w:rsid w:val="00507EA9"/>
    <w:rsid w:val="00510AD4"/>
    <w:rsid w:val="00511B55"/>
    <w:rsid w:val="005153DA"/>
    <w:rsid w:val="0051585B"/>
    <w:rsid w:val="005160ED"/>
    <w:rsid w:val="00520158"/>
    <w:rsid w:val="005210EB"/>
    <w:rsid w:val="0052171D"/>
    <w:rsid w:val="0052197B"/>
    <w:rsid w:val="00522739"/>
    <w:rsid w:val="005260DE"/>
    <w:rsid w:val="00526C07"/>
    <w:rsid w:val="00530CA5"/>
    <w:rsid w:val="005316F6"/>
    <w:rsid w:val="00531A7C"/>
    <w:rsid w:val="00531D52"/>
    <w:rsid w:val="00532CFD"/>
    <w:rsid w:val="005332AA"/>
    <w:rsid w:val="00533852"/>
    <w:rsid w:val="0053387C"/>
    <w:rsid w:val="005343E7"/>
    <w:rsid w:val="00534FCB"/>
    <w:rsid w:val="00535D22"/>
    <w:rsid w:val="00536884"/>
    <w:rsid w:val="00537C29"/>
    <w:rsid w:val="00537C7B"/>
    <w:rsid w:val="005402F2"/>
    <w:rsid w:val="005405BD"/>
    <w:rsid w:val="005406D2"/>
    <w:rsid w:val="00541416"/>
    <w:rsid w:val="00542CC7"/>
    <w:rsid w:val="00542FA2"/>
    <w:rsid w:val="005447B1"/>
    <w:rsid w:val="00544AF7"/>
    <w:rsid w:val="00550103"/>
    <w:rsid w:val="00550369"/>
    <w:rsid w:val="00551755"/>
    <w:rsid w:val="00553D4C"/>
    <w:rsid w:val="00554FAB"/>
    <w:rsid w:val="00555A7D"/>
    <w:rsid w:val="00557F0B"/>
    <w:rsid w:val="00560D5C"/>
    <w:rsid w:val="005614AA"/>
    <w:rsid w:val="00562B0D"/>
    <w:rsid w:val="0056390F"/>
    <w:rsid w:val="00563DC1"/>
    <w:rsid w:val="0056409A"/>
    <w:rsid w:val="00564155"/>
    <w:rsid w:val="005667F0"/>
    <w:rsid w:val="00566E5D"/>
    <w:rsid w:val="005703B3"/>
    <w:rsid w:val="005712AC"/>
    <w:rsid w:val="005717CD"/>
    <w:rsid w:val="00573319"/>
    <w:rsid w:val="00573DB1"/>
    <w:rsid w:val="00574FBB"/>
    <w:rsid w:val="00575E0E"/>
    <w:rsid w:val="00576642"/>
    <w:rsid w:val="00576FC8"/>
    <w:rsid w:val="00577906"/>
    <w:rsid w:val="00582055"/>
    <w:rsid w:val="00582B39"/>
    <w:rsid w:val="00583CA2"/>
    <w:rsid w:val="00584031"/>
    <w:rsid w:val="005843B7"/>
    <w:rsid w:val="005849E1"/>
    <w:rsid w:val="005860F4"/>
    <w:rsid w:val="00586245"/>
    <w:rsid w:val="0058647B"/>
    <w:rsid w:val="005866B1"/>
    <w:rsid w:val="00586A6C"/>
    <w:rsid w:val="00586E3C"/>
    <w:rsid w:val="005878C0"/>
    <w:rsid w:val="005901E7"/>
    <w:rsid w:val="005903E1"/>
    <w:rsid w:val="00590D9C"/>
    <w:rsid w:val="0059343C"/>
    <w:rsid w:val="00593EE4"/>
    <w:rsid w:val="00595F02"/>
    <w:rsid w:val="0059795B"/>
    <w:rsid w:val="00597DD5"/>
    <w:rsid w:val="005A2166"/>
    <w:rsid w:val="005A3215"/>
    <w:rsid w:val="005A32FB"/>
    <w:rsid w:val="005A4024"/>
    <w:rsid w:val="005A5E10"/>
    <w:rsid w:val="005A6194"/>
    <w:rsid w:val="005A6D39"/>
    <w:rsid w:val="005A7292"/>
    <w:rsid w:val="005A7522"/>
    <w:rsid w:val="005A7979"/>
    <w:rsid w:val="005B095A"/>
    <w:rsid w:val="005B3256"/>
    <w:rsid w:val="005B32DA"/>
    <w:rsid w:val="005B4CAC"/>
    <w:rsid w:val="005B5A85"/>
    <w:rsid w:val="005B5FC0"/>
    <w:rsid w:val="005B6217"/>
    <w:rsid w:val="005B66C9"/>
    <w:rsid w:val="005B6942"/>
    <w:rsid w:val="005B7CE2"/>
    <w:rsid w:val="005C0474"/>
    <w:rsid w:val="005C051F"/>
    <w:rsid w:val="005C0835"/>
    <w:rsid w:val="005C0861"/>
    <w:rsid w:val="005C128C"/>
    <w:rsid w:val="005C3643"/>
    <w:rsid w:val="005C489E"/>
    <w:rsid w:val="005C60E3"/>
    <w:rsid w:val="005C6740"/>
    <w:rsid w:val="005C68F9"/>
    <w:rsid w:val="005C762E"/>
    <w:rsid w:val="005D098C"/>
    <w:rsid w:val="005D1455"/>
    <w:rsid w:val="005D1A24"/>
    <w:rsid w:val="005D49C3"/>
    <w:rsid w:val="005D4BD0"/>
    <w:rsid w:val="005D4D7D"/>
    <w:rsid w:val="005D729C"/>
    <w:rsid w:val="005D78EC"/>
    <w:rsid w:val="005E0E07"/>
    <w:rsid w:val="005E1E00"/>
    <w:rsid w:val="005E20F2"/>
    <w:rsid w:val="005E2CA6"/>
    <w:rsid w:val="005E4492"/>
    <w:rsid w:val="005E572B"/>
    <w:rsid w:val="005E6D91"/>
    <w:rsid w:val="005E7222"/>
    <w:rsid w:val="005E7232"/>
    <w:rsid w:val="005F050C"/>
    <w:rsid w:val="005F05E6"/>
    <w:rsid w:val="005F0F6C"/>
    <w:rsid w:val="005F1312"/>
    <w:rsid w:val="005F1715"/>
    <w:rsid w:val="005F3805"/>
    <w:rsid w:val="005F6694"/>
    <w:rsid w:val="005F67E1"/>
    <w:rsid w:val="005F7A74"/>
    <w:rsid w:val="006002CC"/>
    <w:rsid w:val="00602633"/>
    <w:rsid w:val="00603B75"/>
    <w:rsid w:val="00603E56"/>
    <w:rsid w:val="00604250"/>
    <w:rsid w:val="00604D23"/>
    <w:rsid w:val="00604DCB"/>
    <w:rsid w:val="00605DDA"/>
    <w:rsid w:val="0060662A"/>
    <w:rsid w:val="0060729E"/>
    <w:rsid w:val="00614BDA"/>
    <w:rsid w:val="00614FA4"/>
    <w:rsid w:val="00617519"/>
    <w:rsid w:val="00621232"/>
    <w:rsid w:val="0062250A"/>
    <w:rsid w:val="006226E9"/>
    <w:rsid w:val="00623B5D"/>
    <w:rsid w:val="006247ED"/>
    <w:rsid w:val="00624F54"/>
    <w:rsid w:val="00625120"/>
    <w:rsid w:val="00625B3A"/>
    <w:rsid w:val="00625C57"/>
    <w:rsid w:val="006309FE"/>
    <w:rsid w:val="00632632"/>
    <w:rsid w:val="00632918"/>
    <w:rsid w:val="00632AFF"/>
    <w:rsid w:val="006331B4"/>
    <w:rsid w:val="0063330E"/>
    <w:rsid w:val="006338C6"/>
    <w:rsid w:val="006343F3"/>
    <w:rsid w:val="006344A2"/>
    <w:rsid w:val="0063491A"/>
    <w:rsid w:val="0063517B"/>
    <w:rsid w:val="00635334"/>
    <w:rsid w:val="006365B7"/>
    <w:rsid w:val="0064116A"/>
    <w:rsid w:val="006414A4"/>
    <w:rsid w:val="00641E68"/>
    <w:rsid w:val="00642906"/>
    <w:rsid w:val="006433D7"/>
    <w:rsid w:val="00644481"/>
    <w:rsid w:val="0064474D"/>
    <w:rsid w:val="00644A63"/>
    <w:rsid w:val="00645DFB"/>
    <w:rsid w:val="0064619B"/>
    <w:rsid w:val="00646609"/>
    <w:rsid w:val="00647CF9"/>
    <w:rsid w:val="006507E2"/>
    <w:rsid w:val="00651745"/>
    <w:rsid w:val="00651ED9"/>
    <w:rsid w:val="006534BA"/>
    <w:rsid w:val="00653B98"/>
    <w:rsid w:val="006555FB"/>
    <w:rsid w:val="00655F27"/>
    <w:rsid w:val="00656A93"/>
    <w:rsid w:val="006571D4"/>
    <w:rsid w:val="00657947"/>
    <w:rsid w:val="006603FF"/>
    <w:rsid w:val="00660AD5"/>
    <w:rsid w:val="00661574"/>
    <w:rsid w:val="00662761"/>
    <w:rsid w:val="006644B8"/>
    <w:rsid w:val="00664AEA"/>
    <w:rsid w:val="0066719C"/>
    <w:rsid w:val="006673E9"/>
    <w:rsid w:val="00667817"/>
    <w:rsid w:val="00670A52"/>
    <w:rsid w:val="006710AD"/>
    <w:rsid w:val="006713F2"/>
    <w:rsid w:val="00672C78"/>
    <w:rsid w:val="00673B67"/>
    <w:rsid w:val="006743D7"/>
    <w:rsid w:val="00676842"/>
    <w:rsid w:val="00677576"/>
    <w:rsid w:val="00677C7D"/>
    <w:rsid w:val="00680B94"/>
    <w:rsid w:val="006812FA"/>
    <w:rsid w:val="0068278A"/>
    <w:rsid w:val="0068295A"/>
    <w:rsid w:val="00682AC1"/>
    <w:rsid w:val="0069027A"/>
    <w:rsid w:val="00690D34"/>
    <w:rsid w:val="00690D58"/>
    <w:rsid w:val="006919C1"/>
    <w:rsid w:val="00692318"/>
    <w:rsid w:val="006924A1"/>
    <w:rsid w:val="006925D4"/>
    <w:rsid w:val="00692D41"/>
    <w:rsid w:val="006931A6"/>
    <w:rsid w:val="00693BE1"/>
    <w:rsid w:val="00694B6C"/>
    <w:rsid w:val="00695A64"/>
    <w:rsid w:val="00695E43"/>
    <w:rsid w:val="0069616B"/>
    <w:rsid w:val="006962E2"/>
    <w:rsid w:val="00696AE7"/>
    <w:rsid w:val="006A026B"/>
    <w:rsid w:val="006A049A"/>
    <w:rsid w:val="006A27B1"/>
    <w:rsid w:val="006A3A9A"/>
    <w:rsid w:val="006A4173"/>
    <w:rsid w:val="006A682C"/>
    <w:rsid w:val="006A721F"/>
    <w:rsid w:val="006A778F"/>
    <w:rsid w:val="006B2900"/>
    <w:rsid w:val="006B2B08"/>
    <w:rsid w:val="006B3906"/>
    <w:rsid w:val="006B4EE7"/>
    <w:rsid w:val="006B52E9"/>
    <w:rsid w:val="006B6D08"/>
    <w:rsid w:val="006B73D4"/>
    <w:rsid w:val="006B7A9F"/>
    <w:rsid w:val="006C0B90"/>
    <w:rsid w:val="006C1555"/>
    <w:rsid w:val="006C1EC1"/>
    <w:rsid w:val="006C24D4"/>
    <w:rsid w:val="006C28EC"/>
    <w:rsid w:val="006C3994"/>
    <w:rsid w:val="006C3B5A"/>
    <w:rsid w:val="006C3BA4"/>
    <w:rsid w:val="006C4148"/>
    <w:rsid w:val="006C4B5F"/>
    <w:rsid w:val="006C6615"/>
    <w:rsid w:val="006C6657"/>
    <w:rsid w:val="006C71ED"/>
    <w:rsid w:val="006C76F0"/>
    <w:rsid w:val="006D01D2"/>
    <w:rsid w:val="006D11EE"/>
    <w:rsid w:val="006D327C"/>
    <w:rsid w:val="006D32FE"/>
    <w:rsid w:val="006D3C25"/>
    <w:rsid w:val="006D5B42"/>
    <w:rsid w:val="006D6A9E"/>
    <w:rsid w:val="006D6D6D"/>
    <w:rsid w:val="006D73F1"/>
    <w:rsid w:val="006D78AA"/>
    <w:rsid w:val="006E0684"/>
    <w:rsid w:val="006E0800"/>
    <w:rsid w:val="006E0F0C"/>
    <w:rsid w:val="006E1EE8"/>
    <w:rsid w:val="006E2F24"/>
    <w:rsid w:val="006E3058"/>
    <w:rsid w:val="006E3E81"/>
    <w:rsid w:val="006E4FFF"/>
    <w:rsid w:val="006E5852"/>
    <w:rsid w:val="006E5A1A"/>
    <w:rsid w:val="006E69FD"/>
    <w:rsid w:val="006E7540"/>
    <w:rsid w:val="006F0943"/>
    <w:rsid w:val="006F2D2D"/>
    <w:rsid w:val="006F3BA7"/>
    <w:rsid w:val="006F49ED"/>
    <w:rsid w:val="006F53D0"/>
    <w:rsid w:val="006F6EDD"/>
    <w:rsid w:val="006F7427"/>
    <w:rsid w:val="006F7C93"/>
    <w:rsid w:val="00700134"/>
    <w:rsid w:val="00700653"/>
    <w:rsid w:val="00701F38"/>
    <w:rsid w:val="00701F86"/>
    <w:rsid w:val="00704228"/>
    <w:rsid w:val="007058DE"/>
    <w:rsid w:val="00705B48"/>
    <w:rsid w:val="007069FD"/>
    <w:rsid w:val="00707634"/>
    <w:rsid w:val="0071262D"/>
    <w:rsid w:val="007131FD"/>
    <w:rsid w:val="00713703"/>
    <w:rsid w:val="007145AF"/>
    <w:rsid w:val="007146C6"/>
    <w:rsid w:val="00714801"/>
    <w:rsid w:val="0071653E"/>
    <w:rsid w:val="00716B82"/>
    <w:rsid w:val="0071705F"/>
    <w:rsid w:val="0071776E"/>
    <w:rsid w:val="0072097C"/>
    <w:rsid w:val="00721A38"/>
    <w:rsid w:val="00721D63"/>
    <w:rsid w:val="007233E1"/>
    <w:rsid w:val="00723471"/>
    <w:rsid w:val="0072355A"/>
    <w:rsid w:val="00723822"/>
    <w:rsid w:val="00723E52"/>
    <w:rsid w:val="0072756B"/>
    <w:rsid w:val="007277C3"/>
    <w:rsid w:val="00727F39"/>
    <w:rsid w:val="007306FE"/>
    <w:rsid w:val="00730A01"/>
    <w:rsid w:val="00731119"/>
    <w:rsid w:val="007321F6"/>
    <w:rsid w:val="00732519"/>
    <w:rsid w:val="00736054"/>
    <w:rsid w:val="00737F9C"/>
    <w:rsid w:val="0074057B"/>
    <w:rsid w:val="00740B96"/>
    <w:rsid w:val="00742412"/>
    <w:rsid w:val="0074244E"/>
    <w:rsid w:val="007441E8"/>
    <w:rsid w:val="00744958"/>
    <w:rsid w:val="0074564C"/>
    <w:rsid w:val="00745D38"/>
    <w:rsid w:val="00745D48"/>
    <w:rsid w:val="00747240"/>
    <w:rsid w:val="00747F73"/>
    <w:rsid w:val="00750300"/>
    <w:rsid w:val="007506F1"/>
    <w:rsid w:val="00750FDF"/>
    <w:rsid w:val="00751C97"/>
    <w:rsid w:val="00753278"/>
    <w:rsid w:val="007532FA"/>
    <w:rsid w:val="00753702"/>
    <w:rsid w:val="00753DD2"/>
    <w:rsid w:val="00754805"/>
    <w:rsid w:val="00754FE7"/>
    <w:rsid w:val="00756C73"/>
    <w:rsid w:val="00760489"/>
    <w:rsid w:val="00762DFD"/>
    <w:rsid w:val="00763C19"/>
    <w:rsid w:val="0076410F"/>
    <w:rsid w:val="00765402"/>
    <w:rsid w:val="00765982"/>
    <w:rsid w:val="00765C20"/>
    <w:rsid w:val="00767BF1"/>
    <w:rsid w:val="007704F9"/>
    <w:rsid w:val="007710C1"/>
    <w:rsid w:val="0077233A"/>
    <w:rsid w:val="00772D66"/>
    <w:rsid w:val="00773341"/>
    <w:rsid w:val="00774A37"/>
    <w:rsid w:val="00775F44"/>
    <w:rsid w:val="007760E0"/>
    <w:rsid w:val="007762A0"/>
    <w:rsid w:val="00776C6D"/>
    <w:rsid w:val="007806BC"/>
    <w:rsid w:val="00780AC5"/>
    <w:rsid w:val="00780F4F"/>
    <w:rsid w:val="00781EE9"/>
    <w:rsid w:val="00781FC0"/>
    <w:rsid w:val="00782CE6"/>
    <w:rsid w:val="00785D60"/>
    <w:rsid w:val="007901BA"/>
    <w:rsid w:val="00791FC6"/>
    <w:rsid w:val="00793A33"/>
    <w:rsid w:val="007943C1"/>
    <w:rsid w:val="00794EDD"/>
    <w:rsid w:val="00795134"/>
    <w:rsid w:val="00795EC6"/>
    <w:rsid w:val="00796C5D"/>
    <w:rsid w:val="00796E16"/>
    <w:rsid w:val="00797391"/>
    <w:rsid w:val="007975E3"/>
    <w:rsid w:val="007A01B4"/>
    <w:rsid w:val="007A153D"/>
    <w:rsid w:val="007A174B"/>
    <w:rsid w:val="007A2502"/>
    <w:rsid w:val="007A2CB0"/>
    <w:rsid w:val="007A343B"/>
    <w:rsid w:val="007A3D09"/>
    <w:rsid w:val="007A4836"/>
    <w:rsid w:val="007A4EEE"/>
    <w:rsid w:val="007A50E4"/>
    <w:rsid w:val="007A55AA"/>
    <w:rsid w:val="007A5C48"/>
    <w:rsid w:val="007A5E39"/>
    <w:rsid w:val="007A6297"/>
    <w:rsid w:val="007A6299"/>
    <w:rsid w:val="007A64BD"/>
    <w:rsid w:val="007A6B3D"/>
    <w:rsid w:val="007B0A16"/>
    <w:rsid w:val="007B1493"/>
    <w:rsid w:val="007B1653"/>
    <w:rsid w:val="007B1F98"/>
    <w:rsid w:val="007B3264"/>
    <w:rsid w:val="007B4364"/>
    <w:rsid w:val="007B4AA2"/>
    <w:rsid w:val="007B5BCA"/>
    <w:rsid w:val="007B5BE2"/>
    <w:rsid w:val="007B60E3"/>
    <w:rsid w:val="007B7138"/>
    <w:rsid w:val="007C01C9"/>
    <w:rsid w:val="007C1039"/>
    <w:rsid w:val="007C22B8"/>
    <w:rsid w:val="007C24B1"/>
    <w:rsid w:val="007C2563"/>
    <w:rsid w:val="007C28D6"/>
    <w:rsid w:val="007C3DB2"/>
    <w:rsid w:val="007C4E7B"/>
    <w:rsid w:val="007D035C"/>
    <w:rsid w:val="007D29AC"/>
    <w:rsid w:val="007D2BEF"/>
    <w:rsid w:val="007D312A"/>
    <w:rsid w:val="007D3823"/>
    <w:rsid w:val="007D4EB6"/>
    <w:rsid w:val="007D4F66"/>
    <w:rsid w:val="007D51D3"/>
    <w:rsid w:val="007D5A09"/>
    <w:rsid w:val="007D5CFD"/>
    <w:rsid w:val="007E085B"/>
    <w:rsid w:val="007E1862"/>
    <w:rsid w:val="007E26AF"/>
    <w:rsid w:val="007E2911"/>
    <w:rsid w:val="007E30D7"/>
    <w:rsid w:val="007E32E3"/>
    <w:rsid w:val="007E3FC9"/>
    <w:rsid w:val="007E47AF"/>
    <w:rsid w:val="007E488E"/>
    <w:rsid w:val="007E4D26"/>
    <w:rsid w:val="007E5BB4"/>
    <w:rsid w:val="007E61EF"/>
    <w:rsid w:val="007E70F3"/>
    <w:rsid w:val="007E7E92"/>
    <w:rsid w:val="007F0297"/>
    <w:rsid w:val="007F033A"/>
    <w:rsid w:val="007F133B"/>
    <w:rsid w:val="007F1DDE"/>
    <w:rsid w:val="007F1EB1"/>
    <w:rsid w:val="007F20DE"/>
    <w:rsid w:val="007F2CF3"/>
    <w:rsid w:val="007F3703"/>
    <w:rsid w:val="007F43C0"/>
    <w:rsid w:val="007F4BCF"/>
    <w:rsid w:val="007F50E4"/>
    <w:rsid w:val="007F5C2F"/>
    <w:rsid w:val="007F5EBF"/>
    <w:rsid w:val="007F608F"/>
    <w:rsid w:val="007F6264"/>
    <w:rsid w:val="007F6D8E"/>
    <w:rsid w:val="008002F6"/>
    <w:rsid w:val="008006E1"/>
    <w:rsid w:val="00800B10"/>
    <w:rsid w:val="00800E15"/>
    <w:rsid w:val="00801127"/>
    <w:rsid w:val="00801CDA"/>
    <w:rsid w:val="00801CE7"/>
    <w:rsid w:val="00803201"/>
    <w:rsid w:val="00803401"/>
    <w:rsid w:val="00803566"/>
    <w:rsid w:val="00805249"/>
    <w:rsid w:val="00806411"/>
    <w:rsid w:val="008067CC"/>
    <w:rsid w:val="00807302"/>
    <w:rsid w:val="00810246"/>
    <w:rsid w:val="00811C63"/>
    <w:rsid w:val="0081242D"/>
    <w:rsid w:val="00812859"/>
    <w:rsid w:val="0081302B"/>
    <w:rsid w:val="00813CBB"/>
    <w:rsid w:val="0081404B"/>
    <w:rsid w:val="00814545"/>
    <w:rsid w:val="00814ACF"/>
    <w:rsid w:val="00814DC4"/>
    <w:rsid w:val="008155B8"/>
    <w:rsid w:val="00816438"/>
    <w:rsid w:val="008172FF"/>
    <w:rsid w:val="00820254"/>
    <w:rsid w:val="00821A50"/>
    <w:rsid w:val="0082290C"/>
    <w:rsid w:val="00822E2D"/>
    <w:rsid w:val="00822F84"/>
    <w:rsid w:val="00823101"/>
    <w:rsid w:val="00823245"/>
    <w:rsid w:val="0082494E"/>
    <w:rsid w:val="008257D0"/>
    <w:rsid w:val="00825CF1"/>
    <w:rsid w:val="008262F0"/>
    <w:rsid w:val="008264E1"/>
    <w:rsid w:val="00826CEA"/>
    <w:rsid w:val="00826F87"/>
    <w:rsid w:val="0082762B"/>
    <w:rsid w:val="008276C6"/>
    <w:rsid w:val="00830574"/>
    <w:rsid w:val="00830E8B"/>
    <w:rsid w:val="00832637"/>
    <w:rsid w:val="0083311F"/>
    <w:rsid w:val="00833530"/>
    <w:rsid w:val="00834BD4"/>
    <w:rsid w:val="00834CF4"/>
    <w:rsid w:val="00834E04"/>
    <w:rsid w:val="008360CA"/>
    <w:rsid w:val="00837F3F"/>
    <w:rsid w:val="00841801"/>
    <w:rsid w:val="008418E2"/>
    <w:rsid w:val="00841DA7"/>
    <w:rsid w:val="00842938"/>
    <w:rsid w:val="00842AE0"/>
    <w:rsid w:val="00842F97"/>
    <w:rsid w:val="00843ACE"/>
    <w:rsid w:val="00844908"/>
    <w:rsid w:val="00845818"/>
    <w:rsid w:val="00845876"/>
    <w:rsid w:val="00846004"/>
    <w:rsid w:val="00846A26"/>
    <w:rsid w:val="00847699"/>
    <w:rsid w:val="008505C3"/>
    <w:rsid w:val="00850CE0"/>
    <w:rsid w:val="00851284"/>
    <w:rsid w:val="00851327"/>
    <w:rsid w:val="0085146E"/>
    <w:rsid w:val="00851B01"/>
    <w:rsid w:val="00851C5A"/>
    <w:rsid w:val="00851F9F"/>
    <w:rsid w:val="008526E0"/>
    <w:rsid w:val="00852DD9"/>
    <w:rsid w:val="0085385F"/>
    <w:rsid w:val="008540A5"/>
    <w:rsid w:val="00854ABF"/>
    <w:rsid w:val="008562CB"/>
    <w:rsid w:val="008568AF"/>
    <w:rsid w:val="0086069C"/>
    <w:rsid w:val="00860DF8"/>
    <w:rsid w:val="00861A08"/>
    <w:rsid w:val="00862C0C"/>
    <w:rsid w:val="00862D4D"/>
    <w:rsid w:val="00863ED1"/>
    <w:rsid w:val="00864190"/>
    <w:rsid w:val="0086466C"/>
    <w:rsid w:val="008646BE"/>
    <w:rsid w:val="00864C06"/>
    <w:rsid w:val="0086578F"/>
    <w:rsid w:val="00865951"/>
    <w:rsid w:val="008665D1"/>
    <w:rsid w:val="0086681D"/>
    <w:rsid w:val="0086684B"/>
    <w:rsid w:val="008668DA"/>
    <w:rsid w:val="00870849"/>
    <w:rsid w:val="00870BAE"/>
    <w:rsid w:val="00871CA2"/>
    <w:rsid w:val="00872E7B"/>
    <w:rsid w:val="008747BE"/>
    <w:rsid w:val="00875718"/>
    <w:rsid w:val="00875DCB"/>
    <w:rsid w:val="00876006"/>
    <w:rsid w:val="00876619"/>
    <w:rsid w:val="00880F0F"/>
    <w:rsid w:val="00882F2D"/>
    <w:rsid w:val="0088313D"/>
    <w:rsid w:val="00883312"/>
    <w:rsid w:val="008848FC"/>
    <w:rsid w:val="0088535E"/>
    <w:rsid w:val="008853CB"/>
    <w:rsid w:val="0088573F"/>
    <w:rsid w:val="008862D9"/>
    <w:rsid w:val="008867E5"/>
    <w:rsid w:val="00886892"/>
    <w:rsid w:val="00886E98"/>
    <w:rsid w:val="0089180F"/>
    <w:rsid w:val="00891CD8"/>
    <w:rsid w:val="00891D13"/>
    <w:rsid w:val="00892D1E"/>
    <w:rsid w:val="00894B5A"/>
    <w:rsid w:val="00895287"/>
    <w:rsid w:val="00896ADA"/>
    <w:rsid w:val="00896C24"/>
    <w:rsid w:val="008A0C0B"/>
    <w:rsid w:val="008A2281"/>
    <w:rsid w:val="008A2F24"/>
    <w:rsid w:val="008A3CB5"/>
    <w:rsid w:val="008A3FCB"/>
    <w:rsid w:val="008A42E8"/>
    <w:rsid w:val="008A6141"/>
    <w:rsid w:val="008A6557"/>
    <w:rsid w:val="008A658E"/>
    <w:rsid w:val="008A6789"/>
    <w:rsid w:val="008A68EF"/>
    <w:rsid w:val="008A695E"/>
    <w:rsid w:val="008A6ADE"/>
    <w:rsid w:val="008B0C13"/>
    <w:rsid w:val="008B0CDE"/>
    <w:rsid w:val="008B2F18"/>
    <w:rsid w:val="008B34A8"/>
    <w:rsid w:val="008B4DC4"/>
    <w:rsid w:val="008B50E4"/>
    <w:rsid w:val="008B5622"/>
    <w:rsid w:val="008B5DF8"/>
    <w:rsid w:val="008B687E"/>
    <w:rsid w:val="008B6ACB"/>
    <w:rsid w:val="008B7081"/>
    <w:rsid w:val="008B738F"/>
    <w:rsid w:val="008B7B1B"/>
    <w:rsid w:val="008C33B5"/>
    <w:rsid w:val="008C344C"/>
    <w:rsid w:val="008C36C7"/>
    <w:rsid w:val="008C394C"/>
    <w:rsid w:val="008C3E01"/>
    <w:rsid w:val="008C6329"/>
    <w:rsid w:val="008C6EA3"/>
    <w:rsid w:val="008C763D"/>
    <w:rsid w:val="008C782E"/>
    <w:rsid w:val="008C7FF5"/>
    <w:rsid w:val="008D0AFF"/>
    <w:rsid w:val="008D0E36"/>
    <w:rsid w:val="008D133A"/>
    <w:rsid w:val="008D37A0"/>
    <w:rsid w:val="008D38BF"/>
    <w:rsid w:val="008D3D22"/>
    <w:rsid w:val="008D433D"/>
    <w:rsid w:val="008D4C27"/>
    <w:rsid w:val="008D4FB7"/>
    <w:rsid w:val="008D5710"/>
    <w:rsid w:val="008D5BC8"/>
    <w:rsid w:val="008D6069"/>
    <w:rsid w:val="008D742D"/>
    <w:rsid w:val="008D7B59"/>
    <w:rsid w:val="008E0DB9"/>
    <w:rsid w:val="008E212C"/>
    <w:rsid w:val="008E2204"/>
    <w:rsid w:val="008E2618"/>
    <w:rsid w:val="008E3325"/>
    <w:rsid w:val="008E39EA"/>
    <w:rsid w:val="008E42B4"/>
    <w:rsid w:val="008E65EF"/>
    <w:rsid w:val="008E6E64"/>
    <w:rsid w:val="008E7585"/>
    <w:rsid w:val="008E79B5"/>
    <w:rsid w:val="008F1B99"/>
    <w:rsid w:val="008F1CFD"/>
    <w:rsid w:val="008F3CDD"/>
    <w:rsid w:val="008F47BE"/>
    <w:rsid w:val="008F519A"/>
    <w:rsid w:val="008F5743"/>
    <w:rsid w:val="008F595E"/>
    <w:rsid w:val="008F684E"/>
    <w:rsid w:val="009001C1"/>
    <w:rsid w:val="00901352"/>
    <w:rsid w:val="009015B0"/>
    <w:rsid w:val="009029FD"/>
    <w:rsid w:val="00903459"/>
    <w:rsid w:val="009042D0"/>
    <w:rsid w:val="00904674"/>
    <w:rsid w:val="00904AD5"/>
    <w:rsid w:val="009059E9"/>
    <w:rsid w:val="00906E03"/>
    <w:rsid w:val="00911607"/>
    <w:rsid w:val="00911A17"/>
    <w:rsid w:val="00912EF2"/>
    <w:rsid w:val="009136B2"/>
    <w:rsid w:val="00915139"/>
    <w:rsid w:val="00915179"/>
    <w:rsid w:val="00917691"/>
    <w:rsid w:val="00917E36"/>
    <w:rsid w:val="00920145"/>
    <w:rsid w:val="00920421"/>
    <w:rsid w:val="00921354"/>
    <w:rsid w:val="0092154E"/>
    <w:rsid w:val="00921775"/>
    <w:rsid w:val="0093006C"/>
    <w:rsid w:val="009307CC"/>
    <w:rsid w:val="009319D9"/>
    <w:rsid w:val="00932683"/>
    <w:rsid w:val="00932A13"/>
    <w:rsid w:val="00932CA5"/>
    <w:rsid w:val="009334BF"/>
    <w:rsid w:val="009337C3"/>
    <w:rsid w:val="00934924"/>
    <w:rsid w:val="00935BB6"/>
    <w:rsid w:val="00935D82"/>
    <w:rsid w:val="00936927"/>
    <w:rsid w:val="009373D6"/>
    <w:rsid w:val="0094043A"/>
    <w:rsid w:val="00940561"/>
    <w:rsid w:val="00940ED3"/>
    <w:rsid w:val="00941542"/>
    <w:rsid w:val="0094366C"/>
    <w:rsid w:val="00943E33"/>
    <w:rsid w:val="0094475D"/>
    <w:rsid w:val="00945444"/>
    <w:rsid w:val="00946278"/>
    <w:rsid w:val="00947CE9"/>
    <w:rsid w:val="00950674"/>
    <w:rsid w:val="00952827"/>
    <w:rsid w:val="00952EDD"/>
    <w:rsid w:val="00953ADF"/>
    <w:rsid w:val="00954DE7"/>
    <w:rsid w:val="00955E23"/>
    <w:rsid w:val="00955F10"/>
    <w:rsid w:val="009572DF"/>
    <w:rsid w:val="00957576"/>
    <w:rsid w:val="0096127F"/>
    <w:rsid w:val="009612F9"/>
    <w:rsid w:val="00961D7E"/>
    <w:rsid w:val="00962C7D"/>
    <w:rsid w:val="00963BAB"/>
    <w:rsid w:val="00963C9A"/>
    <w:rsid w:val="0097000A"/>
    <w:rsid w:val="00971131"/>
    <w:rsid w:val="00971776"/>
    <w:rsid w:val="00971936"/>
    <w:rsid w:val="00971F5B"/>
    <w:rsid w:val="00972403"/>
    <w:rsid w:val="00975B04"/>
    <w:rsid w:val="009769A5"/>
    <w:rsid w:val="00977243"/>
    <w:rsid w:val="0098135A"/>
    <w:rsid w:val="009813D5"/>
    <w:rsid w:val="00981CCE"/>
    <w:rsid w:val="0098226B"/>
    <w:rsid w:val="0098254B"/>
    <w:rsid w:val="009833C9"/>
    <w:rsid w:val="009834D7"/>
    <w:rsid w:val="00984174"/>
    <w:rsid w:val="009853C7"/>
    <w:rsid w:val="009863BB"/>
    <w:rsid w:val="00986667"/>
    <w:rsid w:val="009871F3"/>
    <w:rsid w:val="009921C3"/>
    <w:rsid w:val="00992AD5"/>
    <w:rsid w:val="00993A61"/>
    <w:rsid w:val="00993CDC"/>
    <w:rsid w:val="00993EAF"/>
    <w:rsid w:val="00994A6D"/>
    <w:rsid w:val="00995DE9"/>
    <w:rsid w:val="0099644D"/>
    <w:rsid w:val="00997317"/>
    <w:rsid w:val="009A0289"/>
    <w:rsid w:val="009A06B3"/>
    <w:rsid w:val="009A4298"/>
    <w:rsid w:val="009A453D"/>
    <w:rsid w:val="009A4944"/>
    <w:rsid w:val="009A50B4"/>
    <w:rsid w:val="009A565A"/>
    <w:rsid w:val="009A6336"/>
    <w:rsid w:val="009B08A3"/>
    <w:rsid w:val="009B0D02"/>
    <w:rsid w:val="009B1583"/>
    <w:rsid w:val="009B1634"/>
    <w:rsid w:val="009B1811"/>
    <w:rsid w:val="009B1D56"/>
    <w:rsid w:val="009B32FB"/>
    <w:rsid w:val="009B621A"/>
    <w:rsid w:val="009B6D85"/>
    <w:rsid w:val="009C0081"/>
    <w:rsid w:val="009C1663"/>
    <w:rsid w:val="009C1C8B"/>
    <w:rsid w:val="009C23A5"/>
    <w:rsid w:val="009C2EAB"/>
    <w:rsid w:val="009C324E"/>
    <w:rsid w:val="009C3D88"/>
    <w:rsid w:val="009C45D9"/>
    <w:rsid w:val="009C46A8"/>
    <w:rsid w:val="009C5121"/>
    <w:rsid w:val="009C5596"/>
    <w:rsid w:val="009C578D"/>
    <w:rsid w:val="009C5813"/>
    <w:rsid w:val="009C671B"/>
    <w:rsid w:val="009C6E2D"/>
    <w:rsid w:val="009C742F"/>
    <w:rsid w:val="009D0091"/>
    <w:rsid w:val="009D0102"/>
    <w:rsid w:val="009D1148"/>
    <w:rsid w:val="009D1249"/>
    <w:rsid w:val="009D1B59"/>
    <w:rsid w:val="009D458F"/>
    <w:rsid w:val="009D4670"/>
    <w:rsid w:val="009D487D"/>
    <w:rsid w:val="009D49AC"/>
    <w:rsid w:val="009D50C3"/>
    <w:rsid w:val="009D527E"/>
    <w:rsid w:val="009D6B24"/>
    <w:rsid w:val="009E1C08"/>
    <w:rsid w:val="009E1E42"/>
    <w:rsid w:val="009E3EE9"/>
    <w:rsid w:val="009E4E7B"/>
    <w:rsid w:val="009E63D6"/>
    <w:rsid w:val="009E6607"/>
    <w:rsid w:val="009F0366"/>
    <w:rsid w:val="009F056D"/>
    <w:rsid w:val="009F0B3C"/>
    <w:rsid w:val="009F19E8"/>
    <w:rsid w:val="009F2418"/>
    <w:rsid w:val="009F27EE"/>
    <w:rsid w:val="009F4418"/>
    <w:rsid w:val="009F5643"/>
    <w:rsid w:val="009F6434"/>
    <w:rsid w:val="009F67A5"/>
    <w:rsid w:val="009F76C4"/>
    <w:rsid w:val="00A00599"/>
    <w:rsid w:val="00A006E3"/>
    <w:rsid w:val="00A01468"/>
    <w:rsid w:val="00A01B30"/>
    <w:rsid w:val="00A02AB7"/>
    <w:rsid w:val="00A037A7"/>
    <w:rsid w:val="00A04225"/>
    <w:rsid w:val="00A047C7"/>
    <w:rsid w:val="00A04AAB"/>
    <w:rsid w:val="00A0528E"/>
    <w:rsid w:val="00A06657"/>
    <w:rsid w:val="00A06B94"/>
    <w:rsid w:val="00A129EA"/>
    <w:rsid w:val="00A129F3"/>
    <w:rsid w:val="00A12B24"/>
    <w:rsid w:val="00A1344F"/>
    <w:rsid w:val="00A13B9A"/>
    <w:rsid w:val="00A14A38"/>
    <w:rsid w:val="00A15051"/>
    <w:rsid w:val="00A16167"/>
    <w:rsid w:val="00A16E0E"/>
    <w:rsid w:val="00A20E56"/>
    <w:rsid w:val="00A21CEE"/>
    <w:rsid w:val="00A225E1"/>
    <w:rsid w:val="00A23E66"/>
    <w:rsid w:val="00A24B78"/>
    <w:rsid w:val="00A24C1C"/>
    <w:rsid w:val="00A256B5"/>
    <w:rsid w:val="00A26B6A"/>
    <w:rsid w:val="00A26EF0"/>
    <w:rsid w:val="00A30A07"/>
    <w:rsid w:val="00A30C97"/>
    <w:rsid w:val="00A31C4C"/>
    <w:rsid w:val="00A32142"/>
    <w:rsid w:val="00A3237A"/>
    <w:rsid w:val="00A323A5"/>
    <w:rsid w:val="00A332F8"/>
    <w:rsid w:val="00A3472E"/>
    <w:rsid w:val="00A34F4E"/>
    <w:rsid w:val="00A356A3"/>
    <w:rsid w:val="00A36575"/>
    <w:rsid w:val="00A36D2A"/>
    <w:rsid w:val="00A41578"/>
    <w:rsid w:val="00A41F31"/>
    <w:rsid w:val="00A4343E"/>
    <w:rsid w:val="00A446B4"/>
    <w:rsid w:val="00A457E9"/>
    <w:rsid w:val="00A464EF"/>
    <w:rsid w:val="00A504A8"/>
    <w:rsid w:val="00A514D9"/>
    <w:rsid w:val="00A537D7"/>
    <w:rsid w:val="00A541E6"/>
    <w:rsid w:val="00A54B04"/>
    <w:rsid w:val="00A55095"/>
    <w:rsid w:val="00A57C73"/>
    <w:rsid w:val="00A57DF7"/>
    <w:rsid w:val="00A600A9"/>
    <w:rsid w:val="00A60A09"/>
    <w:rsid w:val="00A62883"/>
    <w:rsid w:val="00A64E31"/>
    <w:rsid w:val="00A6586A"/>
    <w:rsid w:val="00A668E3"/>
    <w:rsid w:val="00A67398"/>
    <w:rsid w:val="00A72615"/>
    <w:rsid w:val="00A72ADA"/>
    <w:rsid w:val="00A73D2C"/>
    <w:rsid w:val="00A74804"/>
    <w:rsid w:val="00A74AFC"/>
    <w:rsid w:val="00A755DD"/>
    <w:rsid w:val="00A76175"/>
    <w:rsid w:val="00A76350"/>
    <w:rsid w:val="00A7677C"/>
    <w:rsid w:val="00A77A4A"/>
    <w:rsid w:val="00A77B69"/>
    <w:rsid w:val="00A77BD6"/>
    <w:rsid w:val="00A804CC"/>
    <w:rsid w:val="00A8068F"/>
    <w:rsid w:val="00A806D1"/>
    <w:rsid w:val="00A8073D"/>
    <w:rsid w:val="00A820E1"/>
    <w:rsid w:val="00A83677"/>
    <w:rsid w:val="00A83EF6"/>
    <w:rsid w:val="00A851ED"/>
    <w:rsid w:val="00A851EF"/>
    <w:rsid w:val="00A8652E"/>
    <w:rsid w:val="00A86C9D"/>
    <w:rsid w:val="00A86CE7"/>
    <w:rsid w:val="00A86D3D"/>
    <w:rsid w:val="00A870FB"/>
    <w:rsid w:val="00A90707"/>
    <w:rsid w:val="00A90ECD"/>
    <w:rsid w:val="00A91575"/>
    <w:rsid w:val="00A918AB"/>
    <w:rsid w:val="00A9264E"/>
    <w:rsid w:val="00A93E8C"/>
    <w:rsid w:val="00A946DC"/>
    <w:rsid w:val="00A95542"/>
    <w:rsid w:val="00A955EC"/>
    <w:rsid w:val="00A956DE"/>
    <w:rsid w:val="00A95AE2"/>
    <w:rsid w:val="00A9745C"/>
    <w:rsid w:val="00A97DE4"/>
    <w:rsid w:val="00AA05FD"/>
    <w:rsid w:val="00AA15CF"/>
    <w:rsid w:val="00AA178B"/>
    <w:rsid w:val="00AA1F6A"/>
    <w:rsid w:val="00AA2C62"/>
    <w:rsid w:val="00AA2DC7"/>
    <w:rsid w:val="00AA42B5"/>
    <w:rsid w:val="00AA4B51"/>
    <w:rsid w:val="00AA4DC9"/>
    <w:rsid w:val="00AA5CC9"/>
    <w:rsid w:val="00AB03A0"/>
    <w:rsid w:val="00AB0752"/>
    <w:rsid w:val="00AB09A3"/>
    <w:rsid w:val="00AB0DCC"/>
    <w:rsid w:val="00AB13CB"/>
    <w:rsid w:val="00AB1881"/>
    <w:rsid w:val="00AB2948"/>
    <w:rsid w:val="00AB39FA"/>
    <w:rsid w:val="00AB3F66"/>
    <w:rsid w:val="00AB7A36"/>
    <w:rsid w:val="00AB7A65"/>
    <w:rsid w:val="00AC28D3"/>
    <w:rsid w:val="00AC3B10"/>
    <w:rsid w:val="00AC4AAB"/>
    <w:rsid w:val="00AC4B97"/>
    <w:rsid w:val="00AC4D4A"/>
    <w:rsid w:val="00AC5707"/>
    <w:rsid w:val="00AC6E81"/>
    <w:rsid w:val="00AC7548"/>
    <w:rsid w:val="00AD02F5"/>
    <w:rsid w:val="00AD0480"/>
    <w:rsid w:val="00AD06F8"/>
    <w:rsid w:val="00AD0AC2"/>
    <w:rsid w:val="00AD25DB"/>
    <w:rsid w:val="00AD30C7"/>
    <w:rsid w:val="00AD3158"/>
    <w:rsid w:val="00AD4FFC"/>
    <w:rsid w:val="00AD5CB7"/>
    <w:rsid w:val="00AD5E0B"/>
    <w:rsid w:val="00AD5ED3"/>
    <w:rsid w:val="00AD6933"/>
    <w:rsid w:val="00AD6B7B"/>
    <w:rsid w:val="00AD7C2A"/>
    <w:rsid w:val="00AE1246"/>
    <w:rsid w:val="00AE5783"/>
    <w:rsid w:val="00AE5D37"/>
    <w:rsid w:val="00AE741A"/>
    <w:rsid w:val="00AE78D2"/>
    <w:rsid w:val="00AF072B"/>
    <w:rsid w:val="00AF126F"/>
    <w:rsid w:val="00AF304B"/>
    <w:rsid w:val="00AF3D8B"/>
    <w:rsid w:val="00AF3F41"/>
    <w:rsid w:val="00AF599C"/>
    <w:rsid w:val="00AF690C"/>
    <w:rsid w:val="00AF73B5"/>
    <w:rsid w:val="00B00BAC"/>
    <w:rsid w:val="00B030B1"/>
    <w:rsid w:val="00B03D8D"/>
    <w:rsid w:val="00B0463B"/>
    <w:rsid w:val="00B04CD7"/>
    <w:rsid w:val="00B051CB"/>
    <w:rsid w:val="00B05CA9"/>
    <w:rsid w:val="00B069DC"/>
    <w:rsid w:val="00B10988"/>
    <w:rsid w:val="00B10D56"/>
    <w:rsid w:val="00B13B4D"/>
    <w:rsid w:val="00B1476A"/>
    <w:rsid w:val="00B15262"/>
    <w:rsid w:val="00B15B17"/>
    <w:rsid w:val="00B165B5"/>
    <w:rsid w:val="00B1769E"/>
    <w:rsid w:val="00B20F8C"/>
    <w:rsid w:val="00B22776"/>
    <w:rsid w:val="00B23A80"/>
    <w:rsid w:val="00B2495F"/>
    <w:rsid w:val="00B2513E"/>
    <w:rsid w:val="00B26985"/>
    <w:rsid w:val="00B27458"/>
    <w:rsid w:val="00B3278C"/>
    <w:rsid w:val="00B34201"/>
    <w:rsid w:val="00B346D1"/>
    <w:rsid w:val="00B367AF"/>
    <w:rsid w:val="00B37BFB"/>
    <w:rsid w:val="00B40F41"/>
    <w:rsid w:val="00B416ED"/>
    <w:rsid w:val="00B41915"/>
    <w:rsid w:val="00B41FA9"/>
    <w:rsid w:val="00B4289C"/>
    <w:rsid w:val="00B43457"/>
    <w:rsid w:val="00B44771"/>
    <w:rsid w:val="00B44A10"/>
    <w:rsid w:val="00B453ED"/>
    <w:rsid w:val="00B4567E"/>
    <w:rsid w:val="00B45872"/>
    <w:rsid w:val="00B46082"/>
    <w:rsid w:val="00B46A4F"/>
    <w:rsid w:val="00B47A5C"/>
    <w:rsid w:val="00B47D4B"/>
    <w:rsid w:val="00B50228"/>
    <w:rsid w:val="00B514EE"/>
    <w:rsid w:val="00B518AB"/>
    <w:rsid w:val="00B51F4B"/>
    <w:rsid w:val="00B52680"/>
    <w:rsid w:val="00B534A1"/>
    <w:rsid w:val="00B5388B"/>
    <w:rsid w:val="00B54D54"/>
    <w:rsid w:val="00B56EBC"/>
    <w:rsid w:val="00B572D2"/>
    <w:rsid w:val="00B60D70"/>
    <w:rsid w:val="00B62591"/>
    <w:rsid w:val="00B648A0"/>
    <w:rsid w:val="00B67531"/>
    <w:rsid w:val="00B67689"/>
    <w:rsid w:val="00B67BE9"/>
    <w:rsid w:val="00B709B2"/>
    <w:rsid w:val="00B70CAB"/>
    <w:rsid w:val="00B70DCA"/>
    <w:rsid w:val="00B711C7"/>
    <w:rsid w:val="00B713A9"/>
    <w:rsid w:val="00B7201B"/>
    <w:rsid w:val="00B72560"/>
    <w:rsid w:val="00B728E6"/>
    <w:rsid w:val="00B73BB8"/>
    <w:rsid w:val="00B73F69"/>
    <w:rsid w:val="00B7538E"/>
    <w:rsid w:val="00B80111"/>
    <w:rsid w:val="00B8030B"/>
    <w:rsid w:val="00B80ED8"/>
    <w:rsid w:val="00B8163D"/>
    <w:rsid w:val="00B81F45"/>
    <w:rsid w:val="00B82066"/>
    <w:rsid w:val="00B83937"/>
    <w:rsid w:val="00B84BC1"/>
    <w:rsid w:val="00B86CCC"/>
    <w:rsid w:val="00B8737F"/>
    <w:rsid w:val="00B87751"/>
    <w:rsid w:val="00B87DFB"/>
    <w:rsid w:val="00B908A7"/>
    <w:rsid w:val="00B9353D"/>
    <w:rsid w:val="00B9410B"/>
    <w:rsid w:val="00B941B6"/>
    <w:rsid w:val="00B94305"/>
    <w:rsid w:val="00B95AE1"/>
    <w:rsid w:val="00B961F6"/>
    <w:rsid w:val="00BA0120"/>
    <w:rsid w:val="00BA0179"/>
    <w:rsid w:val="00BA0477"/>
    <w:rsid w:val="00BA0857"/>
    <w:rsid w:val="00BA144D"/>
    <w:rsid w:val="00BA19B8"/>
    <w:rsid w:val="00BA1F5C"/>
    <w:rsid w:val="00BA31D2"/>
    <w:rsid w:val="00BA3981"/>
    <w:rsid w:val="00BA4384"/>
    <w:rsid w:val="00BA51AD"/>
    <w:rsid w:val="00BA51EA"/>
    <w:rsid w:val="00BA589F"/>
    <w:rsid w:val="00BA6852"/>
    <w:rsid w:val="00BB047B"/>
    <w:rsid w:val="00BB1C73"/>
    <w:rsid w:val="00BB2085"/>
    <w:rsid w:val="00BB22C6"/>
    <w:rsid w:val="00BB2FA8"/>
    <w:rsid w:val="00BB4463"/>
    <w:rsid w:val="00BB44AB"/>
    <w:rsid w:val="00BB5ABD"/>
    <w:rsid w:val="00BB5D82"/>
    <w:rsid w:val="00BB6398"/>
    <w:rsid w:val="00BB639C"/>
    <w:rsid w:val="00BC07E6"/>
    <w:rsid w:val="00BC0E86"/>
    <w:rsid w:val="00BC2050"/>
    <w:rsid w:val="00BC20EF"/>
    <w:rsid w:val="00BC2124"/>
    <w:rsid w:val="00BC261B"/>
    <w:rsid w:val="00BC4CC4"/>
    <w:rsid w:val="00BC5669"/>
    <w:rsid w:val="00BC66CF"/>
    <w:rsid w:val="00BC767A"/>
    <w:rsid w:val="00BD0372"/>
    <w:rsid w:val="00BD12F9"/>
    <w:rsid w:val="00BD1D24"/>
    <w:rsid w:val="00BD246E"/>
    <w:rsid w:val="00BD32DB"/>
    <w:rsid w:val="00BD350C"/>
    <w:rsid w:val="00BD374A"/>
    <w:rsid w:val="00BD4C20"/>
    <w:rsid w:val="00BD4CF6"/>
    <w:rsid w:val="00BD4EEB"/>
    <w:rsid w:val="00BD5E8F"/>
    <w:rsid w:val="00BD7CA4"/>
    <w:rsid w:val="00BE012B"/>
    <w:rsid w:val="00BE0CEF"/>
    <w:rsid w:val="00BE3F8E"/>
    <w:rsid w:val="00BF05E7"/>
    <w:rsid w:val="00BF2384"/>
    <w:rsid w:val="00BF3FBB"/>
    <w:rsid w:val="00BF4768"/>
    <w:rsid w:val="00BF49C2"/>
    <w:rsid w:val="00BF61B1"/>
    <w:rsid w:val="00BF6573"/>
    <w:rsid w:val="00BF6900"/>
    <w:rsid w:val="00BF6FC5"/>
    <w:rsid w:val="00BF70A8"/>
    <w:rsid w:val="00BF744E"/>
    <w:rsid w:val="00C02F4B"/>
    <w:rsid w:val="00C05DE5"/>
    <w:rsid w:val="00C068AC"/>
    <w:rsid w:val="00C07EC7"/>
    <w:rsid w:val="00C100A5"/>
    <w:rsid w:val="00C10993"/>
    <w:rsid w:val="00C10A65"/>
    <w:rsid w:val="00C11050"/>
    <w:rsid w:val="00C1131D"/>
    <w:rsid w:val="00C125F9"/>
    <w:rsid w:val="00C128A0"/>
    <w:rsid w:val="00C13064"/>
    <w:rsid w:val="00C137DB"/>
    <w:rsid w:val="00C139CA"/>
    <w:rsid w:val="00C13EDF"/>
    <w:rsid w:val="00C13FF7"/>
    <w:rsid w:val="00C1405E"/>
    <w:rsid w:val="00C1442A"/>
    <w:rsid w:val="00C16DD1"/>
    <w:rsid w:val="00C21813"/>
    <w:rsid w:val="00C223F9"/>
    <w:rsid w:val="00C243D9"/>
    <w:rsid w:val="00C251C6"/>
    <w:rsid w:val="00C25FCD"/>
    <w:rsid w:val="00C26B9B"/>
    <w:rsid w:val="00C272AA"/>
    <w:rsid w:val="00C274B5"/>
    <w:rsid w:val="00C2776B"/>
    <w:rsid w:val="00C27D62"/>
    <w:rsid w:val="00C301F7"/>
    <w:rsid w:val="00C3052C"/>
    <w:rsid w:val="00C34BFB"/>
    <w:rsid w:val="00C35A01"/>
    <w:rsid w:val="00C35EA1"/>
    <w:rsid w:val="00C36200"/>
    <w:rsid w:val="00C404D9"/>
    <w:rsid w:val="00C40595"/>
    <w:rsid w:val="00C4098F"/>
    <w:rsid w:val="00C4273A"/>
    <w:rsid w:val="00C42789"/>
    <w:rsid w:val="00C4306C"/>
    <w:rsid w:val="00C43147"/>
    <w:rsid w:val="00C433B0"/>
    <w:rsid w:val="00C433C5"/>
    <w:rsid w:val="00C45199"/>
    <w:rsid w:val="00C4587C"/>
    <w:rsid w:val="00C476FA"/>
    <w:rsid w:val="00C50247"/>
    <w:rsid w:val="00C50EE1"/>
    <w:rsid w:val="00C51429"/>
    <w:rsid w:val="00C51D95"/>
    <w:rsid w:val="00C53198"/>
    <w:rsid w:val="00C54B24"/>
    <w:rsid w:val="00C55263"/>
    <w:rsid w:val="00C5633D"/>
    <w:rsid w:val="00C56496"/>
    <w:rsid w:val="00C57CCD"/>
    <w:rsid w:val="00C60124"/>
    <w:rsid w:val="00C617C0"/>
    <w:rsid w:val="00C61995"/>
    <w:rsid w:val="00C61FE8"/>
    <w:rsid w:val="00C624AA"/>
    <w:rsid w:val="00C624E5"/>
    <w:rsid w:val="00C65AF7"/>
    <w:rsid w:val="00C67889"/>
    <w:rsid w:val="00C7113E"/>
    <w:rsid w:val="00C71837"/>
    <w:rsid w:val="00C719D7"/>
    <w:rsid w:val="00C71AB7"/>
    <w:rsid w:val="00C7259F"/>
    <w:rsid w:val="00C72D29"/>
    <w:rsid w:val="00C73244"/>
    <w:rsid w:val="00C73536"/>
    <w:rsid w:val="00C74D1E"/>
    <w:rsid w:val="00C76FFB"/>
    <w:rsid w:val="00C7708B"/>
    <w:rsid w:val="00C8102E"/>
    <w:rsid w:val="00C810DD"/>
    <w:rsid w:val="00C811D5"/>
    <w:rsid w:val="00C8151F"/>
    <w:rsid w:val="00C81BB0"/>
    <w:rsid w:val="00C82AE0"/>
    <w:rsid w:val="00C82B36"/>
    <w:rsid w:val="00C830C5"/>
    <w:rsid w:val="00C846AA"/>
    <w:rsid w:val="00C851F9"/>
    <w:rsid w:val="00C8545A"/>
    <w:rsid w:val="00C856A8"/>
    <w:rsid w:val="00C85E5A"/>
    <w:rsid w:val="00C86F4A"/>
    <w:rsid w:val="00C921E2"/>
    <w:rsid w:val="00C937CA"/>
    <w:rsid w:val="00C93C45"/>
    <w:rsid w:val="00C93D61"/>
    <w:rsid w:val="00C9457B"/>
    <w:rsid w:val="00C9514A"/>
    <w:rsid w:val="00C95945"/>
    <w:rsid w:val="00C95FEB"/>
    <w:rsid w:val="00C96639"/>
    <w:rsid w:val="00C96C2A"/>
    <w:rsid w:val="00C97CB8"/>
    <w:rsid w:val="00CA0713"/>
    <w:rsid w:val="00CA0F91"/>
    <w:rsid w:val="00CA1957"/>
    <w:rsid w:val="00CA3397"/>
    <w:rsid w:val="00CA33E1"/>
    <w:rsid w:val="00CA3425"/>
    <w:rsid w:val="00CA37B9"/>
    <w:rsid w:val="00CA4267"/>
    <w:rsid w:val="00CA694E"/>
    <w:rsid w:val="00CB0446"/>
    <w:rsid w:val="00CB0CE3"/>
    <w:rsid w:val="00CB296A"/>
    <w:rsid w:val="00CB3200"/>
    <w:rsid w:val="00CB4BD8"/>
    <w:rsid w:val="00CB593D"/>
    <w:rsid w:val="00CB6BEB"/>
    <w:rsid w:val="00CB6D47"/>
    <w:rsid w:val="00CB7675"/>
    <w:rsid w:val="00CB7964"/>
    <w:rsid w:val="00CC0128"/>
    <w:rsid w:val="00CC0395"/>
    <w:rsid w:val="00CC133F"/>
    <w:rsid w:val="00CC3488"/>
    <w:rsid w:val="00CC5888"/>
    <w:rsid w:val="00CC5C50"/>
    <w:rsid w:val="00CC6E58"/>
    <w:rsid w:val="00CD0FEB"/>
    <w:rsid w:val="00CD1109"/>
    <w:rsid w:val="00CD1C3D"/>
    <w:rsid w:val="00CD1CF0"/>
    <w:rsid w:val="00CD4B97"/>
    <w:rsid w:val="00CD4D27"/>
    <w:rsid w:val="00CD56AB"/>
    <w:rsid w:val="00CD61C0"/>
    <w:rsid w:val="00CD65CD"/>
    <w:rsid w:val="00CD66DD"/>
    <w:rsid w:val="00CD688E"/>
    <w:rsid w:val="00CD79A7"/>
    <w:rsid w:val="00CE01B7"/>
    <w:rsid w:val="00CE1630"/>
    <w:rsid w:val="00CE4A8F"/>
    <w:rsid w:val="00CE4DE3"/>
    <w:rsid w:val="00CE557D"/>
    <w:rsid w:val="00CE747A"/>
    <w:rsid w:val="00CE7855"/>
    <w:rsid w:val="00CE7C93"/>
    <w:rsid w:val="00CE7F4C"/>
    <w:rsid w:val="00CF00B8"/>
    <w:rsid w:val="00CF2276"/>
    <w:rsid w:val="00CF2314"/>
    <w:rsid w:val="00CF2E55"/>
    <w:rsid w:val="00CF34D4"/>
    <w:rsid w:val="00CF459C"/>
    <w:rsid w:val="00CF5DD1"/>
    <w:rsid w:val="00CF65BB"/>
    <w:rsid w:val="00D0193D"/>
    <w:rsid w:val="00D030B1"/>
    <w:rsid w:val="00D04AC5"/>
    <w:rsid w:val="00D0568B"/>
    <w:rsid w:val="00D060E9"/>
    <w:rsid w:val="00D106F3"/>
    <w:rsid w:val="00D12256"/>
    <w:rsid w:val="00D12E62"/>
    <w:rsid w:val="00D15633"/>
    <w:rsid w:val="00D15739"/>
    <w:rsid w:val="00D15C73"/>
    <w:rsid w:val="00D15E7A"/>
    <w:rsid w:val="00D16C29"/>
    <w:rsid w:val="00D16EAE"/>
    <w:rsid w:val="00D172B2"/>
    <w:rsid w:val="00D21293"/>
    <w:rsid w:val="00D21EAB"/>
    <w:rsid w:val="00D22069"/>
    <w:rsid w:val="00D23220"/>
    <w:rsid w:val="00D23E52"/>
    <w:rsid w:val="00D2457F"/>
    <w:rsid w:val="00D25E42"/>
    <w:rsid w:val="00D2681E"/>
    <w:rsid w:val="00D26B2B"/>
    <w:rsid w:val="00D30C05"/>
    <w:rsid w:val="00D31338"/>
    <w:rsid w:val="00D315EF"/>
    <w:rsid w:val="00D318C3"/>
    <w:rsid w:val="00D3194D"/>
    <w:rsid w:val="00D32755"/>
    <w:rsid w:val="00D3289E"/>
    <w:rsid w:val="00D32F3C"/>
    <w:rsid w:val="00D34521"/>
    <w:rsid w:val="00D34684"/>
    <w:rsid w:val="00D3595E"/>
    <w:rsid w:val="00D3610B"/>
    <w:rsid w:val="00D3612A"/>
    <w:rsid w:val="00D36C19"/>
    <w:rsid w:val="00D37703"/>
    <w:rsid w:val="00D37C02"/>
    <w:rsid w:val="00D37F25"/>
    <w:rsid w:val="00D400F4"/>
    <w:rsid w:val="00D40712"/>
    <w:rsid w:val="00D43150"/>
    <w:rsid w:val="00D44D75"/>
    <w:rsid w:val="00D453F6"/>
    <w:rsid w:val="00D4704E"/>
    <w:rsid w:val="00D50268"/>
    <w:rsid w:val="00D5046A"/>
    <w:rsid w:val="00D504C1"/>
    <w:rsid w:val="00D51909"/>
    <w:rsid w:val="00D533C5"/>
    <w:rsid w:val="00D535D5"/>
    <w:rsid w:val="00D54AF3"/>
    <w:rsid w:val="00D558A9"/>
    <w:rsid w:val="00D56184"/>
    <w:rsid w:val="00D56E56"/>
    <w:rsid w:val="00D571B5"/>
    <w:rsid w:val="00D573FD"/>
    <w:rsid w:val="00D60834"/>
    <w:rsid w:val="00D60BEE"/>
    <w:rsid w:val="00D60D8D"/>
    <w:rsid w:val="00D628D5"/>
    <w:rsid w:val="00D62FC3"/>
    <w:rsid w:val="00D63780"/>
    <w:rsid w:val="00D65B82"/>
    <w:rsid w:val="00D65E44"/>
    <w:rsid w:val="00D661B0"/>
    <w:rsid w:val="00D67AD7"/>
    <w:rsid w:val="00D70A0A"/>
    <w:rsid w:val="00D712A6"/>
    <w:rsid w:val="00D724F9"/>
    <w:rsid w:val="00D727AB"/>
    <w:rsid w:val="00D736A8"/>
    <w:rsid w:val="00D73C98"/>
    <w:rsid w:val="00D73E27"/>
    <w:rsid w:val="00D748DD"/>
    <w:rsid w:val="00D75181"/>
    <w:rsid w:val="00D75204"/>
    <w:rsid w:val="00D756AD"/>
    <w:rsid w:val="00D75927"/>
    <w:rsid w:val="00D779D5"/>
    <w:rsid w:val="00D82A74"/>
    <w:rsid w:val="00D82B72"/>
    <w:rsid w:val="00D85691"/>
    <w:rsid w:val="00D859E4"/>
    <w:rsid w:val="00D860D4"/>
    <w:rsid w:val="00D86212"/>
    <w:rsid w:val="00D87BCC"/>
    <w:rsid w:val="00D9024A"/>
    <w:rsid w:val="00D90630"/>
    <w:rsid w:val="00D9071D"/>
    <w:rsid w:val="00D91D4D"/>
    <w:rsid w:val="00D92560"/>
    <w:rsid w:val="00D93481"/>
    <w:rsid w:val="00D977D3"/>
    <w:rsid w:val="00DA11DD"/>
    <w:rsid w:val="00DA1442"/>
    <w:rsid w:val="00DA14DB"/>
    <w:rsid w:val="00DA19EB"/>
    <w:rsid w:val="00DA1E4C"/>
    <w:rsid w:val="00DA2555"/>
    <w:rsid w:val="00DA2634"/>
    <w:rsid w:val="00DA3A98"/>
    <w:rsid w:val="00DA44CE"/>
    <w:rsid w:val="00DA44E9"/>
    <w:rsid w:val="00DA6F6F"/>
    <w:rsid w:val="00DA6F93"/>
    <w:rsid w:val="00DB01EA"/>
    <w:rsid w:val="00DB1583"/>
    <w:rsid w:val="00DB170B"/>
    <w:rsid w:val="00DB191F"/>
    <w:rsid w:val="00DB1A38"/>
    <w:rsid w:val="00DB274E"/>
    <w:rsid w:val="00DB278A"/>
    <w:rsid w:val="00DB2E3F"/>
    <w:rsid w:val="00DB34D3"/>
    <w:rsid w:val="00DB3ADC"/>
    <w:rsid w:val="00DB49B5"/>
    <w:rsid w:val="00DB5232"/>
    <w:rsid w:val="00DB5573"/>
    <w:rsid w:val="00DB60DE"/>
    <w:rsid w:val="00DB616D"/>
    <w:rsid w:val="00DB69B6"/>
    <w:rsid w:val="00DC0120"/>
    <w:rsid w:val="00DC04A4"/>
    <w:rsid w:val="00DC4415"/>
    <w:rsid w:val="00DC7863"/>
    <w:rsid w:val="00DC7E92"/>
    <w:rsid w:val="00DD0709"/>
    <w:rsid w:val="00DD2D06"/>
    <w:rsid w:val="00DD2E1A"/>
    <w:rsid w:val="00DD3A1B"/>
    <w:rsid w:val="00DD41F4"/>
    <w:rsid w:val="00DD4AE4"/>
    <w:rsid w:val="00DD4E8D"/>
    <w:rsid w:val="00DD4F95"/>
    <w:rsid w:val="00DD5886"/>
    <w:rsid w:val="00DD5D35"/>
    <w:rsid w:val="00DD6110"/>
    <w:rsid w:val="00DD6672"/>
    <w:rsid w:val="00DE27BF"/>
    <w:rsid w:val="00DE3EE6"/>
    <w:rsid w:val="00DE47EE"/>
    <w:rsid w:val="00DE58E9"/>
    <w:rsid w:val="00DE643F"/>
    <w:rsid w:val="00DE7111"/>
    <w:rsid w:val="00DF0A80"/>
    <w:rsid w:val="00DF1414"/>
    <w:rsid w:val="00DF1580"/>
    <w:rsid w:val="00DF16EC"/>
    <w:rsid w:val="00DF2DB8"/>
    <w:rsid w:val="00DF42DD"/>
    <w:rsid w:val="00DF6851"/>
    <w:rsid w:val="00DF786E"/>
    <w:rsid w:val="00DF7CBA"/>
    <w:rsid w:val="00E01130"/>
    <w:rsid w:val="00E0207F"/>
    <w:rsid w:val="00E03B4C"/>
    <w:rsid w:val="00E04201"/>
    <w:rsid w:val="00E05737"/>
    <w:rsid w:val="00E06007"/>
    <w:rsid w:val="00E06E59"/>
    <w:rsid w:val="00E1151C"/>
    <w:rsid w:val="00E11B58"/>
    <w:rsid w:val="00E1225C"/>
    <w:rsid w:val="00E13822"/>
    <w:rsid w:val="00E13A53"/>
    <w:rsid w:val="00E147BB"/>
    <w:rsid w:val="00E14CDE"/>
    <w:rsid w:val="00E15B06"/>
    <w:rsid w:val="00E15BF7"/>
    <w:rsid w:val="00E17AA5"/>
    <w:rsid w:val="00E200FC"/>
    <w:rsid w:val="00E2104C"/>
    <w:rsid w:val="00E220C7"/>
    <w:rsid w:val="00E22ED8"/>
    <w:rsid w:val="00E23D01"/>
    <w:rsid w:val="00E23F4C"/>
    <w:rsid w:val="00E24756"/>
    <w:rsid w:val="00E2509B"/>
    <w:rsid w:val="00E26370"/>
    <w:rsid w:val="00E3181B"/>
    <w:rsid w:val="00E33547"/>
    <w:rsid w:val="00E33B92"/>
    <w:rsid w:val="00E3601D"/>
    <w:rsid w:val="00E36206"/>
    <w:rsid w:val="00E375BE"/>
    <w:rsid w:val="00E37DCA"/>
    <w:rsid w:val="00E40161"/>
    <w:rsid w:val="00E41099"/>
    <w:rsid w:val="00E4116C"/>
    <w:rsid w:val="00E42B1D"/>
    <w:rsid w:val="00E43905"/>
    <w:rsid w:val="00E43EC2"/>
    <w:rsid w:val="00E44A51"/>
    <w:rsid w:val="00E45524"/>
    <w:rsid w:val="00E45900"/>
    <w:rsid w:val="00E45AE1"/>
    <w:rsid w:val="00E45F18"/>
    <w:rsid w:val="00E4622C"/>
    <w:rsid w:val="00E46571"/>
    <w:rsid w:val="00E46923"/>
    <w:rsid w:val="00E46BD7"/>
    <w:rsid w:val="00E51075"/>
    <w:rsid w:val="00E510D1"/>
    <w:rsid w:val="00E51FFB"/>
    <w:rsid w:val="00E520C6"/>
    <w:rsid w:val="00E52262"/>
    <w:rsid w:val="00E52BA1"/>
    <w:rsid w:val="00E54977"/>
    <w:rsid w:val="00E5530B"/>
    <w:rsid w:val="00E55785"/>
    <w:rsid w:val="00E55921"/>
    <w:rsid w:val="00E55B3A"/>
    <w:rsid w:val="00E619BC"/>
    <w:rsid w:val="00E62210"/>
    <w:rsid w:val="00E6250E"/>
    <w:rsid w:val="00E62FD1"/>
    <w:rsid w:val="00E6322C"/>
    <w:rsid w:val="00E63855"/>
    <w:rsid w:val="00E64B54"/>
    <w:rsid w:val="00E65454"/>
    <w:rsid w:val="00E669FA"/>
    <w:rsid w:val="00E67E07"/>
    <w:rsid w:val="00E67F9A"/>
    <w:rsid w:val="00E7081A"/>
    <w:rsid w:val="00E72D11"/>
    <w:rsid w:val="00E7338C"/>
    <w:rsid w:val="00E75E25"/>
    <w:rsid w:val="00E76BF7"/>
    <w:rsid w:val="00E8001E"/>
    <w:rsid w:val="00E81693"/>
    <w:rsid w:val="00E82D96"/>
    <w:rsid w:val="00E8364E"/>
    <w:rsid w:val="00E83DFA"/>
    <w:rsid w:val="00E85383"/>
    <w:rsid w:val="00E8663D"/>
    <w:rsid w:val="00E90251"/>
    <w:rsid w:val="00E90357"/>
    <w:rsid w:val="00E90B98"/>
    <w:rsid w:val="00E91633"/>
    <w:rsid w:val="00E9163B"/>
    <w:rsid w:val="00E916BD"/>
    <w:rsid w:val="00E91960"/>
    <w:rsid w:val="00E9308D"/>
    <w:rsid w:val="00E9522B"/>
    <w:rsid w:val="00E95749"/>
    <w:rsid w:val="00E95993"/>
    <w:rsid w:val="00E95BB3"/>
    <w:rsid w:val="00E961A6"/>
    <w:rsid w:val="00E97265"/>
    <w:rsid w:val="00EA010E"/>
    <w:rsid w:val="00EA01D9"/>
    <w:rsid w:val="00EA0288"/>
    <w:rsid w:val="00EA07D8"/>
    <w:rsid w:val="00EA15A9"/>
    <w:rsid w:val="00EA24F2"/>
    <w:rsid w:val="00EA4FCF"/>
    <w:rsid w:val="00EA58D0"/>
    <w:rsid w:val="00EA5BC0"/>
    <w:rsid w:val="00EA7219"/>
    <w:rsid w:val="00EA7E43"/>
    <w:rsid w:val="00EB03BB"/>
    <w:rsid w:val="00EB1030"/>
    <w:rsid w:val="00EB17BD"/>
    <w:rsid w:val="00EB19C7"/>
    <w:rsid w:val="00EB1C36"/>
    <w:rsid w:val="00EB2FB1"/>
    <w:rsid w:val="00EB464B"/>
    <w:rsid w:val="00EB49FF"/>
    <w:rsid w:val="00EB5606"/>
    <w:rsid w:val="00EB7044"/>
    <w:rsid w:val="00EB78AA"/>
    <w:rsid w:val="00EC025D"/>
    <w:rsid w:val="00EC28D1"/>
    <w:rsid w:val="00EC3321"/>
    <w:rsid w:val="00EC33D1"/>
    <w:rsid w:val="00EC53C6"/>
    <w:rsid w:val="00EC53ED"/>
    <w:rsid w:val="00EC5492"/>
    <w:rsid w:val="00EC5607"/>
    <w:rsid w:val="00EC5901"/>
    <w:rsid w:val="00EC767E"/>
    <w:rsid w:val="00ED06B8"/>
    <w:rsid w:val="00ED1B7A"/>
    <w:rsid w:val="00ED308D"/>
    <w:rsid w:val="00ED372E"/>
    <w:rsid w:val="00ED49C6"/>
    <w:rsid w:val="00ED4BFD"/>
    <w:rsid w:val="00ED4D90"/>
    <w:rsid w:val="00ED6039"/>
    <w:rsid w:val="00EE0E65"/>
    <w:rsid w:val="00EE2EB2"/>
    <w:rsid w:val="00EE3AD9"/>
    <w:rsid w:val="00EE406C"/>
    <w:rsid w:val="00EE5412"/>
    <w:rsid w:val="00EE58FD"/>
    <w:rsid w:val="00EE5FDF"/>
    <w:rsid w:val="00EE6F2F"/>
    <w:rsid w:val="00EF10D3"/>
    <w:rsid w:val="00EF1FD0"/>
    <w:rsid w:val="00EF2A1E"/>
    <w:rsid w:val="00EF2E46"/>
    <w:rsid w:val="00EF2FEC"/>
    <w:rsid w:val="00EF3AE3"/>
    <w:rsid w:val="00EF6B95"/>
    <w:rsid w:val="00EF71C9"/>
    <w:rsid w:val="00EF7D36"/>
    <w:rsid w:val="00F0318C"/>
    <w:rsid w:val="00F04104"/>
    <w:rsid w:val="00F04916"/>
    <w:rsid w:val="00F05543"/>
    <w:rsid w:val="00F0635E"/>
    <w:rsid w:val="00F0678D"/>
    <w:rsid w:val="00F07169"/>
    <w:rsid w:val="00F07256"/>
    <w:rsid w:val="00F073AD"/>
    <w:rsid w:val="00F07534"/>
    <w:rsid w:val="00F077BC"/>
    <w:rsid w:val="00F07C10"/>
    <w:rsid w:val="00F100FA"/>
    <w:rsid w:val="00F1190C"/>
    <w:rsid w:val="00F1256F"/>
    <w:rsid w:val="00F12FD9"/>
    <w:rsid w:val="00F14F6F"/>
    <w:rsid w:val="00F15789"/>
    <w:rsid w:val="00F16E86"/>
    <w:rsid w:val="00F171AC"/>
    <w:rsid w:val="00F208CE"/>
    <w:rsid w:val="00F20904"/>
    <w:rsid w:val="00F231CD"/>
    <w:rsid w:val="00F2342E"/>
    <w:rsid w:val="00F242EA"/>
    <w:rsid w:val="00F24F93"/>
    <w:rsid w:val="00F255FC"/>
    <w:rsid w:val="00F25D4D"/>
    <w:rsid w:val="00F26A9F"/>
    <w:rsid w:val="00F26E68"/>
    <w:rsid w:val="00F30111"/>
    <w:rsid w:val="00F30E5B"/>
    <w:rsid w:val="00F31A8C"/>
    <w:rsid w:val="00F33119"/>
    <w:rsid w:val="00F33321"/>
    <w:rsid w:val="00F33532"/>
    <w:rsid w:val="00F348A1"/>
    <w:rsid w:val="00F352A7"/>
    <w:rsid w:val="00F35322"/>
    <w:rsid w:val="00F35444"/>
    <w:rsid w:val="00F36FA9"/>
    <w:rsid w:val="00F36FB0"/>
    <w:rsid w:val="00F376DA"/>
    <w:rsid w:val="00F40AB5"/>
    <w:rsid w:val="00F40DA0"/>
    <w:rsid w:val="00F41037"/>
    <w:rsid w:val="00F419BC"/>
    <w:rsid w:val="00F4362A"/>
    <w:rsid w:val="00F437EA"/>
    <w:rsid w:val="00F44A3C"/>
    <w:rsid w:val="00F45F78"/>
    <w:rsid w:val="00F47A04"/>
    <w:rsid w:val="00F47DEA"/>
    <w:rsid w:val="00F47EDD"/>
    <w:rsid w:val="00F50D61"/>
    <w:rsid w:val="00F52190"/>
    <w:rsid w:val="00F556CC"/>
    <w:rsid w:val="00F61107"/>
    <w:rsid w:val="00F62E8A"/>
    <w:rsid w:val="00F65564"/>
    <w:rsid w:val="00F66538"/>
    <w:rsid w:val="00F70972"/>
    <w:rsid w:val="00F70C61"/>
    <w:rsid w:val="00F71138"/>
    <w:rsid w:val="00F73B67"/>
    <w:rsid w:val="00F73B8F"/>
    <w:rsid w:val="00F73C47"/>
    <w:rsid w:val="00F75216"/>
    <w:rsid w:val="00F77FDC"/>
    <w:rsid w:val="00F81025"/>
    <w:rsid w:val="00F81B5A"/>
    <w:rsid w:val="00F81F2C"/>
    <w:rsid w:val="00F828C6"/>
    <w:rsid w:val="00F85A18"/>
    <w:rsid w:val="00F87013"/>
    <w:rsid w:val="00F9034B"/>
    <w:rsid w:val="00F904FE"/>
    <w:rsid w:val="00F90E63"/>
    <w:rsid w:val="00F927B6"/>
    <w:rsid w:val="00F941B8"/>
    <w:rsid w:val="00F9437A"/>
    <w:rsid w:val="00F9472B"/>
    <w:rsid w:val="00F94949"/>
    <w:rsid w:val="00F952D6"/>
    <w:rsid w:val="00F96100"/>
    <w:rsid w:val="00F96EEC"/>
    <w:rsid w:val="00FA020F"/>
    <w:rsid w:val="00FA16CF"/>
    <w:rsid w:val="00FA283D"/>
    <w:rsid w:val="00FA2F99"/>
    <w:rsid w:val="00FA32DB"/>
    <w:rsid w:val="00FA3506"/>
    <w:rsid w:val="00FA4ECB"/>
    <w:rsid w:val="00FA66A6"/>
    <w:rsid w:val="00FA6EE7"/>
    <w:rsid w:val="00FA7497"/>
    <w:rsid w:val="00FA79D7"/>
    <w:rsid w:val="00FA7C1C"/>
    <w:rsid w:val="00FB0015"/>
    <w:rsid w:val="00FB10A4"/>
    <w:rsid w:val="00FB2909"/>
    <w:rsid w:val="00FB3112"/>
    <w:rsid w:val="00FB31CF"/>
    <w:rsid w:val="00FB325B"/>
    <w:rsid w:val="00FB43B9"/>
    <w:rsid w:val="00FB47DD"/>
    <w:rsid w:val="00FB5DBF"/>
    <w:rsid w:val="00FB6BA2"/>
    <w:rsid w:val="00FB6EA5"/>
    <w:rsid w:val="00FB73D3"/>
    <w:rsid w:val="00FC09F2"/>
    <w:rsid w:val="00FC1124"/>
    <w:rsid w:val="00FC12D6"/>
    <w:rsid w:val="00FC1397"/>
    <w:rsid w:val="00FC2C8C"/>
    <w:rsid w:val="00FC36DC"/>
    <w:rsid w:val="00FC4977"/>
    <w:rsid w:val="00FC4BDC"/>
    <w:rsid w:val="00FC5F8A"/>
    <w:rsid w:val="00FC62A6"/>
    <w:rsid w:val="00FC6ADA"/>
    <w:rsid w:val="00FC6E05"/>
    <w:rsid w:val="00FC7937"/>
    <w:rsid w:val="00FC7AA7"/>
    <w:rsid w:val="00FD00B2"/>
    <w:rsid w:val="00FD175B"/>
    <w:rsid w:val="00FD414D"/>
    <w:rsid w:val="00FD4756"/>
    <w:rsid w:val="00FD4F70"/>
    <w:rsid w:val="00FD6043"/>
    <w:rsid w:val="00FD7131"/>
    <w:rsid w:val="00FD7F74"/>
    <w:rsid w:val="00FE0766"/>
    <w:rsid w:val="00FE0ADE"/>
    <w:rsid w:val="00FE1FF9"/>
    <w:rsid w:val="00FE3990"/>
    <w:rsid w:val="00FE4C3C"/>
    <w:rsid w:val="00FE53DD"/>
    <w:rsid w:val="00FE5840"/>
    <w:rsid w:val="00FE698B"/>
    <w:rsid w:val="00FE7AAC"/>
    <w:rsid w:val="00FF0510"/>
    <w:rsid w:val="00FF0E70"/>
    <w:rsid w:val="00FF2865"/>
    <w:rsid w:val="00FF326E"/>
    <w:rsid w:val="00FF6DFC"/>
    <w:rsid w:val="00FF6F68"/>
    <w:rsid w:val="00FF745A"/>
    <w:rsid w:val="00FF75DF"/>
    <w:rsid w:val="00FF7D86"/>
    <w:rsid w:val="051EB29B"/>
    <w:rsid w:val="095D511E"/>
    <w:rsid w:val="0A030D6A"/>
    <w:rsid w:val="0B0B3C3D"/>
    <w:rsid w:val="0E065994"/>
    <w:rsid w:val="0E5FE622"/>
    <w:rsid w:val="169C50D0"/>
    <w:rsid w:val="17D7ED87"/>
    <w:rsid w:val="2211A876"/>
    <w:rsid w:val="2396D63C"/>
    <w:rsid w:val="244E70F4"/>
    <w:rsid w:val="25F2ACCA"/>
    <w:rsid w:val="2622D34C"/>
    <w:rsid w:val="2B9E4B07"/>
    <w:rsid w:val="32150F29"/>
    <w:rsid w:val="339FAF4C"/>
    <w:rsid w:val="3F7D289B"/>
    <w:rsid w:val="40FDB2C5"/>
    <w:rsid w:val="43DF72F6"/>
    <w:rsid w:val="4E47B546"/>
    <w:rsid w:val="4EB4F863"/>
    <w:rsid w:val="53CB3282"/>
    <w:rsid w:val="54449AD3"/>
    <w:rsid w:val="56EFA20A"/>
    <w:rsid w:val="58707AA9"/>
    <w:rsid w:val="5A3C98AB"/>
    <w:rsid w:val="5B91A0BC"/>
    <w:rsid w:val="5EB2D293"/>
    <w:rsid w:val="6068B5C4"/>
    <w:rsid w:val="606C21BA"/>
    <w:rsid w:val="60A5269E"/>
    <w:rsid w:val="63BC5175"/>
    <w:rsid w:val="6694F39E"/>
    <w:rsid w:val="6AF61E29"/>
    <w:rsid w:val="6E050AF8"/>
    <w:rsid w:val="6F24996F"/>
    <w:rsid w:val="707B9D83"/>
    <w:rsid w:val="735EB6FD"/>
    <w:rsid w:val="755F088F"/>
    <w:rsid w:val="7566ACB3"/>
    <w:rsid w:val="77821542"/>
    <w:rsid w:val="788AC205"/>
    <w:rsid w:val="7A8F4426"/>
    <w:rsid w:val="7B075BDE"/>
    <w:rsid w:val="7CC2B747"/>
    <w:rsid w:val="7D758401"/>
    <w:rsid w:val="7D7840EA"/>
    <w:rsid w:val="7EF3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75BD6C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uiPriority="99"/>
    <w:lsdException w:name="header" w:locked="0" w:uiPriority="99"/>
    <w:lsdException w:name="footer" w:locked="0"/>
    <w:lsdException w:name="caption" w:locked="0" w:semiHidden="1" w:uiPriority="35" w:unhideWhenUsed="1" w:qFormat="1"/>
    <w:lsdException w:name="annotation reference" w:locked="0" w:uiPriority="99"/>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iPriority w:val="35"/>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uiPriority w:val="99"/>
    <w:rsid w:val="00377E36"/>
    <w:rPr>
      <w:sz w:val="16"/>
      <w:szCs w:val="16"/>
    </w:rPr>
  </w:style>
  <w:style w:type="paragraph" w:styleId="CommentText">
    <w:name w:val="annotation text"/>
    <w:basedOn w:val="Normal"/>
    <w:link w:val="CommentTextChar"/>
    <w:uiPriority w:val="99"/>
    <w:rsid w:val="00377E36"/>
    <w:rPr>
      <w:sz w:val="20"/>
      <w:szCs w:val="20"/>
      <w:lang w:eastAsia="en-GB"/>
    </w:rPr>
  </w:style>
  <w:style w:type="character" w:customStyle="1" w:styleId="CommentTextChar">
    <w:name w:val="Comment Text Char"/>
    <w:basedOn w:val="DefaultParagraphFont"/>
    <w:link w:val="CommentText"/>
    <w:uiPriority w:val="99"/>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customStyle="1" w:styleId="ParagraphNumbered">
    <w:name w:val="Paragraph Numbered"/>
    <w:basedOn w:val="Normal"/>
    <w:uiPriority w:val="4"/>
    <w:qFormat/>
    <w:rsid w:val="000648A5"/>
    <w:pPr>
      <w:numPr>
        <w:numId w:val="28"/>
      </w:numPr>
      <w:tabs>
        <w:tab w:val="left" w:pos="426"/>
      </w:tabs>
      <w:spacing w:after="240" w:line="360" w:lineRule="auto"/>
      <w:ind w:left="425" w:hanging="425"/>
    </w:pPr>
    <w:rPr>
      <w:rFonts w:ascii="Arial" w:hAnsi="Arial"/>
    </w:rPr>
  </w:style>
  <w:style w:type="paragraph" w:styleId="CommentSubject">
    <w:name w:val="annotation subject"/>
    <w:basedOn w:val="CommentText"/>
    <w:next w:val="CommentText"/>
    <w:link w:val="CommentSubjectChar"/>
    <w:rsid w:val="002534AE"/>
    <w:rPr>
      <w:b/>
      <w:bCs/>
      <w:lang w:eastAsia="en-US"/>
    </w:rPr>
  </w:style>
  <w:style w:type="character" w:customStyle="1" w:styleId="CommentSubjectChar">
    <w:name w:val="Comment Subject Char"/>
    <w:basedOn w:val="CommentTextChar"/>
    <w:link w:val="CommentSubject"/>
    <w:rsid w:val="002534AE"/>
    <w:rPr>
      <w:b/>
      <w:bCs/>
      <w:lang w:eastAsia="en-US"/>
    </w:rPr>
  </w:style>
  <w:style w:type="paragraph" w:customStyle="1" w:styleId="Paragraphnonumbersnarrow">
    <w:name w:val="Paragraph no numbers narrow"/>
    <w:basedOn w:val="Normal"/>
    <w:link w:val="ParagraphnonumbersnarrowChar"/>
    <w:qFormat/>
    <w:rsid w:val="00C96C2A"/>
    <w:pPr>
      <w:spacing w:before="120" w:after="120" w:line="360" w:lineRule="auto"/>
    </w:pPr>
    <w:rPr>
      <w:rFonts w:ascii="Arial" w:hAnsi="Arial"/>
    </w:rPr>
  </w:style>
  <w:style w:type="character" w:customStyle="1" w:styleId="ParagraphnonumbersnarrowChar">
    <w:name w:val="Paragraph no numbers narrow Char"/>
    <w:basedOn w:val="DefaultParagraphFont"/>
    <w:link w:val="Paragraphnonumbersnarrow"/>
    <w:rsid w:val="00C96C2A"/>
    <w:rPr>
      <w:rFonts w:ascii="Arial" w:hAnsi="Arial"/>
      <w:sz w:val="24"/>
      <w:szCs w:val="24"/>
      <w:lang w:eastAsia="en-US"/>
    </w:rPr>
  </w:style>
  <w:style w:type="character" w:customStyle="1" w:styleId="Heading3Char">
    <w:name w:val="Heading 3 Char"/>
    <w:basedOn w:val="DefaultParagraphFont"/>
    <w:link w:val="Heading3"/>
    <w:rsid w:val="00501CD4"/>
    <w:rPr>
      <w:rFonts w:ascii="Arial" w:hAnsi="Arial" w:cs="Arial"/>
      <w:b/>
      <w:bCs/>
      <w:sz w:val="26"/>
      <w:szCs w:val="26"/>
      <w:lang w:eastAsia="en-US"/>
    </w:rPr>
  </w:style>
  <w:style w:type="table" w:styleId="TableGridLight">
    <w:name w:val="Grid Table Light"/>
    <w:basedOn w:val="TableNormal"/>
    <w:uiPriority w:val="40"/>
    <w:locked/>
    <w:rsid w:val="009863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826F87"/>
    <w:pPr>
      <w:numPr>
        <w:numId w:val="34"/>
      </w:numPr>
      <w:tabs>
        <w:tab w:val="left" w:pos="993"/>
      </w:tabs>
      <w:spacing w:after="0" w:line="360" w:lineRule="auto"/>
      <w:ind w:left="993" w:hanging="426"/>
    </w:pPr>
    <w:rPr>
      <w:lang w:eastAsia="en-US"/>
    </w:rPr>
  </w:style>
  <w:style w:type="paragraph" w:styleId="NormalWeb">
    <w:name w:val="Normal (Web)"/>
    <w:basedOn w:val="Normal"/>
    <w:uiPriority w:val="99"/>
    <w:unhideWhenUsed/>
    <w:locked/>
    <w:rsid w:val="00A97DE4"/>
    <w:pPr>
      <w:spacing w:before="100" w:beforeAutospacing="1" w:after="100" w:afterAutospacing="1"/>
    </w:pPr>
    <w:rPr>
      <w:lang w:eastAsia="en-GB"/>
    </w:rPr>
  </w:style>
  <w:style w:type="character" w:styleId="Mention">
    <w:name w:val="Mention"/>
    <w:basedOn w:val="DefaultParagraphFont"/>
    <w:uiPriority w:val="99"/>
    <w:unhideWhenUsed/>
    <w:locked/>
    <w:rsid w:val="006C76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93856">
      <w:bodyDiv w:val="1"/>
      <w:marLeft w:val="0"/>
      <w:marRight w:val="0"/>
      <w:marTop w:val="0"/>
      <w:marBottom w:val="0"/>
      <w:divBdr>
        <w:top w:val="none" w:sz="0" w:space="0" w:color="auto"/>
        <w:left w:val="none" w:sz="0" w:space="0" w:color="auto"/>
        <w:bottom w:val="none" w:sz="0" w:space="0" w:color="auto"/>
        <w:right w:val="none" w:sz="0" w:space="0" w:color="auto"/>
      </w:divBdr>
    </w:div>
    <w:div w:id="697706755">
      <w:bodyDiv w:val="1"/>
      <w:marLeft w:val="0"/>
      <w:marRight w:val="0"/>
      <w:marTop w:val="0"/>
      <w:marBottom w:val="0"/>
      <w:divBdr>
        <w:top w:val="none" w:sz="0" w:space="0" w:color="auto"/>
        <w:left w:val="none" w:sz="0" w:space="0" w:color="auto"/>
        <w:bottom w:val="none" w:sz="0" w:space="0" w:color="auto"/>
        <w:right w:val="none" w:sz="0" w:space="0" w:color="auto"/>
      </w:divBdr>
    </w:div>
    <w:div w:id="1536380551">
      <w:bodyDiv w:val="1"/>
      <w:marLeft w:val="0"/>
      <w:marRight w:val="0"/>
      <w:marTop w:val="0"/>
      <w:marBottom w:val="0"/>
      <w:divBdr>
        <w:top w:val="none" w:sz="0" w:space="0" w:color="auto"/>
        <w:left w:val="none" w:sz="0" w:space="0" w:color="auto"/>
        <w:bottom w:val="none" w:sz="0" w:space="0" w:color="auto"/>
        <w:right w:val="none" w:sz="0" w:space="0" w:color="auto"/>
      </w:divBdr>
    </w:div>
    <w:div w:id="155643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rda.shef.ac.uk/articles/report/Techniques_for_eliciting_societal_preferences_for_severity_for_use_in_health_technology_assessments/25406713/1?file=4503097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alueinhealthjournal.com/article/S1098-3015(22)00105-X/fulltext?_returnURL=https%3A%2F%2Flinkinghub.elsevier.com%2Fretrieve%2Fpii%2FS109830152200105X%3Fshowall%3Dtrue" TargetMode="External"/><Relationship Id="rId2" Type="http://schemas.openxmlformats.org/officeDocument/2006/relationships/customXml" Target="../customXml/item2.xml"/><Relationship Id="rId16" Type="http://schemas.openxmlformats.org/officeDocument/2006/relationships/hyperlink" Target="file:///C:\Users\dcoombs\AppData\Local\Microsoft\Windows\INetCache\Content.Outlook\EM34ONS7\Reviewing%20implementation%20in%20practice%20of%20the%20NICE%20Health%20Technology%20Evaluation%20Manual%20-%20CONNIE%20August%202024%20(abpi.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hyperlink" Target="https://www.nice.org.uk/terms-and-cond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ac.uk/nice-dsu/methods-development/severity-we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Sheet1!$C$1</c:f>
              <c:strCache>
                <c:ptCount val="1"/>
                <c:pt idx="0">
                  <c:v>Mean weight per quarter: new methods (implementation+ subsample, severity modifier applied)</c:v>
                </c:pt>
              </c:strCache>
            </c:strRef>
          </c:tx>
          <c:spPr>
            <a:ln w="12700" cap="rnd">
              <a:solidFill>
                <a:srgbClr val="2EADCB"/>
              </a:solidFill>
              <a:round/>
            </a:ln>
            <a:effectLst/>
          </c:spPr>
          <c:marker>
            <c:symbol val="square"/>
            <c:size val="3"/>
            <c:spPr>
              <a:solidFill>
                <a:srgbClr val="2EADCB"/>
              </a:solidFill>
              <a:ln w="9525">
                <a:solidFill>
                  <a:srgbClr val="2EADCB"/>
                </a:solidFill>
              </a:ln>
              <a:effectLst/>
            </c:spPr>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Sheet1!$C$2:$C$8</c:f>
              <c:numCache>
                <c:formatCode>0.000</c:formatCode>
                <c:ptCount val="7"/>
                <c:pt idx="0">
                  <c:v>1.35</c:v>
                </c:pt>
                <c:pt idx="1">
                  <c:v>1.0111111111111111</c:v>
                </c:pt>
                <c:pt idx="2">
                  <c:v>1.19</c:v>
                </c:pt>
                <c:pt idx="3">
                  <c:v>1.04</c:v>
                </c:pt>
                <c:pt idx="4">
                  <c:v>1.1157894736842104</c:v>
                </c:pt>
                <c:pt idx="5">
                  <c:v>1.2</c:v>
                </c:pt>
                <c:pt idx="6">
                  <c:v>1.167</c:v>
                </c:pt>
              </c:numCache>
            </c:numRef>
          </c:val>
          <c:smooth val="0"/>
          <c:extLst xmlns:c15="http://schemas.microsoft.com/office/drawing/2012/chart">
            <c:ext xmlns:c16="http://schemas.microsoft.com/office/drawing/2014/chart" uri="{C3380CC4-5D6E-409C-BE32-E72D297353CC}">
              <c16:uniqueId val="{00000003-FEB2-48C9-AFD9-805AB7F08280}"/>
            </c:ext>
          </c:extLst>
        </c:ser>
        <c:ser>
          <c:idx val="3"/>
          <c:order val="3"/>
          <c:tx>
            <c:strRef>
              <c:f>Sheet1!$E$1</c:f>
              <c:strCache>
                <c:ptCount val="1"/>
                <c:pt idx="0">
                  <c:v>Cumulative mean weight: new methods (implementation+ subsample, severity modifier applied)</c:v>
                </c:pt>
              </c:strCache>
            </c:strRef>
          </c:tx>
          <c:spPr>
            <a:ln w="12700" cap="rnd">
              <a:solidFill>
                <a:schemeClr val="accent2"/>
              </a:solidFill>
              <a:round/>
            </a:ln>
            <a:effectLst/>
          </c:spPr>
          <c:marker>
            <c:symbol val="square"/>
            <c:size val="3"/>
            <c:spPr>
              <a:solidFill>
                <a:schemeClr val="accent2"/>
              </a:solidFill>
              <a:ln w="9525">
                <a:solidFill>
                  <a:schemeClr val="accent2"/>
                </a:solidFill>
              </a:ln>
              <a:effectLst/>
            </c:spPr>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Sheet1!$E$2:$E$8</c:f>
              <c:numCache>
                <c:formatCode>0.000</c:formatCode>
                <c:ptCount val="7"/>
                <c:pt idx="0">
                  <c:v>1.35</c:v>
                </c:pt>
                <c:pt idx="1">
                  <c:v>1.0958333333333332</c:v>
                </c:pt>
                <c:pt idx="2">
                  <c:v>1.1235294117647059</c:v>
                </c:pt>
                <c:pt idx="3">
                  <c:v>1.0979591836734695</c:v>
                </c:pt>
                <c:pt idx="4">
                  <c:v>1.1029411764705883</c:v>
                </c:pt>
                <c:pt idx="5">
                  <c:v>1.1223529411764708</c:v>
                </c:pt>
                <c:pt idx="6">
                  <c:v>1.1252967032967036</c:v>
                </c:pt>
              </c:numCache>
            </c:numRef>
          </c:val>
          <c:smooth val="0"/>
          <c:extLst>
            <c:ext xmlns:c16="http://schemas.microsoft.com/office/drawing/2014/chart" uri="{C3380CC4-5D6E-409C-BE32-E72D297353CC}">
              <c16:uniqueId val="{00000008-FEB2-48C9-AFD9-805AB7F08280}"/>
            </c:ext>
          </c:extLst>
        </c:ser>
        <c:ser>
          <c:idx val="6"/>
          <c:order val="6"/>
          <c:tx>
            <c:strRef>
              <c:f>Sheet1!$H$1</c:f>
              <c:strCache>
                <c:ptCount val="1"/>
                <c:pt idx="0">
                  <c:v>Mean weight: historical (primary+ subsample, end of life modifier applied)</c:v>
                </c:pt>
              </c:strCache>
            </c:strRef>
          </c:tx>
          <c:spPr>
            <a:ln w="12700" cap="rnd">
              <a:solidFill>
                <a:schemeClr val="tx1"/>
              </a:solidFill>
              <a:prstDash val="solid"/>
              <a:round/>
            </a:ln>
            <a:effectLst/>
          </c:spPr>
          <c:marker>
            <c:symbol val="none"/>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Sheet1!$H$2:$H$8</c:f>
              <c:numCache>
                <c:formatCode>0.000</c:formatCode>
                <c:ptCount val="7"/>
                <c:pt idx="0">
                  <c:v>1.1220000000000001</c:v>
                </c:pt>
                <c:pt idx="1">
                  <c:v>1.1220000000000001</c:v>
                </c:pt>
                <c:pt idx="2">
                  <c:v>1.1220000000000001</c:v>
                </c:pt>
                <c:pt idx="3">
                  <c:v>1.1220000000000001</c:v>
                </c:pt>
                <c:pt idx="4">
                  <c:v>1.1220000000000001</c:v>
                </c:pt>
                <c:pt idx="5">
                  <c:v>1.1220000000000001</c:v>
                </c:pt>
                <c:pt idx="6">
                  <c:v>1.1220000000000001</c:v>
                </c:pt>
              </c:numCache>
            </c:numRef>
          </c:val>
          <c:smooth val="0"/>
          <c:extLst>
            <c:ext xmlns:c16="http://schemas.microsoft.com/office/drawing/2014/chart" uri="{C3380CC4-5D6E-409C-BE32-E72D297353CC}">
              <c16:uniqueId val="{0000000A-FEB2-48C9-AFD9-805AB7F08280}"/>
            </c:ext>
          </c:extLst>
        </c:ser>
        <c:ser>
          <c:idx val="7"/>
          <c:order val="7"/>
          <c:tx>
            <c:strRef>
              <c:f>Sheet1!$I$1</c:f>
              <c:strCache>
                <c:ptCount val="1"/>
                <c:pt idx="0">
                  <c:v>Mean weight: historical (primary+ subsample, severity modifier applied)</c:v>
                </c:pt>
              </c:strCache>
            </c:strRef>
          </c:tx>
          <c:spPr>
            <a:ln w="12700" cap="rnd">
              <a:solidFill>
                <a:schemeClr val="tx1"/>
              </a:solidFill>
              <a:prstDash val="dash"/>
              <a:round/>
            </a:ln>
            <a:effectLst/>
          </c:spPr>
          <c:marker>
            <c:symbol val="none"/>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Sheet1!$I$2:$I$8</c:f>
              <c:numCache>
                <c:formatCode>0.000</c:formatCode>
                <c:ptCount val="7"/>
                <c:pt idx="0">
                  <c:v>1.1160000000000001</c:v>
                </c:pt>
                <c:pt idx="1">
                  <c:v>1.1160000000000001</c:v>
                </c:pt>
                <c:pt idx="2">
                  <c:v>1.1160000000000001</c:v>
                </c:pt>
                <c:pt idx="3">
                  <c:v>1.1160000000000001</c:v>
                </c:pt>
                <c:pt idx="4">
                  <c:v>1.1160000000000001</c:v>
                </c:pt>
                <c:pt idx="5">
                  <c:v>1.1160000000000001</c:v>
                </c:pt>
                <c:pt idx="6">
                  <c:v>1.1160000000000001</c:v>
                </c:pt>
              </c:numCache>
            </c:numRef>
          </c:val>
          <c:smooth val="0"/>
          <c:extLst>
            <c:ext xmlns:c16="http://schemas.microsoft.com/office/drawing/2014/chart" uri="{C3380CC4-5D6E-409C-BE32-E72D297353CC}">
              <c16:uniqueId val="{0000000C-FEB2-48C9-AFD9-805AB7F08280}"/>
            </c:ext>
          </c:extLst>
        </c:ser>
        <c:dLbls>
          <c:showLegendKey val="0"/>
          <c:showVal val="0"/>
          <c:showCatName val="0"/>
          <c:showSerName val="0"/>
          <c:showPercent val="0"/>
          <c:showBubbleSize val="0"/>
        </c:dLbls>
        <c:marker val="1"/>
        <c:smooth val="0"/>
        <c:axId val="882775968"/>
        <c:axId val="882773088"/>
        <c:extLst>
          <c:ext xmlns:c15="http://schemas.microsoft.com/office/drawing/2012/chart" uri="{02D57815-91ED-43cb-92C2-25804820EDAC}">
            <c15:filteredLineSeries>
              <c15:ser>
                <c:idx val="0"/>
                <c:order val="0"/>
                <c:tx>
                  <c:strRef>
                    <c:extLst>
                      <c:ext uri="{02D57815-91ED-43cb-92C2-25804820EDAC}">
                        <c15:formulaRef>
                          <c15:sqref>Sheet1!$B$1</c15:sqref>
                        </c15:formulaRef>
                      </c:ext>
                    </c:extLst>
                    <c:strCache>
                      <c:ptCount val="1"/>
                      <c:pt idx="0">
                        <c:v>N</c:v>
                      </c:pt>
                    </c:strCache>
                  </c:strRef>
                </c:tx>
                <c:spPr>
                  <a:ln w="28575" cap="rnd">
                    <a:solidFill>
                      <a:schemeClr val="accent1"/>
                    </a:solidFill>
                    <a:round/>
                  </a:ln>
                  <a:effectLst/>
                </c:spPr>
                <c:marker>
                  <c:symbol val="none"/>
                </c:marker>
                <c:cat>
                  <c:strRef>
                    <c:extLst>
                      <c:ex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c:ext uri="{02D57815-91ED-43cb-92C2-25804820EDAC}">
                        <c15:formulaRef>
                          <c15:sqref>Sheet1!$B$2:$B$8</c15:sqref>
                        </c15:formulaRef>
                      </c:ext>
                    </c:extLst>
                    <c:numCache>
                      <c:formatCode>General</c:formatCode>
                      <c:ptCount val="7"/>
                      <c:pt idx="0">
                        <c:v>6</c:v>
                      </c:pt>
                      <c:pt idx="1">
                        <c:v>18</c:v>
                      </c:pt>
                      <c:pt idx="2">
                        <c:v>10</c:v>
                      </c:pt>
                      <c:pt idx="3">
                        <c:v>15</c:v>
                      </c:pt>
                      <c:pt idx="4">
                        <c:v>19</c:v>
                      </c:pt>
                      <c:pt idx="5">
                        <c:v>17</c:v>
                      </c:pt>
                      <c:pt idx="6">
                        <c:v>6</c:v>
                      </c:pt>
                    </c:numCache>
                  </c:numRef>
                </c:val>
                <c:smooth val="0"/>
                <c:extLst>
                  <c:ext xmlns:c16="http://schemas.microsoft.com/office/drawing/2014/chart" uri="{C3380CC4-5D6E-409C-BE32-E72D297353CC}">
                    <c16:uniqueId val="{0000000D-FEB2-48C9-AFD9-805AB7F08280}"/>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Cumulative n</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Sheet1!$D$2:$D$8</c15:sqref>
                        </c15:formulaRef>
                      </c:ext>
                    </c:extLst>
                    <c:numCache>
                      <c:formatCode>General</c:formatCode>
                      <c:ptCount val="7"/>
                      <c:pt idx="0">
                        <c:v>6</c:v>
                      </c:pt>
                      <c:pt idx="1">
                        <c:v>24</c:v>
                      </c:pt>
                      <c:pt idx="2">
                        <c:v>34</c:v>
                      </c:pt>
                      <c:pt idx="3">
                        <c:v>49</c:v>
                      </c:pt>
                      <c:pt idx="4">
                        <c:v>68</c:v>
                      </c:pt>
                      <c:pt idx="5">
                        <c:v>85</c:v>
                      </c:pt>
                      <c:pt idx="6">
                        <c:v>91</c:v>
                      </c:pt>
                    </c:numCache>
                  </c:numRef>
                </c:val>
                <c:smooth val="0"/>
                <c:extLst xmlns:c15="http://schemas.microsoft.com/office/drawing/2012/chart">
                  <c:ext xmlns:c16="http://schemas.microsoft.com/office/drawing/2014/chart" uri="{C3380CC4-5D6E-409C-BE32-E72D297353CC}">
                    <c16:uniqueId val="{0000000E-FEB2-48C9-AFD9-805AB7F08280}"/>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Mean weight: Primary (end of life)</c:v>
                      </c:pt>
                    </c:strCache>
                  </c:strRef>
                </c:tx>
                <c:spPr>
                  <a:ln w="6350"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General</c:formatCode>
                      <c:ptCount val="7"/>
                      <c:pt idx="0">
                        <c:v>1.125</c:v>
                      </c:pt>
                      <c:pt idx="1">
                        <c:v>1.125</c:v>
                      </c:pt>
                      <c:pt idx="2">
                        <c:v>1.125</c:v>
                      </c:pt>
                      <c:pt idx="3">
                        <c:v>1.125</c:v>
                      </c:pt>
                      <c:pt idx="4">
                        <c:v>1.125</c:v>
                      </c:pt>
                      <c:pt idx="5">
                        <c:v>1.125</c:v>
                      </c:pt>
                      <c:pt idx="6">
                        <c:v>1.125</c:v>
                      </c:pt>
                    </c:numCache>
                  </c:numRef>
                </c:val>
                <c:smooth val="0"/>
                <c:extLst xmlns:c15="http://schemas.microsoft.com/office/drawing/2012/chart">
                  <c:ext xmlns:c16="http://schemas.microsoft.com/office/drawing/2014/chart" uri="{C3380CC4-5D6E-409C-BE32-E72D297353CC}">
                    <c16:uniqueId val="{0000000F-FEB2-48C9-AFD9-805AB7F08280}"/>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Mean weight: Primary (severity)</c:v>
                      </c:pt>
                    </c:strCache>
                  </c:strRef>
                </c:tx>
                <c:spPr>
                  <a:ln w="6350"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0.000</c:formatCode>
                      <c:ptCount val="7"/>
                      <c:pt idx="0">
                        <c:v>1.119</c:v>
                      </c:pt>
                      <c:pt idx="1">
                        <c:v>1.119</c:v>
                      </c:pt>
                      <c:pt idx="2">
                        <c:v>1.119</c:v>
                      </c:pt>
                      <c:pt idx="3">
                        <c:v>1.119</c:v>
                      </c:pt>
                      <c:pt idx="4">
                        <c:v>1.119</c:v>
                      </c:pt>
                      <c:pt idx="5">
                        <c:v>1.119</c:v>
                      </c:pt>
                      <c:pt idx="6">
                        <c:v>1.119</c:v>
                      </c:pt>
                    </c:numCache>
                  </c:numRef>
                </c:val>
                <c:smooth val="0"/>
                <c:extLst xmlns:c15="http://schemas.microsoft.com/office/drawing/2012/chart">
                  <c:ext xmlns:c16="http://schemas.microsoft.com/office/drawing/2014/chart" uri="{C3380CC4-5D6E-409C-BE32-E72D297353CC}">
                    <c16:uniqueId val="{00000010-FEB2-48C9-AFD9-805AB7F08280}"/>
                  </c:ext>
                </c:extLst>
              </c15:ser>
            </c15:filteredLineSeries>
          </c:ext>
        </c:extLst>
      </c:lineChart>
      <c:catAx>
        <c:axId val="88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2773088"/>
        <c:crosses val="autoZero"/>
        <c:auto val="1"/>
        <c:lblAlgn val="ctr"/>
        <c:lblOffset val="100"/>
        <c:noMultiLvlLbl val="0"/>
      </c:catAx>
      <c:valAx>
        <c:axId val="882773088"/>
        <c:scaling>
          <c:orientation val="minMax"/>
          <c:max val="1.35"/>
          <c:min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277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Sheet1!$C$1</c:f>
              <c:strCache>
                <c:ptCount val="1"/>
                <c:pt idx="0">
                  <c:v>Mean weight per quarter: new methods (implementation+ subsample, severity modifier applied)</c:v>
                </c:pt>
              </c:strCache>
            </c:strRef>
          </c:tx>
          <c:spPr>
            <a:ln w="12700" cap="rnd">
              <a:solidFill>
                <a:srgbClr val="2EADCB"/>
              </a:solidFill>
              <a:round/>
            </a:ln>
            <a:effectLst/>
          </c:spPr>
          <c:marker>
            <c:symbol val="square"/>
            <c:size val="3"/>
            <c:spPr>
              <a:solidFill>
                <a:srgbClr val="2EADCB"/>
              </a:solidFill>
              <a:ln w="9525">
                <a:solidFill>
                  <a:srgbClr val="2EADCB"/>
                </a:solidFill>
              </a:ln>
              <a:effectLst/>
            </c:spPr>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Sheet1!$C$2:$C$8</c:f>
              <c:numCache>
                <c:formatCode>0.000</c:formatCode>
                <c:ptCount val="7"/>
                <c:pt idx="0">
                  <c:v>1.35</c:v>
                </c:pt>
                <c:pt idx="1">
                  <c:v>1.0111111111111111</c:v>
                </c:pt>
                <c:pt idx="2">
                  <c:v>1.19</c:v>
                </c:pt>
                <c:pt idx="3">
                  <c:v>1.04</c:v>
                </c:pt>
                <c:pt idx="4">
                  <c:v>1.1157894736842104</c:v>
                </c:pt>
                <c:pt idx="5">
                  <c:v>1.2</c:v>
                </c:pt>
                <c:pt idx="6">
                  <c:v>1.167</c:v>
                </c:pt>
              </c:numCache>
            </c:numRef>
          </c:val>
          <c:smooth val="0"/>
          <c:extLst xmlns:c15="http://schemas.microsoft.com/office/drawing/2012/chart">
            <c:ext xmlns:c16="http://schemas.microsoft.com/office/drawing/2014/chart" uri="{C3380CC4-5D6E-409C-BE32-E72D297353CC}">
              <c16:uniqueId val="{00000000-2FE5-407C-BEED-23765366210D}"/>
            </c:ext>
          </c:extLst>
        </c:ser>
        <c:ser>
          <c:idx val="3"/>
          <c:order val="3"/>
          <c:tx>
            <c:strRef>
              <c:f>Sheet1!$E$1</c:f>
              <c:strCache>
                <c:ptCount val="1"/>
                <c:pt idx="0">
                  <c:v>Cumulative mean weight: new methods (implementation+ subsample, severity modifier applied)</c:v>
                </c:pt>
              </c:strCache>
            </c:strRef>
          </c:tx>
          <c:spPr>
            <a:ln w="12700" cap="rnd">
              <a:solidFill>
                <a:schemeClr val="accent2"/>
              </a:solidFill>
              <a:round/>
            </a:ln>
            <a:effectLst/>
          </c:spPr>
          <c:marker>
            <c:symbol val="square"/>
            <c:size val="3"/>
            <c:spPr>
              <a:solidFill>
                <a:schemeClr val="accent2"/>
              </a:solidFill>
              <a:ln w="9525">
                <a:solidFill>
                  <a:schemeClr val="accent2"/>
                </a:solidFill>
              </a:ln>
              <a:effectLst/>
            </c:spPr>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Sheet1!$E$2:$E$8</c:f>
              <c:numCache>
                <c:formatCode>0.000</c:formatCode>
                <c:ptCount val="7"/>
                <c:pt idx="0">
                  <c:v>1.35</c:v>
                </c:pt>
                <c:pt idx="1">
                  <c:v>1.0958333333333332</c:v>
                </c:pt>
                <c:pt idx="2">
                  <c:v>1.1235294117647059</c:v>
                </c:pt>
                <c:pt idx="3">
                  <c:v>1.0979591836734695</c:v>
                </c:pt>
                <c:pt idx="4">
                  <c:v>1.1029411764705883</c:v>
                </c:pt>
                <c:pt idx="5">
                  <c:v>1.1223529411764708</c:v>
                </c:pt>
                <c:pt idx="6">
                  <c:v>1.1252967032967036</c:v>
                </c:pt>
              </c:numCache>
            </c:numRef>
          </c:val>
          <c:smooth val="0"/>
          <c:extLst>
            <c:ext xmlns:c16="http://schemas.microsoft.com/office/drawing/2014/chart" uri="{C3380CC4-5D6E-409C-BE32-E72D297353CC}">
              <c16:uniqueId val="{00000001-2FE5-407C-BEED-23765366210D}"/>
            </c:ext>
          </c:extLst>
        </c:ser>
        <c:ser>
          <c:idx val="6"/>
          <c:order val="6"/>
          <c:tx>
            <c:strRef>
              <c:f>Sheet1!$H$1</c:f>
              <c:strCache>
                <c:ptCount val="1"/>
                <c:pt idx="0">
                  <c:v>Mean weight: historical (primary+ subsample, end of life modifier applied)</c:v>
                </c:pt>
              </c:strCache>
            </c:strRef>
          </c:tx>
          <c:spPr>
            <a:ln w="12700" cap="rnd">
              <a:solidFill>
                <a:schemeClr val="tx1"/>
              </a:solidFill>
              <a:prstDash val="solid"/>
              <a:round/>
            </a:ln>
            <a:effectLst/>
          </c:spPr>
          <c:marker>
            <c:symbol val="none"/>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Sheet1!$H$2:$H$8</c:f>
              <c:numCache>
                <c:formatCode>0.000</c:formatCode>
                <c:ptCount val="7"/>
                <c:pt idx="0">
                  <c:v>1.1220000000000001</c:v>
                </c:pt>
                <c:pt idx="1">
                  <c:v>1.1220000000000001</c:v>
                </c:pt>
                <c:pt idx="2">
                  <c:v>1.1220000000000001</c:v>
                </c:pt>
                <c:pt idx="3">
                  <c:v>1.1220000000000001</c:v>
                </c:pt>
                <c:pt idx="4">
                  <c:v>1.1220000000000001</c:v>
                </c:pt>
                <c:pt idx="5">
                  <c:v>1.1220000000000001</c:v>
                </c:pt>
                <c:pt idx="6">
                  <c:v>1.1220000000000001</c:v>
                </c:pt>
              </c:numCache>
            </c:numRef>
          </c:val>
          <c:smooth val="0"/>
          <c:extLst>
            <c:ext xmlns:c16="http://schemas.microsoft.com/office/drawing/2014/chart" uri="{C3380CC4-5D6E-409C-BE32-E72D297353CC}">
              <c16:uniqueId val="{00000002-2FE5-407C-BEED-23765366210D}"/>
            </c:ext>
          </c:extLst>
        </c:ser>
        <c:ser>
          <c:idx val="7"/>
          <c:order val="7"/>
          <c:tx>
            <c:strRef>
              <c:f>Sheet1!$I$1</c:f>
              <c:strCache>
                <c:ptCount val="1"/>
                <c:pt idx="0">
                  <c:v>Mean weight: historical (primary+ subsample, severity modifier applied)</c:v>
                </c:pt>
              </c:strCache>
            </c:strRef>
          </c:tx>
          <c:spPr>
            <a:ln w="12700" cap="rnd">
              <a:solidFill>
                <a:schemeClr val="tx1"/>
              </a:solidFill>
              <a:prstDash val="dash"/>
              <a:round/>
            </a:ln>
            <a:effectLst/>
          </c:spPr>
          <c:marker>
            <c:symbol val="none"/>
          </c:marker>
          <c:cat>
            <c:strRef>
              <c:f>Sheet1!$A$2:$A$8</c:f>
              <c:strCache>
                <c:ptCount val="7"/>
                <c:pt idx="0">
                  <c:v>Q4 2022-23</c:v>
                </c:pt>
                <c:pt idx="1">
                  <c:v>Q1 2023-24</c:v>
                </c:pt>
                <c:pt idx="2">
                  <c:v>Q2 2023-24</c:v>
                </c:pt>
                <c:pt idx="3">
                  <c:v>Q3 2023-24</c:v>
                </c:pt>
                <c:pt idx="4">
                  <c:v>Q4 2023-24</c:v>
                </c:pt>
                <c:pt idx="5">
                  <c:v>Q1 2024-25</c:v>
                </c:pt>
                <c:pt idx="6">
                  <c:v>Q2 2024-25</c:v>
                </c:pt>
              </c:strCache>
            </c:strRef>
          </c:cat>
          <c:val>
            <c:numRef>
              <c:f>Sheet1!$I$2:$I$8</c:f>
              <c:numCache>
                <c:formatCode>0.000</c:formatCode>
                <c:ptCount val="7"/>
                <c:pt idx="0">
                  <c:v>1.1160000000000001</c:v>
                </c:pt>
                <c:pt idx="1">
                  <c:v>1.1160000000000001</c:v>
                </c:pt>
                <c:pt idx="2">
                  <c:v>1.1160000000000001</c:v>
                </c:pt>
                <c:pt idx="3">
                  <c:v>1.1160000000000001</c:v>
                </c:pt>
                <c:pt idx="4">
                  <c:v>1.1160000000000001</c:v>
                </c:pt>
                <c:pt idx="5">
                  <c:v>1.1160000000000001</c:v>
                </c:pt>
                <c:pt idx="6">
                  <c:v>1.1160000000000001</c:v>
                </c:pt>
              </c:numCache>
            </c:numRef>
          </c:val>
          <c:smooth val="0"/>
          <c:extLst>
            <c:ext xmlns:c16="http://schemas.microsoft.com/office/drawing/2014/chart" uri="{C3380CC4-5D6E-409C-BE32-E72D297353CC}">
              <c16:uniqueId val="{00000003-2FE5-407C-BEED-23765366210D}"/>
            </c:ext>
          </c:extLst>
        </c:ser>
        <c:dLbls>
          <c:showLegendKey val="0"/>
          <c:showVal val="0"/>
          <c:showCatName val="0"/>
          <c:showSerName val="0"/>
          <c:showPercent val="0"/>
          <c:showBubbleSize val="0"/>
        </c:dLbls>
        <c:marker val="1"/>
        <c:smooth val="0"/>
        <c:axId val="882775968"/>
        <c:axId val="882773088"/>
        <c:extLst>
          <c:ext xmlns:c15="http://schemas.microsoft.com/office/drawing/2012/chart" uri="{02D57815-91ED-43cb-92C2-25804820EDAC}">
            <c15:filteredLineSeries>
              <c15:ser>
                <c:idx val="0"/>
                <c:order val="0"/>
                <c:tx>
                  <c:strRef>
                    <c:extLst>
                      <c:ext uri="{02D57815-91ED-43cb-92C2-25804820EDAC}">
                        <c15:formulaRef>
                          <c15:sqref>Sheet1!$B$1</c15:sqref>
                        </c15:formulaRef>
                      </c:ext>
                    </c:extLst>
                    <c:strCache>
                      <c:ptCount val="1"/>
                      <c:pt idx="0">
                        <c:v>N</c:v>
                      </c:pt>
                    </c:strCache>
                  </c:strRef>
                </c:tx>
                <c:spPr>
                  <a:ln w="28575" cap="rnd">
                    <a:solidFill>
                      <a:schemeClr val="accent1"/>
                    </a:solidFill>
                    <a:round/>
                  </a:ln>
                  <a:effectLst/>
                </c:spPr>
                <c:marker>
                  <c:symbol val="none"/>
                </c:marker>
                <c:cat>
                  <c:strRef>
                    <c:extLst>
                      <c:ex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c:ext uri="{02D57815-91ED-43cb-92C2-25804820EDAC}">
                        <c15:formulaRef>
                          <c15:sqref>Sheet1!$B$2:$B$8</c15:sqref>
                        </c15:formulaRef>
                      </c:ext>
                    </c:extLst>
                    <c:numCache>
                      <c:formatCode>General</c:formatCode>
                      <c:ptCount val="7"/>
                      <c:pt idx="0">
                        <c:v>6</c:v>
                      </c:pt>
                      <c:pt idx="1">
                        <c:v>18</c:v>
                      </c:pt>
                      <c:pt idx="2">
                        <c:v>10</c:v>
                      </c:pt>
                      <c:pt idx="3">
                        <c:v>15</c:v>
                      </c:pt>
                      <c:pt idx="4">
                        <c:v>19</c:v>
                      </c:pt>
                      <c:pt idx="5">
                        <c:v>17</c:v>
                      </c:pt>
                      <c:pt idx="6">
                        <c:v>6</c:v>
                      </c:pt>
                    </c:numCache>
                  </c:numRef>
                </c:val>
                <c:smooth val="0"/>
                <c:extLst>
                  <c:ext xmlns:c16="http://schemas.microsoft.com/office/drawing/2014/chart" uri="{C3380CC4-5D6E-409C-BE32-E72D297353CC}">
                    <c16:uniqueId val="{00000004-2FE5-407C-BEED-23765366210D}"/>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Cumulative n</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Sheet1!$D$2:$D$8</c15:sqref>
                        </c15:formulaRef>
                      </c:ext>
                    </c:extLst>
                    <c:numCache>
                      <c:formatCode>General</c:formatCode>
                      <c:ptCount val="7"/>
                      <c:pt idx="0">
                        <c:v>6</c:v>
                      </c:pt>
                      <c:pt idx="1">
                        <c:v>24</c:v>
                      </c:pt>
                      <c:pt idx="2">
                        <c:v>34</c:v>
                      </c:pt>
                      <c:pt idx="3">
                        <c:v>49</c:v>
                      </c:pt>
                      <c:pt idx="4">
                        <c:v>68</c:v>
                      </c:pt>
                      <c:pt idx="5">
                        <c:v>85</c:v>
                      </c:pt>
                      <c:pt idx="6">
                        <c:v>91</c:v>
                      </c:pt>
                    </c:numCache>
                  </c:numRef>
                </c:val>
                <c:smooth val="0"/>
                <c:extLst xmlns:c15="http://schemas.microsoft.com/office/drawing/2012/chart">
                  <c:ext xmlns:c16="http://schemas.microsoft.com/office/drawing/2014/chart" uri="{C3380CC4-5D6E-409C-BE32-E72D297353CC}">
                    <c16:uniqueId val="{00000005-2FE5-407C-BEED-23765366210D}"/>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Mean weight: Primary (end of life)</c:v>
                      </c:pt>
                    </c:strCache>
                  </c:strRef>
                </c:tx>
                <c:spPr>
                  <a:ln w="6350"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General</c:formatCode>
                      <c:ptCount val="7"/>
                      <c:pt idx="0">
                        <c:v>1.125</c:v>
                      </c:pt>
                      <c:pt idx="1">
                        <c:v>1.125</c:v>
                      </c:pt>
                      <c:pt idx="2">
                        <c:v>1.125</c:v>
                      </c:pt>
                      <c:pt idx="3">
                        <c:v>1.125</c:v>
                      </c:pt>
                      <c:pt idx="4">
                        <c:v>1.125</c:v>
                      </c:pt>
                      <c:pt idx="5">
                        <c:v>1.125</c:v>
                      </c:pt>
                      <c:pt idx="6">
                        <c:v>1.125</c:v>
                      </c:pt>
                    </c:numCache>
                  </c:numRef>
                </c:val>
                <c:smooth val="0"/>
                <c:extLst xmlns:c15="http://schemas.microsoft.com/office/drawing/2012/chart">
                  <c:ext xmlns:c16="http://schemas.microsoft.com/office/drawing/2014/chart" uri="{C3380CC4-5D6E-409C-BE32-E72D297353CC}">
                    <c16:uniqueId val="{00000006-2FE5-407C-BEED-23765366210D}"/>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Mean weight: Primary (severity)</c:v>
                      </c:pt>
                    </c:strCache>
                  </c:strRef>
                </c:tx>
                <c:spPr>
                  <a:ln w="6350"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Sheet1!$A$2:$A$8</c15:sqref>
                        </c15:formulaRef>
                      </c:ext>
                    </c:extLst>
                    <c:strCache>
                      <c:ptCount val="7"/>
                      <c:pt idx="0">
                        <c:v>Q4 2022-23</c:v>
                      </c:pt>
                      <c:pt idx="1">
                        <c:v>Q1 2023-24</c:v>
                      </c:pt>
                      <c:pt idx="2">
                        <c:v>Q2 2023-24</c:v>
                      </c:pt>
                      <c:pt idx="3">
                        <c:v>Q3 2023-24</c:v>
                      </c:pt>
                      <c:pt idx="4">
                        <c:v>Q4 2023-24</c:v>
                      </c:pt>
                      <c:pt idx="5">
                        <c:v>Q1 2024-25</c:v>
                      </c:pt>
                      <c:pt idx="6">
                        <c:v>Q2 2024-25</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0.000</c:formatCode>
                      <c:ptCount val="7"/>
                      <c:pt idx="0">
                        <c:v>1.119</c:v>
                      </c:pt>
                      <c:pt idx="1">
                        <c:v>1.119</c:v>
                      </c:pt>
                      <c:pt idx="2">
                        <c:v>1.119</c:v>
                      </c:pt>
                      <c:pt idx="3">
                        <c:v>1.119</c:v>
                      </c:pt>
                      <c:pt idx="4">
                        <c:v>1.119</c:v>
                      </c:pt>
                      <c:pt idx="5">
                        <c:v>1.119</c:v>
                      </c:pt>
                      <c:pt idx="6">
                        <c:v>1.119</c:v>
                      </c:pt>
                    </c:numCache>
                  </c:numRef>
                </c:val>
                <c:smooth val="0"/>
                <c:extLst xmlns:c15="http://schemas.microsoft.com/office/drawing/2012/chart">
                  <c:ext xmlns:c16="http://schemas.microsoft.com/office/drawing/2014/chart" uri="{C3380CC4-5D6E-409C-BE32-E72D297353CC}">
                    <c16:uniqueId val="{00000007-2FE5-407C-BEED-23765366210D}"/>
                  </c:ext>
                </c:extLst>
              </c15:ser>
            </c15:filteredLineSeries>
          </c:ext>
        </c:extLst>
      </c:lineChart>
      <c:catAx>
        <c:axId val="88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2773088"/>
        <c:crosses val="autoZero"/>
        <c:auto val="1"/>
        <c:lblAlgn val="ctr"/>
        <c:lblOffset val="100"/>
        <c:noMultiLvlLbl val="0"/>
      </c:catAx>
      <c:valAx>
        <c:axId val="882773088"/>
        <c:scaling>
          <c:orientation val="minMax"/>
          <c:max val="1.35"/>
          <c:min val="1"/>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8277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0B360342-B2F2-48B6-A0FB-1073C114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2B79E-4B15-4BE8-98F4-F5AB091A53C9}">
  <ds:schemaRefs>
    <ds:schemaRef ds:uri="http://schemas.microsoft.com/sharepoint/v3/contenttype/forms"/>
  </ds:schemaRefs>
</ds:datastoreItem>
</file>

<file path=customXml/itemProps4.xml><?xml version="1.0" encoding="utf-8"?>
<ds:datastoreItem xmlns:ds="http://schemas.openxmlformats.org/officeDocument/2006/customXml" ds:itemID="{8E08C3AB-B54D-4BD9-A415-3B24BF2C2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6292</Words>
  <Characters>35870</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42078</CharactersWithSpaces>
  <SharedDoc>false</SharedDoc>
  <HLinks>
    <vt:vector size="30" baseType="variant">
      <vt:variant>
        <vt:i4>4194324</vt:i4>
      </vt:variant>
      <vt:variant>
        <vt:i4>48</vt:i4>
      </vt:variant>
      <vt:variant>
        <vt:i4>0</vt:i4>
      </vt:variant>
      <vt:variant>
        <vt:i4>5</vt:i4>
      </vt:variant>
      <vt:variant>
        <vt:lpwstr>https://www.nice.org.uk/terms-and-conditions</vt:lpwstr>
      </vt:variant>
      <vt:variant>
        <vt:lpwstr>notice-of-rights</vt:lpwstr>
      </vt:variant>
      <vt:variant>
        <vt:i4>3211325</vt:i4>
      </vt:variant>
      <vt:variant>
        <vt:i4>45</vt:i4>
      </vt:variant>
      <vt:variant>
        <vt:i4>0</vt:i4>
      </vt:variant>
      <vt:variant>
        <vt:i4>5</vt:i4>
      </vt:variant>
      <vt:variant>
        <vt:lpwstr>https://orda.shef.ac.uk/articles/report/Techniques_for_eliciting_societal_preferences_for_severity_for_use_in_health_technology_assessments/25406713/1?file=45030970</vt:lpwstr>
      </vt:variant>
      <vt:variant>
        <vt:lpwstr/>
      </vt:variant>
      <vt:variant>
        <vt:i4>8192095</vt:i4>
      </vt:variant>
      <vt:variant>
        <vt:i4>42</vt:i4>
      </vt:variant>
      <vt:variant>
        <vt:i4>0</vt:i4>
      </vt:variant>
      <vt:variant>
        <vt:i4>5</vt:i4>
      </vt:variant>
      <vt:variant>
        <vt:lpwstr>https://www.valueinhealthjournal.com/article/S1098-3015(22)00105-X/fulltext?_returnURL=https%3A%2F%2Flinkinghub.elsevier.com%2Fretrieve%2Fpii%2FS109830152200105X%3Fshowall%3Dtrue</vt:lpwstr>
      </vt:variant>
      <vt:variant>
        <vt:lpwstr/>
      </vt:variant>
      <vt:variant>
        <vt:i4>1900569</vt:i4>
      </vt:variant>
      <vt:variant>
        <vt:i4>39</vt:i4>
      </vt:variant>
      <vt:variant>
        <vt:i4>0</vt:i4>
      </vt:variant>
      <vt:variant>
        <vt:i4>5</vt:i4>
      </vt:variant>
      <vt:variant>
        <vt:lpwstr>C:\Users\dcoombs\AppData\Local\Microsoft\Windows\INetCache\Content.Outlook\EM34ONS7\Reviewing implementation in practice of the NICE Health Technology Evaluation Manual - CONNIE August 2024 (abpi.org.uk)</vt:lpwstr>
      </vt:variant>
      <vt:variant>
        <vt:lpwstr/>
      </vt:variant>
      <vt:variant>
        <vt:i4>720904</vt:i4>
      </vt:variant>
      <vt:variant>
        <vt:i4>9</vt:i4>
      </vt:variant>
      <vt:variant>
        <vt:i4>0</vt:i4>
      </vt:variant>
      <vt:variant>
        <vt:i4>5</vt:i4>
      </vt:variant>
      <vt:variant>
        <vt:lpwstr>https://www.sheffield.ac.uk/nice-dsu/methods-development/severity-weights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2024-09-24T22:37:00Z</dcterms:created>
  <dcterms:modified xsi:type="dcterms:W3CDTF">2024-09-25T10:17:00Z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2024-09-24T14:37:40Z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6842ac9d-a55d-4c64-971b-97a87565c6fb</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ies>
</file>