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3167A" w14:textId="5F3CFFB6" w:rsidR="00594C3A" w:rsidRPr="0035358A" w:rsidRDefault="00877FCC" w:rsidP="00D24CFA">
      <w:pPr>
        <w:pStyle w:val="Heading3"/>
        <w:jc w:val="center"/>
      </w:pPr>
      <w:r w:rsidRPr="0035358A">
        <w:t>Board effectiveness review: response to findings</w:t>
      </w:r>
    </w:p>
    <w:p w14:paraId="025D1705" w14:textId="362783FB" w:rsidR="00877FCC" w:rsidRDefault="00877FCC" w:rsidP="00D24CFA">
      <w:pPr>
        <w:pStyle w:val="Caption"/>
      </w:pPr>
      <w:r w:rsidRPr="0035358A">
        <w:t>Recommendations</w:t>
      </w:r>
    </w:p>
    <w:p w14:paraId="71174B8B" w14:textId="25BA1174" w:rsidR="005F67F4" w:rsidRPr="005F67F4" w:rsidRDefault="005F67F4" w:rsidP="005F67F4">
      <w:pPr>
        <w:pStyle w:val="Caption"/>
        <w:rPr>
          <w:b w:val="0"/>
          <w:bCs/>
        </w:rPr>
      </w:pPr>
      <w:r w:rsidRPr="005F67F4">
        <w:rPr>
          <w:b w:val="0"/>
          <w:bCs/>
        </w:rPr>
        <w:t>1. Ensure that Board time is appropriately balanced to take account of both internal and external change</w:t>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1"/>
        <w:gridCol w:w="5351"/>
        <w:gridCol w:w="1561"/>
        <w:gridCol w:w="1275"/>
      </w:tblGrid>
      <w:tr w:rsidR="00B87DCF" w:rsidRPr="0035358A" w14:paraId="6F2A025A" w14:textId="77777777" w:rsidTr="005F67F4">
        <w:tc>
          <w:tcPr>
            <w:tcW w:w="5761" w:type="dxa"/>
            <w:shd w:val="clear" w:color="auto" w:fill="000000" w:themeFill="text1"/>
          </w:tcPr>
          <w:p w14:paraId="6AB83896" w14:textId="51468ED7" w:rsidR="0035358A" w:rsidRPr="0035358A" w:rsidRDefault="0035358A" w:rsidP="00877FCC">
            <w:pPr>
              <w:pStyle w:val="Paragraph"/>
              <w:rPr>
                <w:b/>
                <w:bCs/>
                <w:sz w:val="20"/>
                <w:szCs w:val="20"/>
                <w:lang w:eastAsia="en-GB"/>
              </w:rPr>
            </w:pPr>
            <w:r w:rsidRPr="0035358A">
              <w:rPr>
                <w:b/>
                <w:bCs/>
                <w:sz w:val="20"/>
                <w:szCs w:val="20"/>
                <w:lang w:eastAsia="en-GB"/>
              </w:rPr>
              <w:t xml:space="preserve">Recommendation </w:t>
            </w:r>
          </w:p>
        </w:tc>
        <w:tc>
          <w:tcPr>
            <w:tcW w:w="5351" w:type="dxa"/>
            <w:shd w:val="clear" w:color="auto" w:fill="000000" w:themeFill="text1"/>
          </w:tcPr>
          <w:p w14:paraId="385FB9D2" w14:textId="19B52E5C" w:rsidR="0035358A" w:rsidRPr="0035358A" w:rsidRDefault="0035358A" w:rsidP="00877FCC">
            <w:pPr>
              <w:pStyle w:val="Paragraph"/>
              <w:rPr>
                <w:b/>
                <w:bCs/>
                <w:sz w:val="20"/>
                <w:szCs w:val="20"/>
                <w:lang w:eastAsia="en-GB"/>
              </w:rPr>
            </w:pPr>
            <w:r w:rsidRPr="0035358A">
              <w:rPr>
                <w:b/>
                <w:bCs/>
                <w:sz w:val="20"/>
                <w:szCs w:val="20"/>
                <w:lang w:eastAsia="en-GB"/>
              </w:rPr>
              <w:t xml:space="preserve">Response and actions </w:t>
            </w:r>
          </w:p>
        </w:tc>
        <w:tc>
          <w:tcPr>
            <w:tcW w:w="1561" w:type="dxa"/>
            <w:shd w:val="clear" w:color="auto" w:fill="000000" w:themeFill="text1"/>
          </w:tcPr>
          <w:p w14:paraId="4B687346" w14:textId="7CAFE667" w:rsidR="0035358A" w:rsidRPr="0035358A" w:rsidRDefault="0035358A" w:rsidP="00877FCC">
            <w:pPr>
              <w:pStyle w:val="Paragraph"/>
              <w:rPr>
                <w:b/>
                <w:bCs/>
                <w:sz w:val="20"/>
                <w:szCs w:val="20"/>
                <w:lang w:eastAsia="en-GB"/>
              </w:rPr>
            </w:pPr>
            <w:r w:rsidRPr="0035358A">
              <w:rPr>
                <w:b/>
                <w:bCs/>
                <w:sz w:val="20"/>
                <w:szCs w:val="20"/>
                <w:lang w:eastAsia="en-GB"/>
              </w:rPr>
              <w:t>Lead</w:t>
            </w:r>
          </w:p>
        </w:tc>
        <w:tc>
          <w:tcPr>
            <w:tcW w:w="1275" w:type="dxa"/>
            <w:shd w:val="clear" w:color="auto" w:fill="000000" w:themeFill="text1"/>
          </w:tcPr>
          <w:p w14:paraId="011B10F0" w14:textId="1F2C68FE" w:rsidR="0035358A" w:rsidRPr="0035358A" w:rsidRDefault="0035358A" w:rsidP="00877FCC">
            <w:pPr>
              <w:pStyle w:val="Paragraph"/>
              <w:rPr>
                <w:b/>
                <w:bCs/>
                <w:sz w:val="20"/>
                <w:szCs w:val="20"/>
                <w:lang w:eastAsia="en-GB"/>
              </w:rPr>
            </w:pPr>
            <w:r w:rsidRPr="0035358A">
              <w:rPr>
                <w:b/>
                <w:bCs/>
                <w:sz w:val="20"/>
                <w:szCs w:val="20"/>
                <w:lang w:eastAsia="en-GB"/>
              </w:rPr>
              <w:t>Timescale</w:t>
            </w:r>
          </w:p>
        </w:tc>
      </w:tr>
      <w:tr w:rsidR="00B87DCF" w:rsidRPr="0035358A" w14:paraId="25F2EDED" w14:textId="77777777" w:rsidTr="005F67F4">
        <w:trPr>
          <w:trHeight w:val="546"/>
        </w:trPr>
        <w:tc>
          <w:tcPr>
            <w:tcW w:w="5761" w:type="dxa"/>
          </w:tcPr>
          <w:p w14:paraId="361CE696" w14:textId="77777777" w:rsidR="007D676E" w:rsidRPr="0035358A" w:rsidRDefault="007D676E" w:rsidP="0035358A">
            <w:pPr>
              <w:pStyle w:val="Paragraph"/>
              <w:rPr>
                <w:sz w:val="20"/>
                <w:szCs w:val="20"/>
                <w:lang w:eastAsia="en-GB"/>
              </w:rPr>
            </w:pPr>
            <w:r w:rsidRPr="0035358A">
              <w:rPr>
                <w:sz w:val="20"/>
                <w:szCs w:val="20"/>
                <w:lang w:eastAsia="en-GB"/>
              </w:rPr>
              <w:t xml:space="preserve">(a) It may be useful to look at the forward planning of Board time – and which topics are given airtime, </w:t>
            </w:r>
            <w:proofErr w:type="gramStart"/>
            <w:r w:rsidRPr="0035358A">
              <w:rPr>
                <w:sz w:val="20"/>
                <w:szCs w:val="20"/>
                <w:lang w:eastAsia="en-GB"/>
              </w:rPr>
              <w:t>e.g.</w:t>
            </w:r>
            <w:proofErr w:type="gramEnd"/>
            <w:r w:rsidRPr="0035358A">
              <w:rPr>
                <w:sz w:val="20"/>
                <w:szCs w:val="20"/>
                <w:lang w:eastAsia="en-GB"/>
              </w:rPr>
              <w:t xml:space="preserve"> patient voice, social care, internal organisational challenges – and make adjustments as necessary to the forward plan. As part of this, consider whether the main focus of formal performance scrutiny can be positioned in the public </w:t>
            </w:r>
            <w:proofErr w:type="gramStart"/>
            <w:r w:rsidRPr="0035358A">
              <w:rPr>
                <w:sz w:val="20"/>
                <w:szCs w:val="20"/>
                <w:lang w:eastAsia="en-GB"/>
              </w:rPr>
              <w:t>meeting</w:t>
            </w:r>
            <w:proofErr w:type="gramEnd"/>
          </w:p>
          <w:p w14:paraId="66667984" w14:textId="0DC6C69C" w:rsidR="007D676E" w:rsidRPr="0035358A" w:rsidRDefault="007D676E" w:rsidP="00877FCC">
            <w:pPr>
              <w:pStyle w:val="Paragraph"/>
              <w:rPr>
                <w:sz w:val="20"/>
                <w:szCs w:val="20"/>
                <w:lang w:eastAsia="en-GB"/>
              </w:rPr>
            </w:pPr>
            <w:r>
              <w:rPr>
                <w:sz w:val="20"/>
                <w:szCs w:val="20"/>
                <w:lang w:eastAsia="en-GB"/>
              </w:rPr>
              <w:t xml:space="preserve">(b) </w:t>
            </w:r>
            <w:r w:rsidRPr="0035358A">
              <w:rPr>
                <w:sz w:val="20"/>
                <w:szCs w:val="20"/>
                <w:lang w:eastAsia="en-GB"/>
              </w:rPr>
              <w:t>Make time for reflection about the reception of transformation in the informal seminar time and consider whether informal seminar time can be extended. There should anyway be space for wider (non-paper based) reflection time to gather collective insight</w:t>
            </w:r>
          </w:p>
        </w:tc>
        <w:tc>
          <w:tcPr>
            <w:tcW w:w="5351" w:type="dxa"/>
          </w:tcPr>
          <w:p w14:paraId="11556BAC" w14:textId="64EADD75" w:rsidR="00B87DCF" w:rsidRDefault="00330514" w:rsidP="00877FCC">
            <w:pPr>
              <w:pStyle w:val="Paragraph"/>
              <w:rPr>
                <w:sz w:val="20"/>
                <w:szCs w:val="20"/>
                <w:lang w:eastAsia="en-GB"/>
              </w:rPr>
            </w:pPr>
            <w:r>
              <w:rPr>
                <w:sz w:val="20"/>
                <w:szCs w:val="20"/>
                <w:lang w:eastAsia="en-GB"/>
              </w:rPr>
              <w:t>Board f</w:t>
            </w:r>
            <w:r w:rsidR="00B87DCF">
              <w:rPr>
                <w:sz w:val="20"/>
                <w:szCs w:val="20"/>
                <w:lang w:eastAsia="en-GB"/>
              </w:rPr>
              <w:t>orward plan has been reviewed to ensure an appropriate balance of topics, and the Chairman, Chief Executive, and Associate Director, Corporate Office will continue to remain alert to this issue when setting agendas for each meeting</w:t>
            </w:r>
            <w:r w:rsidR="00A62987">
              <w:rPr>
                <w:sz w:val="20"/>
                <w:szCs w:val="20"/>
                <w:lang w:eastAsia="en-GB"/>
              </w:rPr>
              <w:t>.</w:t>
            </w:r>
            <w:r w:rsidR="00B87DCF">
              <w:rPr>
                <w:sz w:val="20"/>
                <w:szCs w:val="20"/>
                <w:lang w:eastAsia="en-GB"/>
              </w:rPr>
              <w:t xml:space="preserve"> </w:t>
            </w:r>
          </w:p>
          <w:p w14:paraId="3CC954E5" w14:textId="5F23E69E" w:rsidR="007D676E" w:rsidRDefault="007D676E" w:rsidP="00877FCC">
            <w:pPr>
              <w:pStyle w:val="Paragraph"/>
              <w:rPr>
                <w:sz w:val="20"/>
                <w:szCs w:val="20"/>
                <w:lang w:eastAsia="en-GB"/>
              </w:rPr>
            </w:pPr>
            <w:r>
              <w:rPr>
                <w:sz w:val="20"/>
                <w:szCs w:val="20"/>
                <w:lang w:eastAsia="en-GB"/>
              </w:rPr>
              <w:t>Starting in July 2023, the seminars will periodically include a slot for the Board to reflect on the transformation, including successes and challenges</w:t>
            </w:r>
            <w:r w:rsidR="00B87DCF">
              <w:rPr>
                <w:sz w:val="20"/>
                <w:szCs w:val="20"/>
                <w:lang w:eastAsia="en-GB"/>
              </w:rPr>
              <w:t>, plus other topical issues as appropriate</w:t>
            </w:r>
            <w:r>
              <w:rPr>
                <w:sz w:val="20"/>
                <w:szCs w:val="20"/>
                <w:lang w:eastAsia="en-GB"/>
              </w:rPr>
              <w:t xml:space="preserve">. This will </w:t>
            </w:r>
            <w:r w:rsidR="00EC1611">
              <w:rPr>
                <w:sz w:val="20"/>
                <w:szCs w:val="20"/>
                <w:lang w:eastAsia="en-GB"/>
              </w:rPr>
              <w:t xml:space="preserve">be </w:t>
            </w:r>
            <w:r>
              <w:rPr>
                <w:sz w:val="20"/>
                <w:szCs w:val="20"/>
                <w:lang w:eastAsia="en-GB"/>
              </w:rPr>
              <w:t xml:space="preserve">an unstructured discussion without papers or slides. </w:t>
            </w:r>
          </w:p>
          <w:p w14:paraId="0450A93A" w14:textId="04EE8A6B" w:rsidR="007D676E" w:rsidRPr="0035358A" w:rsidRDefault="007D676E" w:rsidP="00877FCC">
            <w:pPr>
              <w:pStyle w:val="Paragraph"/>
              <w:rPr>
                <w:sz w:val="20"/>
                <w:szCs w:val="20"/>
                <w:lang w:eastAsia="en-GB"/>
              </w:rPr>
            </w:pPr>
            <w:r>
              <w:rPr>
                <w:sz w:val="20"/>
                <w:szCs w:val="20"/>
                <w:lang w:eastAsia="en-GB"/>
              </w:rPr>
              <w:t xml:space="preserve">Detailed review of the transformation progress, measured through the business plan objectives and milestones will </w:t>
            </w:r>
            <w:r w:rsidR="00EC1611">
              <w:rPr>
                <w:sz w:val="20"/>
                <w:szCs w:val="20"/>
                <w:lang w:eastAsia="en-GB"/>
              </w:rPr>
              <w:t xml:space="preserve">continue to </w:t>
            </w:r>
            <w:r w:rsidR="005F67F4">
              <w:rPr>
                <w:sz w:val="20"/>
                <w:szCs w:val="20"/>
                <w:lang w:eastAsia="en-GB"/>
              </w:rPr>
              <w:t>be under</w:t>
            </w:r>
            <w:r>
              <w:rPr>
                <w:sz w:val="20"/>
                <w:szCs w:val="20"/>
                <w:lang w:eastAsia="en-GB"/>
              </w:rPr>
              <w:t>take</w:t>
            </w:r>
            <w:r w:rsidR="005F67F4">
              <w:rPr>
                <w:sz w:val="20"/>
                <w:szCs w:val="20"/>
                <w:lang w:eastAsia="en-GB"/>
              </w:rPr>
              <w:t xml:space="preserve">n </w:t>
            </w:r>
            <w:r>
              <w:rPr>
                <w:sz w:val="20"/>
                <w:szCs w:val="20"/>
                <w:lang w:eastAsia="en-GB"/>
              </w:rPr>
              <w:t>at the public Board meetings through the performance report.</w:t>
            </w:r>
          </w:p>
        </w:tc>
        <w:tc>
          <w:tcPr>
            <w:tcW w:w="1561" w:type="dxa"/>
          </w:tcPr>
          <w:p w14:paraId="2578DB9B" w14:textId="2BF89C61" w:rsidR="007D676E" w:rsidRPr="0035358A" w:rsidRDefault="00B87DCF" w:rsidP="00B87DCF">
            <w:pPr>
              <w:pStyle w:val="Paragraph"/>
              <w:rPr>
                <w:sz w:val="20"/>
                <w:szCs w:val="20"/>
                <w:lang w:eastAsia="en-GB"/>
              </w:rPr>
            </w:pPr>
            <w:r>
              <w:rPr>
                <w:sz w:val="20"/>
                <w:szCs w:val="20"/>
                <w:lang w:eastAsia="en-GB"/>
              </w:rPr>
              <w:t xml:space="preserve">Chairman / Chief Executive / Associate Director, Corporate Office </w:t>
            </w:r>
          </w:p>
        </w:tc>
        <w:tc>
          <w:tcPr>
            <w:tcW w:w="1275" w:type="dxa"/>
          </w:tcPr>
          <w:p w14:paraId="288D925E" w14:textId="699D437C" w:rsidR="007D676E" w:rsidRPr="0035358A" w:rsidRDefault="00B87DCF" w:rsidP="00877FCC">
            <w:pPr>
              <w:pStyle w:val="Paragraph"/>
              <w:rPr>
                <w:sz w:val="20"/>
                <w:szCs w:val="20"/>
                <w:lang w:eastAsia="en-GB"/>
              </w:rPr>
            </w:pPr>
            <w:r>
              <w:rPr>
                <w:sz w:val="20"/>
                <w:szCs w:val="20"/>
                <w:lang w:eastAsia="en-GB"/>
              </w:rPr>
              <w:t>Ongoing</w:t>
            </w:r>
          </w:p>
        </w:tc>
      </w:tr>
      <w:tr w:rsidR="00B87DCF" w:rsidRPr="0035358A" w14:paraId="531C5C70" w14:textId="77777777" w:rsidTr="005F67F4">
        <w:tc>
          <w:tcPr>
            <w:tcW w:w="5761" w:type="dxa"/>
          </w:tcPr>
          <w:p w14:paraId="46E3AFA6" w14:textId="2B2E5C07" w:rsidR="0035358A" w:rsidRDefault="005F67F4" w:rsidP="00877FCC">
            <w:pPr>
              <w:pStyle w:val="Paragraph"/>
              <w:rPr>
                <w:sz w:val="20"/>
                <w:szCs w:val="20"/>
                <w:lang w:eastAsia="en-GB"/>
              </w:rPr>
            </w:pPr>
            <w:r>
              <w:rPr>
                <w:sz w:val="20"/>
                <w:szCs w:val="20"/>
                <w:lang w:eastAsia="en-GB"/>
              </w:rPr>
              <w:lastRenderedPageBreak/>
              <w:t>(c) </w:t>
            </w:r>
            <w:r w:rsidR="0035358A" w:rsidRPr="0035358A">
              <w:rPr>
                <w:sz w:val="20"/>
                <w:szCs w:val="20"/>
                <w:lang w:eastAsia="en-GB"/>
              </w:rPr>
              <w:t>Consider implementing timed agendas for both the informal seminar and public meetings</w:t>
            </w:r>
          </w:p>
        </w:tc>
        <w:tc>
          <w:tcPr>
            <w:tcW w:w="5351" w:type="dxa"/>
          </w:tcPr>
          <w:p w14:paraId="27D655B0" w14:textId="6E5DBA77" w:rsidR="0035358A" w:rsidRPr="0035358A" w:rsidRDefault="00EC1611" w:rsidP="00877FCC">
            <w:pPr>
              <w:pStyle w:val="Paragraph"/>
              <w:rPr>
                <w:sz w:val="20"/>
                <w:szCs w:val="20"/>
                <w:lang w:eastAsia="en-GB"/>
              </w:rPr>
            </w:pPr>
            <w:proofErr w:type="gramStart"/>
            <w:r>
              <w:rPr>
                <w:sz w:val="20"/>
                <w:szCs w:val="20"/>
                <w:lang w:eastAsia="en-GB"/>
              </w:rPr>
              <w:t>Having considered this, it</w:t>
            </w:r>
            <w:proofErr w:type="gramEnd"/>
            <w:r>
              <w:rPr>
                <w:sz w:val="20"/>
                <w:szCs w:val="20"/>
                <w:lang w:eastAsia="en-GB"/>
              </w:rPr>
              <w:t xml:space="preserve"> is felt that timed agendas could constrain the discussion and contributions. As now, the items requiring the greatest time will be presented at the start of the meeting to ensure sufficient time is available to discuss them, and the Chairman will manage the meeting accordingly. </w:t>
            </w:r>
          </w:p>
        </w:tc>
        <w:tc>
          <w:tcPr>
            <w:tcW w:w="1561" w:type="dxa"/>
          </w:tcPr>
          <w:p w14:paraId="64A2075E" w14:textId="14A45538" w:rsidR="0035358A" w:rsidRPr="0035358A" w:rsidRDefault="00EC1611" w:rsidP="00877FCC">
            <w:pPr>
              <w:pStyle w:val="Paragraph"/>
              <w:rPr>
                <w:sz w:val="20"/>
                <w:szCs w:val="20"/>
                <w:lang w:eastAsia="en-GB"/>
              </w:rPr>
            </w:pPr>
            <w:r>
              <w:rPr>
                <w:sz w:val="20"/>
                <w:szCs w:val="20"/>
                <w:lang w:eastAsia="en-GB"/>
              </w:rPr>
              <w:t>N/a</w:t>
            </w:r>
          </w:p>
        </w:tc>
        <w:tc>
          <w:tcPr>
            <w:tcW w:w="1275" w:type="dxa"/>
          </w:tcPr>
          <w:p w14:paraId="37019776" w14:textId="113B944C" w:rsidR="0035358A" w:rsidRPr="0035358A" w:rsidRDefault="00EC1611" w:rsidP="00877FCC">
            <w:pPr>
              <w:pStyle w:val="Paragraph"/>
              <w:rPr>
                <w:sz w:val="20"/>
                <w:szCs w:val="20"/>
                <w:lang w:eastAsia="en-GB"/>
              </w:rPr>
            </w:pPr>
            <w:r>
              <w:rPr>
                <w:sz w:val="20"/>
                <w:szCs w:val="20"/>
                <w:lang w:eastAsia="en-GB"/>
              </w:rPr>
              <w:t>N/a</w:t>
            </w:r>
          </w:p>
        </w:tc>
      </w:tr>
      <w:tr w:rsidR="00B87DCF" w:rsidRPr="0035358A" w14:paraId="265887FB" w14:textId="77777777" w:rsidTr="005F67F4">
        <w:tc>
          <w:tcPr>
            <w:tcW w:w="5761" w:type="dxa"/>
          </w:tcPr>
          <w:p w14:paraId="76964DF1" w14:textId="20599743" w:rsidR="0035358A" w:rsidRDefault="0035358A" w:rsidP="00877FCC">
            <w:pPr>
              <w:pStyle w:val="Paragraph"/>
              <w:rPr>
                <w:sz w:val="20"/>
                <w:szCs w:val="20"/>
                <w:lang w:eastAsia="en-GB"/>
              </w:rPr>
            </w:pPr>
            <w:r>
              <w:rPr>
                <w:sz w:val="20"/>
                <w:szCs w:val="20"/>
                <w:lang w:eastAsia="en-GB"/>
              </w:rPr>
              <w:t>(d) </w:t>
            </w:r>
            <w:r w:rsidRPr="0035358A">
              <w:rPr>
                <w:sz w:val="20"/>
                <w:szCs w:val="20"/>
                <w:lang w:eastAsia="en-GB"/>
              </w:rPr>
              <w:t xml:space="preserve">Introduce an interim update between Board meetings – both to keep NEDs aware of any key events in real-time, so there is less to catch up on in meetings, </w:t>
            </w:r>
            <w:proofErr w:type="gramStart"/>
            <w:r w:rsidRPr="0035358A">
              <w:rPr>
                <w:sz w:val="20"/>
                <w:szCs w:val="20"/>
                <w:lang w:eastAsia="en-GB"/>
              </w:rPr>
              <w:t>and also</w:t>
            </w:r>
            <w:proofErr w:type="gramEnd"/>
            <w:r w:rsidRPr="0035358A">
              <w:rPr>
                <w:sz w:val="20"/>
                <w:szCs w:val="20"/>
                <w:lang w:eastAsia="en-GB"/>
              </w:rPr>
              <w:t xml:space="preserve"> to help streamline the actual Board meetings</w:t>
            </w:r>
          </w:p>
        </w:tc>
        <w:tc>
          <w:tcPr>
            <w:tcW w:w="5351" w:type="dxa"/>
          </w:tcPr>
          <w:p w14:paraId="7F39025E" w14:textId="1A72ADDE" w:rsidR="0035358A" w:rsidRPr="0035358A" w:rsidRDefault="00996FF6" w:rsidP="00877FCC">
            <w:pPr>
              <w:pStyle w:val="Paragraph"/>
              <w:rPr>
                <w:sz w:val="20"/>
                <w:szCs w:val="20"/>
                <w:lang w:eastAsia="en-GB"/>
              </w:rPr>
            </w:pPr>
            <w:proofErr w:type="gramStart"/>
            <w:r>
              <w:rPr>
                <w:sz w:val="20"/>
                <w:szCs w:val="20"/>
                <w:lang w:eastAsia="en-GB"/>
              </w:rPr>
              <w:t>60 minute</w:t>
            </w:r>
            <w:proofErr w:type="gramEnd"/>
            <w:r>
              <w:rPr>
                <w:sz w:val="20"/>
                <w:szCs w:val="20"/>
                <w:lang w:eastAsia="en-GB"/>
              </w:rPr>
              <w:t xml:space="preserve"> </w:t>
            </w:r>
            <w:r w:rsidR="002C51D4">
              <w:rPr>
                <w:sz w:val="20"/>
                <w:szCs w:val="20"/>
                <w:lang w:eastAsia="en-GB"/>
              </w:rPr>
              <w:t xml:space="preserve">informal </w:t>
            </w:r>
            <w:r>
              <w:rPr>
                <w:sz w:val="20"/>
                <w:szCs w:val="20"/>
                <w:lang w:eastAsia="en-GB"/>
              </w:rPr>
              <w:t xml:space="preserve">check-in calls </w:t>
            </w:r>
            <w:r w:rsidR="00330514">
              <w:rPr>
                <w:sz w:val="20"/>
                <w:szCs w:val="20"/>
                <w:lang w:eastAsia="en-GB"/>
              </w:rPr>
              <w:t xml:space="preserve">have been arranged </w:t>
            </w:r>
            <w:r w:rsidR="00D24CFA">
              <w:rPr>
                <w:sz w:val="20"/>
                <w:szCs w:val="20"/>
                <w:lang w:eastAsia="en-GB"/>
              </w:rPr>
              <w:t>in the months when there is no Board</w:t>
            </w:r>
            <w:r w:rsidR="00870AE8">
              <w:rPr>
                <w:sz w:val="20"/>
                <w:szCs w:val="20"/>
                <w:lang w:eastAsia="en-GB"/>
              </w:rPr>
              <w:t xml:space="preserve"> meeting</w:t>
            </w:r>
            <w:r>
              <w:rPr>
                <w:sz w:val="20"/>
                <w:szCs w:val="20"/>
                <w:lang w:eastAsia="en-GB"/>
              </w:rPr>
              <w:t xml:space="preserve">, starting in August. </w:t>
            </w:r>
          </w:p>
        </w:tc>
        <w:tc>
          <w:tcPr>
            <w:tcW w:w="1561" w:type="dxa"/>
          </w:tcPr>
          <w:p w14:paraId="491CDF09" w14:textId="14D08E86" w:rsidR="0035358A" w:rsidRPr="0035358A" w:rsidRDefault="00EC1611" w:rsidP="00877FCC">
            <w:pPr>
              <w:pStyle w:val="Paragraph"/>
              <w:rPr>
                <w:sz w:val="20"/>
                <w:szCs w:val="20"/>
                <w:lang w:eastAsia="en-GB"/>
              </w:rPr>
            </w:pPr>
            <w:r>
              <w:rPr>
                <w:sz w:val="20"/>
                <w:szCs w:val="20"/>
                <w:lang w:eastAsia="en-GB"/>
              </w:rPr>
              <w:t>Head of Organisational Transformation</w:t>
            </w:r>
          </w:p>
        </w:tc>
        <w:tc>
          <w:tcPr>
            <w:tcW w:w="1275" w:type="dxa"/>
          </w:tcPr>
          <w:p w14:paraId="73A54517" w14:textId="09178F08" w:rsidR="0035358A" w:rsidRPr="0035358A" w:rsidRDefault="00D24CFA" w:rsidP="00877FCC">
            <w:pPr>
              <w:pStyle w:val="Paragraph"/>
              <w:rPr>
                <w:sz w:val="20"/>
                <w:szCs w:val="20"/>
                <w:lang w:eastAsia="en-GB"/>
              </w:rPr>
            </w:pPr>
            <w:r>
              <w:rPr>
                <w:sz w:val="20"/>
                <w:szCs w:val="20"/>
                <w:lang w:eastAsia="en-GB"/>
              </w:rPr>
              <w:t>August 2023</w:t>
            </w:r>
          </w:p>
        </w:tc>
      </w:tr>
    </w:tbl>
    <w:p w14:paraId="0A302B00" w14:textId="77777777" w:rsidR="005F67F4" w:rsidRDefault="005F67F4"/>
    <w:p w14:paraId="59CD097F" w14:textId="29F24322" w:rsidR="005F67F4" w:rsidRPr="005F67F4" w:rsidRDefault="005F67F4" w:rsidP="005F67F4">
      <w:pPr>
        <w:pStyle w:val="Caption"/>
        <w:rPr>
          <w:b w:val="0"/>
          <w:bCs/>
        </w:rPr>
      </w:pPr>
      <w:r w:rsidRPr="005F67F4">
        <w:rPr>
          <w:b w:val="0"/>
          <w:bCs/>
        </w:rPr>
        <w:t>2. Continue to strengthen the sense of shared endeavour and inclusion in the boardroom</w:t>
      </w:r>
    </w:p>
    <w:tbl>
      <w:tblPr>
        <w:tblStyle w:val="TableGridLight"/>
        <w:tblW w:w="0" w:type="auto"/>
        <w:tblLook w:val="04A0" w:firstRow="1" w:lastRow="0" w:firstColumn="1" w:lastColumn="0" w:noHBand="0" w:noVBand="1"/>
      </w:tblPr>
      <w:tblGrid>
        <w:gridCol w:w="5761"/>
        <w:gridCol w:w="5351"/>
        <w:gridCol w:w="1561"/>
        <w:gridCol w:w="1275"/>
      </w:tblGrid>
      <w:tr w:rsidR="005F67F4" w:rsidRPr="005F67F4" w14:paraId="79079179" w14:textId="77777777" w:rsidTr="005F67F4">
        <w:tc>
          <w:tcPr>
            <w:tcW w:w="5761" w:type="dxa"/>
            <w:tcBorders>
              <w:top w:val="single" w:sz="4" w:space="0" w:color="auto"/>
              <w:left w:val="single" w:sz="4" w:space="0" w:color="auto"/>
              <w:bottom w:val="single" w:sz="4" w:space="0" w:color="auto"/>
              <w:right w:val="single" w:sz="4" w:space="0" w:color="auto"/>
            </w:tcBorders>
            <w:shd w:val="clear" w:color="auto" w:fill="000000" w:themeFill="text1"/>
          </w:tcPr>
          <w:p w14:paraId="6130FB16" w14:textId="77777777" w:rsidR="005F67F4" w:rsidRPr="005F67F4" w:rsidRDefault="005F67F4" w:rsidP="00C34DD0">
            <w:pPr>
              <w:pStyle w:val="Paragraph"/>
              <w:rPr>
                <w:b/>
                <w:bCs/>
                <w:color w:val="FFFFFF" w:themeColor="background1"/>
                <w:sz w:val="20"/>
                <w:szCs w:val="20"/>
                <w:lang w:eastAsia="en-GB"/>
              </w:rPr>
            </w:pPr>
            <w:r w:rsidRPr="005F67F4">
              <w:rPr>
                <w:b/>
                <w:bCs/>
                <w:color w:val="FFFFFF" w:themeColor="background1"/>
                <w:sz w:val="20"/>
                <w:szCs w:val="20"/>
                <w:lang w:eastAsia="en-GB"/>
              </w:rPr>
              <w:t xml:space="preserve">Recommendation </w:t>
            </w:r>
          </w:p>
        </w:tc>
        <w:tc>
          <w:tcPr>
            <w:tcW w:w="5351" w:type="dxa"/>
            <w:tcBorders>
              <w:top w:val="single" w:sz="4" w:space="0" w:color="auto"/>
              <w:left w:val="single" w:sz="4" w:space="0" w:color="auto"/>
              <w:bottom w:val="single" w:sz="4" w:space="0" w:color="auto"/>
              <w:right w:val="single" w:sz="4" w:space="0" w:color="auto"/>
            </w:tcBorders>
            <w:shd w:val="clear" w:color="auto" w:fill="000000" w:themeFill="text1"/>
          </w:tcPr>
          <w:p w14:paraId="2F1D62C5" w14:textId="77777777" w:rsidR="005F67F4" w:rsidRPr="005F67F4" w:rsidRDefault="005F67F4" w:rsidP="00C34DD0">
            <w:pPr>
              <w:pStyle w:val="Paragraph"/>
              <w:rPr>
                <w:b/>
                <w:bCs/>
                <w:color w:val="FFFFFF" w:themeColor="background1"/>
                <w:sz w:val="20"/>
                <w:szCs w:val="20"/>
                <w:lang w:eastAsia="en-GB"/>
              </w:rPr>
            </w:pPr>
            <w:r w:rsidRPr="005F67F4">
              <w:rPr>
                <w:b/>
                <w:bCs/>
                <w:color w:val="FFFFFF" w:themeColor="background1"/>
                <w:sz w:val="20"/>
                <w:szCs w:val="20"/>
                <w:lang w:eastAsia="en-GB"/>
              </w:rPr>
              <w:t xml:space="preserve">Response and actions </w:t>
            </w:r>
          </w:p>
        </w:tc>
        <w:tc>
          <w:tcPr>
            <w:tcW w:w="1561" w:type="dxa"/>
            <w:tcBorders>
              <w:top w:val="single" w:sz="4" w:space="0" w:color="auto"/>
              <w:left w:val="single" w:sz="4" w:space="0" w:color="auto"/>
              <w:bottom w:val="single" w:sz="4" w:space="0" w:color="auto"/>
              <w:right w:val="single" w:sz="4" w:space="0" w:color="auto"/>
            </w:tcBorders>
            <w:shd w:val="clear" w:color="auto" w:fill="000000" w:themeFill="text1"/>
          </w:tcPr>
          <w:p w14:paraId="1562E900" w14:textId="77777777" w:rsidR="005F67F4" w:rsidRPr="005F67F4" w:rsidRDefault="005F67F4" w:rsidP="00C34DD0">
            <w:pPr>
              <w:pStyle w:val="Paragraph"/>
              <w:rPr>
                <w:b/>
                <w:bCs/>
                <w:color w:val="FFFFFF" w:themeColor="background1"/>
                <w:sz w:val="20"/>
                <w:szCs w:val="20"/>
                <w:lang w:eastAsia="en-GB"/>
              </w:rPr>
            </w:pPr>
            <w:r w:rsidRPr="005F67F4">
              <w:rPr>
                <w:b/>
                <w:bCs/>
                <w:color w:val="FFFFFF" w:themeColor="background1"/>
                <w:sz w:val="20"/>
                <w:szCs w:val="20"/>
                <w:lang w:eastAsia="en-GB"/>
              </w:rPr>
              <w:t>Lead</w:t>
            </w:r>
          </w:p>
        </w:tc>
        <w:tc>
          <w:tcPr>
            <w:tcW w:w="1275" w:type="dxa"/>
            <w:tcBorders>
              <w:top w:val="single" w:sz="4" w:space="0" w:color="auto"/>
              <w:left w:val="single" w:sz="4" w:space="0" w:color="auto"/>
              <w:bottom w:val="single" w:sz="4" w:space="0" w:color="auto"/>
              <w:right w:val="single" w:sz="4" w:space="0" w:color="auto"/>
            </w:tcBorders>
            <w:shd w:val="clear" w:color="auto" w:fill="000000" w:themeFill="text1"/>
          </w:tcPr>
          <w:p w14:paraId="0E9158C7" w14:textId="77777777" w:rsidR="005F67F4" w:rsidRPr="005F67F4" w:rsidRDefault="005F67F4" w:rsidP="00C34DD0">
            <w:pPr>
              <w:pStyle w:val="Paragraph"/>
              <w:rPr>
                <w:b/>
                <w:bCs/>
                <w:color w:val="FFFFFF" w:themeColor="background1"/>
                <w:sz w:val="20"/>
                <w:szCs w:val="20"/>
                <w:lang w:eastAsia="en-GB"/>
              </w:rPr>
            </w:pPr>
            <w:r w:rsidRPr="005F67F4">
              <w:rPr>
                <w:b/>
                <w:bCs/>
                <w:color w:val="FFFFFF" w:themeColor="background1"/>
                <w:sz w:val="20"/>
                <w:szCs w:val="20"/>
                <w:lang w:eastAsia="en-GB"/>
              </w:rPr>
              <w:t>Timescale</w:t>
            </w:r>
          </w:p>
        </w:tc>
      </w:tr>
      <w:tr w:rsidR="00B87DCF" w:rsidRPr="0035358A" w14:paraId="7C9DDDF7" w14:textId="77777777" w:rsidTr="005F6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61" w:type="dxa"/>
            <w:tcBorders>
              <w:top w:val="single" w:sz="4" w:space="0" w:color="auto"/>
            </w:tcBorders>
          </w:tcPr>
          <w:p w14:paraId="0B6E14A4" w14:textId="18D3F1A7" w:rsidR="00850583" w:rsidRDefault="00850583" w:rsidP="00877FCC">
            <w:pPr>
              <w:pStyle w:val="Paragraph"/>
              <w:rPr>
                <w:sz w:val="20"/>
                <w:szCs w:val="20"/>
                <w:lang w:eastAsia="en-GB"/>
              </w:rPr>
            </w:pPr>
            <w:r>
              <w:rPr>
                <w:sz w:val="20"/>
                <w:szCs w:val="20"/>
                <w:lang w:eastAsia="en-GB"/>
              </w:rPr>
              <w:t>(a) </w:t>
            </w:r>
            <w:r w:rsidRPr="00850583">
              <w:rPr>
                <w:sz w:val="20"/>
                <w:szCs w:val="20"/>
                <w:lang w:eastAsia="en-GB"/>
              </w:rPr>
              <w:t>Consider whether one of the scheduled Board development sessions could consider covering making inclusion meaningful in the boardroom (and what style of facilitation the Board most helpfully needs from the Chair); how a unitary Board model should operate in practice (</w:t>
            </w:r>
            <w:proofErr w:type="gramStart"/>
            <w:r w:rsidRPr="00850583">
              <w:rPr>
                <w:sz w:val="20"/>
                <w:szCs w:val="20"/>
                <w:lang w:eastAsia="en-GB"/>
              </w:rPr>
              <w:t>e.g.</w:t>
            </w:r>
            <w:proofErr w:type="gramEnd"/>
            <w:r w:rsidRPr="00850583">
              <w:rPr>
                <w:sz w:val="20"/>
                <w:szCs w:val="20"/>
                <w:lang w:eastAsia="en-GB"/>
              </w:rPr>
              <w:t xml:space="preserve"> how Executive Directors navigate their accountabilities both as Board members and as staff); and how to continue to strengthen the trust and sense of shared endeavour</w:t>
            </w:r>
          </w:p>
        </w:tc>
        <w:tc>
          <w:tcPr>
            <w:tcW w:w="5351" w:type="dxa"/>
            <w:tcBorders>
              <w:top w:val="single" w:sz="4" w:space="0" w:color="auto"/>
            </w:tcBorders>
          </w:tcPr>
          <w:p w14:paraId="191A7D6B" w14:textId="14D92F83" w:rsidR="00850583" w:rsidRPr="0035358A" w:rsidRDefault="007D676E" w:rsidP="00877FCC">
            <w:pPr>
              <w:pStyle w:val="Paragraph"/>
              <w:rPr>
                <w:sz w:val="20"/>
                <w:szCs w:val="20"/>
                <w:lang w:eastAsia="en-GB"/>
              </w:rPr>
            </w:pPr>
            <w:r>
              <w:rPr>
                <w:sz w:val="20"/>
                <w:szCs w:val="20"/>
                <w:lang w:eastAsia="en-GB"/>
              </w:rPr>
              <w:t>To be covered at the next Board development session in October 2023.</w:t>
            </w:r>
          </w:p>
        </w:tc>
        <w:tc>
          <w:tcPr>
            <w:tcW w:w="1561" w:type="dxa"/>
            <w:tcBorders>
              <w:top w:val="single" w:sz="4" w:space="0" w:color="auto"/>
            </w:tcBorders>
          </w:tcPr>
          <w:p w14:paraId="284A414C" w14:textId="045570BB" w:rsidR="00850583" w:rsidRPr="0035358A" w:rsidRDefault="00DF1DC9" w:rsidP="00877FCC">
            <w:pPr>
              <w:pStyle w:val="Paragraph"/>
              <w:rPr>
                <w:sz w:val="20"/>
                <w:szCs w:val="20"/>
                <w:lang w:eastAsia="en-GB"/>
              </w:rPr>
            </w:pPr>
            <w:r>
              <w:rPr>
                <w:sz w:val="20"/>
                <w:szCs w:val="20"/>
                <w:lang w:eastAsia="en-GB"/>
              </w:rPr>
              <w:t xml:space="preserve">Chairman / Chief Executive / Associate Director, Corporate </w:t>
            </w:r>
            <w:proofErr w:type="spellStart"/>
            <w:r>
              <w:rPr>
                <w:sz w:val="20"/>
                <w:szCs w:val="20"/>
                <w:lang w:eastAsia="en-GB"/>
              </w:rPr>
              <w:t>Office</w:t>
            </w:r>
            <w:r w:rsidR="00556111">
              <w:rPr>
                <w:sz w:val="20"/>
                <w:szCs w:val="20"/>
                <w:lang w:eastAsia="en-GB"/>
              </w:rPr>
              <w:t>t</w:t>
            </w:r>
            <w:proofErr w:type="spellEnd"/>
          </w:p>
        </w:tc>
        <w:tc>
          <w:tcPr>
            <w:tcW w:w="1275" w:type="dxa"/>
            <w:tcBorders>
              <w:top w:val="single" w:sz="4" w:space="0" w:color="auto"/>
            </w:tcBorders>
          </w:tcPr>
          <w:p w14:paraId="43B7C8C4" w14:textId="66962527" w:rsidR="00850583" w:rsidRPr="0035358A" w:rsidRDefault="007D676E" w:rsidP="00877FCC">
            <w:pPr>
              <w:pStyle w:val="Paragraph"/>
              <w:rPr>
                <w:sz w:val="20"/>
                <w:szCs w:val="20"/>
                <w:lang w:eastAsia="en-GB"/>
              </w:rPr>
            </w:pPr>
            <w:r>
              <w:rPr>
                <w:sz w:val="20"/>
                <w:szCs w:val="20"/>
                <w:lang w:eastAsia="en-GB"/>
              </w:rPr>
              <w:t>Oct 2023</w:t>
            </w:r>
          </w:p>
        </w:tc>
      </w:tr>
      <w:tr w:rsidR="005F67F4" w:rsidRPr="0035358A" w14:paraId="56720381" w14:textId="77777777" w:rsidTr="005F6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61" w:type="dxa"/>
            <w:tcBorders>
              <w:top w:val="single" w:sz="4" w:space="0" w:color="auto"/>
            </w:tcBorders>
          </w:tcPr>
          <w:p w14:paraId="5E4BE319" w14:textId="3A21E0D8" w:rsidR="005F67F4" w:rsidRPr="005F67F4" w:rsidRDefault="005F67F4" w:rsidP="005F67F4">
            <w:pPr>
              <w:pStyle w:val="Paragraph"/>
              <w:rPr>
                <w:sz w:val="20"/>
                <w:szCs w:val="20"/>
              </w:rPr>
            </w:pPr>
            <w:r w:rsidRPr="005F67F4">
              <w:rPr>
                <w:sz w:val="20"/>
                <w:szCs w:val="20"/>
              </w:rPr>
              <w:lastRenderedPageBreak/>
              <w:t>(b) Trial different ways of working in the informal seminar to allow for a wider range of voices to be given space</w:t>
            </w:r>
          </w:p>
        </w:tc>
        <w:tc>
          <w:tcPr>
            <w:tcW w:w="5351" w:type="dxa"/>
            <w:tcBorders>
              <w:top w:val="single" w:sz="4" w:space="0" w:color="auto"/>
            </w:tcBorders>
          </w:tcPr>
          <w:p w14:paraId="20540D13" w14:textId="2A3FB70A" w:rsidR="005F67F4" w:rsidRPr="005F67F4" w:rsidRDefault="005F67F4" w:rsidP="005F67F4">
            <w:pPr>
              <w:pStyle w:val="Paragraph"/>
              <w:rPr>
                <w:sz w:val="20"/>
                <w:szCs w:val="20"/>
              </w:rPr>
            </w:pPr>
            <w:r>
              <w:rPr>
                <w:sz w:val="20"/>
                <w:szCs w:val="20"/>
              </w:rPr>
              <w:t>As noted above, the seminars will now periodically include an unstructured slot without papers or slides to encourage a wider range of participants</w:t>
            </w:r>
            <w:r w:rsidR="00330514">
              <w:rPr>
                <w:sz w:val="20"/>
                <w:szCs w:val="20"/>
              </w:rPr>
              <w:t xml:space="preserve"> and different style of discussion</w:t>
            </w:r>
            <w:r>
              <w:rPr>
                <w:sz w:val="20"/>
                <w:szCs w:val="20"/>
              </w:rPr>
              <w:t xml:space="preserve">. In addition, seating arrangements will be varied at meetings to </w:t>
            </w:r>
            <w:r w:rsidR="00C35E86">
              <w:rPr>
                <w:sz w:val="20"/>
                <w:szCs w:val="20"/>
              </w:rPr>
              <w:t>enable and encourage</w:t>
            </w:r>
            <w:r>
              <w:rPr>
                <w:sz w:val="20"/>
                <w:szCs w:val="20"/>
              </w:rPr>
              <w:t xml:space="preserve"> diversity of voices during the discussions.</w:t>
            </w:r>
          </w:p>
        </w:tc>
        <w:tc>
          <w:tcPr>
            <w:tcW w:w="1561" w:type="dxa"/>
            <w:tcBorders>
              <w:top w:val="single" w:sz="4" w:space="0" w:color="auto"/>
            </w:tcBorders>
          </w:tcPr>
          <w:p w14:paraId="53866752" w14:textId="137FABD2" w:rsidR="005F67F4" w:rsidRPr="005F67F4" w:rsidRDefault="005F67F4" w:rsidP="005F67F4">
            <w:pPr>
              <w:pStyle w:val="Paragraph"/>
              <w:rPr>
                <w:sz w:val="20"/>
                <w:szCs w:val="20"/>
              </w:rPr>
            </w:pPr>
            <w:r>
              <w:rPr>
                <w:sz w:val="20"/>
                <w:szCs w:val="20"/>
                <w:lang w:eastAsia="en-GB"/>
              </w:rPr>
              <w:t>Chairman/ Associate Director, Corporate Office</w:t>
            </w:r>
          </w:p>
        </w:tc>
        <w:tc>
          <w:tcPr>
            <w:tcW w:w="1275" w:type="dxa"/>
            <w:tcBorders>
              <w:top w:val="single" w:sz="4" w:space="0" w:color="auto"/>
            </w:tcBorders>
          </w:tcPr>
          <w:p w14:paraId="66369153" w14:textId="4A28A93E" w:rsidR="005F67F4" w:rsidRPr="005F67F4" w:rsidRDefault="005F67F4" w:rsidP="005F67F4">
            <w:pPr>
              <w:pStyle w:val="Paragraph"/>
              <w:rPr>
                <w:sz w:val="20"/>
                <w:szCs w:val="20"/>
              </w:rPr>
            </w:pPr>
            <w:r>
              <w:rPr>
                <w:sz w:val="20"/>
                <w:szCs w:val="20"/>
              </w:rPr>
              <w:t>Ongoing</w:t>
            </w:r>
          </w:p>
        </w:tc>
      </w:tr>
    </w:tbl>
    <w:p w14:paraId="00E3B52F" w14:textId="77777777" w:rsidR="005F67F4" w:rsidRDefault="005F67F4"/>
    <w:p w14:paraId="72CEA63F" w14:textId="3A2E52A8" w:rsidR="005F67F4" w:rsidRDefault="005F67F4" w:rsidP="005F67F4">
      <w:pPr>
        <w:pStyle w:val="Caption"/>
        <w:rPr>
          <w:b w:val="0"/>
          <w:bCs/>
        </w:rPr>
      </w:pPr>
      <w:r w:rsidRPr="005F67F4">
        <w:rPr>
          <w:b w:val="0"/>
          <w:bCs/>
        </w:rPr>
        <w:t>3. Continue to develop the approach to risk and assurance</w:t>
      </w:r>
    </w:p>
    <w:tbl>
      <w:tblPr>
        <w:tblStyle w:val="TableGridLight"/>
        <w:tblW w:w="0" w:type="auto"/>
        <w:tblLook w:val="04A0" w:firstRow="1" w:lastRow="0" w:firstColumn="1" w:lastColumn="0" w:noHBand="0" w:noVBand="1"/>
      </w:tblPr>
      <w:tblGrid>
        <w:gridCol w:w="5761"/>
        <w:gridCol w:w="5351"/>
        <w:gridCol w:w="1561"/>
        <w:gridCol w:w="1275"/>
      </w:tblGrid>
      <w:tr w:rsidR="005F67F4" w:rsidRPr="005F67F4" w14:paraId="08C3A6F8" w14:textId="77777777" w:rsidTr="005F67F4">
        <w:tc>
          <w:tcPr>
            <w:tcW w:w="5761" w:type="dxa"/>
            <w:tcBorders>
              <w:top w:val="single" w:sz="4" w:space="0" w:color="auto"/>
              <w:left w:val="single" w:sz="4" w:space="0" w:color="auto"/>
              <w:bottom w:val="single" w:sz="4" w:space="0" w:color="auto"/>
              <w:right w:val="single" w:sz="4" w:space="0" w:color="auto"/>
            </w:tcBorders>
            <w:shd w:val="clear" w:color="auto" w:fill="000000" w:themeFill="text1"/>
          </w:tcPr>
          <w:p w14:paraId="2324E633" w14:textId="77777777" w:rsidR="005F67F4" w:rsidRPr="005F67F4" w:rsidRDefault="005F67F4" w:rsidP="00C34DD0">
            <w:pPr>
              <w:pStyle w:val="Paragraph"/>
              <w:rPr>
                <w:b/>
                <w:bCs/>
                <w:color w:val="FFFFFF" w:themeColor="background1"/>
                <w:sz w:val="20"/>
                <w:szCs w:val="20"/>
                <w:lang w:eastAsia="en-GB"/>
              </w:rPr>
            </w:pPr>
            <w:r w:rsidRPr="005F67F4">
              <w:rPr>
                <w:b/>
                <w:bCs/>
                <w:color w:val="FFFFFF" w:themeColor="background1"/>
                <w:sz w:val="20"/>
                <w:szCs w:val="20"/>
                <w:lang w:eastAsia="en-GB"/>
              </w:rPr>
              <w:t xml:space="preserve">Recommendation </w:t>
            </w:r>
          </w:p>
        </w:tc>
        <w:tc>
          <w:tcPr>
            <w:tcW w:w="5351" w:type="dxa"/>
            <w:tcBorders>
              <w:top w:val="single" w:sz="4" w:space="0" w:color="auto"/>
              <w:left w:val="single" w:sz="4" w:space="0" w:color="auto"/>
              <w:bottom w:val="single" w:sz="4" w:space="0" w:color="auto"/>
              <w:right w:val="single" w:sz="4" w:space="0" w:color="auto"/>
            </w:tcBorders>
            <w:shd w:val="clear" w:color="auto" w:fill="000000" w:themeFill="text1"/>
          </w:tcPr>
          <w:p w14:paraId="599FFFA1" w14:textId="77777777" w:rsidR="005F67F4" w:rsidRPr="005F67F4" w:rsidRDefault="005F67F4" w:rsidP="00C34DD0">
            <w:pPr>
              <w:pStyle w:val="Paragraph"/>
              <w:rPr>
                <w:b/>
                <w:bCs/>
                <w:color w:val="FFFFFF" w:themeColor="background1"/>
                <w:sz w:val="20"/>
                <w:szCs w:val="20"/>
                <w:lang w:eastAsia="en-GB"/>
              </w:rPr>
            </w:pPr>
            <w:r w:rsidRPr="005F67F4">
              <w:rPr>
                <w:b/>
                <w:bCs/>
                <w:color w:val="FFFFFF" w:themeColor="background1"/>
                <w:sz w:val="20"/>
                <w:szCs w:val="20"/>
                <w:lang w:eastAsia="en-GB"/>
              </w:rPr>
              <w:t xml:space="preserve">Response and actions </w:t>
            </w:r>
          </w:p>
        </w:tc>
        <w:tc>
          <w:tcPr>
            <w:tcW w:w="1561" w:type="dxa"/>
            <w:tcBorders>
              <w:top w:val="single" w:sz="4" w:space="0" w:color="auto"/>
              <w:left w:val="single" w:sz="4" w:space="0" w:color="auto"/>
              <w:bottom w:val="single" w:sz="4" w:space="0" w:color="auto"/>
              <w:right w:val="single" w:sz="4" w:space="0" w:color="auto"/>
            </w:tcBorders>
            <w:shd w:val="clear" w:color="auto" w:fill="000000" w:themeFill="text1"/>
          </w:tcPr>
          <w:p w14:paraId="6A1E99CE" w14:textId="77777777" w:rsidR="005F67F4" w:rsidRPr="005F67F4" w:rsidRDefault="005F67F4" w:rsidP="00C34DD0">
            <w:pPr>
              <w:pStyle w:val="Paragraph"/>
              <w:rPr>
                <w:b/>
                <w:bCs/>
                <w:color w:val="FFFFFF" w:themeColor="background1"/>
                <w:sz w:val="20"/>
                <w:szCs w:val="20"/>
                <w:lang w:eastAsia="en-GB"/>
              </w:rPr>
            </w:pPr>
            <w:r w:rsidRPr="005F67F4">
              <w:rPr>
                <w:b/>
                <w:bCs/>
                <w:color w:val="FFFFFF" w:themeColor="background1"/>
                <w:sz w:val="20"/>
                <w:szCs w:val="20"/>
                <w:lang w:eastAsia="en-GB"/>
              </w:rPr>
              <w:t>Lead</w:t>
            </w:r>
          </w:p>
        </w:tc>
        <w:tc>
          <w:tcPr>
            <w:tcW w:w="1275" w:type="dxa"/>
            <w:tcBorders>
              <w:top w:val="single" w:sz="4" w:space="0" w:color="auto"/>
              <w:left w:val="single" w:sz="4" w:space="0" w:color="auto"/>
              <w:bottom w:val="single" w:sz="4" w:space="0" w:color="auto"/>
              <w:right w:val="single" w:sz="4" w:space="0" w:color="auto"/>
            </w:tcBorders>
            <w:shd w:val="clear" w:color="auto" w:fill="000000" w:themeFill="text1"/>
          </w:tcPr>
          <w:p w14:paraId="32FF5744" w14:textId="77777777" w:rsidR="005F67F4" w:rsidRPr="005F67F4" w:rsidRDefault="005F67F4" w:rsidP="00C34DD0">
            <w:pPr>
              <w:pStyle w:val="Paragraph"/>
              <w:rPr>
                <w:b/>
                <w:bCs/>
                <w:color w:val="FFFFFF" w:themeColor="background1"/>
                <w:sz w:val="20"/>
                <w:szCs w:val="20"/>
                <w:lang w:eastAsia="en-GB"/>
              </w:rPr>
            </w:pPr>
            <w:r w:rsidRPr="005F67F4">
              <w:rPr>
                <w:b/>
                <w:bCs/>
                <w:color w:val="FFFFFF" w:themeColor="background1"/>
                <w:sz w:val="20"/>
                <w:szCs w:val="20"/>
                <w:lang w:eastAsia="en-GB"/>
              </w:rPr>
              <w:t>Timescale</w:t>
            </w:r>
          </w:p>
        </w:tc>
      </w:tr>
      <w:tr w:rsidR="00B87DCF" w:rsidRPr="0035358A" w14:paraId="6A430789" w14:textId="77777777" w:rsidTr="005F6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61" w:type="dxa"/>
            <w:tcBorders>
              <w:top w:val="single" w:sz="4" w:space="0" w:color="auto"/>
            </w:tcBorders>
          </w:tcPr>
          <w:p w14:paraId="1CFF6442" w14:textId="7E4D92EC" w:rsidR="00850583" w:rsidRDefault="00850583" w:rsidP="00877FCC">
            <w:pPr>
              <w:pStyle w:val="Paragraph"/>
              <w:rPr>
                <w:sz w:val="20"/>
                <w:szCs w:val="20"/>
                <w:lang w:eastAsia="en-GB"/>
              </w:rPr>
            </w:pPr>
            <w:r>
              <w:rPr>
                <w:sz w:val="20"/>
                <w:szCs w:val="20"/>
                <w:lang w:eastAsia="en-GB"/>
              </w:rPr>
              <w:t>(a) </w:t>
            </w:r>
            <w:r w:rsidRPr="00850583">
              <w:rPr>
                <w:sz w:val="20"/>
                <w:szCs w:val="20"/>
                <w:lang w:eastAsia="en-GB"/>
              </w:rPr>
              <w:t>The framework can be developed further to bring a stronger focus on assurance, e.g. reporting risk in order of severity, i.e. by current rating; attention to the three lines of defence; including a gross risk rating against each risk; reviewing current risk scores; separating out assurance from controls/mitigations [we understand that this has already been identified as an area for improvement by NICE and is being acted upon].</w:t>
            </w:r>
          </w:p>
        </w:tc>
        <w:tc>
          <w:tcPr>
            <w:tcW w:w="5351" w:type="dxa"/>
            <w:tcBorders>
              <w:top w:val="single" w:sz="4" w:space="0" w:color="auto"/>
            </w:tcBorders>
          </w:tcPr>
          <w:p w14:paraId="33BFC91D" w14:textId="77777777" w:rsidR="007D676E" w:rsidRDefault="007D676E" w:rsidP="00877FCC">
            <w:pPr>
              <w:pStyle w:val="Paragraph"/>
              <w:rPr>
                <w:sz w:val="20"/>
                <w:szCs w:val="20"/>
                <w:lang w:eastAsia="en-GB"/>
              </w:rPr>
            </w:pPr>
            <w:r>
              <w:rPr>
                <w:sz w:val="20"/>
                <w:szCs w:val="20"/>
                <w:lang w:eastAsia="en-GB"/>
              </w:rPr>
              <w:t>Format for the strategic risk register to be revised to:</w:t>
            </w:r>
          </w:p>
          <w:p w14:paraId="655651E0" w14:textId="77777777" w:rsidR="00870AE8" w:rsidRDefault="00870AE8" w:rsidP="00870AE8">
            <w:pPr>
              <w:pStyle w:val="Paragraph"/>
              <w:numPr>
                <w:ilvl w:val="0"/>
                <w:numId w:val="26"/>
              </w:numPr>
              <w:rPr>
                <w:sz w:val="20"/>
                <w:szCs w:val="20"/>
                <w:lang w:eastAsia="en-GB"/>
              </w:rPr>
            </w:pPr>
            <w:r>
              <w:rPr>
                <w:sz w:val="20"/>
                <w:szCs w:val="20"/>
                <w:lang w:eastAsia="en-GB"/>
              </w:rPr>
              <w:t>More easily identify the highest rated risks</w:t>
            </w:r>
          </w:p>
          <w:p w14:paraId="5B4D018C" w14:textId="3B8FE63A" w:rsidR="007D676E" w:rsidRDefault="007D676E" w:rsidP="007D676E">
            <w:pPr>
              <w:pStyle w:val="Paragraph"/>
              <w:numPr>
                <w:ilvl w:val="0"/>
                <w:numId w:val="26"/>
              </w:numPr>
              <w:rPr>
                <w:sz w:val="20"/>
                <w:szCs w:val="20"/>
                <w:lang w:eastAsia="en-GB"/>
              </w:rPr>
            </w:pPr>
            <w:r>
              <w:rPr>
                <w:sz w:val="20"/>
                <w:szCs w:val="20"/>
                <w:lang w:eastAsia="en-GB"/>
              </w:rPr>
              <w:t xml:space="preserve">Better distinguish between how the risk is being managed (the mitigations/controls) and the assurance as to whether these </w:t>
            </w:r>
            <w:r w:rsidR="00870AE8">
              <w:rPr>
                <w:sz w:val="20"/>
                <w:szCs w:val="20"/>
                <w:lang w:eastAsia="en-GB"/>
              </w:rPr>
              <w:t xml:space="preserve">controls </w:t>
            </w:r>
            <w:r>
              <w:rPr>
                <w:sz w:val="20"/>
                <w:szCs w:val="20"/>
                <w:lang w:eastAsia="en-GB"/>
              </w:rPr>
              <w:t>are effective (taking note of the 3 lines of defence</w:t>
            </w:r>
            <w:r w:rsidR="00870AE8">
              <w:rPr>
                <w:sz w:val="20"/>
                <w:szCs w:val="20"/>
                <w:lang w:eastAsia="en-GB"/>
              </w:rPr>
              <w:t xml:space="preserve"> model</w:t>
            </w:r>
            <w:r>
              <w:rPr>
                <w:sz w:val="20"/>
                <w:szCs w:val="20"/>
                <w:lang w:eastAsia="en-GB"/>
              </w:rPr>
              <w:t>)</w:t>
            </w:r>
            <w:r w:rsidR="00870AE8">
              <w:rPr>
                <w:sz w:val="20"/>
                <w:szCs w:val="20"/>
                <w:lang w:eastAsia="en-GB"/>
              </w:rPr>
              <w:t>.</w:t>
            </w:r>
          </w:p>
          <w:p w14:paraId="1C485F7A" w14:textId="77777777" w:rsidR="00E6078B" w:rsidRDefault="00E6078B" w:rsidP="00E6078B">
            <w:pPr>
              <w:pStyle w:val="Paragraph"/>
              <w:rPr>
                <w:sz w:val="20"/>
                <w:szCs w:val="20"/>
                <w:lang w:eastAsia="en-GB"/>
              </w:rPr>
            </w:pPr>
            <w:r>
              <w:rPr>
                <w:sz w:val="20"/>
                <w:szCs w:val="20"/>
                <w:lang w:eastAsia="en-GB"/>
              </w:rPr>
              <w:t>ET risk leads to critically review the scores for each risk against the scoring matrix in the risk management policy.</w:t>
            </w:r>
          </w:p>
          <w:p w14:paraId="0CB5F845" w14:textId="552DE949" w:rsidR="00EC1611" w:rsidRPr="0035358A" w:rsidRDefault="00EC1611" w:rsidP="00E6078B">
            <w:pPr>
              <w:pStyle w:val="Paragraph"/>
              <w:rPr>
                <w:sz w:val="20"/>
                <w:szCs w:val="20"/>
                <w:lang w:eastAsia="en-GB"/>
              </w:rPr>
            </w:pPr>
            <w:r>
              <w:rPr>
                <w:sz w:val="20"/>
                <w:szCs w:val="20"/>
                <w:lang w:eastAsia="en-GB"/>
              </w:rPr>
              <w:t>It is felt that the inherent or gross risk would not add value</w:t>
            </w:r>
            <w:r w:rsidR="00870AE8">
              <w:rPr>
                <w:sz w:val="20"/>
                <w:szCs w:val="20"/>
                <w:lang w:eastAsia="en-GB"/>
              </w:rPr>
              <w:t xml:space="preserve"> and </w:t>
            </w:r>
            <w:r w:rsidR="00330514">
              <w:rPr>
                <w:sz w:val="20"/>
                <w:szCs w:val="20"/>
                <w:lang w:eastAsia="en-GB"/>
              </w:rPr>
              <w:t xml:space="preserve">therefore it is proposed </w:t>
            </w:r>
            <w:r w:rsidR="00870AE8">
              <w:rPr>
                <w:sz w:val="20"/>
                <w:szCs w:val="20"/>
                <w:lang w:eastAsia="en-GB"/>
              </w:rPr>
              <w:t xml:space="preserve">to retain the approach of scoring the current risk level and the target score (which </w:t>
            </w:r>
            <w:r w:rsidR="00870AE8">
              <w:rPr>
                <w:sz w:val="20"/>
                <w:szCs w:val="20"/>
                <w:lang w:eastAsia="en-GB"/>
              </w:rPr>
              <w:lastRenderedPageBreak/>
              <w:t>as noted below in 1(e) will be refined to reflect the risk appetite).</w:t>
            </w:r>
          </w:p>
        </w:tc>
        <w:tc>
          <w:tcPr>
            <w:tcW w:w="1561" w:type="dxa"/>
            <w:tcBorders>
              <w:top w:val="single" w:sz="4" w:space="0" w:color="auto"/>
            </w:tcBorders>
          </w:tcPr>
          <w:p w14:paraId="3878F4D9" w14:textId="4A8D45E2" w:rsidR="00E6078B" w:rsidRDefault="00EC1611" w:rsidP="00877FCC">
            <w:pPr>
              <w:pStyle w:val="Paragraph"/>
              <w:rPr>
                <w:sz w:val="20"/>
                <w:szCs w:val="20"/>
                <w:lang w:eastAsia="en-GB"/>
              </w:rPr>
            </w:pPr>
            <w:r>
              <w:rPr>
                <w:sz w:val="20"/>
                <w:szCs w:val="20"/>
                <w:lang w:eastAsia="en-GB"/>
              </w:rPr>
              <w:lastRenderedPageBreak/>
              <w:t>Finance Director / Associate Director, Corporate Office</w:t>
            </w:r>
          </w:p>
          <w:p w14:paraId="4B37CAF9" w14:textId="36727E49" w:rsidR="00330514" w:rsidRDefault="00330514" w:rsidP="00877FCC">
            <w:pPr>
              <w:pStyle w:val="Paragraph"/>
              <w:rPr>
                <w:sz w:val="20"/>
                <w:szCs w:val="20"/>
                <w:lang w:eastAsia="en-GB"/>
              </w:rPr>
            </w:pPr>
            <w:r>
              <w:rPr>
                <w:sz w:val="20"/>
                <w:szCs w:val="20"/>
                <w:lang w:eastAsia="en-GB"/>
              </w:rPr>
              <w:br/>
            </w:r>
          </w:p>
          <w:p w14:paraId="3C021CB3" w14:textId="39800CC7" w:rsidR="00850583" w:rsidRPr="0035358A" w:rsidRDefault="00E6078B" w:rsidP="00877FCC">
            <w:pPr>
              <w:pStyle w:val="Paragraph"/>
              <w:rPr>
                <w:sz w:val="20"/>
                <w:szCs w:val="20"/>
                <w:lang w:eastAsia="en-GB"/>
              </w:rPr>
            </w:pPr>
            <w:r>
              <w:rPr>
                <w:sz w:val="20"/>
                <w:szCs w:val="20"/>
                <w:lang w:eastAsia="en-GB"/>
              </w:rPr>
              <w:t>E</w:t>
            </w:r>
            <w:r w:rsidR="00EC1611">
              <w:rPr>
                <w:sz w:val="20"/>
                <w:szCs w:val="20"/>
                <w:lang w:eastAsia="en-GB"/>
              </w:rPr>
              <w:t>xecutive Team</w:t>
            </w:r>
            <w:r>
              <w:rPr>
                <w:sz w:val="20"/>
                <w:szCs w:val="20"/>
                <w:lang w:eastAsia="en-GB"/>
              </w:rPr>
              <w:t xml:space="preserve"> </w:t>
            </w:r>
          </w:p>
        </w:tc>
        <w:tc>
          <w:tcPr>
            <w:tcW w:w="1275" w:type="dxa"/>
            <w:tcBorders>
              <w:top w:val="single" w:sz="4" w:space="0" w:color="auto"/>
            </w:tcBorders>
          </w:tcPr>
          <w:p w14:paraId="0ACA1A07" w14:textId="78BAEC2A" w:rsidR="00850583" w:rsidRDefault="00E6078B" w:rsidP="00877FCC">
            <w:pPr>
              <w:pStyle w:val="Paragraph"/>
              <w:rPr>
                <w:sz w:val="20"/>
                <w:szCs w:val="20"/>
                <w:lang w:eastAsia="en-GB"/>
              </w:rPr>
            </w:pPr>
            <w:r>
              <w:rPr>
                <w:sz w:val="20"/>
                <w:szCs w:val="20"/>
                <w:lang w:eastAsia="en-GB"/>
              </w:rPr>
              <w:t xml:space="preserve">Nov </w:t>
            </w:r>
            <w:r w:rsidR="00EC1611">
              <w:rPr>
                <w:sz w:val="20"/>
                <w:szCs w:val="20"/>
                <w:lang w:eastAsia="en-GB"/>
              </w:rPr>
              <w:t>20</w:t>
            </w:r>
            <w:r>
              <w:rPr>
                <w:sz w:val="20"/>
                <w:szCs w:val="20"/>
                <w:lang w:eastAsia="en-GB"/>
              </w:rPr>
              <w:t>23</w:t>
            </w:r>
          </w:p>
          <w:p w14:paraId="1080580E" w14:textId="77777777" w:rsidR="00E6078B" w:rsidRDefault="00E6078B" w:rsidP="00877FCC">
            <w:pPr>
              <w:pStyle w:val="Paragraph"/>
              <w:rPr>
                <w:sz w:val="20"/>
                <w:szCs w:val="20"/>
                <w:lang w:eastAsia="en-GB"/>
              </w:rPr>
            </w:pPr>
          </w:p>
          <w:p w14:paraId="02B7F543" w14:textId="77777777" w:rsidR="00E6078B" w:rsidRDefault="00E6078B" w:rsidP="00877FCC">
            <w:pPr>
              <w:pStyle w:val="Paragraph"/>
              <w:rPr>
                <w:sz w:val="20"/>
                <w:szCs w:val="20"/>
                <w:lang w:eastAsia="en-GB"/>
              </w:rPr>
            </w:pPr>
          </w:p>
          <w:p w14:paraId="0CD08C01" w14:textId="77777777" w:rsidR="00E6078B" w:rsidRDefault="00E6078B" w:rsidP="00877FCC">
            <w:pPr>
              <w:pStyle w:val="Paragraph"/>
              <w:rPr>
                <w:sz w:val="20"/>
                <w:szCs w:val="20"/>
                <w:lang w:eastAsia="en-GB"/>
              </w:rPr>
            </w:pPr>
          </w:p>
          <w:p w14:paraId="5316600B" w14:textId="61638977" w:rsidR="00E6078B" w:rsidRDefault="00330514" w:rsidP="00877FCC">
            <w:pPr>
              <w:pStyle w:val="Paragraph"/>
              <w:rPr>
                <w:sz w:val="20"/>
                <w:szCs w:val="20"/>
                <w:lang w:eastAsia="en-GB"/>
              </w:rPr>
            </w:pPr>
            <w:r>
              <w:rPr>
                <w:sz w:val="20"/>
                <w:szCs w:val="20"/>
                <w:lang w:eastAsia="en-GB"/>
              </w:rPr>
              <w:br/>
            </w:r>
          </w:p>
          <w:p w14:paraId="3813CA42" w14:textId="3185414F" w:rsidR="00E6078B" w:rsidRPr="0035358A" w:rsidRDefault="005C3D99" w:rsidP="00877FCC">
            <w:pPr>
              <w:pStyle w:val="Paragraph"/>
              <w:rPr>
                <w:sz w:val="20"/>
                <w:szCs w:val="20"/>
                <w:lang w:eastAsia="en-GB"/>
              </w:rPr>
            </w:pPr>
            <w:r>
              <w:rPr>
                <w:sz w:val="20"/>
                <w:szCs w:val="20"/>
                <w:lang w:eastAsia="en-GB"/>
              </w:rPr>
              <w:t>Oct</w:t>
            </w:r>
            <w:r w:rsidR="00E6078B">
              <w:rPr>
                <w:sz w:val="20"/>
                <w:szCs w:val="20"/>
                <w:lang w:eastAsia="en-GB"/>
              </w:rPr>
              <w:t xml:space="preserve"> </w:t>
            </w:r>
            <w:r w:rsidR="00EC1611">
              <w:rPr>
                <w:sz w:val="20"/>
                <w:szCs w:val="20"/>
                <w:lang w:eastAsia="en-GB"/>
              </w:rPr>
              <w:t>20</w:t>
            </w:r>
            <w:r w:rsidR="00E6078B">
              <w:rPr>
                <w:sz w:val="20"/>
                <w:szCs w:val="20"/>
                <w:lang w:eastAsia="en-GB"/>
              </w:rPr>
              <w:t>23</w:t>
            </w:r>
          </w:p>
        </w:tc>
      </w:tr>
      <w:tr w:rsidR="00B87DCF" w:rsidRPr="0035358A" w14:paraId="53EDCC19" w14:textId="77777777" w:rsidTr="005F6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61" w:type="dxa"/>
          </w:tcPr>
          <w:p w14:paraId="187F37CF" w14:textId="4EE79A5E" w:rsidR="00850583" w:rsidRDefault="00850583" w:rsidP="00877FCC">
            <w:pPr>
              <w:pStyle w:val="Paragraph"/>
              <w:rPr>
                <w:sz w:val="20"/>
                <w:szCs w:val="20"/>
                <w:lang w:eastAsia="en-GB"/>
              </w:rPr>
            </w:pPr>
            <w:r>
              <w:rPr>
                <w:sz w:val="20"/>
                <w:szCs w:val="20"/>
                <w:lang w:eastAsia="en-GB"/>
              </w:rPr>
              <w:t>(b) </w:t>
            </w:r>
            <w:r w:rsidR="00D24CFA" w:rsidRPr="00D24CFA">
              <w:rPr>
                <w:sz w:val="20"/>
                <w:szCs w:val="20"/>
                <w:lang w:eastAsia="en-GB"/>
              </w:rPr>
              <w:t>Once the review of the risk register is complete ARC should move to focus less on definitions and score and more on gaining assurance that risks and controls are being managed effectively.</w:t>
            </w:r>
          </w:p>
        </w:tc>
        <w:tc>
          <w:tcPr>
            <w:tcW w:w="5351" w:type="dxa"/>
          </w:tcPr>
          <w:p w14:paraId="638CC1C2" w14:textId="0EA35D0E" w:rsidR="00850583" w:rsidRPr="0035358A" w:rsidRDefault="00CA4FB1" w:rsidP="00877FCC">
            <w:pPr>
              <w:pStyle w:val="Paragraph"/>
              <w:rPr>
                <w:sz w:val="20"/>
                <w:szCs w:val="20"/>
                <w:lang w:eastAsia="en-GB"/>
              </w:rPr>
            </w:pPr>
            <w:r>
              <w:rPr>
                <w:sz w:val="20"/>
                <w:szCs w:val="20"/>
                <w:lang w:eastAsia="en-GB"/>
              </w:rPr>
              <w:t>Once the risk register has been updated following the work noted above, the ARC discussion will focus on the controls and assurance.</w:t>
            </w:r>
          </w:p>
        </w:tc>
        <w:tc>
          <w:tcPr>
            <w:tcW w:w="1561" w:type="dxa"/>
          </w:tcPr>
          <w:p w14:paraId="29F22D35" w14:textId="171F62BF" w:rsidR="00850583" w:rsidRPr="0035358A" w:rsidRDefault="00EC1611" w:rsidP="00877FCC">
            <w:pPr>
              <w:pStyle w:val="Paragraph"/>
              <w:rPr>
                <w:sz w:val="20"/>
                <w:szCs w:val="20"/>
                <w:lang w:eastAsia="en-GB"/>
              </w:rPr>
            </w:pPr>
            <w:r>
              <w:rPr>
                <w:sz w:val="20"/>
                <w:szCs w:val="20"/>
                <w:lang w:eastAsia="en-GB"/>
              </w:rPr>
              <w:t>Audit &amp; Risk Committee Chair</w:t>
            </w:r>
          </w:p>
        </w:tc>
        <w:tc>
          <w:tcPr>
            <w:tcW w:w="1275" w:type="dxa"/>
          </w:tcPr>
          <w:p w14:paraId="4ABD1C26" w14:textId="425DD3EE" w:rsidR="00850583" w:rsidRPr="0035358A" w:rsidRDefault="00CA4FB1" w:rsidP="00877FCC">
            <w:pPr>
              <w:pStyle w:val="Paragraph"/>
              <w:rPr>
                <w:sz w:val="20"/>
                <w:szCs w:val="20"/>
                <w:lang w:eastAsia="en-GB"/>
              </w:rPr>
            </w:pPr>
            <w:r>
              <w:rPr>
                <w:sz w:val="20"/>
                <w:szCs w:val="20"/>
                <w:lang w:eastAsia="en-GB"/>
              </w:rPr>
              <w:t>Nov 202</w:t>
            </w:r>
            <w:r w:rsidR="002C51D4">
              <w:rPr>
                <w:sz w:val="20"/>
                <w:szCs w:val="20"/>
                <w:lang w:eastAsia="en-GB"/>
              </w:rPr>
              <w:t>3</w:t>
            </w:r>
          </w:p>
        </w:tc>
      </w:tr>
      <w:tr w:rsidR="00B87DCF" w:rsidRPr="0035358A" w14:paraId="6F5582C8" w14:textId="77777777" w:rsidTr="005F6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61" w:type="dxa"/>
          </w:tcPr>
          <w:p w14:paraId="1050EE81" w14:textId="7B48F406" w:rsidR="00D24CFA" w:rsidRDefault="00D24CFA" w:rsidP="00877FCC">
            <w:pPr>
              <w:pStyle w:val="Paragraph"/>
              <w:rPr>
                <w:sz w:val="20"/>
                <w:szCs w:val="20"/>
                <w:lang w:eastAsia="en-GB"/>
              </w:rPr>
            </w:pPr>
            <w:r>
              <w:rPr>
                <w:sz w:val="20"/>
                <w:szCs w:val="20"/>
                <w:lang w:eastAsia="en-GB"/>
              </w:rPr>
              <w:t>(c) </w:t>
            </w:r>
            <w:r w:rsidRPr="00D24CFA">
              <w:rPr>
                <w:sz w:val="20"/>
                <w:szCs w:val="20"/>
                <w:lang w:eastAsia="en-GB"/>
              </w:rPr>
              <w:t xml:space="preserve">In relation to whistleblowing, ARC should include a report to Board on the effectiveness of the policy in its annual report, </w:t>
            </w:r>
            <w:proofErr w:type="gramStart"/>
            <w:r w:rsidRPr="00D24CFA">
              <w:rPr>
                <w:sz w:val="20"/>
                <w:szCs w:val="20"/>
                <w:lang w:eastAsia="en-GB"/>
              </w:rPr>
              <w:t>e.g.</w:t>
            </w:r>
            <w:proofErr w:type="gramEnd"/>
            <w:r w:rsidRPr="00D24CFA">
              <w:rPr>
                <w:sz w:val="20"/>
                <w:szCs w:val="20"/>
                <w:lang w:eastAsia="en-GB"/>
              </w:rPr>
              <w:t xml:space="preserve"> how many cases, how the policy is publicised to staff etc.</w:t>
            </w:r>
          </w:p>
        </w:tc>
        <w:tc>
          <w:tcPr>
            <w:tcW w:w="5351" w:type="dxa"/>
          </w:tcPr>
          <w:p w14:paraId="0BDA7B32" w14:textId="06081C44" w:rsidR="00D24CFA" w:rsidRPr="0035358A" w:rsidRDefault="00D24CFA" w:rsidP="00877FCC">
            <w:pPr>
              <w:pStyle w:val="Paragraph"/>
              <w:rPr>
                <w:sz w:val="20"/>
                <w:szCs w:val="20"/>
                <w:lang w:eastAsia="en-GB"/>
              </w:rPr>
            </w:pPr>
            <w:r>
              <w:rPr>
                <w:sz w:val="20"/>
                <w:szCs w:val="20"/>
                <w:lang w:eastAsia="en-GB"/>
              </w:rPr>
              <w:t xml:space="preserve">ARC </w:t>
            </w:r>
            <w:r w:rsidR="00996FF6">
              <w:rPr>
                <w:sz w:val="20"/>
                <w:szCs w:val="20"/>
                <w:lang w:eastAsia="en-GB"/>
              </w:rPr>
              <w:t xml:space="preserve">workplan </w:t>
            </w:r>
            <w:r w:rsidR="00870AE8">
              <w:rPr>
                <w:sz w:val="20"/>
                <w:szCs w:val="20"/>
                <w:lang w:eastAsia="en-GB"/>
              </w:rPr>
              <w:t xml:space="preserve">to be </w:t>
            </w:r>
            <w:r w:rsidR="00996FF6">
              <w:rPr>
                <w:sz w:val="20"/>
                <w:szCs w:val="20"/>
                <w:lang w:eastAsia="en-GB"/>
              </w:rPr>
              <w:t>amended to include an</w:t>
            </w:r>
            <w:r>
              <w:rPr>
                <w:sz w:val="20"/>
                <w:szCs w:val="20"/>
                <w:lang w:eastAsia="en-GB"/>
              </w:rPr>
              <w:t xml:space="preserve"> annual report on </w:t>
            </w:r>
            <w:proofErr w:type="gramStart"/>
            <w:r>
              <w:rPr>
                <w:sz w:val="20"/>
                <w:szCs w:val="20"/>
                <w:lang w:eastAsia="en-GB"/>
              </w:rPr>
              <w:t>whistle-blowing</w:t>
            </w:r>
            <w:proofErr w:type="gramEnd"/>
            <w:r>
              <w:rPr>
                <w:sz w:val="20"/>
                <w:szCs w:val="20"/>
                <w:lang w:eastAsia="en-GB"/>
              </w:rPr>
              <w:t xml:space="preserve"> and raising of concerns</w:t>
            </w:r>
            <w:r w:rsidR="00996FF6">
              <w:rPr>
                <w:sz w:val="20"/>
                <w:szCs w:val="20"/>
                <w:lang w:eastAsia="en-GB"/>
              </w:rPr>
              <w:t xml:space="preserve"> in May</w:t>
            </w:r>
            <w:r>
              <w:rPr>
                <w:sz w:val="20"/>
                <w:szCs w:val="20"/>
                <w:lang w:eastAsia="en-GB"/>
              </w:rPr>
              <w:t xml:space="preserve">, which would feed into the committee’s </w:t>
            </w:r>
            <w:r w:rsidR="00870AE8">
              <w:rPr>
                <w:sz w:val="20"/>
                <w:szCs w:val="20"/>
                <w:lang w:eastAsia="en-GB"/>
              </w:rPr>
              <w:t xml:space="preserve">end of year </w:t>
            </w:r>
            <w:r>
              <w:rPr>
                <w:sz w:val="20"/>
                <w:szCs w:val="20"/>
                <w:lang w:eastAsia="en-GB"/>
              </w:rPr>
              <w:t xml:space="preserve">annual report to the Board. </w:t>
            </w:r>
          </w:p>
        </w:tc>
        <w:tc>
          <w:tcPr>
            <w:tcW w:w="1561" w:type="dxa"/>
          </w:tcPr>
          <w:p w14:paraId="57B4E6B5" w14:textId="54525CD1" w:rsidR="00D24CFA" w:rsidRPr="0035358A" w:rsidRDefault="00EC1611" w:rsidP="00877FCC">
            <w:pPr>
              <w:pStyle w:val="Paragraph"/>
              <w:rPr>
                <w:sz w:val="20"/>
                <w:szCs w:val="20"/>
                <w:lang w:eastAsia="en-GB"/>
              </w:rPr>
            </w:pPr>
            <w:r>
              <w:rPr>
                <w:sz w:val="20"/>
                <w:szCs w:val="20"/>
                <w:lang w:eastAsia="en-GB"/>
              </w:rPr>
              <w:t>Chief People Officer / Corporate Governance and Risk Manager</w:t>
            </w:r>
          </w:p>
        </w:tc>
        <w:tc>
          <w:tcPr>
            <w:tcW w:w="1275" w:type="dxa"/>
          </w:tcPr>
          <w:p w14:paraId="52039AC6" w14:textId="7CDD09A3" w:rsidR="00D24CFA" w:rsidRPr="0035358A" w:rsidRDefault="00D24CFA" w:rsidP="00877FCC">
            <w:pPr>
              <w:pStyle w:val="Paragraph"/>
              <w:rPr>
                <w:sz w:val="20"/>
                <w:szCs w:val="20"/>
                <w:lang w:eastAsia="en-GB"/>
              </w:rPr>
            </w:pPr>
            <w:r>
              <w:rPr>
                <w:sz w:val="20"/>
                <w:szCs w:val="20"/>
                <w:lang w:eastAsia="en-GB"/>
              </w:rPr>
              <w:t>May 2024</w:t>
            </w:r>
          </w:p>
        </w:tc>
      </w:tr>
      <w:tr w:rsidR="00B87DCF" w:rsidRPr="0035358A" w14:paraId="55E09FDD" w14:textId="77777777" w:rsidTr="005F6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61" w:type="dxa"/>
          </w:tcPr>
          <w:p w14:paraId="31DB64B4" w14:textId="77F0C6CB" w:rsidR="00D24CFA" w:rsidRDefault="00D24CFA" w:rsidP="00877FCC">
            <w:pPr>
              <w:pStyle w:val="Paragraph"/>
              <w:rPr>
                <w:sz w:val="20"/>
                <w:szCs w:val="20"/>
                <w:lang w:eastAsia="en-GB"/>
              </w:rPr>
            </w:pPr>
            <w:r>
              <w:rPr>
                <w:sz w:val="20"/>
                <w:szCs w:val="20"/>
                <w:lang w:eastAsia="en-GB"/>
              </w:rPr>
              <w:t>(d) </w:t>
            </w:r>
            <w:r w:rsidRPr="00D24CFA">
              <w:rPr>
                <w:sz w:val="20"/>
                <w:szCs w:val="20"/>
                <w:lang w:eastAsia="en-GB"/>
              </w:rPr>
              <w:t>ARC should discuss the respective responsibilities of it and the Board in relation to financial oversight and controls to clarify which aspects of oversight belong to each, and then report to Board accordingly</w:t>
            </w:r>
          </w:p>
        </w:tc>
        <w:tc>
          <w:tcPr>
            <w:tcW w:w="5351" w:type="dxa"/>
          </w:tcPr>
          <w:p w14:paraId="48B32A3A" w14:textId="643241EE" w:rsidR="00D24CFA" w:rsidRPr="0035358A" w:rsidRDefault="00A5180A" w:rsidP="00877FCC">
            <w:pPr>
              <w:pStyle w:val="Paragraph"/>
              <w:rPr>
                <w:sz w:val="20"/>
                <w:szCs w:val="20"/>
                <w:lang w:eastAsia="en-GB"/>
              </w:rPr>
            </w:pPr>
            <w:r>
              <w:rPr>
                <w:sz w:val="20"/>
                <w:szCs w:val="20"/>
                <w:lang w:eastAsia="en-GB"/>
              </w:rPr>
              <w:t>Following discussion with the ARC chair it is proposed to introduce a dashboard style report for the ARC that would provide summary information to support the ARC’s assurance role, with additional explanation provided on an exception basis.</w:t>
            </w:r>
          </w:p>
        </w:tc>
        <w:tc>
          <w:tcPr>
            <w:tcW w:w="1561" w:type="dxa"/>
          </w:tcPr>
          <w:p w14:paraId="1C67CEEF" w14:textId="0A72F2FE" w:rsidR="00D24CFA" w:rsidRPr="0035358A" w:rsidRDefault="00A5180A" w:rsidP="00877FCC">
            <w:pPr>
              <w:pStyle w:val="Paragraph"/>
              <w:rPr>
                <w:sz w:val="20"/>
                <w:szCs w:val="20"/>
                <w:lang w:eastAsia="en-GB"/>
              </w:rPr>
            </w:pPr>
            <w:r>
              <w:rPr>
                <w:sz w:val="20"/>
                <w:szCs w:val="20"/>
                <w:lang w:eastAsia="en-GB"/>
              </w:rPr>
              <w:t xml:space="preserve">Finance Director </w:t>
            </w:r>
          </w:p>
        </w:tc>
        <w:tc>
          <w:tcPr>
            <w:tcW w:w="1275" w:type="dxa"/>
          </w:tcPr>
          <w:p w14:paraId="557A74D3" w14:textId="5C9FC319" w:rsidR="00D24CFA" w:rsidRPr="0035358A" w:rsidRDefault="00A5180A" w:rsidP="00877FCC">
            <w:pPr>
              <w:pStyle w:val="Paragraph"/>
              <w:rPr>
                <w:sz w:val="20"/>
                <w:szCs w:val="20"/>
                <w:lang w:eastAsia="en-GB"/>
              </w:rPr>
            </w:pPr>
            <w:r>
              <w:rPr>
                <w:sz w:val="20"/>
                <w:szCs w:val="20"/>
                <w:lang w:eastAsia="en-GB"/>
              </w:rPr>
              <w:t>Nov 2023</w:t>
            </w:r>
          </w:p>
        </w:tc>
      </w:tr>
      <w:tr w:rsidR="00B87DCF" w:rsidRPr="0035358A" w14:paraId="5170BF48" w14:textId="77777777" w:rsidTr="005F6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61" w:type="dxa"/>
          </w:tcPr>
          <w:p w14:paraId="6C89108E" w14:textId="0F20F7D0" w:rsidR="00D24CFA" w:rsidRDefault="00D24CFA" w:rsidP="00877FCC">
            <w:pPr>
              <w:pStyle w:val="Paragraph"/>
              <w:rPr>
                <w:sz w:val="20"/>
                <w:szCs w:val="20"/>
                <w:lang w:eastAsia="en-GB"/>
              </w:rPr>
            </w:pPr>
            <w:r>
              <w:rPr>
                <w:sz w:val="20"/>
                <w:szCs w:val="20"/>
                <w:lang w:eastAsia="en-GB"/>
              </w:rPr>
              <w:t>(e) </w:t>
            </w:r>
            <w:r w:rsidRPr="00D24CFA">
              <w:rPr>
                <w:sz w:val="20"/>
                <w:szCs w:val="20"/>
                <w:lang w:eastAsia="en-GB"/>
              </w:rPr>
              <w:t>Refresh the risk appetite framework model – with a delineated risk appetite for each category of activity</w:t>
            </w:r>
          </w:p>
        </w:tc>
        <w:tc>
          <w:tcPr>
            <w:tcW w:w="5351" w:type="dxa"/>
          </w:tcPr>
          <w:p w14:paraId="486163CD" w14:textId="77777777" w:rsidR="002C51D4" w:rsidRDefault="002C51D4" w:rsidP="00877FCC">
            <w:pPr>
              <w:pStyle w:val="Paragraph"/>
              <w:rPr>
                <w:sz w:val="20"/>
                <w:szCs w:val="20"/>
                <w:lang w:eastAsia="en-GB"/>
              </w:rPr>
            </w:pPr>
            <w:r>
              <w:rPr>
                <w:sz w:val="20"/>
                <w:szCs w:val="20"/>
                <w:lang w:eastAsia="en-GB"/>
              </w:rPr>
              <w:t>Overarching risk appetite statement in risk management policy to be updated and agreed by ARC and the Board.</w:t>
            </w:r>
          </w:p>
          <w:p w14:paraId="614D10AB" w14:textId="60182452" w:rsidR="002C51D4" w:rsidRPr="0035358A" w:rsidRDefault="002C51D4" w:rsidP="002C51D4">
            <w:pPr>
              <w:pStyle w:val="Paragraph"/>
              <w:rPr>
                <w:sz w:val="20"/>
                <w:szCs w:val="20"/>
                <w:lang w:eastAsia="en-GB"/>
              </w:rPr>
            </w:pPr>
            <w:r>
              <w:rPr>
                <w:sz w:val="20"/>
                <w:szCs w:val="20"/>
                <w:lang w:eastAsia="en-GB"/>
              </w:rPr>
              <w:t xml:space="preserve">ET, ARC and Board to review the target rating for each risk and confirm whether this is appropriate, or whether in some cases the current risk level should be tolerated, </w:t>
            </w:r>
            <w:proofErr w:type="gramStart"/>
            <w:r>
              <w:rPr>
                <w:sz w:val="20"/>
                <w:szCs w:val="20"/>
                <w:lang w:eastAsia="en-GB"/>
              </w:rPr>
              <w:t xml:space="preserve">in </w:t>
            </w:r>
            <w:r>
              <w:rPr>
                <w:sz w:val="20"/>
                <w:szCs w:val="20"/>
                <w:lang w:eastAsia="en-GB"/>
              </w:rPr>
              <w:lastRenderedPageBreak/>
              <w:t>order to</w:t>
            </w:r>
            <w:proofErr w:type="gramEnd"/>
            <w:r>
              <w:rPr>
                <w:sz w:val="20"/>
                <w:szCs w:val="20"/>
                <w:lang w:eastAsia="en-GB"/>
              </w:rPr>
              <w:t xml:space="preserve"> give greater clarity on the risk appetite</w:t>
            </w:r>
            <w:r w:rsidR="00EC1611">
              <w:rPr>
                <w:sz w:val="20"/>
                <w:szCs w:val="20"/>
                <w:lang w:eastAsia="en-GB"/>
              </w:rPr>
              <w:t xml:space="preserve"> for each risk. </w:t>
            </w:r>
          </w:p>
        </w:tc>
        <w:tc>
          <w:tcPr>
            <w:tcW w:w="1561" w:type="dxa"/>
          </w:tcPr>
          <w:p w14:paraId="219513A0" w14:textId="77777777" w:rsidR="00EC1611" w:rsidRDefault="00EC1611" w:rsidP="00EC1611">
            <w:pPr>
              <w:pStyle w:val="Paragraph"/>
              <w:rPr>
                <w:sz w:val="20"/>
                <w:szCs w:val="20"/>
                <w:lang w:eastAsia="en-GB"/>
              </w:rPr>
            </w:pPr>
            <w:r>
              <w:rPr>
                <w:sz w:val="20"/>
                <w:szCs w:val="20"/>
                <w:lang w:eastAsia="en-GB"/>
              </w:rPr>
              <w:lastRenderedPageBreak/>
              <w:t>Finance Director / Associate Director, Corporate Office</w:t>
            </w:r>
          </w:p>
          <w:p w14:paraId="64855E57" w14:textId="05E0F148" w:rsidR="00D24CFA" w:rsidRPr="0035358A" w:rsidRDefault="00D24CFA" w:rsidP="00877FCC">
            <w:pPr>
              <w:pStyle w:val="Paragraph"/>
              <w:rPr>
                <w:sz w:val="20"/>
                <w:szCs w:val="20"/>
                <w:lang w:eastAsia="en-GB"/>
              </w:rPr>
            </w:pPr>
          </w:p>
        </w:tc>
        <w:tc>
          <w:tcPr>
            <w:tcW w:w="1275" w:type="dxa"/>
          </w:tcPr>
          <w:p w14:paraId="6B8110DC" w14:textId="097E845F" w:rsidR="00D24CFA" w:rsidRPr="0035358A" w:rsidRDefault="001E4614" w:rsidP="00877FCC">
            <w:pPr>
              <w:pStyle w:val="Paragraph"/>
              <w:rPr>
                <w:sz w:val="20"/>
                <w:szCs w:val="20"/>
                <w:lang w:eastAsia="en-GB"/>
              </w:rPr>
            </w:pPr>
            <w:r>
              <w:rPr>
                <w:sz w:val="20"/>
                <w:szCs w:val="20"/>
                <w:lang w:eastAsia="en-GB"/>
              </w:rPr>
              <w:lastRenderedPageBreak/>
              <w:t>Dec</w:t>
            </w:r>
            <w:r w:rsidR="002C51D4">
              <w:rPr>
                <w:sz w:val="20"/>
                <w:szCs w:val="20"/>
                <w:lang w:eastAsia="en-GB"/>
              </w:rPr>
              <w:t xml:space="preserve"> </w:t>
            </w:r>
            <w:r w:rsidR="00A62987">
              <w:rPr>
                <w:sz w:val="20"/>
                <w:szCs w:val="20"/>
                <w:lang w:eastAsia="en-GB"/>
              </w:rPr>
              <w:t>20</w:t>
            </w:r>
            <w:r w:rsidR="002C51D4">
              <w:rPr>
                <w:sz w:val="20"/>
                <w:szCs w:val="20"/>
                <w:lang w:eastAsia="en-GB"/>
              </w:rPr>
              <w:t>23</w:t>
            </w:r>
          </w:p>
        </w:tc>
      </w:tr>
    </w:tbl>
    <w:p w14:paraId="7CB35E76" w14:textId="77777777" w:rsidR="00877FCC" w:rsidRDefault="00877FCC" w:rsidP="00E6078B">
      <w:pPr>
        <w:pStyle w:val="Paragraph"/>
        <w:rPr>
          <w:sz w:val="20"/>
          <w:szCs w:val="20"/>
          <w:lang w:eastAsia="en-GB"/>
        </w:rPr>
      </w:pPr>
    </w:p>
    <w:p w14:paraId="42C9A6F6" w14:textId="77777777" w:rsidR="00870AE8" w:rsidRDefault="00870AE8">
      <w:pPr>
        <w:rPr>
          <w:rFonts w:ascii="Arial" w:hAnsi="Arial"/>
          <w:b/>
          <w:iCs/>
          <w:szCs w:val="18"/>
          <w:lang w:eastAsia="en-US"/>
        </w:rPr>
      </w:pPr>
      <w:r>
        <w:br w:type="page"/>
      </w:r>
    </w:p>
    <w:p w14:paraId="314CFA3C" w14:textId="6B084AAC" w:rsidR="00996FF6" w:rsidRDefault="00996FF6" w:rsidP="00996FF6">
      <w:pPr>
        <w:pStyle w:val="Caption"/>
      </w:pPr>
      <w:r>
        <w:lastRenderedPageBreak/>
        <w:t xml:space="preserve">Other </w:t>
      </w:r>
      <w:r w:rsidR="005F67F4">
        <w:t>considerations</w:t>
      </w:r>
      <w:r>
        <w:t xml:space="preserve"> identified in the </w:t>
      </w:r>
      <w:proofErr w:type="gramStart"/>
      <w:r>
        <w:t>report</w:t>
      </w:r>
      <w:proofErr w:type="gramEnd"/>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237"/>
        <w:gridCol w:w="3119"/>
        <w:gridCol w:w="1184"/>
      </w:tblGrid>
      <w:tr w:rsidR="00996FF6" w:rsidRPr="0035358A" w14:paraId="5D09A233" w14:textId="77777777" w:rsidTr="00870AE8">
        <w:tc>
          <w:tcPr>
            <w:tcW w:w="3397" w:type="dxa"/>
            <w:shd w:val="clear" w:color="auto" w:fill="000000" w:themeFill="text1"/>
          </w:tcPr>
          <w:p w14:paraId="370F2F33" w14:textId="124043D6" w:rsidR="00996FF6" w:rsidRPr="0035358A" w:rsidRDefault="00996FF6" w:rsidP="00E46D70">
            <w:pPr>
              <w:pStyle w:val="Paragraph"/>
              <w:rPr>
                <w:b/>
                <w:bCs/>
                <w:sz w:val="20"/>
                <w:szCs w:val="20"/>
                <w:lang w:eastAsia="en-GB"/>
              </w:rPr>
            </w:pPr>
            <w:r>
              <w:rPr>
                <w:b/>
                <w:bCs/>
                <w:sz w:val="20"/>
                <w:szCs w:val="20"/>
                <w:lang w:eastAsia="en-GB"/>
              </w:rPr>
              <w:t>Issue</w:t>
            </w:r>
          </w:p>
        </w:tc>
        <w:tc>
          <w:tcPr>
            <w:tcW w:w="6237" w:type="dxa"/>
            <w:shd w:val="clear" w:color="auto" w:fill="000000" w:themeFill="text1"/>
          </w:tcPr>
          <w:p w14:paraId="5C929722" w14:textId="77777777" w:rsidR="00996FF6" w:rsidRPr="0035358A" w:rsidRDefault="00996FF6" w:rsidP="00E46D70">
            <w:pPr>
              <w:pStyle w:val="Paragraph"/>
              <w:rPr>
                <w:b/>
                <w:bCs/>
                <w:sz w:val="20"/>
                <w:szCs w:val="20"/>
                <w:lang w:eastAsia="en-GB"/>
              </w:rPr>
            </w:pPr>
            <w:r w:rsidRPr="0035358A">
              <w:rPr>
                <w:b/>
                <w:bCs/>
                <w:sz w:val="20"/>
                <w:szCs w:val="20"/>
                <w:lang w:eastAsia="en-GB"/>
              </w:rPr>
              <w:t xml:space="preserve">Response and actions </w:t>
            </w:r>
          </w:p>
        </w:tc>
        <w:tc>
          <w:tcPr>
            <w:tcW w:w="3119" w:type="dxa"/>
            <w:shd w:val="clear" w:color="auto" w:fill="000000" w:themeFill="text1"/>
          </w:tcPr>
          <w:p w14:paraId="7EBCEADC" w14:textId="77777777" w:rsidR="00996FF6" w:rsidRPr="0035358A" w:rsidRDefault="00996FF6" w:rsidP="00E46D70">
            <w:pPr>
              <w:pStyle w:val="Paragraph"/>
              <w:rPr>
                <w:b/>
                <w:bCs/>
                <w:sz w:val="20"/>
                <w:szCs w:val="20"/>
                <w:lang w:eastAsia="en-GB"/>
              </w:rPr>
            </w:pPr>
            <w:r w:rsidRPr="0035358A">
              <w:rPr>
                <w:b/>
                <w:bCs/>
                <w:sz w:val="20"/>
                <w:szCs w:val="20"/>
                <w:lang w:eastAsia="en-GB"/>
              </w:rPr>
              <w:t>Lead</w:t>
            </w:r>
          </w:p>
        </w:tc>
        <w:tc>
          <w:tcPr>
            <w:tcW w:w="1184" w:type="dxa"/>
            <w:shd w:val="clear" w:color="auto" w:fill="000000" w:themeFill="text1"/>
          </w:tcPr>
          <w:p w14:paraId="308AEF43" w14:textId="77777777" w:rsidR="00996FF6" w:rsidRPr="0035358A" w:rsidRDefault="00996FF6" w:rsidP="00E46D70">
            <w:pPr>
              <w:pStyle w:val="Paragraph"/>
              <w:rPr>
                <w:b/>
                <w:bCs/>
                <w:sz w:val="20"/>
                <w:szCs w:val="20"/>
                <w:lang w:eastAsia="en-GB"/>
              </w:rPr>
            </w:pPr>
            <w:r w:rsidRPr="0035358A">
              <w:rPr>
                <w:b/>
                <w:bCs/>
                <w:sz w:val="20"/>
                <w:szCs w:val="20"/>
                <w:lang w:eastAsia="en-GB"/>
              </w:rPr>
              <w:t>Timescale</w:t>
            </w:r>
          </w:p>
        </w:tc>
      </w:tr>
      <w:tr w:rsidR="00996FF6" w:rsidRPr="0035358A" w14:paraId="1A94B74E" w14:textId="77777777" w:rsidTr="00870AE8">
        <w:trPr>
          <w:trHeight w:val="358"/>
        </w:trPr>
        <w:tc>
          <w:tcPr>
            <w:tcW w:w="3397" w:type="dxa"/>
          </w:tcPr>
          <w:p w14:paraId="0ACACDF1" w14:textId="3291460B" w:rsidR="00996FF6" w:rsidRPr="0035358A" w:rsidRDefault="000B68BC" w:rsidP="00E46D70">
            <w:pPr>
              <w:pStyle w:val="Paragraph"/>
              <w:rPr>
                <w:sz w:val="20"/>
                <w:szCs w:val="20"/>
                <w:lang w:eastAsia="en-GB"/>
              </w:rPr>
            </w:pPr>
            <w:r>
              <w:rPr>
                <w:sz w:val="20"/>
                <w:szCs w:val="20"/>
                <w:lang w:eastAsia="en-GB"/>
              </w:rPr>
              <w:t xml:space="preserve">Para 3.25: </w:t>
            </w:r>
            <w:r w:rsidR="00F66079">
              <w:rPr>
                <w:sz w:val="20"/>
                <w:szCs w:val="20"/>
                <w:lang w:eastAsia="en-GB"/>
              </w:rPr>
              <w:t>ensuring the appropriate separation of items between the seminars and public Board meetings</w:t>
            </w:r>
          </w:p>
        </w:tc>
        <w:tc>
          <w:tcPr>
            <w:tcW w:w="6237" w:type="dxa"/>
          </w:tcPr>
          <w:p w14:paraId="5E4198C9" w14:textId="2CF54760" w:rsidR="00996FF6" w:rsidRPr="0035358A" w:rsidRDefault="00F66079" w:rsidP="00E46D70">
            <w:pPr>
              <w:pStyle w:val="Paragraph"/>
              <w:rPr>
                <w:sz w:val="20"/>
                <w:szCs w:val="20"/>
                <w:lang w:eastAsia="en-GB"/>
              </w:rPr>
            </w:pPr>
            <w:r>
              <w:rPr>
                <w:sz w:val="20"/>
                <w:szCs w:val="20"/>
                <w:lang w:eastAsia="en-GB"/>
              </w:rPr>
              <w:t>When setting agendas, we will continue to remain alert to the non-</w:t>
            </w:r>
            <w:proofErr w:type="gramStart"/>
            <w:r>
              <w:rPr>
                <w:sz w:val="20"/>
                <w:szCs w:val="20"/>
                <w:lang w:eastAsia="en-GB"/>
              </w:rPr>
              <w:t>decision making</w:t>
            </w:r>
            <w:proofErr w:type="gramEnd"/>
            <w:r>
              <w:rPr>
                <w:sz w:val="20"/>
                <w:szCs w:val="20"/>
                <w:lang w:eastAsia="en-GB"/>
              </w:rPr>
              <w:t xml:space="preserve"> nature of the seminars, and during the meetings, ensure these remain as informal ‘co-thinking’ sessions.</w:t>
            </w:r>
          </w:p>
        </w:tc>
        <w:tc>
          <w:tcPr>
            <w:tcW w:w="3119" w:type="dxa"/>
          </w:tcPr>
          <w:p w14:paraId="158F4026" w14:textId="349F2E50" w:rsidR="00996FF6" w:rsidRPr="0035358A" w:rsidRDefault="00F66079" w:rsidP="00E46D70">
            <w:pPr>
              <w:pStyle w:val="Paragraph"/>
              <w:rPr>
                <w:sz w:val="20"/>
                <w:szCs w:val="20"/>
                <w:lang w:eastAsia="en-GB"/>
              </w:rPr>
            </w:pPr>
            <w:r>
              <w:rPr>
                <w:sz w:val="20"/>
                <w:szCs w:val="20"/>
                <w:lang w:eastAsia="en-GB"/>
              </w:rPr>
              <w:t>Chairman / Chief Executive / Associate Director, Corporate Office</w:t>
            </w:r>
          </w:p>
        </w:tc>
        <w:tc>
          <w:tcPr>
            <w:tcW w:w="1184" w:type="dxa"/>
          </w:tcPr>
          <w:p w14:paraId="339C9F36" w14:textId="5267ADA1" w:rsidR="00996FF6" w:rsidRPr="0035358A" w:rsidRDefault="00F66079" w:rsidP="00E46D70">
            <w:pPr>
              <w:pStyle w:val="Paragraph"/>
              <w:rPr>
                <w:sz w:val="20"/>
                <w:szCs w:val="20"/>
                <w:lang w:eastAsia="en-GB"/>
              </w:rPr>
            </w:pPr>
            <w:r>
              <w:rPr>
                <w:sz w:val="20"/>
                <w:szCs w:val="20"/>
                <w:lang w:eastAsia="en-GB"/>
              </w:rPr>
              <w:t>Ongoing</w:t>
            </w:r>
          </w:p>
        </w:tc>
      </w:tr>
      <w:tr w:rsidR="000B68BC" w:rsidRPr="0035358A" w14:paraId="02D99AA0" w14:textId="77777777" w:rsidTr="00870AE8">
        <w:trPr>
          <w:trHeight w:val="358"/>
        </w:trPr>
        <w:tc>
          <w:tcPr>
            <w:tcW w:w="3397" w:type="dxa"/>
          </w:tcPr>
          <w:p w14:paraId="252EF447" w14:textId="7B71F36C" w:rsidR="000B68BC" w:rsidRDefault="000B68BC" w:rsidP="00E46D70">
            <w:pPr>
              <w:pStyle w:val="Paragraph"/>
              <w:rPr>
                <w:sz w:val="20"/>
                <w:szCs w:val="20"/>
                <w:lang w:eastAsia="en-GB"/>
              </w:rPr>
            </w:pPr>
            <w:r>
              <w:rPr>
                <w:sz w:val="20"/>
                <w:szCs w:val="20"/>
                <w:lang w:eastAsia="en-GB"/>
              </w:rPr>
              <w:t>Para 3.29</w:t>
            </w:r>
            <w:r w:rsidR="00F66079">
              <w:rPr>
                <w:sz w:val="20"/>
                <w:szCs w:val="20"/>
                <w:lang w:eastAsia="en-GB"/>
              </w:rPr>
              <w:t>/3.30</w:t>
            </w:r>
            <w:r>
              <w:rPr>
                <w:sz w:val="20"/>
                <w:szCs w:val="20"/>
                <w:lang w:eastAsia="en-GB"/>
              </w:rPr>
              <w:t>: length of reports</w:t>
            </w:r>
            <w:r w:rsidR="00F66079">
              <w:rPr>
                <w:sz w:val="20"/>
                <w:szCs w:val="20"/>
                <w:lang w:eastAsia="en-GB"/>
              </w:rPr>
              <w:t xml:space="preserve"> and clarity of focus for Board input</w:t>
            </w:r>
          </w:p>
        </w:tc>
        <w:tc>
          <w:tcPr>
            <w:tcW w:w="6237" w:type="dxa"/>
          </w:tcPr>
          <w:p w14:paraId="155E1858" w14:textId="14848637" w:rsidR="00F66079" w:rsidRPr="0035358A" w:rsidRDefault="00F66079" w:rsidP="00E46D70">
            <w:pPr>
              <w:pStyle w:val="Paragraph"/>
              <w:rPr>
                <w:sz w:val="20"/>
                <w:szCs w:val="20"/>
                <w:lang w:eastAsia="en-GB"/>
              </w:rPr>
            </w:pPr>
            <w:r>
              <w:rPr>
                <w:sz w:val="20"/>
                <w:szCs w:val="20"/>
                <w:lang w:eastAsia="en-GB"/>
              </w:rPr>
              <w:t xml:space="preserve">Executive Team to be reminded of the need to submit clear and concise reports that make clear what the Board is asked to do. </w:t>
            </w:r>
          </w:p>
        </w:tc>
        <w:tc>
          <w:tcPr>
            <w:tcW w:w="3119" w:type="dxa"/>
          </w:tcPr>
          <w:p w14:paraId="55D8A58F" w14:textId="32726C28" w:rsidR="000B68BC" w:rsidRPr="0035358A" w:rsidRDefault="00F66079" w:rsidP="00E46D70">
            <w:pPr>
              <w:pStyle w:val="Paragraph"/>
              <w:rPr>
                <w:sz w:val="20"/>
                <w:szCs w:val="20"/>
                <w:lang w:eastAsia="en-GB"/>
              </w:rPr>
            </w:pPr>
            <w:r>
              <w:rPr>
                <w:sz w:val="20"/>
                <w:szCs w:val="20"/>
                <w:lang w:eastAsia="en-GB"/>
              </w:rPr>
              <w:t>Chief Executive / Associate Director, Corporate Office</w:t>
            </w:r>
          </w:p>
        </w:tc>
        <w:tc>
          <w:tcPr>
            <w:tcW w:w="1184" w:type="dxa"/>
          </w:tcPr>
          <w:p w14:paraId="735444A0" w14:textId="1A096EE7" w:rsidR="000B68BC" w:rsidRPr="0035358A" w:rsidRDefault="00F66079" w:rsidP="00E46D70">
            <w:pPr>
              <w:pStyle w:val="Paragraph"/>
              <w:rPr>
                <w:sz w:val="20"/>
                <w:szCs w:val="20"/>
                <w:lang w:eastAsia="en-GB"/>
              </w:rPr>
            </w:pPr>
            <w:r>
              <w:rPr>
                <w:sz w:val="20"/>
                <w:szCs w:val="20"/>
                <w:lang w:eastAsia="en-GB"/>
              </w:rPr>
              <w:t>Ongoing</w:t>
            </w:r>
          </w:p>
        </w:tc>
      </w:tr>
      <w:tr w:rsidR="000B68BC" w:rsidRPr="0035358A" w14:paraId="49E43A6D" w14:textId="77777777" w:rsidTr="00870AE8">
        <w:trPr>
          <w:trHeight w:val="358"/>
        </w:trPr>
        <w:tc>
          <w:tcPr>
            <w:tcW w:w="3397" w:type="dxa"/>
          </w:tcPr>
          <w:p w14:paraId="317676A7" w14:textId="6E33F12C" w:rsidR="000B68BC" w:rsidRDefault="000B68BC" w:rsidP="00E46D70">
            <w:pPr>
              <w:pStyle w:val="Paragraph"/>
              <w:rPr>
                <w:sz w:val="20"/>
                <w:szCs w:val="20"/>
                <w:lang w:eastAsia="en-GB"/>
              </w:rPr>
            </w:pPr>
            <w:r>
              <w:rPr>
                <w:sz w:val="20"/>
                <w:szCs w:val="20"/>
                <w:lang w:eastAsia="en-GB"/>
              </w:rPr>
              <w:t xml:space="preserve">Para 3.44: </w:t>
            </w:r>
            <w:r w:rsidR="00F66079">
              <w:rPr>
                <w:sz w:val="20"/>
                <w:szCs w:val="20"/>
                <w:lang w:eastAsia="en-GB"/>
              </w:rPr>
              <w:t>length of ARC meetings and paperwork</w:t>
            </w:r>
          </w:p>
        </w:tc>
        <w:tc>
          <w:tcPr>
            <w:tcW w:w="6237" w:type="dxa"/>
          </w:tcPr>
          <w:p w14:paraId="28B2C0D5" w14:textId="4FB2EA71" w:rsidR="000B68BC" w:rsidRPr="0035358A" w:rsidRDefault="00F66079" w:rsidP="00E46D70">
            <w:pPr>
              <w:pStyle w:val="Paragraph"/>
              <w:rPr>
                <w:sz w:val="20"/>
                <w:szCs w:val="20"/>
                <w:lang w:eastAsia="en-GB"/>
              </w:rPr>
            </w:pPr>
            <w:r>
              <w:rPr>
                <w:sz w:val="20"/>
                <w:szCs w:val="20"/>
                <w:lang w:eastAsia="en-GB"/>
              </w:rPr>
              <w:t xml:space="preserve">The ARC chair and committee secretary will review the agendas and paperwork to consider </w:t>
            </w:r>
            <w:r w:rsidR="00870AE8">
              <w:rPr>
                <w:sz w:val="20"/>
                <w:szCs w:val="20"/>
                <w:lang w:eastAsia="en-GB"/>
              </w:rPr>
              <w:t xml:space="preserve">the </w:t>
            </w:r>
            <w:r>
              <w:rPr>
                <w:sz w:val="20"/>
                <w:szCs w:val="20"/>
                <w:lang w:eastAsia="en-GB"/>
              </w:rPr>
              <w:t xml:space="preserve">scope for improvements alongside the </w:t>
            </w:r>
            <w:r w:rsidR="00870AE8">
              <w:rPr>
                <w:sz w:val="20"/>
                <w:szCs w:val="20"/>
                <w:lang w:eastAsia="en-GB"/>
              </w:rPr>
              <w:t xml:space="preserve">suggestions raised in the </w:t>
            </w:r>
            <w:r>
              <w:rPr>
                <w:sz w:val="20"/>
                <w:szCs w:val="20"/>
                <w:lang w:eastAsia="en-GB"/>
              </w:rPr>
              <w:t>latest feedback from the committee’s own review of its effectiveness</w:t>
            </w:r>
          </w:p>
        </w:tc>
        <w:tc>
          <w:tcPr>
            <w:tcW w:w="3119" w:type="dxa"/>
          </w:tcPr>
          <w:p w14:paraId="6C9C6EE3" w14:textId="48B1E2D4" w:rsidR="000B68BC" w:rsidRPr="0035358A" w:rsidRDefault="00F66079" w:rsidP="00E46D70">
            <w:pPr>
              <w:pStyle w:val="Paragraph"/>
              <w:rPr>
                <w:sz w:val="20"/>
                <w:szCs w:val="20"/>
                <w:lang w:eastAsia="en-GB"/>
              </w:rPr>
            </w:pPr>
            <w:r>
              <w:rPr>
                <w:sz w:val="20"/>
                <w:szCs w:val="20"/>
                <w:lang w:eastAsia="en-GB"/>
              </w:rPr>
              <w:t>ARC chair / Corporate Governance and Risk Manager</w:t>
            </w:r>
          </w:p>
        </w:tc>
        <w:tc>
          <w:tcPr>
            <w:tcW w:w="1184" w:type="dxa"/>
          </w:tcPr>
          <w:p w14:paraId="4856ED8E" w14:textId="45A4FFE7" w:rsidR="000B68BC" w:rsidRPr="0035358A" w:rsidRDefault="00F66079" w:rsidP="00E46D70">
            <w:pPr>
              <w:pStyle w:val="Paragraph"/>
              <w:rPr>
                <w:sz w:val="20"/>
                <w:szCs w:val="20"/>
                <w:lang w:eastAsia="en-GB"/>
              </w:rPr>
            </w:pPr>
            <w:r>
              <w:rPr>
                <w:sz w:val="20"/>
                <w:szCs w:val="20"/>
                <w:lang w:eastAsia="en-GB"/>
              </w:rPr>
              <w:t>Sept 2023</w:t>
            </w:r>
          </w:p>
        </w:tc>
      </w:tr>
      <w:tr w:rsidR="000B68BC" w:rsidRPr="0035358A" w14:paraId="1FBEC859" w14:textId="77777777" w:rsidTr="00870AE8">
        <w:trPr>
          <w:trHeight w:val="358"/>
        </w:trPr>
        <w:tc>
          <w:tcPr>
            <w:tcW w:w="3397" w:type="dxa"/>
          </w:tcPr>
          <w:p w14:paraId="5B252C3A" w14:textId="72BE12CB" w:rsidR="000B68BC" w:rsidRDefault="000B68BC" w:rsidP="00E46D70">
            <w:pPr>
              <w:pStyle w:val="Paragraph"/>
              <w:rPr>
                <w:sz w:val="20"/>
                <w:szCs w:val="20"/>
                <w:lang w:eastAsia="en-GB"/>
              </w:rPr>
            </w:pPr>
            <w:proofErr w:type="gramStart"/>
            <w:r>
              <w:rPr>
                <w:sz w:val="20"/>
                <w:szCs w:val="20"/>
                <w:lang w:eastAsia="en-GB"/>
              </w:rPr>
              <w:t>Para  3.45</w:t>
            </w:r>
            <w:proofErr w:type="gramEnd"/>
            <w:r>
              <w:rPr>
                <w:sz w:val="20"/>
                <w:szCs w:val="20"/>
                <w:lang w:eastAsia="en-GB"/>
              </w:rPr>
              <w:t>: annual review of Rem Co’s effectiveness</w:t>
            </w:r>
          </w:p>
        </w:tc>
        <w:tc>
          <w:tcPr>
            <w:tcW w:w="6237" w:type="dxa"/>
          </w:tcPr>
          <w:p w14:paraId="3C1E8D94" w14:textId="42EB6A5F" w:rsidR="000B68BC" w:rsidRPr="0035358A" w:rsidRDefault="00F66079" w:rsidP="00E46D70">
            <w:pPr>
              <w:pStyle w:val="Paragraph"/>
              <w:rPr>
                <w:sz w:val="20"/>
                <w:szCs w:val="20"/>
                <w:lang w:eastAsia="en-GB"/>
              </w:rPr>
            </w:pPr>
            <w:r>
              <w:rPr>
                <w:sz w:val="20"/>
                <w:szCs w:val="20"/>
                <w:lang w:eastAsia="en-GB"/>
              </w:rPr>
              <w:t>An annual review of the committee’s effectiveness will be scheduled into the committee’s work-plan</w:t>
            </w:r>
          </w:p>
        </w:tc>
        <w:tc>
          <w:tcPr>
            <w:tcW w:w="3119" w:type="dxa"/>
          </w:tcPr>
          <w:p w14:paraId="7B2A3ECE" w14:textId="5AF6A4C4" w:rsidR="000B68BC" w:rsidRPr="0035358A" w:rsidRDefault="00F66079" w:rsidP="00E46D70">
            <w:pPr>
              <w:pStyle w:val="Paragraph"/>
              <w:rPr>
                <w:sz w:val="20"/>
                <w:szCs w:val="20"/>
                <w:lang w:eastAsia="en-GB"/>
              </w:rPr>
            </w:pPr>
            <w:r>
              <w:rPr>
                <w:sz w:val="20"/>
                <w:szCs w:val="20"/>
                <w:lang w:eastAsia="en-GB"/>
              </w:rPr>
              <w:t>Associate Director, Corporate Office</w:t>
            </w:r>
          </w:p>
        </w:tc>
        <w:tc>
          <w:tcPr>
            <w:tcW w:w="1184" w:type="dxa"/>
          </w:tcPr>
          <w:p w14:paraId="1EB84F16" w14:textId="047219DC" w:rsidR="000B68BC" w:rsidRPr="0035358A" w:rsidRDefault="00F66079" w:rsidP="00E46D70">
            <w:pPr>
              <w:pStyle w:val="Paragraph"/>
              <w:rPr>
                <w:sz w:val="20"/>
                <w:szCs w:val="20"/>
                <w:lang w:eastAsia="en-GB"/>
              </w:rPr>
            </w:pPr>
            <w:r>
              <w:rPr>
                <w:sz w:val="20"/>
                <w:szCs w:val="20"/>
                <w:lang w:eastAsia="en-GB"/>
              </w:rPr>
              <w:t>Nov 2023</w:t>
            </w:r>
          </w:p>
        </w:tc>
      </w:tr>
      <w:tr w:rsidR="000B68BC" w:rsidRPr="0035358A" w14:paraId="5C5EE15C" w14:textId="77777777" w:rsidTr="00870AE8">
        <w:trPr>
          <w:trHeight w:val="358"/>
        </w:trPr>
        <w:tc>
          <w:tcPr>
            <w:tcW w:w="3397" w:type="dxa"/>
          </w:tcPr>
          <w:p w14:paraId="70A47D71" w14:textId="201CCE9D" w:rsidR="000B68BC" w:rsidRDefault="000B68BC" w:rsidP="00E46D70">
            <w:pPr>
              <w:pStyle w:val="Paragraph"/>
              <w:rPr>
                <w:sz w:val="20"/>
                <w:szCs w:val="20"/>
                <w:lang w:eastAsia="en-GB"/>
              </w:rPr>
            </w:pPr>
            <w:r>
              <w:rPr>
                <w:sz w:val="20"/>
                <w:szCs w:val="20"/>
                <w:lang w:eastAsia="en-GB"/>
              </w:rPr>
              <w:t>Para 3.67/8: induction</w:t>
            </w:r>
            <w:r w:rsidR="00F66079">
              <w:rPr>
                <w:sz w:val="20"/>
                <w:szCs w:val="20"/>
                <w:lang w:eastAsia="en-GB"/>
              </w:rPr>
              <w:t xml:space="preserve"> for NEDs</w:t>
            </w:r>
          </w:p>
        </w:tc>
        <w:tc>
          <w:tcPr>
            <w:tcW w:w="6237" w:type="dxa"/>
          </w:tcPr>
          <w:p w14:paraId="716D564D" w14:textId="783A89DD" w:rsidR="000B68BC" w:rsidRPr="0035358A" w:rsidRDefault="00F66079" w:rsidP="00E46D70">
            <w:pPr>
              <w:pStyle w:val="Paragraph"/>
              <w:rPr>
                <w:sz w:val="20"/>
                <w:szCs w:val="20"/>
                <w:lang w:eastAsia="en-GB"/>
              </w:rPr>
            </w:pPr>
            <w:r>
              <w:rPr>
                <w:sz w:val="20"/>
                <w:szCs w:val="20"/>
                <w:lang w:eastAsia="en-GB"/>
              </w:rPr>
              <w:t xml:space="preserve">Review the induction arrangements for NEDs </w:t>
            </w:r>
            <w:proofErr w:type="gramStart"/>
            <w:r>
              <w:rPr>
                <w:sz w:val="20"/>
                <w:szCs w:val="20"/>
                <w:lang w:eastAsia="en-GB"/>
              </w:rPr>
              <w:t>in light of</w:t>
            </w:r>
            <w:proofErr w:type="gramEnd"/>
            <w:r>
              <w:rPr>
                <w:sz w:val="20"/>
                <w:szCs w:val="20"/>
                <w:lang w:eastAsia="en-GB"/>
              </w:rPr>
              <w:t xml:space="preserve"> the feedback from the review</w:t>
            </w:r>
            <w:r w:rsidR="00554EA7">
              <w:rPr>
                <w:sz w:val="20"/>
                <w:szCs w:val="20"/>
                <w:lang w:eastAsia="en-GB"/>
              </w:rPr>
              <w:t>, in time for any future NED recruitment</w:t>
            </w:r>
          </w:p>
        </w:tc>
        <w:tc>
          <w:tcPr>
            <w:tcW w:w="3119" w:type="dxa"/>
          </w:tcPr>
          <w:p w14:paraId="0A94CABA" w14:textId="62B7ABF3" w:rsidR="000B68BC" w:rsidRPr="0035358A" w:rsidRDefault="00F66079" w:rsidP="00E46D70">
            <w:pPr>
              <w:pStyle w:val="Paragraph"/>
              <w:rPr>
                <w:sz w:val="20"/>
                <w:szCs w:val="20"/>
                <w:lang w:eastAsia="en-GB"/>
              </w:rPr>
            </w:pPr>
            <w:r>
              <w:rPr>
                <w:sz w:val="20"/>
                <w:szCs w:val="20"/>
                <w:lang w:eastAsia="en-GB"/>
              </w:rPr>
              <w:t>Associate Director, Corporate Office</w:t>
            </w:r>
          </w:p>
        </w:tc>
        <w:tc>
          <w:tcPr>
            <w:tcW w:w="1184" w:type="dxa"/>
          </w:tcPr>
          <w:p w14:paraId="0931F3B3" w14:textId="5E1C2E75" w:rsidR="000B68BC" w:rsidRPr="0035358A" w:rsidRDefault="00554EA7" w:rsidP="00E46D70">
            <w:pPr>
              <w:pStyle w:val="Paragraph"/>
              <w:rPr>
                <w:sz w:val="20"/>
                <w:szCs w:val="20"/>
                <w:lang w:eastAsia="en-GB"/>
              </w:rPr>
            </w:pPr>
            <w:r>
              <w:rPr>
                <w:sz w:val="20"/>
                <w:szCs w:val="20"/>
                <w:lang w:eastAsia="en-GB"/>
              </w:rPr>
              <w:t>March 2024</w:t>
            </w:r>
          </w:p>
        </w:tc>
      </w:tr>
      <w:tr w:rsidR="000B68BC" w:rsidRPr="0035358A" w14:paraId="38ED1563" w14:textId="77777777" w:rsidTr="00870AE8">
        <w:trPr>
          <w:trHeight w:val="358"/>
        </w:trPr>
        <w:tc>
          <w:tcPr>
            <w:tcW w:w="3397" w:type="dxa"/>
          </w:tcPr>
          <w:p w14:paraId="11BF2FFE" w14:textId="2D22B3CD" w:rsidR="000B68BC" w:rsidRDefault="000B68BC" w:rsidP="00E46D70">
            <w:pPr>
              <w:pStyle w:val="Paragraph"/>
              <w:rPr>
                <w:sz w:val="20"/>
                <w:szCs w:val="20"/>
                <w:lang w:eastAsia="en-GB"/>
              </w:rPr>
            </w:pPr>
            <w:r>
              <w:rPr>
                <w:sz w:val="20"/>
                <w:szCs w:val="20"/>
                <w:lang w:eastAsia="en-GB"/>
              </w:rPr>
              <w:t xml:space="preserve">Para 3.73: succession planning </w:t>
            </w:r>
            <w:r w:rsidR="00554EA7">
              <w:rPr>
                <w:sz w:val="20"/>
                <w:szCs w:val="20"/>
                <w:lang w:eastAsia="en-GB"/>
              </w:rPr>
              <w:t>for the NEDs</w:t>
            </w:r>
          </w:p>
        </w:tc>
        <w:tc>
          <w:tcPr>
            <w:tcW w:w="6237" w:type="dxa"/>
          </w:tcPr>
          <w:p w14:paraId="6EA0EB80" w14:textId="05B494A7" w:rsidR="000B68BC" w:rsidRPr="0035358A" w:rsidRDefault="00554EA7" w:rsidP="00E46D70">
            <w:pPr>
              <w:pStyle w:val="Paragraph"/>
              <w:rPr>
                <w:sz w:val="20"/>
                <w:szCs w:val="20"/>
                <w:lang w:eastAsia="en-GB"/>
              </w:rPr>
            </w:pPr>
            <w:r>
              <w:rPr>
                <w:sz w:val="20"/>
                <w:szCs w:val="20"/>
                <w:lang w:eastAsia="en-GB"/>
              </w:rPr>
              <w:t xml:space="preserve">As part of </w:t>
            </w:r>
            <w:r w:rsidR="00283CA3">
              <w:rPr>
                <w:sz w:val="20"/>
                <w:szCs w:val="20"/>
                <w:lang w:eastAsia="en-GB"/>
              </w:rPr>
              <w:t>a</w:t>
            </w:r>
            <w:r>
              <w:rPr>
                <w:sz w:val="20"/>
                <w:szCs w:val="20"/>
                <w:lang w:eastAsia="en-GB"/>
              </w:rPr>
              <w:t xml:space="preserve"> Board development session, Board to consider the skills required for future appointments </w:t>
            </w:r>
          </w:p>
        </w:tc>
        <w:tc>
          <w:tcPr>
            <w:tcW w:w="3119" w:type="dxa"/>
          </w:tcPr>
          <w:p w14:paraId="2E77919A" w14:textId="6E8BBF8D" w:rsidR="000B68BC" w:rsidRPr="0035358A" w:rsidRDefault="00554EA7" w:rsidP="00E46D70">
            <w:pPr>
              <w:pStyle w:val="Paragraph"/>
              <w:rPr>
                <w:sz w:val="20"/>
                <w:szCs w:val="20"/>
                <w:lang w:eastAsia="en-GB"/>
              </w:rPr>
            </w:pPr>
            <w:r>
              <w:rPr>
                <w:sz w:val="20"/>
                <w:szCs w:val="20"/>
                <w:lang w:eastAsia="en-GB"/>
              </w:rPr>
              <w:t>Chairman</w:t>
            </w:r>
          </w:p>
        </w:tc>
        <w:tc>
          <w:tcPr>
            <w:tcW w:w="1184" w:type="dxa"/>
          </w:tcPr>
          <w:p w14:paraId="3C197D6A" w14:textId="7BB77D64" w:rsidR="000B68BC" w:rsidRPr="0035358A" w:rsidRDefault="00283CA3" w:rsidP="00E46D70">
            <w:pPr>
              <w:pStyle w:val="Paragraph"/>
              <w:rPr>
                <w:sz w:val="20"/>
                <w:szCs w:val="20"/>
                <w:lang w:eastAsia="en-GB"/>
              </w:rPr>
            </w:pPr>
            <w:r>
              <w:rPr>
                <w:sz w:val="20"/>
                <w:szCs w:val="20"/>
                <w:lang w:eastAsia="en-GB"/>
              </w:rPr>
              <w:t>March 2024</w:t>
            </w:r>
          </w:p>
        </w:tc>
      </w:tr>
    </w:tbl>
    <w:p w14:paraId="5F5EC7A0" w14:textId="77777777" w:rsidR="00996FF6" w:rsidRPr="00996FF6" w:rsidRDefault="00996FF6" w:rsidP="001E782F">
      <w:pPr>
        <w:rPr>
          <w:lang w:eastAsia="en-US"/>
        </w:rPr>
      </w:pPr>
    </w:p>
    <w:sectPr w:rsidR="00996FF6" w:rsidRPr="00996FF6" w:rsidSect="009A1B9A">
      <w:footerReference w:type="default" r:id="rId8"/>
      <w:headerReference w:type="first" r:id="rId9"/>
      <w:footerReference w:type="first" r:id="rId10"/>
      <w:pgSz w:w="16838" w:h="11906" w:orient="landscape"/>
      <w:pgMar w:top="851"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8C961" w14:textId="77777777" w:rsidR="00877FCC" w:rsidRDefault="00877FCC" w:rsidP="00446BEE">
      <w:r>
        <w:separator/>
      </w:r>
    </w:p>
  </w:endnote>
  <w:endnote w:type="continuationSeparator" w:id="0">
    <w:p w14:paraId="650AA04A" w14:textId="77777777" w:rsidR="00877FCC" w:rsidRDefault="00877FCC"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ora SemiBold">
    <w:altName w:val="Cambria"/>
    <w:panose1 w:val="00000000000000000000"/>
    <w:charset w:val="00"/>
    <w:family w:val="auto"/>
    <w:pitch w:val="variable"/>
    <w:sig w:usb0="A00002FF" w:usb1="5000204B" w:usb2="00000000" w:usb3="00000000" w:csb0="00000097" w:csb1="00000000"/>
  </w:font>
  <w:font w:name="Inter">
    <w:altName w:val="Calibri"/>
    <w:panose1 w:val="02000503000000020004"/>
    <w:charset w:val="00"/>
    <w:family w:val="auto"/>
    <w:pitch w:val="variable"/>
    <w:sig w:usb0="E00002FF" w:usb1="1200A1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61CCE" w14:textId="3989CB03" w:rsidR="00446BEE" w:rsidRDefault="00446BEE" w:rsidP="007D676E">
    <w:pPr>
      <w:pStyle w:val="Footer"/>
      <w:jc w:val="right"/>
    </w:pPr>
    <w:r>
      <w:tab/>
    </w:r>
    <w:r>
      <w:tab/>
    </w:r>
    <w:r>
      <w:fldChar w:fldCharType="begin"/>
    </w:r>
    <w:r>
      <w:instrText xml:space="preserve"> PAGE </w:instrText>
    </w:r>
    <w:r>
      <w:fldChar w:fldCharType="separate"/>
    </w:r>
    <w:r w:rsidR="00FA2C5A">
      <w:rPr>
        <w:noProof/>
      </w:rPr>
      <w:t>1</w:t>
    </w:r>
    <w:r>
      <w:fldChar w:fldCharType="end"/>
    </w:r>
    <w:r>
      <w:t xml:space="preserve"> of </w:t>
    </w:r>
    <w:fldSimple w:instr=" NUMPAGES  ">
      <w:r w:rsidR="00FA2C5A">
        <w:rPr>
          <w:noProof/>
        </w:rP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2950927"/>
      <w:docPartObj>
        <w:docPartGallery w:val="Page Numbers (Bottom of Page)"/>
        <w:docPartUnique/>
      </w:docPartObj>
    </w:sdtPr>
    <w:sdtEndPr/>
    <w:sdtContent>
      <w:sdt>
        <w:sdtPr>
          <w:id w:val="-1769616900"/>
          <w:docPartObj>
            <w:docPartGallery w:val="Page Numbers (Top of Page)"/>
            <w:docPartUnique/>
          </w:docPartObj>
        </w:sdtPr>
        <w:sdtEndPr/>
        <w:sdtContent>
          <w:p w14:paraId="53C2DEBF" w14:textId="0A372286" w:rsidR="008E7826" w:rsidRDefault="007D676E" w:rsidP="008E7826">
            <w:pPr>
              <w:pStyle w:val="Footer"/>
            </w:pPr>
            <w:r>
              <w:tab/>
            </w:r>
            <w:r>
              <w:tab/>
            </w:r>
            <w:r>
              <w:tab/>
            </w:r>
            <w:r>
              <w:tab/>
            </w:r>
            <w:r>
              <w:tab/>
            </w:r>
            <w:r w:rsidR="008E7826">
              <w:tab/>
            </w:r>
            <w:r w:rsidR="008E7826">
              <w:tab/>
            </w:r>
            <w:r w:rsidR="008E7826" w:rsidRPr="008E7826">
              <w:t xml:space="preserve">Page </w:t>
            </w:r>
            <w:r w:rsidR="008E7826" w:rsidRPr="008E7826">
              <w:rPr>
                <w:sz w:val="24"/>
              </w:rPr>
              <w:fldChar w:fldCharType="begin"/>
            </w:r>
            <w:r w:rsidR="008E7826" w:rsidRPr="008E7826">
              <w:instrText xml:space="preserve"> PAGE </w:instrText>
            </w:r>
            <w:r w:rsidR="008E7826" w:rsidRPr="008E7826">
              <w:rPr>
                <w:sz w:val="24"/>
              </w:rPr>
              <w:fldChar w:fldCharType="separate"/>
            </w:r>
            <w:r w:rsidR="008E7826" w:rsidRPr="008E7826">
              <w:rPr>
                <w:noProof/>
              </w:rPr>
              <w:t>2</w:t>
            </w:r>
            <w:r w:rsidR="008E7826" w:rsidRPr="008E7826">
              <w:rPr>
                <w:sz w:val="24"/>
              </w:rPr>
              <w:fldChar w:fldCharType="end"/>
            </w:r>
            <w:r w:rsidR="008E7826" w:rsidRPr="008E7826">
              <w:t xml:space="preserve"> of </w:t>
            </w:r>
            <w:fldSimple w:instr=" NUMPAGES  ">
              <w:r w:rsidR="008E7826" w:rsidRPr="008E7826">
                <w:rPr>
                  <w:noProof/>
                </w:rPr>
                <w:t>2</w:t>
              </w:r>
            </w:fldSimple>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21299" w14:textId="77777777" w:rsidR="00877FCC" w:rsidRDefault="00877FCC" w:rsidP="00446BEE">
      <w:r>
        <w:separator/>
      </w:r>
    </w:p>
  </w:footnote>
  <w:footnote w:type="continuationSeparator" w:id="0">
    <w:p w14:paraId="3C4C33DB" w14:textId="77777777" w:rsidR="00877FCC" w:rsidRDefault="00877FCC"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2BF5D" w14:textId="52EF4E80" w:rsidR="008F6FB7" w:rsidRDefault="008F6FB7">
    <w:pPr>
      <w:pStyle w:val="Header"/>
    </w:pPr>
    <w:r>
      <w:rPr>
        <w:noProof/>
      </w:rPr>
      <w:drawing>
        <wp:inline distT="0" distB="0" distL="0" distR="0" wp14:anchorId="5DC8F4F1" wp14:editId="7870B498">
          <wp:extent cx="2444400" cy="252000"/>
          <wp:effectExtent l="0" t="0" r="0" b="0"/>
          <wp:docPr id="10" name="Picture 10"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9A1DE8"/>
    <w:multiLevelType w:val="hybridMultilevel"/>
    <w:tmpl w:val="1C9CE0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AB42B81"/>
    <w:multiLevelType w:val="hybridMultilevel"/>
    <w:tmpl w:val="F9F861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E853F9"/>
    <w:multiLevelType w:val="hybridMultilevel"/>
    <w:tmpl w:val="B504DC6A"/>
    <w:lvl w:ilvl="0" w:tplc="8618D5D8">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C93D14"/>
    <w:multiLevelType w:val="hybridMultilevel"/>
    <w:tmpl w:val="554CD630"/>
    <w:lvl w:ilvl="0" w:tplc="99140A64">
      <w:start w:val="1"/>
      <w:numFmt w:val="decimal"/>
      <w:pStyle w:val="ParagraphNumbered"/>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696F2189"/>
    <w:multiLevelType w:val="hybridMultilevel"/>
    <w:tmpl w:val="7DD6DEFA"/>
    <w:lvl w:ilvl="0" w:tplc="B20870A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num w:numId="1" w16cid:durableId="63384370">
    <w:abstractNumId w:val="13"/>
  </w:num>
  <w:num w:numId="2" w16cid:durableId="1271931310">
    <w:abstractNumId w:val="15"/>
  </w:num>
  <w:num w:numId="3" w16cid:durableId="987441700">
    <w:abstractNumId w:val="15"/>
    <w:lvlOverride w:ilvl="0">
      <w:startOverride w:val="1"/>
    </w:lvlOverride>
  </w:num>
  <w:num w:numId="4" w16cid:durableId="1499422565">
    <w:abstractNumId w:val="15"/>
    <w:lvlOverride w:ilvl="0">
      <w:startOverride w:val="1"/>
    </w:lvlOverride>
  </w:num>
  <w:num w:numId="5" w16cid:durableId="2069916214">
    <w:abstractNumId w:val="15"/>
    <w:lvlOverride w:ilvl="0">
      <w:startOverride w:val="1"/>
    </w:lvlOverride>
  </w:num>
  <w:num w:numId="6" w16cid:durableId="1714303981">
    <w:abstractNumId w:val="15"/>
    <w:lvlOverride w:ilvl="0">
      <w:startOverride w:val="1"/>
    </w:lvlOverride>
  </w:num>
  <w:num w:numId="7" w16cid:durableId="1383334273">
    <w:abstractNumId w:val="15"/>
    <w:lvlOverride w:ilvl="0">
      <w:startOverride w:val="1"/>
    </w:lvlOverride>
  </w:num>
  <w:num w:numId="8" w16cid:durableId="1773280767">
    <w:abstractNumId w:val="9"/>
  </w:num>
  <w:num w:numId="9" w16cid:durableId="25370262">
    <w:abstractNumId w:val="7"/>
  </w:num>
  <w:num w:numId="10" w16cid:durableId="631717178">
    <w:abstractNumId w:val="6"/>
  </w:num>
  <w:num w:numId="11" w16cid:durableId="229852498">
    <w:abstractNumId w:val="5"/>
  </w:num>
  <w:num w:numId="12" w16cid:durableId="619150223">
    <w:abstractNumId w:val="4"/>
  </w:num>
  <w:num w:numId="13" w16cid:durableId="1727877967">
    <w:abstractNumId w:val="8"/>
  </w:num>
  <w:num w:numId="14" w16cid:durableId="1039671961">
    <w:abstractNumId w:val="3"/>
  </w:num>
  <w:num w:numId="15" w16cid:durableId="1876431772">
    <w:abstractNumId w:val="2"/>
  </w:num>
  <w:num w:numId="16" w16cid:durableId="1799951448">
    <w:abstractNumId w:val="1"/>
  </w:num>
  <w:num w:numId="17" w16cid:durableId="960921361">
    <w:abstractNumId w:val="0"/>
  </w:num>
  <w:num w:numId="18" w16cid:durableId="250091122">
    <w:abstractNumId w:val="12"/>
  </w:num>
  <w:num w:numId="19" w16cid:durableId="1373924523">
    <w:abstractNumId w:val="12"/>
    <w:lvlOverride w:ilvl="0">
      <w:startOverride w:val="1"/>
    </w:lvlOverride>
  </w:num>
  <w:num w:numId="20" w16cid:durableId="399716702">
    <w:abstractNumId w:val="13"/>
  </w:num>
  <w:num w:numId="21" w16cid:durableId="1595244151">
    <w:abstractNumId w:val="15"/>
  </w:num>
  <w:num w:numId="22" w16cid:durableId="368646558">
    <w:abstractNumId w:val="12"/>
  </w:num>
  <w:num w:numId="23" w16cid:durableId="534393170">
    <w:abstractNumId w:val="14"/>
  </w:num>
  <w:num w:numId="24" w16cid:durableId="609512517">
    <w:abstractNumId w:val="16"/>
  </w:num>
  <w:num w:numId="25" w16cid:durableId="584069583">
    <w:abstractNumId w:val="11"/>
  </w:num>
  <w:num w:numId="26" w16cid:durableId="10019297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FCC"/>
    <w:rsid w:val="000053F8"/>
    <w:rsid w:val="00024D0A"/>
    <w:rsid w:val="00070065"/>
    <w:rsid w:val="000A17A2"/>
    <w:rsid w:val="000A4FEE"/>
    <w:rsid w:val="000B5939"/>
    <w:rsid w:val="000B68BC"/>
    <w:rsid w:val="001134E7"/>
    <w:rsid w:val="001336FF"/>
    <w:rsid w:val="00136206"/>
    <w:rsid w:val="00157BBE"/>
    <w:rsid w:val="0017169E"/>
    <w:rsid w:val="001A6635"/>
    <w:rsid w:val="001B0EE9"/>
    <w:rsid w:val="001B65B3"/>
    <w:rsid w:val="001E4614"/>
    <w:rsid w:val="001E60D6"/>
    <w:rsid w:val="001E782F"/>
    <w:rsid w:val="002124D5"/>
    <w:rsid w:val="002408EA"/>
    <w:rsid w:val="0025603E"/>
    <w:rsid w:val="00276E6A"/>
    <w:rsid w:val="002819D7"/>
    <w:rsid w:val="00283CA3"/>
    <w:rsid w:val="002A5579"/>
    <w:rsid w:val="002C1A7E"/>
    <w:rsid w:val="002C51D4"/>
    <w:rsid w:val="002D3376"/>
    <w:rsid w:val="00311ED0"/>
    <w:rsid w:val="00330514"/>
    <w:rsid w:val="0035358A"/>
    <w:rsid w:val="003648C5"/>
    <w:rsid w:val="003722FA"/>
    <w:rsid w:val="003C7AAF"/>
    <w:rsid w:val="003F0A04"/>
    <w:rsid w:val="003F1C1C"/>
    <w:rsid w:val="004075B6"/>
    <w:rsid w:val="00420952"/>
    <w:rsid w:val="00446BEE"/>
    <w:rsid w:val="004F6891"/>
    <w:rsid w:val="005025A1"/>
    <w:rsid w:val="00554EA7"/>
    <w:rsid w:val="00556111"/>
    <w:rsid w:val="00594C3A"/>
    <w:rsid w:val="005A02D5"/>
    <w:rsid w:val="005C3D99"/>
    <w:rsid w:val="005D52D0"/>
    <w:rsid w:val="005F67F4"/>
    <w:rsid w:val="00624140"/>
    <w:rsid w:val="006709A9"/>
    <w:rsid w:val="006802A7"/>
    <w:rsid w:val="006921E1"/>
    <w:rsid w:val="00696C0A"/>
    <w:rsid w:val="006A28FB"/>
    <w:rsid w:val="006A52FB"/>
    <w:rsid w:val="00736348"/>
    <w:rsid w:val="0077376B"/>
    <w:rsid w:val="00781C41"/>
    <w:rsid w:val="007D676E"/>
    <w:rsid w:val="00833D8A"/>
    <w:rsid w:val="00850583"/>
    <w:rsid w:val="00861B92"/>
    <w:rsid w:val="00870AE8"/>
    <w:rsid w:val="00877FCC"/>
    <w:rsid w:val="008814FB"/>
    <w:rsid w:val="00883DB6"/>
    <w:rsid w:val="008A41BF"/>
    <w:rsid w:val="008E7826"/>
    <w:rsid w:val="008F5E30"/>
    <w:rsid w:val="008F6FB7"/>
    <w:rsid w:val="00914D7F"/>
    <w:rsid w:val="0097305A"/>
    <w:rsid w:val="00996FF6"/>
    <w:rsid w:val="009A1B9A"/>
    <w:rsid w:val="009D2E1B"/>
    <w:rsid w:val="009E680B"/>
    <w:rsid w:val="00A15A1F"/>
    <w:rsid w:val="00A3325A"/>
    <w:rsid w:val="00A43013"/>
    <w:rsid w:val="00A5180A"/>
    <w:rsid w:val="00A62987"/>
    <w:rsid w:val="00AF108A"/>
    <w:rsid w:val="00B02E55"/>
    <w:rsid w:val="00B036C1"/>
    <w:rsid w:val="00B5431F"/>
    <w:rsid w:val="00B65A11"/>
    <w:rsid w:val="00B87DCF"/>
    <w:rsid w:val="00BC184B"/>
    <w:rsid w:val="00BF7FE0"/>
    <w:rsid w:val="00C35E86"/>
    <w:rsid w:val="00C36044"/>
    <w:rsid w:val="00C77C66"/>
    <w:rsid w:val="00C85682"/>
    <w:rsid w:val="00C96411"/>
    <w:rsid w:val="00CA4FB1"/>
    <w:rsid w:val="00CB2369"/>
    <w:rsid w:val="00CF2E5C"/>
    <w:rsid w:val="00CF58B7"/>
    <w:rsid w:val="00D02A8F"/>
    <w:rsid w:val="00D1699D"/>
    <w:rsid w:val="00D24CFA"/>
    <w:rsid w:val="00D351C1"/>
    <w:rsid w:val="00D35EFB"/>
    <w:rsid w:val="00D47D55"/>
    <w:rsid w:val="00D504B3"/>
    <w:rsid w:val="00D86BF0"/>
    <w:rsid w:val="00DB20FB"/>
    <w:rsid w:val="00DF1DC9"/>
    <w:rsid w:val="00E51079"/>
    <w:rsid w:val="00E51920"/>
    <w:rsid w:val="00E6078B"/>
    <w:rsid w:val="00E64120"/>
    <w:rsid w:val="00E660A1"/>
    <w:rsid w:val="00E72AE9"/>
    <w:rsid w:val="00E851C4"/>
    <w:rsid w:val="00EB096F"/>
    <w:rsid w:val="00EC1611"/>
    <w:rsid w:val="00F055F1"/>
    <w:rsid w:val="00F610AF"/>
    <w:rsid w:val="00F66079"/>
    <w:rsid w:val="00FA2C5A"/>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E714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1E60D6"/>
    <w:rPr>
      <w:sz w:val="24"/>
      <w:szCs w:val="24"/>
    </w:rPr>
  </w:style>
  <w:style w:type="paragraph" w:styleId="Heading1">
    <w:name w:val="heading 1"/>
    <w:basedOn w:val="Normal"/>
    <w:next w:val="Paragraph"/>
    <w:link w:val="Heading1Char"/>
    <w:qFormat/>
    <w:rsid w:val="00833D8A"/>
    <w:pPr>
      <w:keepNext/>
      <w:spacing w:before="240" w:after="120" w:line="360" w:lineRule="auto"/>
      <w:outlineLvl w:val="0"/>
    </w:pPr>
    <w:rPr>
      <w:rFonts w:ascii="Arial" w:hAnsi="Arial" w:cs="Arial"/>
      <w:b/>
      <w:bCs/>
      <w:kern w:val="32"/>
      <w:sz w:val="32"/>
      <w:szCs w:val="32"/>
      <w:lang w:eastAsia="en-US"/>
    </w:rPr>
  </w:style>
  <w:style w:type="paragraph" w:styleId="Heading2">
    <w:name w:val="heading 2"/>
    <w:basedOn w:val="Normal"/>
    <w:next w:val="Paragraph"/>
    <w:link w:val="Heading2Char"/>
    <w:qFormat/>
    <w:rsid w:val="00C77C66"/>
    <w:pPr>
      <w:keepNext/>
      <w:spacing w:before="240" w:after="60" w:line="360" w:lineRule="auto"/>
      <w:outlineLvl w:val="1"/>
    </w:pPr>
    <w:rPr>
      <w:rFonts w:ascii="Arial" w:hAnsi="Arial" w:cs="Arial"/>
      <w:b/>
      <w:bCs/>
      <w:color w:val="228096"/>
      <w:sz w:val="28"/>
      <w:szCs w:val="28"/>
      <w:lang w:eastAsia="en-US"/>
    </w:rPr>
  </w:style>
  <w:style w:type="paragraph" w:styleId="Heading3">
    <w:name w:val="heading 3"/>
    <w:basedOn w:val="Normal"/>
    <w:next w:val="Paragraph"/>
    <w:link w:val="Heading3Char"/>
    <w:qFormat/>
    <w:rsid w:val="00833D8A"/>
    <w:pPr>
      <w:keepNext/>
      <w:spacing w:before="240" w:after="60" w:line="360" w:lineRule="auto"/>
      <w:outlineLvl w:val="2"/>
    </w:pPr>
    <w:rPr>
      <w:rFonts w:ascii="Arial" w:hAnsi="Arial" w:cs="Arial"/>
      <w:b/>
      <w:bCs/>
      <w:sz w:val="26"/>
      <w:lang w:eastAsia="en-US"/>
    </w:rPr>
  </w:style>
  <w:style w:type="paragraph" w:styleId="Heading4">
    <w:name w:val="heading 4"/>
    <w:basedOn w:val="Normal"/>
    <w:next w:val="Paragraph"/>
    <w:link w:val="Heading4Char"/>
    <w:qFormat/>
    <w:rsid w:val="00C77C66"/>
    <w:pPr>
      <w:keepNext/>
      <w:spacing w:before="120" w:after="60" w:line="360" w:lineRule="auto"/>
      <w:outlineLvl w:val="3"/>
    </w:pPr>
    <w:rPr>
      <w:rFonts w:ascii="Arial" w:hAnsi="Arial"/>
      <w:b/>
      <w:bCs/>
      <w:iCs/>
      <w:color w:val="228096"/>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basedOn w:val="Normal"/>
    <w:uiPriority w:val="4"/>
    <w:qFormat/>
    <w:rsid w:val="00624140"/>
    <w:pPr>
      <w:numPr>
        <w:numId w:val="20"/>
      </w:numPr>
      <w:tabs>
        <w:tab w:val="left" w:pos="426"/>
      </w:tabs>
      <w:spacing w:after="240" w:line="360" w:lineRule="auto"/>
      <w:ind w:left="425" w:hanging="425"/>
    </w:pPr>
    <w:rPr>
      <w:rFonts w:ascii="Arial" w:hAnsi="Arial"/>
      <w:lang w:eastAsia="en-US"/>
    </w:rPr>
  </w:style>
  <w:style w:type="paragraph" w:styleId="Title">
    <w:name w:val="Title"/>
    <w:basedOn w:val="Normal"/>
    <w:next w:val="Heading1"/>
    <w:link w:val="TitleChar"/>
    <w:qFormat/>
    <w:rsid w:val="00696C0A"/>
    <w:pPr>
      <w:spacing w:before="240" w:after="240"/>
      <w:jc w:val="center"/>
      <w:outlineLvl w:val="0"/>
    </w:pPr>
    <w:rPr>
      <w:rFonts w:ascii="Arial" w:hAnsi="Arial"/>
      <w:b/>
      <w:bCs/>
      <w:kern w:val="28"/>
      <w:sz w:val="40"/>
      <w:szCs w:val="32"/>
    </w:rPr>
  </w:style>
  <w:style w:type="character" w:customStyle="1" w:styleId="TitleChar">
    <w:name w:val="Title Char"/>
    <w:basedOn w:val="DefaultParagraphFont"/>
    <w:link w:val="Title"/>
    <w:rsid w:val="00696C0A"/>
    <w:rPr>
      <w:rFonts w:ascii="Arial" w:hAnsi="Arial"/>
      <w:b/>
      <w:bCs/>
      <w:kern w:val="28"/>
      <w:sz w:val="40"/>
      <w:szCs w:val="32"/>
    </w:rPr>
  </w:style>
  <w:style w:type="character" w:customStyle="1" w:styleId="Heading1Char">
    <w:name w:val="Heading 1 Char"/>
    <w:link w:val="Heading1"/>
    <w:rsid w:val="00833D8A"/>
    <w:rPr>
      <w:rFonts w:ascii="Arial" w:hAnsi="Arial" w:cs="Arial"/>
      <w:b/>
      <w:bCs/>
      <w:kern w:val="32"/>
      <w:sz w:val="32"/>
      <w:szCs w:val="32"/>
      <w:lang w:eastAsia="en-US"/>
    </w:rPr>
  </w:style>
  <w:style w:type="paragraph" w:customStyle="1" w:styleId="Bullets">
    <w:name w:val="Bullets"/>
    <w:basedOn w:val="Normal"/>
    <w:uiPriority w:val="5"/>
    <w:qFormat/>
    <w:rsid w:val="00C85682"/>
    <w:pPr>
      <w:numPr>
        <w:numId w:val="21"/>
      </w:numPr>
      <w:tabs>
        <w:tab w:val="left" w:pos="993"/>
      </w:tabs>
      <w:spacing w:line="360" w:lineRule="auto"/>
      <w:ind w:left="993" w:hanging="426"/>
    </w:pPr>
    <w:rPr>
      <w:rFonts w:ascii="Arial" w:hAnsi="Arial"/>
      <w:lang w:eastAsia="en-US"/>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link w:val="Heading2"/>
    <w:rsid w:val="00C77C66"/>
    <w:rPr>
      <w:rFonts w:ascii="Arial" w:hAnsi="Arial" w:cs="Arial"/>
      <w:b/>
      <w:bCs/>
      <w:color w:val="228096"/>
      <w:sz w:val="28"/>
      <w:szCs w:val="28"/>
      <w:lang w:eastAsia="en-US"/>
    </w:rPr>
  </w:style>
  <w:style w:type="character" w:customStyle="1" w:styleId="Heading3Char">
    <w:name w:val="Heading 3 Char"/>
    <w:basedOn w:val="DefaultParagraphFont"/>
    <w:link w:val="Heading3"/>
    <w:rsid w:val="00E851C4"/>
    <w:rPr>
      <w:rFonts w:ascii="Arial" w:hAnsi="Arial" w:cs="Arial"/>
      <w:b/>
      <w:bCs/>
      <w:sz w:val="26"/>
      <w:szCs w:val="24"/>
      <w:lang w:eastAsia="en-US"/>
    </w:rPr>
  </w:style>
  <w:style w:type="paragraph" w:customStyle="1" w:styleId="Subbullets">
    <w:name w:val="Sub bullets"/>
    <w:basedOn w:val="Normal"/>
    <w:uiPriority w:val="6"/>
    <w:qFormat/>
    <w:rsid w:val="00C85682"/>
    <w:pPr>
      <w:numPr>
        <w:numId w:val="22"/>
      </w:numPr>
      <w:tabs>
        <w:tab w:val="left" w:pos="1276"/>
      </w:tabs>
      <w:spacing w:line="360" w:lineRule="auto"/>
      <w:ind w:left="1276" w:hanging="312"/>
    </w:pPr>
    <w:rPr>
      <w:rFonts w:ascii="Arial" w:hAnsi="Arial"/>
    </w:rPr>
  </w:style>
  <w:style w:type="paragraph" w:customStyle="1" w:styleId="Paragraph">
    <w:name w:val="Paragraph"/>
    <w:basedOn w:val="Normal"/>
    <w:uiPriority w:val="99"/>
    <w:qFormat/>
    <w:rsid w:val="00624140"/>
    <w:pPr>
      <w:spacing w:after="240" w:line="360" w:lineRule="auto"/>
    </w:pPr>
    <w:rPr>
      <w:rFonts w:ascii="Arial" w:hAnsi="Arial"/>
      <w:lang w:eastAsia="en-US"/>
    </w:rPr>
  </w:style>
  <w:style w:type="paragraph" w:styleId="TOC1">
    <w:name w:val="toc 1"/>
    <w:basedOn w:val="Normal"/>
    <w:next w:val="Normal"/>
    <w:autoRedefine/>
    <w:uiPriority w:val="39"/>
    <w:rsid w:val="003F0A04"/>
    <w:pPr>
      <w:spacing w:line="360" w:lineRule="auto"/>
    </w:pPr>
    <w:rPr>
      <w:rFonts w:ascii="Arial" w:hAnsi="Arial"/>
    </w:rPr>
  </w:style>
  <w:style w:type="paragraph" w:styleId="TOC2">
    <w:name w:val="toc 2"/>
    <w:basedOn w:val="Normal"/>
    <w:next w:val="Normal"/>
    <w:autoRedefine/>
    <w:uiPriority w:val="39"/>
    <w:rsid w:val="003F0A04"/>
    <w:pPr>
      <w:spacing w:line="360" w:lineRule="auto"/>
      <w:ind w:left="240"/>
    </w:pPr>
    <w:rPr>
      <w:rFonts w:ascii="Arial" w:hAnsi="Arial"/>
    </w:rPr>
  </w:style>
  <w:style w:type="paragraph" w:styleId="TOC3">
    <w:name w:val="toc 3"/>
    <w:basedOn w:val="Normal"/>
    <w:next w:val="Normal"/>
    <w:autoRedefine/>
    <w:uiPriority w:val="39"/>
    <w:rsid w:val="003F0A04"/>
    <w:pPr>
      <w:tabs>
        <w:tab w:val="right" w:leader="dot" w:pos="8296"/>
      </w:tabs>
      <w:spacing w:line="360" w:lineRule="auto"/>
      <w:ind w:left="480"/>
    </w:pPr>
    <w:rPr>
      <w:rFonts w:ascii="Arial" w:hAnsi="Arial"/>
      <w:noProof/>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customStyle="1" w:styleId="Heading4Char">
    <w:name w:val="Heading 4 Char"/>
    <w:basedOn w:val="DefaultParagraphFont"/>
    <w:link w:val="Heading4"/>
    <w:rsid w:val="00C77C66"/>
    <w:rPr>
      <w:rFonts w:ascii="Arial" w:hAnsi="Arial"/>
      <w:b/>
      <w:bCs/>
      <w:iCs/>
      <w:color w:val="228096"/>
      <w:sz w:val="24"/>
      <w:szCs w:val="28"/>
      <w:lang w:eastAsia="en-US"/>
    </w:rPr>
  </w:style>
  <w:style w:type="paragraph" w:styleId="Caption">
    <w:name w:val="caption"/>
    <w:basedOn w:val="Normal"/>
    <w:next w:val="Normal"/>
    <w:unhideWhenUsed/>
    <w:qFormat/>
    <w:rsid w:val="00BC184B"/>
    <w:pPr>
      <w:keepNext/>
      <w:spacing w:before="240" w:after="200" w:line="360" w:lineRule="auto"/>
    </w:pPr>
    <w:rPr>
      <w:rFonts w:ascii="Arial" w:hAnsi="Arial"/>
      <w:b/>
      <w:iCs/>
      <w:szCs w:val="18"/>
      <w:lang w:eastAsia="en-US"/>
    </w:rPr>
  </w:style>
  <w:style w:type="character" w:styleId="Hyperlink">
    <w:name w:val="Hyperlink"/>
    <w:basedOn w:val="DefaultParagraphFont"/>
    <w:uiPriority w:val="99"/>
    <w:unhideWhenUsed/>
    <w:rsid w:val="00833D8A"/>
    <w:rPr>
      <w:color w:val="0000FF" w:themeColor="hyperlink"/>
      <w:u w:val="single"/>
    </w:rPr>
  </w:style>
  <w:style w:type="table" w:customStyle="1" w:styleId="PanelDefault">
    <w:name w:val="Panel (Default)"/>
    <w:basedOn w:val="TableNormal"/>
    <w:uiPriority w:val="99"/>
    <w:rsid w:val="00833D8A"/>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97305A"/>
    <w:rPr>
      <w:color w:val="FFFFFF"/>
    </w:rPr>
    <w:tblPr>
      <w:tblBorders>
        <w:top w:val="single" w:sz="8" w:space="0" w:color="314C60"/>
        <w:left w:val="single" w:sz="8" w:space="0" w:color="314C60"/>
        <w:bottom w:val="single" w:sz="8" w:space="0" w:color="314C60"/>
        <w:right w:val="single" w:sz="8" w:space="0" w:color="314C60"/>
      </w:tblBorders>
    </w:tblPr>
    <w:tcPr>
      <w:shd w:val="clear" w:color="auto" w:fill="00436C"/>
    </w:tcPr>
  </w:style>
  <w:style w:type="table" w:customStyle="1" w:styleId="PanelPrimary">
    <w:name w:val="Panel (Primary)"/>
    <w:basedOn w:val="TableNormal"/>
    <w:uiPriority w:val="99"/>
    <w:rsid w:val="00C77C66"/>
    <w:pPr>
      <w:spacing w:after="240"/>
    </w:pPr>
    <w:tblPr>
      <w:tblBorders>
        <w:top w:val="single" w:sz="24" w:space="0" w:color="91C0CB"/>
        <w:left w:val="single" w:sz="24" w:space="0" w:color="91C0CB"/>
        <w:bottom w:val="single" w:sz="24" w:space="0" w:color="91C0CB"/>
        <w:right w:val="single" w:sz="24" w:space="0" w:color="91C0CB"/>
      </w:tblBorders>
    </w:tblPr>
  </w:style>
  <w:style w:type="paragraph" w:customStyle="1" w:styleId="Tabletext">
    <w:name w:val="Table text"/>
    <w:basedOn w:val="Normal"/>
    <w:rsid w:val="006709A9"/>
    <w:pPr>
      <w:spacing w:before="60" w:after="80"/>
    </w:pPr>
    <w:rPr>
      <w:rFonts w:ascii="Arial" w:hAnsi="Arial"/>
      <w:sz w:val="22"/>
      <w:lang w:eastAsia="en-US"/>
    </w:rPr>
  </w:style>
  <w:style w:type="paragraph" w:customStyle="1" w:styleId="Tablebullet">
    <w:name w:val="Table bullet"/>
    <w:basedOn w:val="Tabletext"/>
    <w:qFormat/>
    <w:rsid w:val="00833D8A"/>
    <w:pPr>
      <w:numPr>
        <w:numId w:val="23"/>
      </w:numPr>
    </w:pPr>
  </w:style>
  <w:style w:type="table" w:styleId="TableGrid">
    <w:name w:val="Table Grid"/>
    <w:basedOn w:val="TableNormal"/>
    <w:rsid w:val="00833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qFormat/>
    <w:rsid w:val="00833D8A"/>
    <w:rPr>
      <w:b/>
    </w:rPr>
  </w:style>
  <w:style w:type="table" w:styleId="TableGridLight">
    <w:name w:val="Grid Table Light"/>
    <w:basedOn w:val="TableNormal"/>
    <w:uiPriority w:val="40"/>
    <w:rsid w:val="00833D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
    <w:name w:val="Numbered list"/>
    <w:basedOn w:val="Bullets"/>
    <w:qFormat/>
    <w:rsid w:val="00C85682"/>
    <w:pPr>
      <w:numPr>
        <w:numId w:val="24"/>
      </w:numPr>
      <w:ind w:left="993" w:hanging="426"/>
    </w:pPr>
  </w:style>
  <w:style w:type="paragraph" w:customStyle="1" w:styleId="Panelwhitetext">
    <w:name w:val="Panel white text"/>
    <w:basedOn w:val="Paragraph"/>
    <w:qFormat/>
    <w:rsid w:val="00D1699D"/>
    <w:rPr>
      <w:b/>
      <w:color w:val="FFFFFF"/>
    </w:rPr>
  </w:style>
  <w:style w:type="paragraph" w:customStyle="1" w:styleId="Title2">
    <w:name w:val="Title 2"/>
    <w:basedOn w:val="Title"/>
    <w:qFormat/>
    <w:rsid w:val="00157BBE"/>
    <w:rPr>
      <w:color w:val="228096" w:themeColor="accent1"/>
      <w:sz w:val="32"/>
    </w:rPr>
  </w:style>
  <w:style w:type="paragraph" w:customStyle="1" w:styleId="Paragraphindent">
    <w:name w:val="Paragraph indent"/>
    <w:basedOn w:val="Paragraph"/>
    <w:next w:val="Paragraph"/>
    <w:qFormat/>
    <w:rsid w:val="001A6635"/>
    <w:pPr>
      <w:tabs>
        <w:tab w:val="left" w:pos="567"/>
      </w:tabs>
      <w:ind w:left="567"/>
    </w:pPr>
  </w:style>
  <w:style w:type="paragraph" w:styleId="TOCHeading">
    <w:name w:val="TOC Heading"/>
    <w:basedOn w:val="Heading1"/>
    <w:next w:val="Normal"/>
    <w:uiPriority w:val="39"/>
    <w:unhideWhenUsed/>
    <w:qFormat/>
    <w:rsid w:val="008E7826"/>
    <w:pPr>
      <w:keepLines/>
      <w:spacing w:after="0" w:line="259" w:lineRule="auto"/>
      <w:outlineLvl w:val="9"/>
    </w:pPr>
    <w:rPr>
      <w:rFonts w:eastAsiaTheme="majorEastAsia" w:cstheme="majorBidi"/>
      <w:bCs w:val="0"/>
      <w:kern w:val="0"/>
      <w:lang w:val="en-US"/>
    </w:rPr>
  </w:style>
  <w:style w:type="paragraph" w:customStyle="1" w:styleId="Pullquote">
    <w:name w:val="Pull quote"/>
    <w:basedOn w:val="Paragraph"/>
    <w:qFormat/>
    <w:rsid w:val="00C77C66"/>
    <w:pPr>
      <w:jc w:val="center"/>
    </w:pPr>
    <w:rPr>
      <w:b/>
      <w:color w:val="228096"/>
      <w:sz w:val="26"/>
      <w:szCs w:val="26"/>
    </w:rPr>
  </w:style>
  <w:style w:type="character" w:styleId="CommentReference">
    <w:name w:val="annotation reference"/>
    <w:basedOn w:val="DefaultParagraphFont"/>
    <w:semiHidden/>
    <w:rsid w:val="003F0A04"/>
    <w:rPr>
      <w:sz w:val="16"/>
      <w:szCs w:val="16"/>
    </w:rPr>
  </w:style>
  <w:style w:type="paragraph" w:styleId="CommentText">
    <w:name w:val="annotation text"/>
    <w:basedOn w:val="Normal"/>
    <w:link w:val="CommentTextChar"/>
    <w:semiHidden/>
    <w:rsid w:val="003F0A04"/>
    <w:rPr>
      <w:sz w:val="20"/>
      <w:szCs w:val="20"/>
    </w:rPr>
  </w:style>
  <w:style w:type="character" w:customStyle="1" w:styleId="CommentTextChar">
    <w:name w:val="Comment Text Char"/>
    <w:basedOn w:val="DefaultParagraphFont"/>
    <w:link w:val="CommentText"/>
    <w:semiHidden/>
    <w:rsid w:val="003F0A04"/>
  </w:style>
  <w:style w:type="paragraph" w:styleId="CommentSubject">
    <w:name w:val="annotation subject"/>
    <w:basedOn w:val="CommentText"/>
    <w:next w:val="CommentText"/>
    <w:link w:val="CommentSubjectChar"/>
    <w:semiHidden/>
    <w:rsid w:val="003F0A04"/>
    <w:rPr>
      <w:b/>
      <w:bCs/>
    </w:rPr>
  </w:style>
  <w:style w:type="character" w:customStyle="1" w:styleId="CommentSubjectChar">
    <w:name w:val="Comment Subject Char"/>
    <w:basedOn w:val="CommentTextChar"/>
    <w:link w:val="CommentSubject"/>
    <w:semiHidden/>
    <w:rsid w:val="003F0A04"/>
    <w:rPr>
      <w:b/>
      <w:bCs/>
    </w:rPr>
  </w:style>
  <w:style w:type="character" w:customStyle="1" w:styleId="StyleCommentReference">
    <w:name w:val="Style Comment Reference +"/>
    <w:basedOn w:val="CommentReference"/>
    <w:rsid w:val="003F0A04"/>
    <w:rPr>
      <w:rFonts w:ascii="Arial" w:hAnsi="Arial"/>
      <w:b/>
      <w:sz w:val="44"/>
      <w:szCs w:val="16"/>
    </w:rPr>
  </w:style>
  <w:style w:type="paragraph" w:styleId="Revision">
    <w:name w:val="Revision"/>
    <w:hidden/>
    <w:uiPriority w:val="99"/>
    <w:semiHidden/>
    <w:rsid w:val="006A52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ICEbrandtheme">
  <a:themeElements>
    <a:clrScheme name="NICE brand colours">
      <a:dk1>
        <a:srgbClr val="000000"/>
      </a:dk1>
      <a:lt1>
        <a:srgbClr val="FFFFFF"/>
      </a:lt1>
      <a:dk2>
        <a:srgbClr val="00436C"/>
      </a:dk2>
      <a:lt2>
        <a:srgbClr val="F7F3F1"/>
      </a:lt2>
      <a:accent1>
        <a:srgbClr val="228096"/>
      </a:accent1>
      <a:accent2>
        <a:srgbClr val="00436C"/>
      </a:accent2>
      <a:accent3>
        <a:srgbClr val="EAD054"/>
      </a:accent3>
      <a:accent4>
        <a:srgbClr val="EDD8CD"/>
      </a:accent4>
      <a:accent5>
        <a:srgbClr val="37916D"/>
      </a:accent5>
      <a:accent6>
        <a:srgbClr val="D07B4C"/>
      </a:accent6>
      <a:hlink>
        <a:srgbClr val="0000FF"/>
      </a:hlink>
      <a:folHlink>
        <a:srgbClr val="00436C"/>
      </a:folHlink>
    </a:clrScheme>
    <a:fontScheme name="NICE corporate fonts">
      <a:majorFont>
        <a:latin typeface="Lora SemiBold"/>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NK">
      <a:srgbClr val="FFFFFF"/>
    </a:custClr>
    <a:custClr name="Black 100%">
      <a:srgbClr val="000000"/>
    </a:custClr>
    <a:custClr name="Soft cream 100%">
      <a:srgbClr val="DED5CA"/>
    </a:custClr>
    <a:custClr name="BLANK">
      <a:srgbClr val="FFFFFF"/>
    </a:custClr>
    <a:custClr name="Bold teal 100%">
      <a:srgbClr val="228096"/>
    </a:custClr>
    <a:custClr name="Deep blue 100%">
      <a:srgbClr val="00436C"/>
    </a:custClr>
    <a:custClr name="Positive yellow 100%">
      <a:srgbClr val="EAD054"/>
    </a:custClr>
    <a:custClr name="Warm pink 100%">
      <a:srgbClr val="EDD8CD"/>
    </a:custClr>
    <a:custClr name="Balanced green 100%">
      <a:srgbClr val="37906D"/>
    </a:custClr>
    <a:custClr name="Natural tan 100%">
      <a:srgbClr val="D07B4D"/>
    </a:custClr>
    <a:custClr name="BLANK">
      <a:srgbClr val="FFFFFF"/>
    </a:custClr>
    <a:custClr name="Black 75%">
      <a:srgbClr val="404040"/>
    </a:custClr>
    <a:custClr name="Soft cream 75%">
      <a:srgbClr val="E6E0D7"/>
    </a:custClr>
    <a:custClr name="BLANK">
      <a:srgbClr val="FFFFFF"/>
    </a:custClr>
    <a:custClr name="Bold teal 75%">
      <a:srgbClr val="59A0B0"/>
    </a:custClr>
    <a:custClr name="Deep blue 75%">
      <a:srgbClr val="407291"/>
    </a:custClr>
    <a:custClr name="Positive yellow 75%">
      <a:srgbClr val="EFDC7F"/>
    </a:custClr>
    <a:custClr name="Warm pink 75%">
      <a:srgbClr val="F2E2D9"/>
    </a:custClr>
    <a:custClr name="Balanced green 75%">
      <a:srgbClr val="69AC91"/>
    </a:custClr>
    <a:custClr name="Natural tan 75%">
      <a:srgbClr val="DC9C7A"/>
    </a:custClr>
    <a:custClr name="BLANK">
      <a:srgbClr val="FFFFFF"/>
    </a:custClr>
    <a:custClr name="Black 50%">
      <a:srgbClr val="808080"/>
    </a:custClr>
    <a:custClr name="Soft cream 50%">
      <a:srgbClr val="EEEAE4"/>
    </a:custClr>
    <a:custClr name="BLANK">
      <a:srgbClr val="FFFFFF"/>
    </a:custClr>
    <a:custClr name="Bold teal 50%">
      <a:srgbClr val="91C0CB"/>
    </a:custClr>
    <a:custClr name="Deep blue 50%">
      <a:srgbClr val="80A1B5"/>
    </a:custClr>
    <a:custClr name="Positive yellow 50%">
      <a:srgbClr val="F4E8AA"/>
    </a:custClr>
    <a:custClr name="Warm pink 50%">
      <a:srgbClr val="F6ECE6"/>
    </a:custClr>
    <a:custClr name="Balanced green 50%">
      <a:srgbClr val="9BC8B6"/>
    </a:custClr>
    <a:custClr name="Natural tan 50%">
      <a:srgbClr val="E7BDA6"/>
    </a:custClr>
    <a:custClr name="BLANK">
      <a:srgbClr val="FFFFFF"/>
    </a:custClr>
    <a:custClr name="Black 25%">
      <a:srgbClr val="BFBFBF"/>
    </a:custClr>
    <a:custClr name="Soft cream 25%">
      <a:srgbClr val="F7F4F1"/>
    </a:custClr>
    <a:custClr name="BLANK">
      <a:srgbClr val="FFFFFF"/>
    </a:custClr>
    <a:custClr name="Bold teal 25%">
      <a:srgbClr val="C8E0E6"/>
    </a:custClr>
    <a:custClr name="Deep blue 25%">
      <a:srgbClr val="BFD0DA"/>
    </a:custClr>
    <a:custClr name="Positive yellow 25%">
      <a:srgbClr val="FAF3D4"/>
    </a:custClr>
    <a:custClr name="Warm pink 25%">
      <a:srgbClr val="FBF5F2"/>
    </a:custClr>
    <a:custClr name="Balanced green 25%">
      <a:srgbClr val="CDE3DA"/>
    </a:custClr>
    <a:custClr name="Natural tan 25%">
      <a:srgbClr val="F3DED3"/>
    </a:custClr>
  </a:custClrLst>
  <a:extLst>
    <a:ext uri="{05A4C25C-085E-4340-85A3-A5531E510DB2}">
      <thm15:themeFamily xmlns:thm15="http://schemas.microsoft.com/office/thememl/2012/main" name="NICEbrandtheme" id="{70A84E3F-A4BC-4A98-8AB3-6E7B5E7EEE81}" vid="{E26A7FCB-9D51-409A-8054-7103D09F3D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9569B-A6D4-4C59-9560-86013A558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1313</Words>
  <Characters>7055</Characters>
  <Application>Microsoft Office Word</Application>
  <DocSecurity>0</DocSecurity>
  <Lines>58</Lines>
  <Paragraphs>16</Paragraphs>
  <ScaleCrop>false</ScaleCrop>
  <Company/>
  <LinksUpToDate>false</LinksUpToDate>
  <CharactersWithSpaces>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2023-09-12T07:36:00Z</dcterms:created>
  <dcterms:modified xsi:type="dcterms:W3CDTF">2023-09-12T07:36:00Z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2023-09-12T07:36:42Z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73b497bd-3b3f-4123-a552-b536ae07272d</vt:lpwstr>
  </property>
  <property fmtid="{D5CDD505-2E9C-101B-9397-08002B2CF9AE}" pid="8" name="MSIP_Label_c69d85d5-6d9e-4305-a294-1f636ec0f2d6_ContentBits">
    <vt:lpwstr>0</vt:lpwstr>
  </property>
</Properties>
</file>