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4AF7" w14:textId="77777777" w:rsidR="002F0B71" w:rsidRPr="00173F2A" w:rsidRDefault="002F0B71" w:rsidP="00173F2A">
      <w:pPr>
        <w:pStyle w:val="Heading1"/>
      </w:pPr>
      <w:r w:rsidRPr="00173F2A">
        <w:t>National Institute for Health and Care Excellence</w:t>
      </w:r>
    </w:p>
    <w:p w14:paraId="2D1CAEB6" w14:textId="58B0B912" w:rsidR="00DA7E86" w:rsidRPr="0093339D" w:rsidRDefault="00556973" w:rsidP="0093339D">
      <w:pPr>
        <w:pStyle w:val="Heading2"/>
      </w:pPr>
      <w:r w:rsidRPr="0093339D">
        <w:t>I</w:t>
      </w:r>
      <w:r w:rsidR="00EB723E" w:rsidRPr="0093339D">
        <w:t xml:space="preserve">ndicator Advisory Committee </w:t>
      </w:r>
      <w:r w:rsidR="00EE4945" w:rsidRPr="0093339D">
        <w:t>meeting minutes</w:t>
      </w:r>
    </w:p>
    <w:p w14:paraId="0DAF0154" w14:textId="1E9DDE28" w:rsidR="001A14F3" w:rsidRDefault="00CA2334" w:rsidP="00902B5E">
      <w:pPr>
        <w:pStyle w:val="Paragraph"/>
        <w:numPr>
          <w:ilvl w:val="0"/>
          <w:numId w:val="0"/>
        </w:numPr>
        <w:rPr>
          <w:rFonts w:cs="Arial"/>
          <w:sz w:val="20"/>
          <w:szCs w:val="20"/>
        </w:rPr>
      </w:pPr>
      <w:r w:rsidRPr="007A6F23">
        <w:rPr>
          <w:rFonts w:cs="Arial"/>
          <w:b/>
          <w:sz w:val="20"/>
          <w:szCs w:val="20"/>
        </w:rPr>
        <w:t>Date:</w:t>
      </w:r>
      <w:r w:rsidR="00EB723E" w:rsidRPr="003809BC">
        <w:rPr>
          <w:rFonts w:cs="Arial"/>
          <w:bCs/>
          <w:sz w:val="20"/>
          <w:szCs w:val="20"/>
        </w:rPr>
        <w:t xml:space="preserve"> </w:t>
      </w:r>
      <w:r w:rsidR="008E19EF">
        <w:rPr>
          <w:rFonts w:cs="Arial"/>
          <w:bCs/>
          <w:sz w:val="20"/>
          <w:szCs w:val="20"/>
        </w:rPr>
        <w:t>4</w:t>
      </w:r>
      <w:r w:rsidR="00E479C3" w:rsidRPr="003809BC">
        <w:rPr>
          <w:rFonts w:cs="Arial"/>
          <w:bCs/>
          <w:sz w:val="20"/>
          <w:szCs w:val="20"/>
        </w:rPr>
        <w:t xml:space="preserve"> </w:t>
      </w:r>
      <w:r w:rsidR="008E19EF">
        <w:rPr>
          <w:rFonts w:cs="Arial"/>
          <w:bCs/>
          <w:sz w:val="20"/>
          <w:szCs w:val="20"/>
        </w:rPr>
        <w:t>August</w:t>
      </w:r>
      <w:r w:rsidR="00E479C3" w:rsidRPr="003809BC">
        <w:rPr>
          <w:rFonts w:cs="Arial"/>
          <w:bCs/>
          <w:sz w:val="20"/>
          <w:szCs w:val="20"/>
        </w:rPr>
        <w:t xml:space="preserve"> 20</w:t>
      </w:r>
      <w:r w:rsidR="008E19EF">
        <w:rPr>
          <w:rFonts w:cs="Arial"/>
          <w:bCs/>
          <w:sz w:val="20"/>
          <w:szCs w:val="20"/>
        </w:rPr>
        <w:t>20</w:t>
      </w:r>
    </w:p>
    <w:p w14:paraId="1DC328DF" w14:textId="5E154913" w:rsidR="00CA2334" w:rsidRDefault="00CA2334" w:rsidP="00902B5E">
      <w:pPr>
        <w:spacing w:line="276" w:lineRule="auto"/>
        <w:rPr>
          <w:rFonts w:ascii="Arial" w:hAnsi="Arial" w:cs="Arial"/>
          <w:sz w:val="20"/>
          <w:szCs w:val="20"/>
        </w:rPr>
      </w:pPr>
      <w:r w:rsidRPr="007A6F23">
        <w:rPr>
          <w:rFonts w:ascii="Arial" w:hAnsi="Arial" w:cs="Arial"/>
          <w:b/>
          <w:sz w:val="20"/>
          <w:szCs w:val="20"/>
        </w:rPr>
        <w:t xml:space="preserve">Location: </w:t>
      </w:r>
      <w:r w:rsidR="008E19EF">
        <w:rPr>
          <w:rFonts w:ascii="Arial" w:hAnsi="Arial" w:cs="Arial"/>
          <w:sz w:val="20"/>
          <w:szCs w:val="20"/>
        </w:rPr>
        <w:t>Virtual via Zoom</w:t>
      </w:r>
    </w:p>
    <w:p w14:paraId="6303B938" w14:textId="62DAD7A2" w:rsidR="001D35EA" w:rsidRPr="0093339D" w:rsidRDefault="001D35EA" w:rsidP="0093339D">
      <w:pPr>
        <w:pStyle w:val="Heading3"/>
      </w:pPr>
      <w:r w:rsidRPr="0093339D">
        <w:t>Attendees</w:t>
      </w:r>
      <w:r w:rsidR="00556973" w:rsidRPr="0093339D">
        <w:t>:</w:t>
      </w:r>
      <w:r w:rsidR="00772664" w:rsidRPr="0093339D">
        <w:t xml:space="preserve"> </w:t>
      </w:r>
    </w:p>
    <w:p w14:paraId="20E57AC1" w14:textId="60BF574B" w:rsidR="00BF3180" w:rsidRPr="0093339D" w:rsidRDefault="004437FA" w:rsidP="0093339D">
      <w:pPr>
        <w:pStyle w:val="Heading4"/>
      </w:pPr>
      <w:r w:rsidRPr="0093339D">
        <w:t>Indicator</w:t>
      </w:r>
      <w:r w:rsidR="001D35EA" w:rsidRPr="0093339D">
        <w:t xml:space="preserve"> Advisory Committee members:</w:t>
      </w:r>
      <w:r w:rsidR="00BF3180" w:rsidRPr="0093339D">
        <w:t xml:space="preserve"> </w:t>
      </w:r>
    </w:p>
    <w:p w14:paraId="1EA2F6B0" w14:textId="379A924A" w:rsidR="00EB723E" w:rsidRPr="00E479C3" w:rsidRDefault="00E479C3" w:rsidP="00902B5E">
      <w:pPr>
        <w:spacing w:line="276" w:lineRule="auto"/>
        <w:rPr>
          <w:rFonts w:ascii="Arial" w:hAnsi="Arial" w:cs="Arial"/>
          <w:sz w:val="20"/>
          <w:szCs w:val="20"/>
        </w:rPr>
      </w:pPr>
      <w:r w:rsidRPr="00E479C3">
        <w:rPr>
          <w:rFonts w:ascii="Arial" w:hAnsi="Arial" w:cs="Arial"/>
          <w:sz w:val="20"/>
          <w:szCs w:val="20"/>
        </w:rPr>
        <w:t xml:space="preserve">Daniel Keenan (DK) [chair], </w:t>
      </w:r>
      <w:r w:rsidR="008E19EF">
        <w:rPr>
          <w:rFonts w:ascii="Arial" w:hAnsi="Arial" w:cs="Arial"/>
          <w:sz w:val="20"/>
          <w:szCs w:val="20"/>
        </w:rPr>
        <w:t>Tessa Lewis (TL) [acting vice chair], Adrian Barker (AB), Allison Streetly (AS), Chloe Evans (CE), Dominic Horne (DH), Kate Francis (KF), Linn Phipps (LP), Liz Cross (LC), Michael Bainbridge (MB), Nigel Beasley (NB), Rachel Brown (RB), Ronny Cheung (RC), Tim Cooper (TC), Victoria Welsh (VW), Waqas Tahir (WT), Mary Weatherstone (MW)</w:t>
      </w:r>
    </w:p>
    <w:p w14:paraId="6CDE76BB" w14:textId="77777777" w:rsidR="00E479C3" w:rsidRPr="007A6F23" w:rsidRDefault="00E479C3" w:rsidP="00902B5E">
      <w:pPr>
        <w:spacing w:line="276" w:lineRule="auto"/>
        <w:rPr>
          <w:rFonts w:ascii="Arial" w:hAnsi="Arial" w:cs="Arial"/>
          <w:sz w:val="20"/>
          <w:szCs w:val="20"/>
        </w:rPr>
      </w:pPr>
    </w:p>
    <w:p w14:paraId="2D7DD800" w14:textId="77777777" w:rsidR="00EB723E" w:rsidRDefault="00EB723E" w:rsidP="0093339D">
      <w:pPr>
        <w:pStyle w:val="Heading4"/>
      </w:pPr>
      <w:r w:rsidRPr="007A6F23">
        <w:t>NICE attendees:</w:t>
      </w:r>
    </w:p>
    <w:p w14:paraId="4FD43969" w14:textId="41A1F78B" w:rsidR="006A38D8" w:rsidRPr="006A38D8" w:rsidRDefault="00902B5E" w:rsidP="00902B5E">
      <w:pPr>
        <w:spacing w:line="276" w:lineRule="auto"/>
        <w:rPr>
          <w:rFonts w:ascii="Arial" w:hAnsi="Arial" w:cs="Arial"/>
          <w:sz w:val="20"/>
          <w:szCs w:val="20"/>
        </w:rPr>
      </w:pPr>
      <w:r>
        <w:rPr>
          <w:rFonts w:ascii="Arial" w:hAnsi="Arial" w:cs="Arial"/>
          <w:sz w:val="20"/>
          <w:szCs w:val="20"/>
        </w:rPr>
        <w:t xml:space="preserve">Esther Clifford (EC), </w:t>
      </w:r>
      <w:r w:rsidR="003809BC">
        <w:rPr>
          <w:rFonts w:ascii="Arial" w:hAnsi="Arial" w:cs="Arial"/>
          <w:sz w:val="20"/>
          <w:szCs w:val="20"/>
        </w:rPr>
        <w:t xml:space="preserve">Charlotte Fairclough (CF), </w:t>
      </w:r>
      <w:r w:rsidR="006A38D8" w:rsidRPr="006A38D8">
        <w:rPr>
          <w:rFonts w:ascii="Arial" w:hAnsi="Arial" w:cs="Arial"/>
          <w:sz w:val="20"/>
          <w:szCs w:val="20"/>
        </w:rPr>
        <w:t xml:space="preserve">Craig Grime (CDG), </w:t>
      </w:r>
      <w:r w:rsidRPr="006A38D8">
        <w:rPr>
          <w:rFonts w:ascii="Arial" w:hAnsi="Arial" w:cs="Arial"/>
          <w:sz w:val="20"/>
          <w:szCs w:val="20"/>
        </w:rPr>
        <w:t>Theresa Jennison (TJ),</w:t>
      </w:r>
      <w:r>
        <w:rPr>
          <w:rFonts w:ascii="Arial" w:hAnsi="Arial" w:cs="Arial"/>
          <w:sz w:val="20"/>
          <w:szCs w:val="20"/>
        </w:rPr>
        <w:t xml:space="preserve"> Rick Keen (RK),</w:t>
      </w:r>
      <w:r w:rsidRPr="00902B5E">
        <w:rPr>
          <w:rFonts w:ascii="Arial" w:hAnsi="Arial" w:cs="Arial"/>
          <w:sz w:val="20"/>
          <w:szCs w:val="20"/>
        </w:rPr>
        <w:t xml:space="preserve"> </w:t>
      </w:r>
      <w:r w:rsidR="006A38D8" w:rsidRPr="006A38D8">
        <w:rPr>
          <w:rFonts w:ascii="Arial" w:hAnsi="Arial" w:cs="Arial"/>
          <w:sz w:val="20"/>
          <w:szCs w:val="20"/>
        </w:rPr>
        <w:t>Mark Minchin (MM)</w:t>
      </w:r>
      <w:r w:rsidR="003809BC">
        <w:rPr>
          <w:rFonts w:ascii="Arial" w:hAnsi="Arial" w:cs="Arial"/>
          <w:sz w:val="20"/>
          <w:szCs w:val="20"/>
        </w:rPr>
        <w:t xml:space="preserve">, </w:t>
      </w:r>
      <w:r w:rsidRPr="006A38D8">
        <w:rPr>
          <w:rFonts w:ascii="Arial" w:hAnsi="Arial" w:cs="Arial"/>
          <w:sz w:val="20"/>
          <w:szCs w:val="20"/>
        </w:rPr>
        <w:t>Daniel Smithson (DS)</w:t>
      </w:r>
    </w:p>
    <w:p w14:paraId="1BAB60F1" w14:textId="77777777" w:rsidR="00EB723E" w:rsidRPr="007A6F23" w:rsidRDefault="00EB723E" w:rsidP="00902B5E">
      <w:pPr>
        <w:spacing w:line="276" w:lineRule="auto"/>
        <w:rPr>
          <w:rFonts w:ascii="Arial" w:hAnsi="Arial" w:cs="Arial"/>
          <w:sz w:val="20"/>
          <w:szCs w:val="20"/>
        </w:rPr>
      </w:pPr>
    </w:p>
    <w:p w14:paraId="23571368" w14:textId="5E904B9B" w:rsidR="008E19EF" w:rsidRDefault="00EB723E" w:rsidP="00902B5E">
      <w:pPr>
        <w:spacing w:line="276" w:lineRule="auto"/>
        <w:rPr>
          <w:rFonts w:ascii="Arial" w:hAnsi="Arial" w:cs="Arial"/>
          <w:b/>
          <w:bCs/>
          <w:sz w:val="20"/>
          <w:szCs w:val="20"/>
        </w:rPr>
      </w:pPr>
      <w:r w:rsidRPr="007A6F23">
        <w:rPr>
          <w:rFonts w:ascii="Arial" w:hAnsi="Arial" w:cs="Arial"/>
          <w:b/>
          <w:bCs/>
          <w:sz w:val="20"/>
          <w:szCs w:val="20"/>
        </w:rPr>
        <w:t>National Collaborating Centre for Indicators Development (NCCID):</w:t>
      </w:r>
    </w:p>
    <w:p w14:paraId="1A49AAB3" w14:textId="02A64173" w:rsidR="00EB723E" w:rsidRDefault="00EB723E" w:rsidP="00902B5E">
      <w:pPr>
        <w:spacing w:line="276" w:lineRule="auto"/>
        <w:rPr>
          <w:rFonts w:ascii="Arial" w:hAnsi="Arial" w:cs="Arial"/>
          <w:sz w:val="20"/>
          <w:szCs w:val="20"/>
        </w:rPr>
      </w:pPr>
      <w:r w:rsidRPr="007A6F23">
        <w:rPr>
          <w:rFonts w:ascii="Arial" w:hAnsi="Arial" w:cs="Arial"/>
          <w:sz w:val="20"/>
          <w:szCs w:val="20"/>
        </w:rPr>
        <w:t>Andrea Brown (</w:t>
      </w:r>
      <w:proofErr w:type="spellStart"/>
      <w:r w:rsidRPr="007A6F23">
        <w:rPr>
          <w:rFonts w:ascii="Arial" w:hAnsi="Arial" w:cs="Arial"/>
          <w:sz w:val="20"/>
          <w:szCs w:val="20"/>
        </w:rPr>
        <w:t>ABr</w:t>
      </w:r>
      <w:proofErr w:type="spellEnd"/>
      <w:r w:rsidRPr="007A6F23">
        <w:rPr>
          <w:rFonts w:ascii="Arial" w:hAnsi="Arial" w:cs="Arial"/>
          <w:sz w:val="20"/>
          <w:szCs w:val="20"/>
        </w:rPr>
        <w:t>)</w:t>
      </w:r>
      <w:r w:rsidR="00422C64">
        <w:rPr>
          <w:rFonts w:ascii="Arial" w:hAnsi="Arial" w:cs="Arial"/>
          <w:sz w:val="20"/>
          <w:szCs w:val="20"/>
        </w:rPr>
        <w:t xml:space="preserve">, </w:t>
      </w:r>
      <w:r w:rsidR="008E19EF">
        <w:rPr>
          <w:rFonts w:ascii="Arial" w:hAnsi="Arial" w:cs="Arial"/>
          <w:sz w:val="20"/>
          <w:szCs w:val="20"/>
        </w:rPr>
        <w:t>Paul Collingwood (PC)</w:t>
      </w:r>
      <w:r w:rsidR="00902B5E">
        <w:rPr>
          <w:rFonts w:ascii="Arial" w:hAnsi="Arial" w:cs="Arial"/>
          <w:sz w:val="20"/>
          <w:szCs w:val="20"/>
        </w:rPr>
        <w:t>,</w:t>
      </w:r>
      <w:r w:rsidR="00902B5E" w:rsidRPr="00902B5E">
        <w:rPr>
          <w:rFonts w:ascii="Arial" w:hAnsi="Arial" w:cs="Arial"/>
          <w:sz w:val="20"/>
          <w:szCs w:val="20"/>
        </w:rPr>
        <w:t xml:space="preserve"> </w:t>
      </w:r>
      <w:r w:rsidR="00902B5E">
        <w:rPr>
          <w:rFonts w:ascii="Arial" w:hAnsi="Arial" w:cs="Arial"/>
          <w:sz w:val="20"/>
          <w:szCs w:val="20"/>
        </w:rPr>
        <w:t>Richard Thomson (RT)</w:t>
      </w:r>
    </w:p>
    <w:p w14:paraId="51934F32" w14:textId="1B5210ED" w:rsidR="00E82349" w:rsidRDefault="00E82349" w:rsidP="00902B5E">
      <w:pPr>
        <w:spacing w:line="276" w:lineRule="auto"/>
        <w:rPr>
          <w:rFonts w:ascii="Arial" w:hAnsi="Arial" w:cs="Arial"/>
          <w:sz w:val="20"/>
          <w:szCs w:val="20"/>
        </w:rPr>
      </w:pPr>
    </w:p>
    <w:p w14:paraId="1DD89B06" w14:textId="77777777" w:rsidR="00E82349" w:rsidRDefault="00E82349" w:rsidP="0093339D">
      <w:pPr>
        <w:pStyle w:val="Heading4"/>
      </w:pPr>
      <w:r w:rsidRPr="007A6F23">
        <w:t>NHS Digital:</w:t>
      </w:r>
    </w:p>
    <w:p w14:paraId="19BFFAA4" w14:textId="77777777" w:rsidR="00E82349" w:rsidRPr="007A6F23" w:rsidRDefault="00E82349" w:rsidP="00E82349">
      <w:pPr>
        <w:spacing w:line="276" w:lineRule="auto"/>
        <w:rPr>
          <w:rFonts w:ascii="Arial" w:hAnsi="Arial" w:cs="Arial"/>
          <w:sz w:val="20"/>
          <w:szCs w:val="20"/>
        </w:rPr>
      </w:pPr>
      <w:r w:rsidRPr="007A6F23">
        <w:rPr>
          <w:rFonts w:ascii="Arial" w:hAnsi="Arial" w:cs="Arial"/>
          <w:sz w:val="20"/>
          <w:szCs w:val="20"/>
        </w:rPr>
        <w:t>Gemma Ramsay (GR)</w:t>
      </w:r>
    </w:p>
    <w:p w14:paraId="0B279D09" w14:textId="77777777" w:rsidR="00E82349" w:rsidRDefault="00E82349" w:rsidP="00902B5E">
      <w:pPr>
        <w:spacing w:line="276" w:lineRule="auto"/>
        <w:rPr>
          <w:rFonts w:ascii="Arial" w:hAnsi="Arial" w:cs="Arial"/>
          <w:b/>
          <w:bCs/>
          <w:sz w:val="20"/>
          <w:szCs w:val="20"/>
        </w:rPr>
      </w:pPr>
    </w:p>
    <w:p w14:paraId="24095444" w14:textId="56A1758E" w:rsidR="008E19EF" w:rsidRPr="008E19EF" w:rsidRDefault="008E19EF" w:rsidP="0093339D">
      <w:pPr>
        <w:pStyle w:val="Heading4"/>
      </w:pPr>
      <w:r w:rsidRPr="008E19EF">
        <w:t>Public Health England</w:t>
      </w:r>
      <w:r w:rsidR="003C0937">
        <w:t xml:space="preserve"> (PHE)</w:t>
      </w:r>
      <w:r w:rsidRPr="008E19EF">
        <w:t>:</w:t>
      </w:r>
    </w:p>
    <w:p w14:paraId="0CBB3566" w14:textId="441ACF88" w:rsidR="008E19EF" w:rsidRDefault="008E19EF" w:rsidP="00902B5E">
      <w:pPr>
        <w:spacing w:line="276" w:lineRule="auto"/>
        <w:rPr>
          <w:rFonts w:ascii="Arial" w:hAnsi="Arial" w:cs="Arial"/>
          <w:sz w:val="20"/>
          <w:szCs w:val="20"/>
        </w:rPr>
      </w:pPr>
      <w:r>
        <w:rPr>
          <w:rFonts w:ascii="Arial" w:hAnsi="Arial" w:cs="Arial"/>
          <w:sz w:val="20"/>
          <w:szCs w:val="20"/>
        </w:rPr>
        <w:t>Michael Edelstein (ME), Nerissa Santimano (NS)</w:t>
      </w:r>
    </w:p>
    <w:p w14:paraId="53986FD1" w14:textId="1A0695D8" w:rsidR="008E19EF" w:rsidRDefault="008E19EF" w:rsidP="00902B5E">
      <w:pPr>
        <w:spacing w:line="276" w:lineRule="auto"/>
        <w:rPr>
          <w:rFonts w:ascii="Arial" w:hAnsi="Arial" w:cs="Arial"/>
          <w:sz w:val="20"/>
          <w:szCs w:val="20"/>
        </w:rPr>
      </w:pPr>
    </w:p>
    <w:p w14:paraId="09AF4F0C" w14:textId="0F9874AC" w:rsidR="008E19EF" w:rsidRPr="008E19EF" w:rsidRDefault="008E19EF" w:rsidP="0093339D">
      <w:pPr>
        <w:pStyle w:val="Heading4"/>
      </w:pPr>
      <w:r w:rsidRPr="008E19EF">
        <w:t>NHS England:</w:t>
      </w:r>
    </w:p>
    <w:p w14:paraId="66C0AF1E" w14:textId="1E23F67E" w:rsidR="008E19EF" w:rsidRPr="007A6F23" w:rsidRDefault="008E19EF" w:rsidP="00902B5E">
      <w:pPr>
        <w:spacing w:line="276" w:lineRule="auto"/>
        <w:rPr>
          <w:rFonts w:ascii="Arial" w:hAnsi="Arial" w:cs="Arial"/>
          <w:sz w:val="20"/>
          <w:szCs w:val="20"/>
        </w:rPr>
      </w:pPr>
      <w:r>
        <w:rPr>
          <w:rFonts w:ascii="Arial" w:hAnsi="Arial" w:cs="Arial"/>
          <w:sz w:val="20"/>
          <w:szCs w:val="20"/>
        </w:rPr>
        <w:t xml:space="preserve">Felicity </w:t>
      </w:r>
      <w:proofErr w:type="spellStart"/>
      <w:r>
        <w:rPr>
          <w:rFonts w:ascii="Arial" w:hAnsi="Arial" w:cs="Arial"/>
          <w:sz w:val="20"/>
          <w:szCs w:val="20"/>
        </w:rPr>
        <w:t>Dormon</w:t>
      </w:r>
      <w:proofErr w:type="spellEnd"/>
      <w:r>
        <w:rPr>
          <w:rFonts w:ascii="Arial" w:hAnsi="Arial" w:cs="Arial"/>
          <w:sz w:val="20"/>
          <w:szCs w:val="20"/>
        </w:rPr>
        <w:t xml:space="preserve"> (FD)</w:t>
      </w:r>
    </w:p>
    <w:p w14:paraId="17265DEF" w14:textId="77777777" w:rsidR="00EB723E" w:rsidRPr="007A6F23" w:rsidRDefault="00EB723E" w:rsidP="00902B5E">
      <w:pPr>
        <w:spacing w:line="276" w:lineRule="auto"/>
        <w:rPr>
          <w:rFonts w:ascii="Arial" w:hAnsi="Arial" w:cs="Arial"/>
          <w:sz w:val="20"/>
          <w:szCs w:val="20"/>
        </w:rPr>
      </w:pPr>
    </w:p>
    <w:p w14:paraId="3E12028C" w14:textId="77777777" w:rsidR="00B416A8" w:rsidRDefault="00B416A8" w:rsidP="0093339D">
      <w:pPr>
        <w:pStyle w:val="Heading3"/>
      </w:pPr>
      <w:r w:rsidRPr="007A6F23">
        <w:t>Apologie</w:t>
      </w:r>
      <w:r w:rsidR="00EB723E" w:rsidRPr="007A6F23">
        <w:t>s</w:t>
      </w:r>
      <w:r w:rsidR="00E42955">
        <w:t>:</w:t>
      </w:r>
    </w:p>
    <w:p w14:paraId="53F88FAC" w14:textId="7EDDB086" w:rsidR="00C92F79" w:rsidRDefault="008E19EF" w:rsidP="00902B5E">
      <w:pPr>
        <w:spacing w:line="276" w:lineRule="auto"/>
        <w:rPr>
          <w:rFonts w:ascii="Arial" w:hAnsi="Arial" w:cs="Arial"/>
          <w:sz w:val="20"/>
          <w:szCs w:val="20"/>
        </w:rPr>
      </w:pPr>
      <w:r>
        <w:rPr>
          <w:rFonts w:ascii="Arial" w:hAnsi="Arial" w:cs="Arial"/>
          <w:sz w:val="20"/>
          <w:szCs w:val="20"/>
        </w:rPr>
        <w:t>Andrew Black, Christopher Gale, Elena Garralda</w:t>
      </w:r>
      <w:r w:rsidR="000322AD">
        <w:rPr>
          <w:rFonts w:ascii="Arial" w:hAnsi="Arial" w:cs="Arial"/>
          <w:sz w:val="20"/>
          <w:szCs w:val="20"/>
        </w:rPr>
        <w:t>, Paula Whitty</w:t>
      </w:r>
    </w:p>
    <w:p w14:paraId="01AC9906" w14:textId="773C9DB8" w:rsidR="003809BC" w:rsidRDefault="003809BC" w:rsidP="00902B5E">
      <w:pPr>
        <w:spacing w:line="276" w:lineRule="auto"/>
        <w:rPr>
          <w:rFonts w:ascii="Arial" w:hAnsi="Arial" w:cs="Arial"/>
          <w:sz w:val="20"/>
          <w:szCs w:val="20"/>
        </w:rPr>
      </w:pPr>
    </w:p>
    <w:p w14:paraId="6B7B87BD" w14:textId="34827253" w:rsidR="007061B7" w:rsidRDefault="007061B7" w:rsidP="00902B5E">
      <w:pPr>
        <w:spacing w:line="276" w:lineRule="auto"/>
        <w:rPr>
          <w:rFonts w:ascii="Arial" w:hAnsi="Arial" w:cs="Arial"/>
          <w:sz w:val="20"/>
          <w:szCs w:val="20"/>
        </w:rPr>
      </w:pPr>
      <w:r w:rsidRPr="007061B7">
        <w:rPr>
          <w:rFonts w:ascii="Arial" w:hAnsi="Arial" w:cs="Arial"/>
          <w:b/>
          <w:sz w:val="20"/>
          <w:szCs w:val="20"/>
        </w:rPr>
        <w:t>Quoracy</w:t>
      </w:r>
      <w:r w:rsidRPr="00B17D21">
        <w:rPr>
          <w:rFonts w:cs="Arial"/>
          <w:b/>
          <w:bCs/>
          <w:sz w:val="20"/>
          <w:szCs w:val="20"/>
        </w:rPr>
        <w:t xml:space="preserve">: </w:t>
      </w:r>
      <w:r>
        <w:rPr>
          <w:rFonts w:ascii="Arial" w:hAnsi="Arial" w:cs="Arial"/>
          <w:sz w:val="20"/>
          <w:szCs w:val="20"/>
        </w:rPr>
        <w:t>t</w:t>
      </w:r>
      <w:r w:rsidRPr="007061B7">
        <w:rPr>
          <w:rFonts w:ascii="Arial" w:hAnsi="Arial" w:cs="Arial"/>
          <w:sz w:val="20"/>
          <w:szCs w:val="20"/>
        </w:rPr>
        <w:t>he meeting was quorate.</w:t>
      </w:r>
    </w:p>
    <w:p w14:paraId="55771EFF" w14:textId="0B68A4DC" w:rsidR="003809BC" w:rsidRDefault="003809BC" w:rsidP="00902B5E">
      <w:pPr>
        <w:spacing w:line="276" w:lineRule="auto"/>
        <w:rPr>
          <w:rFonts w:ascii="Arial" w:hAnsi="Arial" w:cs="Arial"/>
          <w:sz w:val="20"/>
          <w:szCs w:val="20"/>
        </w:rPr>
      </w:pPr>
    </w:p>
    <w:p w14:paraId="55ECEFBC" w14:textId="77777777" w:rsidR="00C92F79" w:rsidRPr="003809BC" w:rsidRDefault="00EB723E" w:rsidP="0093339D">
      <w:pPr>
        <w:pStyle w:val="Heading3"/>
      </w:pPr>
      <w:r w:rsidRPr="003809BC">
        <w:t>Item 1</w:t>
      </w:r>
      <w:r w:rsidR="007A6F23" w:rsidRPr="003809BC">
        <w:t xml:space="preserve"> -</w:t>
      </w:r>
      <w:r w:rsidRPr="003809BC">
        <w:t xml:space="preserve"> Outline of the meeting</w:t>
      </w:r>
    </w:p>
    <w:p w14:paraId="7DB5DAA2" w14:textId="77777777" w:rsidR="00B34A2B" w:rsidRPr="007A6F23" w:rsidRDefault="00B34A2B" w:rsidP="00902B5E">
      <w:pPr>
        <w:spacing w:line="276" w:lineRule="auto"/>
        <w:rPr>
          <w:rFonts w:ascii="Arial" w:hAnsi="Arial" w:cs="Arial"/>
          <w:b/>
          <w:sz w:val="20"/>
          <w:szCs w:val="20"/>
          <w:u w:val="single"/>
        </w:rPr>
      </w:pPr>
    </w:p>
    <w:p w14:paraId="449162CD" w14:textId="1B7FFB6F" w:rsidR="00C92F79" w:rsidRDefault="000E76D6" w:rsidP="00902B5E">
      <w:pPr>
        <w:spacing w:line="276" w:lineRule="auto"/>
        <w:rPr>
          <w:rFonts w:ascii="Arial" w:hAnsi="Arial" w:cs="Arial"/>
          <w:sz w:val="20"/>
          <w:szCs w:val="20"/>
        </w:rPr>
      </w:pPr>
      <w:r>
        <w:rPr>
          <w:rFonts w:ascii="Arial" w:hAnsi="Arial" w:cs="Arial"/>
          <w:sz w:val="20"/>
          <w:szCs w:val="20"/>
        </w:rPr>
        <w:t>DK</w:t>
      </w:r>
      <w:r w:rsidR="00C92F79" w:rsidRPr="007A6F23">
        <w:rPr>
          <w:rFonts w:ascii="Arial" w:hAnsi="Arial" w:cs="Arial"/>
          <w:sz w:val="20"/>
          <w:szCs w:val="20"/>
        </w:rPr>
        <w:t xml:space="preserve"> welcomed the attendees and the </w:t>
      </w:r>
      <w:r w:rsidR="00EB723E" w:rsidRPr="007A6F23">
        <w:rPr>
          <w:rFonts w:ascii="Arial" w:hAnsi="Arial" w:cs="Arial"/>
          <w:sz w:val="20"/>
          <w:szCs w:val="20"/>
        </w:rPr>
        <w:t>indicator</w:t>
      </w:r>
      <w:r w:rsidR="00C92F79" w:rsidRPr="007A6F23">
        <w:rPr>
          <w:rFonts w:ascii="Arial" w:hAnsi="Arial" w:cs="Arial"/>
          <w:sz w:val="20"/>
          <w:szCs w:val="20"/>
        </w:rPr>
        <w:t xml:space="preserve"> advisory committee (</w:t>
      </w:r>
      <w:r w:rsidR="00EB723E" w:rsidRPr="007A6F23">
        <w:rPr>
          <w:rFonts w:ascii="Arial" w:hAnsi="Arial" w:cs="Arial"/>
          <w:sz w:val="20"/>
          <w:szCs w:val="20"/>
        </w:rPr>
        <w:t>I</w:t>
      </w:r>
      <w:r w:rsidR="00C92F79" w:rsidRPr="007A6F23">
        <w:rPr>
          <w:rFonts w:ascii="Arial" w:hAnsi="Arial" w:cs="Arial"/>
          <w:sz w:val="20"/>
          <w:szCs w:val="20"/>
        </w:rPr>
        <w:t>AC) members introduced themselves.</w:t>
      </w:r>
      <w:r w:rsidR="00422C64">
        <w:rPr>
          <w:rFonts w:ascii="Arial" w:hAnsi="Arial" w:cs="Arial"/>
          <w:sz w:val="20"/>
          <w:szCs w:val="20"/>
        </w:rPr>
        <w:t xml:space="preserve"> </w:t>
      </w:r>
    </w:p>
    <w:p w14:paraId="18882652" w14:textId="77777777" w:rsidR="00C92F79" w:rsidRPr="007A6F23" w:rsidRDefault="00C92F79" w:rsidP="00902B5E">
      <w:pPr>
        <w:spacing w:line="276" w:lineRule="auto"/>
        <w:rPr>
          <w:rFonts w:ascii="Arial" w:hAnsi="Arial" w:cs="Arial"/>
          <w:sz w:val="20"/>
          <w:szCs w:val="20"/>
        </w:rPr>
      </w:pPr>
    </w:p>
    <w:p w14:paraId="3A32D515" w14:textId="77777777" w:rsidR="00C92F79" w:rsidRPr="003809BC" w:rsidRDefault="00EB723E" w:rsidP="0093339D">
      <w:pPr>
        <w:pStyle w:val="Heading3"/>
        <w:rPr>
          <w:lang w:val="en-US"/>
        </w:rPr>
      </w:pPr>
      <w:r w:rsidRPr="003809BC">
        <w:rPr>
          <w:lang w:val="en-US"/>
        </w:rPr>
        <w:lastRenderedPageBreak/>
        <w:t>Item 2</w:t>
      </w:r>
      <w:r w:rsidR="007A6F23" w:rsidRPr="003809BC">
        <w:rPr>
          <w:lang w:val="en-US"/>
        </w:rPr>
        <w:t xml:space="preserve"> -</w:t>
      </w:r>
      <w:r w:rsidRPr="003809BC">
        <w:rPr>
          <w:lang w:val="en-US"/>
        </w:rPr>
        <w:t xml:space="preserve"> NICE advisory body declarations of interest </w:t>
      </w:r>
    </w:p>
    <w:p w14:paraId="4B25506F" w14:textId="77777777" w:rsidR="00B34A2B" w:rsidRDefault="00B34A2B" w:rsidP="00902B5E">
      <w:pPr>
        <w:spacing w:line="276" w:lineRule="auto"/>
        <w:rPr>
          <w:rFonts w:ascii="Arial" w:hAnsi="Arial" w:cs="Arial"/>
          <w:b/>
          <w:sz w:val="20"/>
          <w:szCs w:val="20"/>
          <w:u w:val="single"/>
        </w:rPr>
      </w:pPr>
    </w:p>
    <w:p w14:paraId="718B88F0" w14:textId="171ABD3A" w:rsidR="00BF3180" w:rsidRDefault="000E76D6" w:rsidP="00902B5E">
      <w:pPr>
        <w:spacing w:line="276" w:lineRule="auto"/>
        <w:rPr>
          <w:rFonts w:ascii="Arial" w:hAnsi="Arial" w:cs="Arial"/>
          <w:bCs/>
          <w:sz w:val="20"/>
          <w:szCs w:val="20"/>
        </w:rPr>
      </w:pPr>
      <w:r>
        <w:rPr>
          <w:rFonts w:ascii="Arial" w:hAnsi="Arial" w:cs="Arial"/>
          <w:bCs/>
          <w:sz w:val="20"/>
          <w:szCs w:val="20"/>
        </w:rPr>
        <w:t>DK asked committee members to declare all new interests</w:t>
      </w:r>
      <w:r w:rsidR="00E82349">
        <w:rPr>
          <w:rFonts w:ascii="Arial" w:hAnsi="Arial" w:cs="Arial"/>
          <w:bCs/>
          <w:sz w:val="20"/>
          <w:szCs w:val="20"/>
        </w:rPr>
        <w:t xml:space="preserve">, that is those not already included in the </w:t>
      </w:r>
      <w:r w:rsidR="00D237CA">
        <w:rPr>
          <w:rFonts w:ascii="Arial" w:hAnsi="Arial" w:cs="Arial"/>
          <w:bCs/>
          <w:sz w:val="20"/>
          <w:szCs w:val="20"/>
        </w:rPr>
        <w:t xml:space="preserve">register of </w:t>
      </w:r>
      <w:r w:rsidR="00E82349">
        <w:rPr>
          <w:rFonts w:ascii="Arial" w:hAnsi="Arial" w:cs="Arial"/>
          <w:bCs/>
          <w:sz w:val="20"/>
          <w:szCs w:val="20"/>
        </w:rPr>
        <w:t>declared interests NICE has on file</w:t>
      </w:r>
      <w:r w:rsidR="00323A38">
        <w:rPr>
          <w:rFonts w:ascii="Arial" w:hAnsi="Arial" w:cs="Arial"/>
          <w:bCs/>
          <w:sz w:val="20"/>
          <w:szCs w:val="20"/>
        </w:rPr>
        <w:t xml:space="preserve"> </w:t>
      </w:r>
      <w:r>
        <w:rPr>
          <w:rFonts w:ascii="Arial" w:hAnsi="Arial" w:cs="Arial"/>
          <w:bCs/>
          <w:sz w:val="20"/>
          <w:szCs w:val="20"/>
        </w:rPr>
        <w:t xml:space="preserve">and all interests related to items under discussion during the meeting. </w:t>
      </w:r>
      <w:r w:rsidR="00E82349">
        <w:rPr>
          <w:rFonts w:ascii="Arial" w:hAnsi="Arial" w:cs="Arial"/>
          <w:bCs/>
          <w:sz w:val="20"/>
          <w:szCs w:val="20"/>
        </w:rPr>
        <w:t>Inte</w:t>
      </w:r>
      <w:r w:rsidR="002C51CD">
        <w:rPr>
          <w:rFonts w:ascii="Arial" w:hAnsi="Arial" w:cs="Arial"/>
          <w:bCs/>
          <w:sz w:val="20"/>
          <w:szCs w:val="20"/>
        </w:rPr>
        <w:t>rest form</w:t>
      </w:r>
      <w:r w:rsidR="00D237CA">
        <w:rPr>
          <w:rFonts w:ascii="Arial" w:hAnsi="Arial" w:cs="Arial"/>
          <w:bCs/>
          <w:sz w:val="20"/>
          <w:szCs w:val="20"/>
        </w:rPr>
        <w:t>s</w:t>
      </w:r>
      <w:r w:rsidR="002C51CD">
        <w:rPr>
          <w:rFonts w:ascii="Arial" w:hAnsi="Arial" w:cs="Arial"/>
          <w:bCs/>
          <w:sz w:val="20"/>
          <w:szCs w:val="20"/>
        </w:rPr>
        <w:t xml:space="preserve"> have been received from </w:t>
      </w:r>
      <w:r w:rsidR="00D237CA">
        <w:rPr>
          <w:rFonts w:ascii="Arial" w:hAnsi="Arial" w:cs="Arial"/>
          <w:bCs/>
          <w:sz w:val="20"/>
          <w:szCs w:val="20"/>
        </w:rPr>
        <w:t xml:space="preserve">the </w:t>
      </w:r>
      <w:r w:rsidR="002C51CD">
        <w:rPr>
          <w:rFonts w:ascii="Arial" w:hAnsi="Arial" w:cs="Arial"/>
          <w:bCs/>
          <w:sz w:val="20"/>
          <w:szCs w:val="20"/>
        </w:rPr>
        <w:t>topic experts attend</w:t>
      </w:r>
      <w:r w:rsidR="00D237CA">
        <w:rPr>
          <w:rFonts w:ascii="Arial" w:hAnsi="Arial" w:cs="Arial"/>
          <w:bCs/>
          <w:sz w:val="20"/>
          <w:szCs w:val="20"/>
        </w:rPr>
        <w:t>ing</w:t>
      </w:r>
      <w:r w:rsidR="002C51CD">
        <w:rPr>
          <w:rFonts w:ascii="Arial" w:hAnsi="Arial" w:cs="Arial"/>
          <w:bCs/>
          <w:sz w:val="20"/>
          <w:szCs w:val="20"/>
        </w:rPr>
        <w:t xml:space="preserve"> the committee. </w:t>
      </w:r>
      <w:r w:rsidR="00BF3180" w:rsidRPr="00BF3180">
        <w:rPr>
          <w:rFonts w:ascii="Arial" w:hAnsi="Arial" w:cs="Arial"/>
          <w:bCs/>
          <w:sz w:val="20"/>
          <w:szCs w:val="20"/>
        </w:rPr>
        <w:t>The following</w:t>
      </w:r>
      <w:r>
        <w:rPr>
          <w:rFonts w:ascii="Arial" w:hAnsi="Arial" w:cs="Arial"/>
          <w:bCs/>
          <w:sz w:val="20"/>
          <w:szCs w:val="20"/>
        </w:rPr>
        <w:t xml:space="preserve"> interests were declared:</w:t>
      </w:r>
    </w:p>
    <w:p w14:paraId="1EFB505A" w14:textId="6406D9C3" w:rsidR="000E70F0" w:rsidRPr="006F1FC7" w:rsidRDefault="000E70F0" w:rsidP="00102F48">
      <w:pPr>
        <w:pStyle w:val="ListParagraph"/>
        <w:numPr>
          <w:ilvl w:val="0"/>
          <w:numId w:val="4"/>
        </w:numPr>
        <w:spacing w:line="276" w:lineRule="auto"/>
        <w:rPr>
          <w:rFonts w:ascii="Arial" w:hAnsi="Arial" w:cs="Arial"/>
          <w:bCs/>
          <w:sz w:val="20"/>
          <w:szCs w:val="20"/>
        </w:rPr>
      </w:pPr>
      <w:r w:rsidRPr="006F1FC7">
        <w:rPr>
          <w:rFonts w:ascii="Arial" w:hAnsi="Arial" w:cs="Arial"/>
          <w:bCs/>
          <w:sz w:val="20"/>
          <w:szCs w:val="20"/>
        </w:rPr>
        <w:t>Allison Streetly</w:t>
      </w:r>
      <w:r w:rsidR="006F1FC7">
        <w:rPr>
          <w:rFonts w:ascii="Arial" w:hAnsi="Arial" w:cs="Arial"/>
          <w:bCs/>
          <w:sz w:val="20"/>
          <w:szCs w:val="20"/>
        </w:rPr>
        <w:t xml:space="preserve"> -</w:t>
      </w:r>
      <w:r w:rsidRPr="006F1FC7">
        <w:rPr>
          <w:rFonts w:ascii="Arial" w:hAnsi="Arial" w:cs="Arial"/>
          <w:bCs/>
          <w:sz w:val="20"/>
          <w:szCs w:val="20"/>
        </w:rPr>
        <w:t xml:space="preserve"> involved nationally in discussion of vaccination programmes and with PHE who lead on strategy for this.</w:t>
      </w:r>
    </w:p>
    <w:p w14:paraId="2A464F3C" w14:textId="594AC9AC" w:rsidR="000E70F0" w:rsidRPr="006F1FC7" w:rsidRDefault="000E70F0" w:rsidP="00102F48">
      <w:pPr>
        <w:pStyle w:val="ListParagraph"/>
        <w:numPr>
          <w:ilvl w:val="0"/>
          <w:numId w:val="4"/>
        </w:numPr>
        <w:spacing w:line="276" w:lineRule="auto"/>
        <w:rPr>
          <w:rFonts w:ascii="Arial" w:hAnsi="Arial" w:cs="Arial"/>
          <w:bCs/>
          <w:sz w:val="20"/>
          <w:szCs w:val="20"/>
        </w:rPr>
      </w:pPr>
      <w:r w:rsidRPr="006F1FC7">
        <w:rPr>
          <w:rFonts w:ascii="Arial" w:hAnsi="Arial" w:cs="Arial"/>
          <w:bCs/>
          <w:sz w:val="20"/>
          <w:szCs w:val="20"/>
        </w:rPr>
        <w:t xml:space="preserve">Kate Francis – </w:t>
      </w:r>
      <w:r w:rsidR="003C0937" w:rsidRPr="006F1FC7">
        <w:rPr>
          <w:rFonts w:ascii="Arial" w:hAnsi="Arial" w:cs="Arial"/>
          <w:bCs/>
          <w:sz w:val="20"/>
          <w:szCs w:val="20"/>
        </w:rPr>
        <w:t xml:space="preserve">Board member of </w:t>
      </w:r>
      <w:r w:rsidRPr="006F1FC7">
        <w:rPr>
          <w:rFonts w:ascii="Arial" w:hAnsi="Arial" w:cs="Arial"/>
          <w:bCs/>
          <w:sz w:val="20"/>
          <w:szCs w:val="20"/>
        </w:rPr>
        <w:t>One Care</w:t>
      </w:r>
      <w:r w:rsidR="003C0937" w:rsidRPr="006F1FC7">
        <w:rPr>
          <w:rFonts w:ascii="Arial" w:hAnsi="Arial" w:cs="Arial"/>
          <w:bCs/>
          <w:sz w:val="20"/>
          <w:szCs w:val="20"/>
        </w:rPr>
        <w:t xml:space="preserve">, a federation covering GP practices in Bristol, North </w:t>
      </w:r>
      <w:proofErr w:type="gramStart"/>
      <w:r w:rsidR="003C0937" w:rsidRPr="006F1FC7">
        <w:rPr>
          <w:rFonts w:ascii="Arial" w:hAnsi="Arial" w:cs="Arial"/>
          <w:bCs/>
          <w:sz w:val="20"/>
          <w:szCs w:val="20"/>
        </w:rPr>
        <w:t>Somerset</w:t>
      </w:r>
      <w:proofErr w:type="gramEnd"/>
      <w:r w:rsidR="006F1FC7" w:rsidRPr="006F1FC7">
        <w:rPr>
          <w:rFonts w:ascii="Arial" w:hAnsi="Arial" w:cs="Arial"/>
          <w:bCs/>
          <w:sz w:val="20"/>
          <w:szCs w:val="20"/>
        </w:rPr>
        <w:t xml:space="preserve"> and South Gloucestershire CCG</w:t>
      </w:r>
    </w:p>
    <w:p w14:paraId="5EDDCC5E" w14:textId="1B163471" w:rsidR="000E70F0" w:rsidRPr="006F1FC7" w:rsidRDefault="000E70F0" w:rsidP="00102F48">
      <w:pPr>
        <w:pStyle w:val="ListParagraph"/>
        <w:numPr>
          <w:ilvl w:val="0"/>
          <w:numId w:val="4"/>
        </w:numPr>
        <w:spacing w:line="276" w:lineRule="auto"/>
        <w:rPr>
          <w:rFonts w:ascii="Arial" w:hAnsi="Arial" w:cs="Arial"/>
          <w:bCs/>
          <w:sz w:val="20"/>
          <w:szCs w:val="20"/>
        </w:rPr>
      </w:pPr>
      <w:r w:rsidRPr="006F1FC7">
        <w:rPr>
          <w:rFonts w:ascii="Arial" w:hAnsi="Arial" w:cs="Arial"/>
          <w:bCs/>
          <w:sz w:val="20"/>
          <w:szCs w:val="20"/>
        </w:rPr>
        <w:t xml:space="preserve">Mark Minchin – member of </w:t>
      </w:r>
      <w:r w:rsidR="00E82349">
        <w:rPr>
          <w:rFonts w:ascii="Arial" w:hAnsi="Arial" w:cs="Arial"/>
          <w:bCs/>
          <w:sz w:val="20"/>
          <w:szCs w:val="20"/>
        </w:rPr>
        <w:t>NHS England’s vaccinations and immunisations review</w:t>
      </w:r>
      <w:r w:rsidRPr="006F1FC7">
        <w:rPr>
          <w:rFonts w:ascii="Arial" w:hAnsi="Arial" w:cs="Arial"/>
          <w:bCs/>
          <w:sz w:val="20"/>
          <w:szCs w:val="20"/>
        </w:rPr>
        <w:t xml:space="preserve"> group</w:t>
      </w:r>
      <w:r w:rsidR="00E82349">
        <w:rPr>
          <w:rFonts w:ascii="Arial" w:hAnsi="Arial" w:cs="Arial"/>
          <w:bCs/>
          <w:sz w:val="20"/>
          <w:szCs w:val="20"/>
        </w:rPr>
        <w:t xml:space="preserve"> and </w:t>
      </w:r>
      <w:r w:rsidR="00EE5DD6">
        <w:rPr>
          <w:rFonts w:ascii="Arial" w:hAnsi="Arial" w:cs="Arial"/>
          <w:bCs/>
          <w:sz w:val="20"/>
          <w:szCs w:val="20"/>
        </w:rPr>
        <w:t xml:space="preserve">NICE </w:t>
      </w:r>
      <w:r w:rsidR="00E82349">
        <w:rPr>
          <w:rFonts w:ascii="Arial" w:hAnsi="Arial" w:cs="Arial"/>
          <w:bCs/>
          <w:sz w:val="20"/>
          <w:szCs w:val="20"/>
        </w:rPr>
        <w:t xml:space="preserve">signatory to the </w:t>
      </w:r>
      <w:hyperlink r:id="rId7" w:history="1">
        <w:r w:rsidR="00E82349" w:rsidRPr="00E82349">
          <w:rPr>
            <w:rStyle w:val="Hyperlink"/>
            <w:rFonts w:ascii="Arial" w:hAnsi="Arial" w:cs="Arial"/>
            <w:bCs/>
            <w:sz w:val="20"/>
            <w:szCs w:val="20"/>
          </w:rPr>
          <w:t>interim report</w:t>
        </w:r>
      </w:hyperlink>
      <w:r w:rsidR="00E82349">
        <w:rPr>
          <w:rFonts w:ascii="Arial" w:hAnsi="Arial" w:cs="Arial"/>
          <w:bCs/>
          <w:sz w:val="20"/>
          <w:szCs w:val="20"/>
        </w:rPr>
        <w:t xml:space="preserve"> published in September 2019</w:t>
      </w:r>
    </w:p>
    <w:p w14:paraId="46A74E31" w14:textId="77777777" w:rsidR="00BF2C76" w:rsidRPr="00BF2C76" w:rsidRDefault="00BF2C76" w:rsidP="00902B5E">
      <w:pPr>
        <w:spacing w:line="276" w:lineRule="auto"/>
        <w:rPr>
          <w:rFonts w:ascii="Arial" w:hAnsi="Arial" w:cs="Arial"/>
          <w:bCs/>
          <w:sz w:val="20"/>
          <w:szCs w:val="20"/>
        </w:rPr>
      </w:pPr>
    </w:p>
    <w:p w14:paraId="610F6FCA" w14:textId="725938C0" w:rsidR="001D35EA" w:rsidRPr="003809BC" w:rsidRDefault="00EB723E" w:rsidP="0093339D">
      <w:pPr>
        <w:pStyle w:val="Heading3"/>
      </w:pPr>
      <w:r w:rsidRPr="003809BC">
        <w:t>Item 3</w:t>
      </w:r>
      <w:r w:rsidR="007A6F23" w:rsidRPr="003809BC">
        <w:t xml:space="preserve"> -</w:t>
      </w:r>
      <w:r w:rsidRPr="003809BC">
        <w:t xml:space="preserve"> Review of minutes and actions of </w:t>
      </w:r>
      <w:r w:rsidR="00A3488A">
        <w:t>December</w:t>
      </w:r>
      <w:r w:rsidR="001C396B" w:rsidRPr="003809BC">
        <w:t xml:space="preserve"> 2019 meeting</w:t>
      </w:r>
      <w:r w:rsidRPr="003809BC">
        <w:t xml:space="preserve"> </w:t>
      </w:r>
    </w:p>
    <w:p w14:paraId="284092E4" w14:textId="77777777" w:rsidR="00B34A2B" w:rsidRPr="007A6F23" w:rsidRDefault="00B34A2B" w:rsidP="00902B5E">
      <w:pPr>
        <w:spacing w:line="276" w:lineRule="auto"/>
        <w:rPr>
          <w:rFonts w:ascii="Arial" w:hAnsi="Arial" w:cs="Arial"/>
          <w:b/>
          <w:sz w:val="20"/>
          <w:szCs w:val="20"/>
          <w:u w:val="single"/>
        </w:rPr>
      </w:pPr>
    </w:p>
    <w:p w14:paraId="50500DFE" w14:textId="48CDB693" w:rsidR="00EB723E" w:rsidRDefault="00EB723E" w:rsidP="00902B5E">
      <w:pPr>
        <w:spacing w:line="276" w:lineRule="auto"/>
        <w:jc w:val="both"/>
        <w:rPr>
          <w:rFonts w:ascii="Arial" w:hAnsi="Arial" w:cs="Arial"/>
          <w:sz w:val="20"/>
          <w:szCs w:val="20"/>
          <w:lang w:val="en-US"/>
        </w:rPr>
      </w:pPr>
      <w:r w:rsidRPr="007A6F23">
        <w:rPr>
          <w:rFonts w:ascii="Arial" w:hAnsi="Arial" w:cs="Arial"/>
          <w:sz w:val="20"/>
          <w:szCs w:val="20"/>
          <w:lang w:val="en-US"/>
        </w:rPr>
        <w:t xml:space="preserve">The minutes were approved as an accurate record. </w:t>
      </w:r>
      <w:r w:rsidRPr="00BF2C76">
        <w:rPr>
          <w:rFonts w:ascii="Arial" w:hAnsi="Arial" w:cs="Arial"/>
          <w:sz w:val="20"/>
          <w:szCs w:val="20"/>
          <w:lang w:val="en-US"/>
        </w:rPr>
        <w:t xml:space="preserve">TJ informed the committee that the actions from the </w:t>
      </w:r>
      <w:r w:rsidR="004437FA" w:rsidRPr="00BF2C76">
        <w:rPr>
          <w:rFonts w:ascii="Arial" w:hAnsi="Arial" w:cs="Arial"/>
          <w:sz w:val="20"/>
          <w:szCs w:val="20"/>
          <w:lang w:val="en-US"/>
        </w:rPr>
        <w:t>last indicator</w:t>
      </w:r>
      <w:r w:rsidRPr="00BF2C76">
        <w:rPr>
          <w:rFonts w:ascii="Arial" w:hAnsi="Arial" w:cs="Arial"/>
          <w:sz w:val="20"/>
          <w:szCs w:val="20"/>
          <w:lang w:val="en-US"/>
        </w:rPr>
        <w:t xml:space="preserve"> meeting</w:t>
      </w:r>
      <w:r w:rsidR="004437FA" w:rsidRPr="00BF2C76">
        <w:rPr>
          <w:rFonts w:ascii="Arial" w:hAnsi="Arial" w:cs="Arial"/>
          <w:sz w:val="20"/>
          <w:szCs w:val="20"/>
          <w:lang w:val="en-US"/>
        </w:rPr>
        <w:t xml:space="preserve"> </w:t>
      </w:r>
      <w:r w:rsidR="003809BC" w:rsidRPr="00BF2C76">
        <w:rPr>
          <w:rFonts w:ascii="Arial" w:hAnsi="Arial" w:cs="Arial"/>
          <w:sz w:val="20"/>
          <w:szCs w:val="20"/>
          <w:lang w:val="en-US"/>
        </w:rPr>
        <w:t xml:space="preserve">in </w:t>
      </w:r>
      <w:r w:rsidR="00A3488A" w:rsidRPr="00BF2C76">
        <w:rPr>
          <w:rFonts w:ascii="Arial" w:hAnsi="Arial" w:cs="Arial"/>
          <w:sz w:val="20"/>
          <w:szCs w:val="20"/>
          <w:lang w:val="en-US"/>
        </w:rPr>
        <w:t>December</w:t>
      </w:r>
      <w:r w:rsidR="003809BC" w:rsidRPr="00BF2C76">
        <w:rPr>
          <w:rFonts w:ascii="Arial" w:hAnsi="Arial" w:cs="Arial"/>
          <w:sz w:val="20"/>
          <w:szCs w:val="20"/>
          <w:lang w:val="en-US"/>
        </w:rPr>
        <w:t xml:space="preserve"> 2019 </w:t>
      </w:r>
      <w:r w:rsidRPr="00BF2C76">
        <w:rPr>
          <w:rFonts w:ascii="Arial" w:hAnsi="Arial" w:cs="Arial"/>
          <w:sz w:val="20"/>
          <w:szCs w:val="20"/>
          <w:lang w:val="en-US"/>
        </w:rPr>
        <w:t>had all been progressed</w:t>
      </w:r>
      <w:r w:rsidR="002E0C54">
        <w:rPr>
          <w:rFonts w:ascii="Arial" w:hAnsi="Arial" w:cs="Arial"/>
          <w:sz w:val="20"/>
          <w:szCs w:val="20"/>
          <w:lang w:val="en-US"/>
        </w:rPr>
        <w:t>.</w:t>
      </w:r>
      <w:r w:rsidR="00BF2C76" w:rsidRPr="00BF2C76">
        <w:rPr>
          <w:rFonts w:ascii="Arial" w:hAnsi="Arial" w:cs="Arial"/>
          <w:sz w:val="20"/>
          <w:szCs w:val="20"/>
          <w:lang w:val="en-US"/>
        </w:rPr>
        <w:t xml:space="preserve"> </w:t>
      </w:r>
      <w:r w:rsidR="003D16F6">
        <w:rPr>
          <w:rFonts w:ascii="Arial" w:hAnsi="Arial" w:cs="Arial"/>
          <w:sz w:val="20"/>
          <w:szCs w:val="20"/>
          <w:lang w:val="en-US"/>
        </w:rPr>
        <w:t xml:space="preserve">TJ noted that the consultation for </w:t>
      </w:r>
      <w:r w:rsidR="00E82349">
        <w:rPr>
          <w:rFonts w:ascii="Arial" w:hAnsi="Arial" w:cs="Arial"/>
          <w:sz w:val="20"/>
          <w:szCs w:val="20"/>
          <w:lang w:val="en-US"/>
        </w:rPr>
        <w:t>myocardial infarction (</w:t>
      </w:r>
      <w:r w:rsidR="003D16F6">
        <w:rPr>
          <w:rFonts w:ascii="Arial" w:hAnsi="Arial" w:cs="Arial"/>
          <w:sz w:val="20"/>
          <w:szCs w:val="20"/>
          <w:lang w:val="en-US"/>
        </w:rPr>
        <w:t>MI</w:t>
      </w:r>
      <w:r w:rsidR="00E82349">
        <w:rPr>
          <w:rFonts w:ascii="Arial" w:hAnsi="Arial" w:cs="Arial"/>
          <w:sz w:val="20"/>
          <w:szCs w:val="20"/>
          <w:lang w:val="en-US"/>
        </w:rPr>
        <w:t>)</w:t>
      </w:r>
      <w:r w:rsidR="003D16F6">
        <w:rPr>
          <w:rFonts w:ascii="Arial" w:hAnsi="Arial" w:cs="Arial"/>
          <w:sz w:val="20"/>
          <w:szCs w:val="20"/>
          <w:lang w:val="en-US"/>
        </w:rPr>
        <w:t xml:space="preserve"> indicators was expected to take place in Autumn 2020.  </w:t>
      </w:r>
      <w:r w:rsidR="00BF2C76" w:rsidRPr="00BF2C76">
        <w:rPr>
          <w:rFonts w:ascii="Arial" w:hAnsi="Arial" w:cs="Arial"/>
          <w:sz w:val="20"/>
          <w:szCs w:val="20"/>
          <w:lang w:val="en-US"/>
        </w:rPr>
        <w:t xml:space="preserve">CDG confirmed that the work of the patient choice sub-group would begin again now that NICE’s work </w:t>
      </w:r>
      <w:proofErr w:type="spellStart"/>
      <w:r w:rsidR="00BF2C76" w:rsidRPr="00BF2C76">
        <w:rPr>
          <w:rFonts w:ascii="Arial" w:hAnsi="Arial" w:cs="Arial"/>
          <w:sz w:val="20"/>
          <w:szCs w:val="20"/>
          <w:lang w:val="en-US"/>
        </w:rPr>
        <w:t>programmes</w:t>
      </w:r>
      <w:proofErr w:type="spellEnd"/>
      <w:r w:rsidR="00BF2C76" w:rsidRPr="00BF2C76">
        <w:rPr>
          <w:rFonts w:ascii="Arial" w:hAnsi="Arial" w:cs="Arial"/>
          <w:sz w:val="20"/>
          <w:szCs w:val="20"/>
          <w:lang w:val="en-US"/>
        </w:rPr>
        <w:t xml:space="preserve"> had been restarted.</w:t>
      </w:r>
    </w:p>
    <w:p w14:paraId="10005AE0" w14:textId="77777777" w:rsidR="00902B5E" w:rsidRPr="00BF2C76" w:rsidRDefault="00902B5E" w:rsidP="00902B5E">
      <w:pPr>
        <w:spacing w:line="276" w:lineRule="auto"/>
        <w:jc w:val="both"/>
        <w:rPr>
          <w:rFonts w:ascii="Arial" w:hAnsi="Arial" w:cs="Arial"/>
          <w:sz w:val="20"/>
          <w:szCs w:val="20"/>
          <w:lang w:val="en-US"/>
        </w:rPr>
      </w:pPr>
    </w:p>
    <w:p w14:paraId="33D1B13D" w14:textId="419A78F5" w:rsidR="00A3488A" w:rsidRDefault="00496FF3" w:rsidP="0093339D">
      <w:pPr>
        <w:pStyle w:val="Heading3"/>
      </w:pPr>
      <w:r w:rsidRPr="003809BC">
        <w:t>Item 4</w:t>
      </w:r>
      <w:r w:rsidR="007A6F23" w:rsidRPr="003809BC">
        <w:t xml:space="preserve"> </w:t>
      </w:r>
      <w:r w:rsidR="00166EB8" w:rsidRPr="003809BC">
        <w:t>–</w:t>
      </w:r>
      <w:r w:rsidRPr="003809BC">
        <w:t xml:space="preserve"> </w:t>
      </w:r>
      <w:r w:rsidR="00A3488A">
        <w:t>NICE and Indicator programme update</w:t>
      </w:r>
    </w:p>
    <w:p w14:paraId="5E1F13C9" w14:textId="77777777" w:rsidR="000B198B" w:rsidRDefault="000B198B" w:rsidP="00902B5E">
      <w:pPr>
        <w:pStyle w:val="Paragraph"/>
        <w:numPr>
          <w:ilvl w:val="0"/>
          <w:numId w:val="0"/>
        </w:numPr>
        <w:spacing w:before="0" w:after="0"/>
        <w:rPr>
          <w:rFonts w:cs="Arial"/>
          <w:b/>
          <w:sz w:val="20"/>
          <w:szCs w:val="20"/>
        </w:rPr>
      </w:pPr>
    </w:p>
    <w:p w14:paraId="16163DD8" w14:textId="02A3B94A" w:rsidR="003D16F6" w:rsidRPr="003D16F6" w:rsidRDefault="003D16F6" w:rsidP="00902B5E">
      <w:pPr>
        <w:pStyle w:val="Paragraph"/>
        <w:numPr>
          <w:ilvl w:val="0"/>
          <w:numId w:val="0"/>
        </w:numPr>
        <w:spacing w:before="0" w:after="0"/>
        <w:rPr>
          <w:rFonts w:cs="Arial"/>
          <w:bCs/>
          <w:sz w:val="20"/>
          <w:szCs w:val="20"/>
        </w:rPr>
      </w:pPr>
      <w:r w:rsidRPr="003D16F6">
        <w:rPr>
          <w:rFonts w:cs="Arial"/>
          <w:bCs/>
          <w:sz w:val="20"/>
          <w:szCs w:val="20"/>
        </w:rPr>
        <w:t>MM gave an update about the work of NICE since the previous meeting.  NICE had supported the NHS</w:t>
      </w:r>
      <w:r w:rsidR="002C51CD">
        <w:rPr>
          <w:rFonts w:cs="Arial"/>
          <w:bCs/>
          <w:sz w:val="20"/>
          <w:szCs w:val="20"/>
        </w:rPr>
        <w:t xml:space="preserve"> and wider care system</w:t>
      </w:r>
      <w:r w:rsidRPr="003D16F6">
        <w:rPr>
          <w:rFonts w:cs="Arial"/>
          <w:bCs/>
          <w:sz w:val="20"/>
          <w:szCs w:val="20"/>
        </w:rPr>
        <w:t xml:space="preserve"> through development of </w:t>
      </w:r>
      <w:r w:rsidR="00CA7417">
        <w:rPr>
          <w:rFonts w:cs="Arial"/>
          <w:bCs/>
          <w:sz w:val="20"/>
          <w:szCs w:val="20"/>
        </w:rPr>
        <w:t>‘</w:t>
      </w:r>
      <w:r w:rsidRPr="003D16F6">
        <w:rPr>
          <w:rFonts w:cs="Arial"/>
          <w:bCs/>
          <w:sz w:val="20"/>
          <w:szCs w:val="20"/>
        </w:rPr>
        <w:t>rapid guidelines</w:t>
      </w:r>
      <w:r w:rsidR="00CA7417">
        <w:rPr>
          <w:rFonts w:cs="Arial"/>
          <w:bCs/>
          <w:sz w:val="20"/>
          <w:szCs w:val="20"/>
        </w:rPr>
        <w:t>’</w:t>
      </w:r>
      <w:r w:rsidRPr="003D16F6">
        <w:rPr>
          <w:rFonts w:cs="Arial"/>
          <w:bCs/>
          <w:sz w:val="20"/>
          <w:szCs w:val="20"/>
        </w:rPr>
        <w:t xml:space="preserve"> relevant to Covid-19.  Some aspects of the indicator development programme had been paused including the piloting of new indicators</w:t>
      </w:r>
      <w:r w:rsidR="002C51CD">
        <w:rPr>
          <w:rFonts w:cs="Arial"/>
          <w:bCs/>
          <w:sz w:val="20"/>
          <w:szCs w:val="20"/>
        </w:rPr>
        <w:t xml:space="preserve"> in general practice.</w:t>
      </w:r>
    </w:p>
    <w:p w14:paraId="51780B84" w14:textId="77777777" w:rsidR="002C51CD" w:rsidRDefault="002C51CD" w:rsidP="00902B5E">
      <w:pPr>
        <w:pStyle w:val="Paragraph"/>
        <w:numPr>
          <w:ilvl w:val="0"/>
          <w:numId w:val="0"/>
        </w:numPr>
        <w:spacing w:before="0" w:after="0"/>
        <w:rPr>
          <w:rFonts w:cs="Arial"/>
          <w:bCs/>
          <w:sz w:val="20"/>
          <w:szCs w:val="20"/>
        </w:rPr>
      </w:pPr>
    </w:p>
    <w:p w14:paraId="2B745D57" w14:textId="4C4B1A28" w:rsidR="00BF2C76" w:rsidRDefault="00BF2C76" w:rsidP="00902B5E">
      <w:pPr>
        <w:pStyle w:val="Paragraph"/>
        <w:numPr>
          <w:ilvl w:val="0"/>
          <w:numId w:val="0"/>
        </w:numPr>
        <w:spacing w:before="0" w:after="0"/>
        <w:rPr>
          <w:rFonts w:cs="Arial"/>
          <w:bCs/>
          <w:sz w:val="20"/>
          <w:szCs w:val="20"/>
        </w:rPr>
      </w:pPr>
      <w:r w:rsidRPr="003D16F6">
        <w:rPr>
          <w:rFonts w:cs="Arial"/>
          <w:bCs/>
          <w:sz w:val="20"/>
          <w:szCs w:val="20"/>
        </w:rPr>
        <w:t xml:space="preserve">AB </w:t>
      </w:r>
      <w:r w:rsidR="00184474">
        <w:rPr>
          <w:rFonts w:cs="Arial"/>
          <w:bCs/>
          <w:sz w:val="20"/>
          <w:szCs w:val="20"/>
        </w:rPr>
        <w:t xml:space="preserve">noted that it would be useful to have a covering report for each agenda item detailing what decisions are required and available to the committee, with a brief history provided. </w:t>
      </w:r>
    </w:p>
    <w:p w14:paraId="6350DB30" w14:textId="77777777" w:rsidR="000B198B" w:rsidRDefault="000B198B" w:rsidP="00902B5E">
      <w:pPr>
        <w:pStyle w:val="Paragraph"/>
        <w:numPr>
          <w:ilvl w:val="0"/>
          <w:numId w:val="0"/>
        </w:numPr>
        <w:spacing w:before="0" w:after="0"/>
        <w:rPr>
          <w:rFonts w:cs="Arial"/>
          <w:bCs/>
          <w:sz w:val="20"/>
          <w:szCs w:val="20"/>
        </w:rPr>
      </w:pPr>
    </w:p>
    <w:p w14:paraId="37A7F7C4" w14:textId="78AB09F4" w:rsidR="00BF2C76" w:rsidRDefault="00BF2C76" w:rsidP="00902B5E">
      <w:pPr>
        <w:pStyle w:val="Paragraph"/>
        <w:numPr>
          <w:ilvl w:val="0"/>
          <w:numId w:val="0"/>
        </w:numPr>
        <w:spacing w:before="0" w:after="0"/>
        <w:rPr>
          <w:rFonts w:cs="Arial"/>
          <w:bCs/>
          <w:kern w:val="32"/>
          <w:sz w:val="20"/>
          <w:szCs w:val="20"/>
        </w:rPr>
      </w:pPr>
      <w:r w:rsidRPr="00643F80">
        <w:rPr>
          <w:rFonts w:cs="Arial"/>
          <w:b/>
          <w:sz w:val="20"/>
          <w:szCs w:val="20"/>
        </w:rPr>
        <w:t>Action:</w:t>
      </w:r>
      <w:r>
        <w:rPr>
          <w:rFonts w:cs="Arial"/>
          <w:b/>
          <w:sz w:val="20"/>
          <w:szCs w:val="20"/>
        </w:rPr>
        <w:t xml:space="preserve"> </w:t>
      </w:r>
      <w:r w:rsidRPr="00643F80">
        <w:rPr>
          <w:rFonts w:cs="Arial"/>
          <w:bCs/>
          <w:sz w:val="20"/>
          <w:szCs w:val="20"/>
        </w:rPr>
        <w:t xml:space="preserve">NICE </w:t>
      </w:r>
      <w:r>
        <w:rPr>
          <w:rFonts w:cs="Arial"/>
          <w:bCs/>
          <w:kern w:val="32"/>
          <w:sz w:val="20"/>
          <w:szCs w:val="20"/>
        </w:rPr>
        <w:t>team to review technical content of committee papers.</w:t>
      </w:r>
    </w:p>
    <w:p w14:paraId="54A9D9E3" w14:textId="77777777" w:rsidR="00902B5E" w:rsidRPr="00BF2C76" w:rsidRDefault="00902B5E" w:rsidP="00902B5E">
      <w:pPr>
        <w:pStyle w:val="Paragraph"/>
        <w:numPr>
          <w:ilvl w:val="0"/>
          <w:numId w:val="0"/>
        </w:numPr>
        <w:spacing w:before="0" w:after="0"/>
        <w:rPr>
          <w:rFonts w:cs="Arial"/>
          <w:bCs/>
          <w:kern w:val="32"/>
          <w:sz w:val="20"/>
          <w:szCs w:val="20"/>
        </w:rPr>
      </w:pPr>
    </w:p>
    <w:p w14:paraId="1687E5E9" w14:textId="2FF5BED8" w:rsidR="00BD70A5" w:rsidRDefault="00BD70A5" w:rsidP="0093339D">
      <w:pPr>
        <w:pStyle w:val="Heading3"/>
      </w:pPr>
      <w:r w:rsidRPr="003809BC">
        <w:t xml:space="preserve">Item </w:t>
      </w:r>
      <w:r w:rsidR="00A3488A">
        <w:t xml:space="preserve">5 – Development of indicators 20/21 </w:t>
      </w:r>
    </w:p>
    <w:p w14:paraId="01A7285C" w14:textId="77777777" w:rsidR="000B198B" w:rsidRPr="003809BC" w:rsidRDefault="000B198B" w:rsidP="00902B5E">
      <w:pPr>
        <w:pStyle w:val="Paragraph"/>
        <w:numPr>
          <w:ilvl w:val="0"/>
          <w:numId w:val="0"/>
        </w:numPr>
        <w:spacing w:before="0" w:after="0"/>
        <w:rPr>
          <w:rFonts w:cs="Arial"/>
          <w:b/>
          <w:bCs/>
          <w:kern w:val="32"/>
          <w:sz w:val="20"/>
          <w:szCs w:val="20"/>
        </w:rPr>
      </w:pPr>
    </w:p>
    <w:p w14:paraId="07790991" w14:textId="77777777" w:rsidR="006876E6" w:rsidRDefault="00A3488A" w:rsidP="00902B5E">
      <w:pPr>
        <w:spacing w:line="276" w:lineRule="auto"/>
        <w:rPr>
          <w:rFonts w:ascii="Arial" w:hAnsi="Arial" w:cs="Arial"/>
          <w:bCs/>
          <w:sz w:val="20"/>
          <w:szCs w:val="20"/>
        </w:rPr>
      </w:pPr>
      <w:r>
        <w:rPr>
          <w:rFonts w:ascii="Arial" w:hAnsi="Arial" w:cs="Arial"/>
          <w:bCs/>
          <w:sz w:val="20"/>
          <w:szCs w:val="20"/>
        </w:rPr>
        <w:t>CF and DS updated the committee on the development work on draft indicators for vaccination</w:t>
      </w:r>
      <w:r w:rsidR="0034595F">
        <w:rPr>
          <w:rFonts w:ascii="Arial" w:hAnsi="Arial" w:cs="Arial"/>
          <w:bCs/>
          <w:sz w:val="20"/>
          <w:szCs w:val="20"/>
        </w:rPr>
        <w:t>s</w:t>
      </w:r>
      <w:r>
        <w:rPr>
          <w:rFonts w:ascii="Arial" w:hAnsi="Arial" w:cs="Arial"/>
          <w:bCs/>
          <w:sz w:val="20"/>
          <w:szCs w:val="20"/>
        </w:rPr>
        <w:t xml:space="preserve"> and immunisation, obesity, and cancer.</w:t>
      </w:r>
      <w:r w:rsidR="0034595F">
        <w:rPr>
          <w:rFonts w:ascii="Arial" w:hAnsi="Arial" w:cs="Arial"/>
          <w:bCs/>
          <w:sz w:val="20"/>
          <w:szCs w:val="20"/>
        </w:rPr>
        <w:t xml:space="preserve"> </w:t>
      </w:r>
    </w:p>
    <w:p w14:paraId="02E9389A" w14:textId="77777777" w:rsidR="006876E6" w:rsidRDefault="006876E6" w:rsidP="00902B5E">
      <w:pPr>
        <w:spacing w:line="276" w:lineRule="auto"/>
        <w:rPr>
          <w:rFonts w:ascii="Arial" w:hAnsi="Arial" w:cs="Arial"/>
          <w:bCs/>
          <w:sz w:val="20"/>
          <w:szCs w:val="20"/>
        </w:rPr>
      </w:pPr>
    </w:p>
    <w:p w14:paraId="4188465D" w14:textId="26D469B9" w:rsidR="006876E6" w:rsidRDefault="00A3488A" w:rsidP="00902B5E">
      <w:pPr>
        <w:spacing w:line="276" w:lineRule="auto"/>
        <w:rPr>
          <w:rFonts w:ascii="Arial" w:hAnsi="Arial" w:cs="Arial"/>
          <w:bCs/>
          <w:sz w:val="20"/>
          <w:szCs w:val="20"/>
        </w:rPr>
      </w:pPr>
      <w:r>
        <w:rPr>
          <w:rFonts w:ascii="Arial" w:hAnsi="Arial" w:cs="Arial"/>
          <w:bCs/>
          <w:sz w:val="20"/>
          <w:szCs w:val="20"/>
        </w:rPr>
        <w:t>The committee</w:t>
      </w:r>
      <w:r w:rsidR="00087737">
        <w:rPr>
          <w:rFonts w:ascii="Arial" w:hAnsi="Arial" w:cs="Arial"/>
          <w:bCs/>
          <w:sz w:val="20"/>
          <w:szCs w:val="20"/>
        </w:rPr>
        <w:t xml:space="preserve"> was made aware of the validity assessments for the three topics and the key points from these were included in the </w:t>
      </w:r>
      <w:proofErr w:type="spellStart"/>
      <w:r w:rsidR="00087737">
        <w:rPr>
          <w:rFonts w:ascii="Arial" w:hAnsi="Arial" w:cs="Arial"/>
          <w:bCs/>
          <w:sz w:val="20"/>
          <w:szCs w:val="20"/>
        </w:rPr>
        <w:t>slideset</w:t>
      </w:r>
      <w:proofErr w:type="spellEnd"/>
      <w:r w:rsidR="00087737">
        <w:rPr>
          <w:rFonts w:ascii="Arial" w:hAnsi="Arial" w:cs="Arial"/>
          <w:bCs/>
          <w:sz w:val="20"/>
          <w:szCs w:val="20"/>
        </w:rPr>
        <w:t xml:space="preserve"> for discussion.  The committee</w:t>
      </w:r>
      <w:r>
        <w:rPr>
          <w:rFonts w:ascii="Arial" w:hAnsi="Arial" w:cs="Arial"/>
          <w:bCs/>
          <w:sz w:val="20"/>
          <w:szCs w:val="20"/>
        </w:rPr>
        <w:t xml:space="preserve"> discussed the relevant risks and issues of each draft indicator.</w:t>
      </w:r>
      <w:r w:rsidR="006876E6">
        <w:rPr>
          <w:rFonts w:ascii="Arial" w:hAnsi="Arial" w:cs="Arial"/>
          <w:bCs/>
          <w:sz w:val="20"/>
          <w:szCs w:val="20"/>
        </w:rPr>
        <w:t xml:space="preserve"> The committee were asked to consider each indicator and make one of the following recommendations:</w:t>
      </w:r>
    </w:p>
    <w:p w14:paraId="1BA16E08" w14:textId="77777777" w:rsidR="002C51CD" w:rsidRDefault="002C51CD" w:rsidP="00902B5E">
      <w:pPr>
        <w:spacing w:line="276" w:lineRule="auto"/>
        <w:rPr>
          <w:rFonts w:ascii="Arial" w:hAnsi="Arial" w:cs="Arial"/>
          <w:bCs/>
          <w:sz w:val="20"/>
          <w:szCs w:val="20"/>
        </w:rPr>
      </w:pPr>
    </w:p>
    <w:p w14:paraId="4F696DA1" w14:textId="0752E6EE" w:rsidR="006876E6" w:rsidRPr="006876E6" w:rsidRDefault="006876E6" w:rsidP="00102F48">
      <w:pPr>
        <w:pStyle w:val="ListParagraph"/>
        <w:numPr>
          <w:ilvl w:val="0"/>
          <w:numId w:val="6"/>
        </w:numPr>
        <w:spacing w:line="276" w:lineRule="auto"/>
        <w:rPr>
          <w:rFonts w:ascii="Arial" w:hAnsi="Arial" w:cs="Arial"/>
          <w:bCs/>
          <w:sz w:val="20"/>
          <w:szCs w:val="20"/>
        </w:rPr>
      </w:pPr>
      <w:r w:rsidRPr="006876E6">
        <w:rPr>
          <w:rFonts w:ascii="Arial" w:hAnsi="Arial" w:cs="Arial"/>
          <w:bCs/>
          <w:sz w:val="20"/>
          <w:szCs w:val="20"/>
        </w:rPr>
        <w:t>Recommend progress to NICE menu</w:t>
      </w:r>
    </w:p>
    <w:p w14:paraId="1A9F89F7" w14:textId="77777777" w:rsidR="006876E6" w:rsidRPr="006876E6" w:rsidRDefault="006876E6" w:rsidP="00102F48">
      <w:pPr>
        <w:pStyle w:val="ListParagraph"/>
        <w:numPr>
          <w:ilvl w:val="0"/>
          <w:numId w:val="6"/>
        </w:numPr>
        <w:spacing w:line="276" w:lineRule="auto"/>
        <w:rPr>
          <w:rFonts w:ascii="Arial" w:hAnsi="Arial" w:cs="Arial"/>
          <w:bCs/>
          <w:sz w:val="20"/>
          <w:szCs w:val="20"/>
        </w:rPr>
      </w:pPr>
      <w:r w:rsidRPr="006876E6">
        <w:rPr>
          <w:rFonts w:ascii="Arial" w:hAnsi="Arial" w:cs="Arial"/>
          <w:bCs/>
          <w:sz w:val="20"/>
          <w:szCs w:val="20"/>
        </w:rPr>
        <w:t>Recommend progress to NICE menu but with caveats</w:t>
      </w:r>
    </w:p>
    <w:p w14:paraId="757C7F5A" w14:textId="77777777" w:rsidR="006876E6" w:rsidRPr="006876E6" w:rsidRDefault="006876E6" w:rsidP="00102F48">
      <w:pPr>
        <w:pStyle w:val="ListParagraph"/>
        <w:numPr>
          <w:ilvl w:val="1"/>
          <w:numId w:val="6"/>
        </w:numPr>
        <w:spacing w:line="276" w:lineRule="auto"/>
        <w:rPr>
          <w:rFonts w:ascii="Arial" w:hAnsi="Arial" w:cs="Arial"/>
          <w:bCs/>
          <w:sz w:val="20"/>
          <w:szCs w:val="20"/>
        </w:rPr>
      </w:pPr>
      <w:r w:rsidRPr="006876E6">
        <w:rPr>
          <w:rFonts w:ascii="Arial" w:hAnsi="Arial" w:cs="Arial"/>
          <w:bCs/>
          <w:sz w:val="20"/>
          <w:szCs w:val="20"/>
        </w:rPr>
        <w:t>Potential (but straightforward) issues with data</w:t>
      </w:r>
    </w:p>
    <w:p w14:paraId="442E897E" w14:textId="77777777" w:rsidR="006876E6" w:rsidRPr="006876E6" w:rsidRDefault="006876E6" w:rsidP="00102F48">
      <w:pPr>
        <w:pStyle w:val="ListParagraph"/>
        <w:numPr>
          <w:ilvl w:val="1"/>
          <w:numId w:val="6"/>
        </w:numPr>
        <w:spacing w:line="276" w:lineRule="auto"/>
        <w:rPr>
          <w:rFonts w:ascii="Arial" w:hAnsi="Arial" w:cs="Arial"/>
          <w:bCs/>
          <w:sz w:val="20"/>
          <w:szCs w:val="20"/>
        </w:rPr>
      </w:pPr>
      <w:r w:rsidRPr="006876E6">
        <w:rPr>
          <w:rFonts w:ascii="Arial" w:hAnsi="Arial" w:cs="Arial"/>
          <w:bCs/>
          <w:sz w:val="20"/>
          <w:szCs w:val="20"/>
        </w:rPr>
        <w:t>Service capacity issues that need to be flagged</w:t>
      </w:r>
    </w:p>
    <w:p w14:paraId="485D92E5" w14:textId="77777777" w:rsidR="006876E6" w:rsidRPr="006876E6" w:rsidRDefault="006876E6" w:rsidP="00102F48">
      <w:pPr>
        <w:pStyle w:val="ListParagraph"/>
        <w:numPr>
          <w:ilvl w:val="0"/>
          <w:numId w:val="6"/>
        </w:numPr>
        <w:spacing w:line="276" w:lineRule="auto"/>
        <w:rPr>
          <w:rFonts w:ascii="Arial" w:hAnsi="Arial" w:cs="Arial"/>
          <w:bCs/>
          <w:sz w:val="20"/>
          <w:szCs w:val="20"/>
        </w:rPr>
      </w:pPr>
      <w:r w:rsidRPr="006876E6">
        <w:rPr>
          <w:rFonts w:ascii="Arial" w:hAnsi="Arial" w:cs="Arial"/>
          <w:bCs/>
          <w:sz w:val="20"/>
          <w:szCs w:val="20"/>
        </w:rPr>
        <w:t xml:space="preserve">Recommend that further work is required </w:t>
      </w:r>
    </w:p>
    <w:p w14:paraId="48D93927" w14:textId="77777777" w:rsidR="006876E6" w:rsidRPr="006876E6" w:rsidRDefault="006876E6" w:rsidP="00102F48">
      <w:pPr>
        <w:pStyle w:val="ListParagraph"/>
        <w:numPr>
          <w:ilvl w:val="1"/>
          <w:numId w:val="6"/>
        </w:numPr>
        <w:spacing w:line="276" w:lineRule="auto"/>
        <w:rPr>
          <w:rFonts w:ascii="Arial" w:hAnsi="Arial" w:cs="Arial"/>
          <w:bCs/>
          <w:sz w:val="20"/>
          <w:szCs w:val="20"/>
        </w:rPr>
      </w:pPr>
      <w:r w:rsidRPr="006876E6">
        <w:rPr>
          <w:rFonts w:ascii="Arial" w:hAnsi="Arial" w:cs="Arial"/>
          <w:bCs/>
          <w:sz w:val="20"/>
          <w:szCs w:val="20"/>
        </w:rPr>
        <w:t>Strong indicator but issues that need further work</w:t>
      </w:r>
    </w:p>
    <w:p w14:paraId="50725E77" w14:textId="77777777" w:rsidR="006876E6" w:rsidRPr="006876E6" w:rsidRDefault="006876E6" w:rsidP="00102F48">
      <w:pPr>
        <w:pStyle w:val="ListParagraph"/>
        <w:numPr>
          <w:ilvl w:val="0"/>
          <w:numId w:val="6"/>
        </w:numPr>
        <w:spacing w:line="276" w:lineRule="auto"/>
        <w:rPr>
          <w:rFonts w:ascii="Arial" w:hAnsi="Arial" w:cs="Arial"/>
          <w:bCs/>
          <w:sz w:val="20"/>
          <w:szCs w:val="20"/>
        </w:rPr>
      </w:pPr>
      <w:r w:rsidRPr="006876E6">
        <w:rPr>
          <w:rFonts w:ascii="Arial" w:hAnsi="Arial" w:cs="Arial"/>
          <w:bCs/>
          <w:sz w:val="20"/>
          <w:szCs w:val="20"/>
        </w:rPr>
        <w:lastRenderedPageBreak/>
        <w:t xml:space="preserve">Recommend that development work is stopped </w:t>
      </w:r>
    </w:p>
    <w:p w14:paraId="0ABFCD1E" w14:textId="657E009F" w:rsidR="006876E6" w:rsidRDefault="006876E6" w:rsidP="00902B5E">
      <w:pPr>
        <w:spacing w:line="276" w:lineRule="auto"/>
        <w:rPr>
          <w:rFonts w:ascii="Arial" w:hAnsi="Arial" w:cs="Arial"/>
          <w:bCs/>
          <w:sz w:val="20"/>
          <w:szCs w:val="20"/>
        </w:rPr>
      </w:pPr>
    </w:p>
    <w:p w14:paraId="2DEAB731" w14:textId="04C3F444" w:rsidR="006876E6" w:rsidRDefault="006876E6" w:rsidP="0093339D">
      <w:pPr>
        <w:pStyle w:val="Heading4"/>
      </w:pPr>
      <w:r>
        <w:t>Vaccinations and immunisations</w:t>
      </w:r>
    </w:p>
    <w:p w14:paraId="6C7E99F0" w14:textId="77777777" w:rsidR="000B198B" w:rsidRDefault="000B198B" w:rsidP="00902B5E">
      <w:pPr>
        <w:spacing w:line="276" w:lineRule="auto"/>
        <w:rPr>
          <w:rFonts w:ascii="Arial" w:hAnsi="Arial" w:cs="Arial"/>
          <w:bCs/>
          <w:sz w:val="20"/>
          <w:szCs w:val="20"/>
        </w:rPr>
      </w:pPr>
    </w:p>
    <w:p w14:paraId="46061B6C" w14:textId="60DBE493" w:rsidR="00D47053" w:rsidRDefault="006876E6" w:rsidP="00902B5E">
      <w:pPr>
        <w:spacing w:line="276" w:lineRule="auto"/>
        <w:rPr>
          <w:rFonts w:ascii="Arial" w:hAnsi="Arial" w:cs="Arial"/>
          <w:bCs/>
          <w:sz w:val="20"/>
          <w:szCs w:val="20"/>
        </w:rPr>
      </w:pPr>
      <w:r>
        <w:rPr>
          <w:rFonts w:ascii="Arial" w:hAnsi="Arial" w:cs="Arial"/>
          <w:bCs/>
          <w:sz w:val="20"/>
          <w:szCs w:val="20"/>
        </w:rPr>
        <w:t>CF</w:t>
      </w:r>
      <w:r w:rsidRPr="006876E6">
        <w:rPr>
          <w:rFonts w:ascii="Arial" w:hAnsi="Arial" w:cs="Arial"/>
          <w:bCs/>
          <w:sz w:val="20"/>
          <w:szCs w:val="20"/>
        </w:rPr>
        <w:t xml:space="preserve"> presented a summary of the stakeholder consultation feedback for the draft </w:t>
      </w:r>
      <w:r>
        <w:rPr>
          <w:rFonts w:ascii="Arial" w:hAnsi="Arial" w:cs="Arial"/>
          <w:bCs/>
          <w:sz w:val="20"/>
          <w:szCs w:val="20"/>
        </w:rPr>
        <w:t>vaccinations and immunisations</w:t>
      </w:r>
      <w:r w:rsidRPr="006876E6">
        <w:rPr>
          <w:rFonts w:ascii="Arial" w:hAnsi="Arial" w:cs="Arial"/>
          <w:bCs/>
          <w:sz w:val="20"/>
          <w:szCs w:val="20"/>
        </w:rPr>
        <w:t xml:space="preserve"> indicators</w:t>
      </w:r>
      <w:r>
        <w:rPr>
          <w:rFonts w:ascii="Arial" w:hAnsi="Arial" w:cs="Arial"/>
          <w:bCs/>
          <w:sz w:val="20"/>
          <w:szCs w:val="20"/>
        </w:rPr>
        <w:t xml:space="preserve">, informing the committee that the draft indicators had generally been welcomed by </w:t>
      </w:r>
      <w:r w:rsidR="007E7BB1">
        <w:rPr>
          <w:rFonts w:ascii="Arial" w:hAnsi="Arial" w:cs="Arial"/>
          <w:bCs/>
          <w:sz w:val="20"/>
          <w:szCs w:val="20"/>
        </w:rPr>
        <w:t>stakeholders,</w:t>
      </w:r>
      <w:r>
        <w:rPr>
          <w:rFonts w:ascii="Arial" w:hAnsi="Arial" w:cs="Arial"/>
          <w:bCs/>
          <w:sz w:val="20"/>
          <w:szCs w:val="20"/>
        </w:rPr>
        <w:t xml:space="preserve"> but the following cross-cutting issues had been identified:</w:t>
      </w:r>
    </w:p>
    <w:p w14:paraId="050D0507" w14:textId="77777777" w:rsidR="00833E21" w:rsidRPr="00833E21" w:rsidRDefault="00833E21" w:rsidP="00102F48">
      <w:pPr>
        <w:pStyle w:val="ListParagraph"/>
        <w:numPr>
          <w:ilvl w:val="0"/>
          <w:numId w:val="6"/>
        </w:numPr>
        <w:spacing w:line="276" w:lineRule="auto"/>
        <w:rPr>
          <w:rFonts w:ascii="Arial" w:hAnsi="Arial" w:cs="Arial"/>
          <w:bCs/>
          <w:sz w:val="20"/>
          <w:szCs w:val="20"/>
        </w:rPr>
      </w:pPr>
      <w:r w:rsidRPr="00833E21">
        <w:rPr>
          <w:rFonts w:ascii="Arial" w:hAnsi="Arial" w:cs="Arial"/>
          <w:bCs/>
          <w:sz w:val="20"/>
          <w:szCs w:val="20"/>
        </w:rPr>
        <w:t>Factors beyond the control of primary care practitioners:</w:t>
      </w:r>
    </w:p>
    <w:p w14:paraId="5F86A09A" w14:textId="77777777" w:rsidR="00833E21" w:rsidRPr="00833E21" w:rsidRDefault="00833E21" w:rsidP="00102F48">
      <w:pPr>
        <w:pStyle w:val="ListParagraph"/>
        <w:numPr>
          <w:ilvl w:val="1"/>
          <w:numId w:val="6"/>
        </w:numPr>
        <w:spacing w:line="276" w:lineRule="auto"/>
        <w:rPr>
          <w:rFonts w:ascii="Arial" w:hAnsi="Arial" w:cs="Arial"/>
          <w:bCs/>
          <w:sz w:val="20"/>
          <w:szCs w:val="20"/>
        </w:rPr>
      </w:pPr>
      <w:r w:rsidRPr="00833E21">
        <w:rPr>
          <w:rFonts w:ascii="Arial" w:hAnsi="Arial" w:cs="Arial"/>
          <w:bCs/>
          <w:sz w:val="20"/>
          <w:szCs w:val="20"/>
        </w:rPr>
        <w:t>Personalised care adjustments for those who opt out</w:t>
      </w:r>
    </w:p>
    <w:p w14:paraId="4ACC2397" w14:textId="77777777" w:rsidR="00833E21" w:rsidRPr="00833E21" w:rsidRDefault="00833E21" w:rsidP="00102F48">
      <w:pPr>
        <w:pStyle w:val="ListParagraph"/>
        <w:numPr>
          <w:ilvl w:val="1"/>
          <w:numId w:val="6"/>
        </w:numPr>
        <w:spacing w:line="276" w:lineRule="auto"/>
        <w:rPr>
          <w:rFonts w:ascii="Arial" w:hAnsi="Arial" w:cs="Arial"/>
          <w:bCs/>
          <w:sz w:val="20"/>
          <w:szCs w:val="20"/>
        </w:rPr>
      </w:pPr>
      <w:r w:rsidRPr="00833E21">
        <w:rPr>
          <w:rFonts w:ascii="Arial" w:hAnsi="Arial" w:cs="Arial"/>
          <w:bCs/>
          <w:sz w:val="20"/>
          <w:szCs w:val="20"/>
        </w:rPr>
        <w:t>Possibility for unintended consequences in those practices with ‘harder to reach’ populations</w:t>
      </w:r>
    </w:p>
    <w:p w14:paraId="08D6498C" w14:textId="77777777" w:rsidR="00833E21" w:rsidRPr="00833E21" w:rsidRDefault="00833E21" w:rsidP="00102F48">
      <w:pPr>
        <w:pStyle w:val="ListParagraph"/>
        <w:numPr>
          <w:ilvl w:val="0"/>
          <w:numId w:val="6"/>
        </w:numPr>
        <w:spacing w:line="276" w:lineRule="auto"/>
        <w:rPr>
          <w:rFonts w:ascii="Arial" w:hAnsi="Arial" w:cs="Arial"/>
          <w:bCs/>
          <w:sz w:val="20"/>
          <w:szCs w:val="20"/>
        </w:rPr>
      </w:pPr>
      <w:r w:rsidRPr="00833E21">
        <w:rPr>
          <w:rFonts w:ascii="Arial" w:hAnsi="Arial" w:cs="Arial"/>
          <w:bCs/>
          <w:sz w:val="20"/>
          <w:szCs w:val="20"/>
        </w:rPr>
        <w:t>Barriers to implementation:</w:t>
      </w:r>
    </w:p>
    <w:p w14:paraId="1FD04612" w14:textId="77777777" w:rsidR="00833E21" w:rsidRPr="00833E21" w:rsidRDefault="00833E21" w:rsidP="00102F48">
      <w:pPr>
        <w:pStyle w:val="ListParagraph"/>
        <w:numPr>
          <w:ilvl w:val="1"/>
          <w:numId w:val="6"/>
        </w:numPr>
        <w:spacing w:line="276" w:lineRule="auto"/>
        <w:rPr>
          <w:rFonts w:ascii="Arial" w:hAnsi="Arial" w:cs="Arial"/>
          <w:bCs/>
          <w:sz w:val="20"/>
          <w:szCs w:val="20"/>
        </w:rPr>
      </w:pPr>
      <w:r w:rsidRPr="00833E21">
        <w:rPr>
          <w:rFonts w:ascii="Arial" w:hAnsi="Arial" w:cs="Arial"/>
          <w:bCs/>
          <w:sz w:val="20"/>
          <w:szCs w:val="20"/>
        </w:rPr>
        <w:t>Health inequality</w:t>
      </w:r>
    </w:p>
    <w:p w14:paraId="141CDB96" w14:textId="77777777" w:rsidR="00833E21" w:rsidRPr="00833E21" w:rsidRDefault="00833E21" w:rsidP="00102F48">
      <w:pPr>
        <w:pStyle w:val="ListParagraph"/>
        <w:numPr>
          <w:ilvl w:val="1"/>
          <w:numId w:val="6"/>
        </w:numPr>
        <w:spacing w:line="276" w:lineRule="auto"/>
        <w:rPr>
          <w:rFonts w:ascii="Arial" w:hAnsi="Arial" w:cs="Arial"/>
          <w:bCs/>
          <w:sz w:val="20"/>
          <w:szCs w:val="20"/>
        </w:rPr>
      </w:pPr>
      <w:r w:rsidRPr="00833E21">
        <w:rPr>
          <w:rFonts w:ascii="Arial" w:hAnsi="Arial" w:cs="Arial"/>
          <w:bCs/>
          <w:sz w:val="20"/>
          <w:szCs w:val="20"/>
        </w:rPr>
        <w:t xml:space="preserve">Engaging with </w:t>
      </w:r>
      <w:proofErr w:type="gramStart"/>
      <w:r w:rsidRPr="00833E21">
        <w:rPr>
          <w:rFonts w:ascii="Arial" w:hAnsi="Arial" w:cs="Arial"/>
          <w:bCs/>
          <w:sz w:val="20"/>
          <w:szCs w:val="20"/>
        </w:rPr>
        <w:t>hard to reach</w:t>
      </w:r>
      <w:proofErr w:type="gramEnd"/>
      <w:r w:rsidRPr="00833E21">
        <w:rPr>
          <w:rFonts w:ascii="Arial" w:hAnsi="Arial" w:cs="Arial"/>
          <w:bCs/>
          <w:sz w:val="20"/>
          <w:szCs w:val="20"/>
        </w:rPr>
        <w:t xml:space="preserve"> groups</w:t>
      </w:r>
    </w:p>
    <w:p w14:paraId="3220C210" w14:textId="77777777" w:rsidR="00833E21" w:rsidRPr="00833E21" w:rsidRDefault="00833E21" w:rsidP="00102F48">
      <w:pPr>
        <w:pStyle w:val="ListParagraph"/>
        <w:numPr>
          <w:ilvl w:val="1"/>
          <w:numId w:val="6"/>
        </w:numPr>
        <w:spacing w:line="276" w:lineRule="auto"/>
        <w:rPr>
          <w:rFonts w:ascii="Arial" w:hAnsi="Arial" w:cs="Arial"/>
          <w:bCs/>
          <w:sz w:val="20"/>
          <w:szCs w:val="20"/>
        </w:rPr>
      </w:pPr>
      <w:r w:rsidRPr="00833E21">
        <w:rPr>
          <w:rFonts w:ascii="Arial" w:hAnsi="Arial" w:cs="Arial"/>
          <w:bCs/>
          <w:sz w:val="20"/>
          <w:szCs w:val="20"/>
        </w:rPr>
        <w:t>Education and information – social media, language barriers</w:t>
      </w:r>
    </w:p>
    <w:p w14:paraId="09D95FBA" w14:textId="1DBD794B" w:rsidR="006876E6" w:rsidRPr="00093164" w:rsidRDefault="00833E21" w:rsidP="00102F48">
      <w:pPr>
        <w:pStyle w:val="ListParagraph"/>
        <w:numPr>
          <w:ilvl w:val="0"/>
          <w:numId w:val="6"/>
        </w:numPr>
        <w:spacing w:line="276" w:lineRule="auto"/>
        <w:rPr>
          <w:rFonts w:ascii="Arial" w:hAnsi="Arial" w:cs="Arial"/>
          <w:bCs/>
          <w:sz w:val="20"/>
          <w:szCs w:val="20"/>
        </w:rPr>
      </w:pPr>
      <w:r w:rsidRPr="00093164">
        <w:rPr>
          <w:rFonts w:ascii="Arial" w:hAnsi="Arial" w:cs="Arial"/>
          <w:bCs/>
          <w:sz w:val="20"/>
          <w:szCs w:val="20"/>
        </w:rPr>
        <w:t xml:space="preserve">Complexity of the current system for vaccinations including funding, procurement and data </w:t>
      </w:r>
      <w:proofErr w:type="gramStart"/>
      <w:r w:rsidRPr="00093164">
        <w:rPr>
          <w:rFonts w:ascii="Arial" w:hAnsi="Arial" w:cs="Arial"/>
          <w:bCs/>
          <w:sz w:val="20"/>
          <w:szCs w:val="20"/>
        </w:rPr>
        <w:t>reporting</w:t>
      </w:r>
      <w:proofErr w:type="gramEnd"/>
    </w:p>
    <w:p w14:paraId="048D2466" w14:textId="77777777" w:rsidR="00833E21" w:rsidRPr="00833E21" w:rsidRDefault="00833E21" w:rsidP="00102F48">
      <w:pPr>
        <w:pStyle w:val="ListParagraph"/>
        <w:numPr>
          <w:ilvl w:val="0"/>
          <w:numId w:val="6"/>
        </w:numPr>
        <w:spacing w:line="276" w:lineRule="auto"/>
        <w:rPr>
          <w:rFonts w:ascii="Arial" w:hAnsi="Arial" w:cs="Arial"/>
          <w:bCs/>
          <w:sz w:val="20"/>
          <w:szCs w:val="20"/>
        </w:rPr>
      </w:pPr>
      <w:r w:rsidRPr="00833E21">
        <w:rPr>
          <w:rFonts w:ascii="Arial" w:hAnsi="Arial" w:cs="Arial"/>
          <w:bCs/>
          <w:sz w:val="20"/>
          <w:szCs w:val="20"/>
        </w:rPr>
        <w:t>Feasibility testing noted lack of specific contraindication codes</w:t>
      </w:r>
    </w:p>
    <w:p w14:paraId="50A666BB" w14:textId="77777777" w:rsidR="00833E21" w:rsidRPr="00833E21" w:rsidRDefault="00833E21" w:rsidP="00102F48">
      <w:pPr>
        <w:pStyle w:val="ListParagraph"/>
        <w:numPr>
          <w:ilvl w:val="0"/>
          <w:numId w:val="6"/>
        </w:numPr>
        <w:spacing w:line="276" w:lineRule="auto"/>
        <w:rPr>
          <w:rFonts w:ascii="Arial" w:hAnsi="Arial" w:cs="Arial"/>
          <w:bCs/>
          <w:sz w:val="20"/>
          <w:szCs w:val="20"/>
        </w:rPr>
      </w:pPr>
      <w:r w:rsidRPr="00833E21">
        <w:rPr>
          <w:rFonts w:ascii="Arial" w:hAnsi="Arial" w:cs="Arial"/>
          <w:bCs/>
          <w:sz w:val="20"/>
          <w:szCs w:val="20"/>
        </w:rPr>
        <w:t>Age selected for measurement of achievement in proposed indicators, and misalignment with the routine immunisation schedule</w:t>
      </w:r>
    </w:p>
    <w:p w14:paraId="709F079E" w14:textId="77777777" w:rsidR="00535BB5" w:rsidRDefault="00535BB5" w:rsidP="00902B5E">
      <w:pPr>
        <w:spacing w:line="276" w:lineRule="auto"/>
        <w:rPr>
          <w:rFonts w:ascii="Arial" w:hAnsi="Arial" w:cs="Arial"/>
          <w:bCs/>
          <w:sz w:val="20"/>
          <w:szCs w:val="20"/>
        </w:rPr>
      </w:pPr>
    </w:p>
    <w:p w14:paraId="6F4F571B" w14:textId="61FAE138" w:rsidR="006876E6" w:rsidRDefault="006876E6" w:rsidP="00902B5E">
      <w:pPr>
        <w:spacing w:line="276" w:lineRule="auto"/>
        <w:rPr>
          <w:rFonts w:ascii="Arial" w:hAnsi="Arial" w:cs="Arial"/>
          <w:bCs/>
          <w:sz w:val="20"/>
          <w:szCs w:val="20"/>
        </w:rPr>
      </w:pPr>
      <w:r w:rsidRPr="00535BB5">
        <w:rPr>
          <w:rFonts w:ascii="Arial" w:hAnsi="Arial" w:cs="Arial"/>
          <w:b/>
          <w:sz w:val="20"/>
          <w:szCs w:val="20"/>
        </w:rPr>
        <w:t>IND2020-84:</w:t>
      </w:r>
      <w:r>
        <w:rPr>
          <w:rFonts w:ascii="Arial" w:hAnsi="Arial" w:cs="Arial"/>
          <w:bCs/>
          <w:sz w:val="20"/>
          <w:szCs w:val="20"/>
        </w:rPr>
        <w:t xml:space="preserve"> T</w:t>
      </w:r>
      <w:r w:rsidRPr="006876E6">
        <w:rPr>
          <w:rFonts w:ascii="Arial" w:hAnsi="Arial" w:cs="Arial"/>
          <w:bCs/>
          <w:sz w:val="20"/>
          <w:szCs w:val="20"/>
        </w:rPr>
        <w:t>he percentage of babies who reached 6 months old in the preceding 12 months, who have received at least 3 doses of a diphtheria, tetanus and pertussis containing vaccination before the age of 6 months.</w:t>
      </w:r>
    </w:p>
    <w:p w14:paraId="4010226C" w14:textId="46057030" w:rsidR="006876E6" w:rsidRDefault="006876E6" w:rsidP="00902B5E">
      <w:pPr>
        <w:spacing w:line="276" w:lineRule="auto"/>
        <w:rPr>
          <w:rFonts w:ascii="Arial" w:hAnsi="Arial" w:cs="Arial"/>
          <w:bCs/>
          <w:sz w:val="20"/>
          <w:szCs w:val="20"/>
        </w:rPr>
      </w:pPr>
    </w:p>
    <w:p w14:paraId="59ADAAF1" w14:textId="4E3F2AFC" w:rsidR="006876E6" w:rsidRDefault="006876E6" w:rsidP="00902B5E">
      <w:pPr>
        <w:spacing w:line="276" w:lineRule="auto"/>
        <w:rPr>
          <w:rFonts w:ascii="Arial" w:hAnsi="Arial" w:cs="Arial"/>
          <w:bCs/>
          <w:sz w:val="20"/>
          <w:szCs w:val="20"/>
        </w:rPr>
      </w:pPr>
      <w:r>
        <w:rPr>
          <w:rFonts w:ascii="Arial" w:hAnsi="Arial" w:cs="Arial"/>
          <w:bCs/>
          <w:sz w:val="20"/>
          <w:szCs w:val="20"/>
        </w:rPr>
        <w:t>The committee was asked to consider the following issues:</w:t>
      </w:r>
    </w:p>
    <w:p w14:paraId="5C724764" w14:textId="068AC029" w:rsidR="006876E6" w:rsidRDefault="00833E21" w:rsidP="00102F48">
      <w:pPr>
        <w:pStyle w:val="ListParagraph"/>
        <w:numPr>
          <w:ilvl w:val="0"/>
          <w:numId w:val="5"/>
        </w:numPr>
        <w:spacing w:line="276" w:lineRule="auto"/>
        <w:rPr>
          <w:rFonts w:ascii="Arial" w:hAnsi="Arial" w:cs="Arial"/>
          <w:bCs/>
          <w:sz w:val="20"/>
          <w:szCs w:val="20"/>
        </w:rPr>
      </w:pPr>
      <w:r>
        <w:rPr>
          <w:rFonts w:ascii="Arial" w:hAnsi="Arial" w:cs="Arial"/>
          <w:bCs/>
          <w:sz w:val="20"/>
          <w:szCs w:val="20"/>
        </w:rPr>
        <w:t>Stakeholder support for the indicator</w:t>
      </w:r>
    </w:p>
    <w:p w14:paraId="2ACF0336" w14:textId="77777777" w:rsidR="00833E21" w:rsidRPr="00833E21" w:rsidRDefault="00833E21" w:rsidP="00102F48">
      <w:pPr>
        <w:pStyle w:val="ListParagraph"/>
        <w:numPr>
          <w:ilvl w:val="0"/>
          <w:numId w:val="5"/>
        </w:numPr>
        <w:spacing w:line="276" w:lineRule="auto"/>
        <w:rPr>
          <w:rFonts w:ascii="Arial" w:hAnsi="Arial" w:cs="Arial"/>
          <w:bCs/>
          <w:sz w:val="20"/>
          <w:szCs w:val="20"/>
        </w:rPr>
      </w:pPr>
      <w:r w:rsidRPr="00833E21">
        <w:rPr>
          <w:rFonts w:ascii="Arial" w:hAnsi="Arial" w:cs="Arial"/>
          <w:bCs/>
          <w:sz w:val="20"/>
          <w:szCs w:val="20"/>
        </w:rPr>
        <w:t>The hexavalent vaccine currently used also vaccinates against polio, hepatitis B and Haemophilus influenzae type b</w:t>
      </w:r>
    </w:p>
    <w:p w14:paraId="13FA9779" w14:textId="41595C8F" w:rsidR="00833E21" w:rsidRDefault="00833E21" w:rsidP="00833E21">
      <w:pPr>
        <w:spacing w:line="276" w:lineRule="auto"/>
        <w:rPr>
          <w:rFonts w:ascii="Arial" w:hAnsi="Arial" w:cs="Arial"/>
          <w:bCs/>
          <w:sz w:val="20"/>
          <w:szCs w:val="20"/>
        </w:rPr>
      </w:pPr>
    </w:p>
    <w:p w14:paraId="1C40B4FD" w14:textId="24049613" w:rsidR="00833E21" w:rsidRDefault="00833E21" w:rsidP="00833E21">
      <w:pPr>
        <w:spacing w:line="276" w:lineRule="auto"/>
        <w:rPr>
          <w:rFonts w:ascii="Arial" w:hAnsi="Arial" w:cs="Arial"/>
          <w:bCs/>
          <w:sz w:val="20"/>
          <w:szCs w:val="20"/>
        </w:rPr>
      </w:pPr>
      <w:r>
        <w:rPr>
          <w:rFonts w:ascii="Arial" w:hAnsi="Arial" w:cs="Arial"/>
          <w:bCs/>
          <w:sz w:val="20"/>
          <w:szCs w:val="20"/>
        </w:rPr>
        <w:t xml:space="preserve">The committee </w:t>
      </w:r>
      <w:r w:rsidR="001A57BA">
        <w:rPr>
          <w:rFonts w:ascii="Arial" w:hAnsi="Arial" w:cs="Arial"/>
          <w:bCs/>
          <w:sz w:val="20"/>
          <w:szCs w:val="20"/>
        </w:rPr>
        <w:t>acknowledged</w:t>
      </w:r>
      <w:r>
        <w:rPr>
          <w:rFonts w:ascii="Arial" w:hAnsi="Arial" w:cs="Arial"/>
          <w:bCs/>
          <w:sz w:val="20"/>
          <w:szCs w:val="20"/>
        </w:rPr>
        <w:t xml:space="preserve"> </w:t>
      </w:r>
      <w:r w:rsidR="001A57BA">
        <w:rPr>
          <w:rFonts w:ascii="Arial" w:hAnsi="Arial" w:cs="Arial"/>
          <w:bCs/>
          <w:sz w:val="20"/>
          <w:szCs w:val="20"/>
        </w:rPr>
        <w:t>that whilst this a time-limited vaccine,</w:t>
      </w:r>
      <w:r>
        <w:rPr>
          <w:rFonts w:ascii="Arial" w:hAnsi="Arial" w:cs="Arial"/>
          <w:bCs/>
          <w:sz w:val="20"/>
          <w:szCs w:val="20"/>
        </w:rPr>
        <w:t xml:space="preserve"> the </w:t>
      </w:r>
      <w:r w:rsidR="002C51CD">
        <w:rPr>
          <w:rFonts w:ascii="Arial" w:hAnsi="Arial" w:cs="Arial"/>
          <w:bCs/>
          <w:sz w:val="20"/>
          <w:szCs w:val="20"/>
        </w:rPr>
        <w:t xml:space="preserve">committee was aware of stakeholder comments noting that the </w:t>
      </w:r>
      <w:proofErr w:type="gramStart"/>
      <w:r>
        <w:rPr>
          <w:rFonts w:ascii="Arial" w:hAnsi="Arial" w:cs="Arial"/>
          <w:bCs/>
          <w:sz w:val="20"/>
          <w:szCs w:val="20"/>
        </w:rPr>
        <w:t>6 month</w:t>
      </w:r>
      <w:proofErr w:type="gramEnd"/>
      <w:r>
        <w:rPr>
          <w:rFonts w:ascii="Arial" w:hAnsi="Arial" w:cs="Arial"/>
          <w:bCs/>
          <w:sz w:val="20"/>
          <w:szCs w:val="20"/>
        </w:rPr>
        <w:t xml:space="preserve"> timeframe was </w:t>
      </w:r>
      <w:r w:rsidR="002C51CD">
        <w:rPr>
          <w:rFonts w:ascii="Arial" w:hAnsi="Arial" w:cs="Arial"/>
          <w:bCs/>
          <w:sz w:val="20"/>
          <w:szCs w:val="20"/>
        </w:rPr>
        <w:t>‘</w:t>
      </w:r>
      <w:r>
        <w:rPr>
          <w:rFonts w:ascii="Arial" w:hAnsi="Arial" w:cs="Arial"/>
          <w:bCs/>
          <w:sz w:val="20"/>
          <w:szCs w:val="20"/>
        </w:rPr>
        <w:t>tight</w:t>
      </w:r>
      <w:r w:rsidR="002C51CD">
        <w:rPr>
          <w:rFonts w:ascii="Arial" w:hAnsi="Arial" w:cs="Arial"/>
          <w:bCs/>
          <w:sz w:val="20"/>
          <w:szCs w:val="20"/>
        </w:rPr>
        <w:t>’</w:t>
      </w:r>
      <w:r>
        <w:rPr>
          <w:rFonts w:ascii="Arial" w:hAnsi="Arial" w:cs="Arial"/>
          <w:bCs/>
          <w:sz w:val="20"/>
          <w:szCs w:val="20"/>
        </w:rPr>
        <w:t xml:space="preserve"> and that family and </w:t>
      </w:r>
      <w:r w:rsidR="001A57BA">
        <w:rPr>
          <w:rFonts w:ascii="Arial" w:hAnsi="Arial" w:cs="Arial"/>
          <w:bCs/>
          <w:sz w:val="20"/>
          <w:szCs w:val="20"/>
        </w:rPr>
        <w:t xml:space="preserve">other </w:t>
      </w:r>
      <w:r>
        <w:rPr>
          <w:rFonts w:ascii="Arial" w:hAnsi="Arial" w:cs="Arial"/>
          <w:bCs/>
          <w:sz w:val="20"/>
          <w:szCs w:val="20"/>
        </w:rPr>
        <w:t>operational barriers can make it challenging for parents to have their child vaccinated within</w:t>
      </w:r>
      <w:r w:rsidR="001A57BA">
        <w:rPr>
          <w:rFonts w:ascii="Arial" w:hAnsi="Arial" w:cs="Arial"/>
          <w:bCs/>
          <w:sz w:val="20"/>
          <w:szCs w:val="20"/>
        </w:rPr>
        <w:t xml:space="preserve"> this time. </w:t>
      </w:r>
      <w:r w:rsidR="00E00206">
        <w:rPr>
          <w:rFonts w:ascii="Arial" w:hAnsi="Arial" w:cs="Arial"/>
          <w:bCs/>
          <w:sz w:val="20"/>
          <w:szCs w:val="20"/>
        </w:rPr>
        <w:t xml:space="preserve">The short timeframe was also highlighted in the considerations for acceptability of the indicator in the indicator validity assessment. </w:t>
      </w:r>
      <w:r w:rsidR="001A57BA">
        <w:rPr>
          <w:rFonts w:ascii="Arial" w:hAnsi="Arial" w:cs="Arial"/>
          <w:bCs/>
          <w:sz w:val="20"/>
          <w:szCs w:val="20"/>
        </w:rPr>
        <w:t xml:space="preserve">The committee </w:t>
      </w:r>
      <w:r w:rsidR="00031969">
        <w:rPr>
          <w:rFonts w:ascii="Arial" w:hAnsi="Arial" w:cs="Arial"/>
          <w:bCs/>
          <w:sz w:val="20"/>
          <w:szCs w:val="20"/>
        </w:rPr>
        <w:t>recommended progressing the indicator for inclusion on the NICE menu with a suggested amended</w:t>
      </w:r>
      <w:r w:rsidR="001A57BA">
        <w:rPr>
          <w:rFonts w:ascii="Arial" w:hAnsi="Arial" w:cs="Arial"/>
          <w:bCs/>
          <w:sz w:val="20"/>
          <w:szCs w:val="20"/>
        </w:rPr>
        <w:t xml:space="preserve"> timeframe </w:t>
      </w:r>
      <w:r w:rsidR="00031969">
        <w:rPr>
          <w:rFonts w:ascii="Arial" w:hAnsi="Arial" w:cs="Arial"/>
          <w:bCs/>
          <w:sz w:val="20"/>
          <w:szCs w:val="20"/>
        </w:rPr>
        <w:t>of</w:t>
      </w:r>
      <w:r w:rsidR="001A57BA">
        <w:rPr>
          <w:rFonts w:ascii="Arial" w:hAnsi="Arial" w:cs="Arial"/>
          <w:bCs/>
          <w:sz w:val="20"/>
          <w:szCs w:val="20"/>
        </w:rPr>
        <w:t xml:space="preserve"> 8 months.</w:t>
      </w:r>
    </w:p>
    <w:p w14:paraId="137A9D8D" w14:textId="77777777" w:rsidR="00535BB5" w:rsidRDefault="00535BB5" w:rsidP="00902B5E">
      <w:pPr>
        <w:spacing w:line="276" w:lineRule="auto"/>
        <w:rPr>
          <w:rFonts w:ascii="Arial" w:hAnsi="Arial" w:cs="Arial"/>
          <w:b/>
          <w:sz w:val="20"/>
          <w:szCs w:val="20"/>
        </w:rPr>
      </w:pPr>
    </w:p>
    <w:p w14:paraId="25689A35" w14:textId="21A35EDA" w:rsidR="0034595F" w:rsidRPr="00902B5E" w:rsidRDefault="00902B5E" w:rsidP="00902B5E">
      <w:pPr>
        <w:spacing w:line="276" w:lineRule="auto"/>
        <w:rPr>
          <w:rFonts w:ascii="Arial" w:hAnsi="Arial" w:cs="Arial"/>
          <w:bCs/>
          <w:sz w:val="20"/>
          <w:szCs w:val="20"/>
        </w:rPr>
      </w:pPr>
      <w:r w:rsidRPr="00643F80">
        <w:rPr>
          <w:rFonts w:ascii="Arial" w:hAnsi="Arial" w:cs="Arial"/>
          <w:b/>
          <w:sz w:val="20"/>
          <w:szCs w:val="20"/>
        </w:rPr>
        <w:t>Action</w:t>
      </w:r>
      <w:r w:rsidR="0034595F">
        <w:rPr>
          <w:rFonts w:ascii="Arial" w:hAnsi="Arial" w:cs="Arial"/>
          <w:b/>
          <w:sz w:val="20"/>
          <w:szCs w:val="20"/>
        </w:rPr>
        <w:t>:</w:t>
      </w:r>
      <w:r>
        <w:rPr>
          <w:rFonts w:ascii="Arial" w:hAnsi="Arial" w:cs="Arial"/>
          <w:b/>
          <w:sz w:val="20"/>
          <w:szCs w:val="20"/>
        </w:rPr>
        <w:t xml:space="preserve"> </w:t>
      </w:r>
      <w:r w:rsidRPr="00902B5E">
        <w:rPr>
          <w:rFonts w:ascii="Arial" w:hAnsi="Arial" w:cs="Arial"/>
          <w:bCs/>
          <w:sz w:val="20"/>
          <w:szCs w:val="20"/>
        </w:rPr>
        <w:t>Progress</w:t>
      </w:r>
      <w:r w:rsidR="001A57BA">
        <w:rPr>
          <w:rFonts w:ascii="Arial" w:hAnsi="Arial" w:cs="Arial"/>
          <w:bCs/>
          <w:sz w:val="20"/>
          <w:szCs w:val="20"/>
        </w:rPr>
        <w:t xml:space="preserve"> indicator to NICE menu</w:t>
      </w:r>
      <w:r w:rsidRPr="00902B5E">
        <w:rPr>
          <w:rFonts w:ascii="Arial" w:hAnsi="Arial" w:cs="Arial"/>
          <w:bCs/>
          <w:sz w:val="20"/>
          <w:szCs w:val="20"/>
        </w:rPr>
        <w:t xml:space="preserve"> but consider amended timeframe of 8 months</w:t>
      </w:r>
      <w:r w:rsidR="00031969">
        <w:rPr>
          <w:rFonts w:ascii="Arial" w:hAnsi="Arial" w:cs="Arial"/>
          <w:bCs/>
          <w:sz w:val="20"/>
          <w:szCs w:val="20"/>
        </w:rPr>
        <w:t>.</w:t>
      </w:r>
    </w:p>
    <w:p w14:paraId="7C520B50" w14:textId="77777777" w:rsidR="001803E6" w:rsidRDefault="001803E6" w:rsidP="00902B5E">
      <w:pPr>
        <w:spacing w:line="276" w:lineRule="auto"/>
        <w:rPr>
          <w:rFonts w:ascii="Arial" w:hAnsi="Arial" w:cs="Arial"/>
          <w:bCs/>
          <w:sz w:val="20"/>
          <w:szCs w:val="20"/>
        </w:rPr>
      </w:pPr>
    </w:p>
    <w:p w14:paraId="61D7D370" w14:textId="61E02AAA" w:rsidR="00031969" w:rsidRDefault="00031969" w:rsidP="00902B5E">
      <w:pPr>
        <w:spacing w:line="276" w:lineRule="auto"/>
        <w:rPr>
          <w:rFonts w:ascii="Arial" w:hAnsi="Arial" w:cs="Arial"/>
          <w:bCs/>
          <w:sz w:val="20"/>
          <w:szCs w:val="20"/>
        </w:rPr>
      </w:pPr>
      <w:r w:rsidRPr="008F1CA7">
        <w:rPr>
          <w:rFonts w:ascii="Arial" w:hAnsi="Arial" w:cs="Arial"/>
          <w:b/>
          <w:sz w:val="20"/>
          <w:szCs w:val="20"/>
        </w:rPr>
        <w:t>IND2020-85:</w:t>
      </w:r>
      <w:r w:rsidRPr="008F1CA7">
        <w:rPr>
          <w:rFonts w:ascii="Arial" w:hAnsi="Arial" w:cs="Arial"/>
          <w:bCs/>
          <w:sz w:val="20"/>
          <w:szCs w:val="20"/>
        </w:rPr>
        <w:t xml:space="preserve"> The</w:t>
      </w:r>
      <w:r w:rsidRPr="00031969">
        <w:rPr>
          <w:rFonts w:ascii="Arial" w:hAnsi="Arial" w:cs="Arial"/>
          <w:bCs/>
          <w:sz w:val="20"/>
          <w:szCs w:val="20"/>
        </w:rPr>
        <w:t xml:space="preserve"> percentage of children who reached 18 months old in the preceding 12 months, who have received at least 1 dose of MMR on or after their first birthday and before the age of 18 months.</w:t>
      </w:r>
    </w:p>
    <w:p w14:paraId="6FD1AD92" w14:textId="59FCB6DE" w:rsidR="00031969" w:rsidRDefault="00031969" w:rsidP="00902B5E">
      <w:pPr>
        <w:spacing w:line="276" w:lineRule="auto"/>
        <w:rPr>
          <w:rFonts w:ascii="Arial" w:hAnsi="Arial" w:cs="Arial"/>
          <w:bCs/>
          <w:sz w:val="20"/>
          <w:szCs w:val="20"/>
        </w:rPr>
      </w:pPr>
    </w:p>
    <w:p w14:paraId="6C85D459" w14:textId="77777777" w:rsidR="00031969" w:rsidRDefault="00031969" w:rsidP="00031969">
      <w:pPr>
        <w:spacing w:line="276" w:lineRule="auto"/>
        <w:rPr>
          <w:rFonts w:ascii="Arial" w:hAnsi="Arial" w:cs="Arial"/>
          <w:bCs/>
          <w:sz w:val="20"/>
          <w:szCs w:val="20"/>
        </w:rPr>
      </w:pPr>
      <w:r>
        <w:rPr>
          <w:rFonts w:ascii="Arial" w:hAnsi="Arial" w:cs="Arial"/>
          <w:bCs/>
          <w:sz w:val="20"/>
          <w:szCs w:val="20"/>
        </w:rPr>
        <w:t>The committee was asked to consider the following issues:</w:t>
      </w:r>
    </w:p>
    <w:p w14:paraId="65305729" w14:textId="77777777" w:rsidR="00031969" w:rsidRDefault="00031969" w:rsidP="00102F48">
      <w:pPr>
        <w:pStyle w:val="ListParagraph"/>
        <w:numPr>
          <w:ilvl w:val="0"/>
          <w:numId w:val="5"/>
        </w:numPr>
        <w:spacing w:line="276" w:lineRule="auto"/>
        <w:rPr>
          <w:rFonts w:ascii="Arial" w:hAnsi="Arial" w:cs="Arial"/>
          <w:bCs/>
          <w:sz w:val="20"/>
          <w:szCs w:val="20"/>
        </w:rPr>
      </w:pPr>
      <w:r>
        <w:rPr>
          <w:rFonts w:ascii="Arial" w:hAnsi="Arial" w:cs="Arial"/>
          <w:bCs/>
          <w:sz w:val="20"/>
          <w:szCs w:val="20"/>
        </w:rPr>
        <w:t>Stakeholder support for the indicator</w:t>
      </w:r>
    </w:p>
    <w:p w14:paraId="2463ADFB" w14:textId="77777777" w:rsidR="00031969" w:rsidRPr="00031969" w:rsidRDefault="00031969" w:rsidP="00102F48">
      <w:pPr>
        <w:numPr>
          <w:ilvl w:val="0"/>
          <w:numId w:val="5"/>
        </w:numPr>
        <w:spacing w:line="276" w:lineRule="auto"/>
        <w:rPr>
          <w:rFonts w:ascii="Arial" w:hAnsi="Arial" w:cs="Arial"/>
          <w:bCs/>
          <w:sz w:val="20"/>
          <w:szCs w:val="20"/>
        </w:rPr>
      </w:pPr>
      <w:r w:rsidRPr="00031969">
        <w:rPr>
          <w:rFonts w:ascii="Arial" w:hAnsi="Arial" w:cs="Arial"/>
          <w:bCs/>
          <w:sz w:val="20"/>
          <w:szCs w:val="20"/>
        </w:rPr>
        <w:t>Concern about accuracy of measurement if children have had single vaccines rather than combined MMR</w:t>
      </w:r>
    </w:p>
    <w:p w14:paraId="1F162F5B" w14:textId="2C680A74" w:rsidR="00031969" w:rsidRDefault="00031969" w:rsidP="00102F48">
      <w:pPr>
        <w:numPr>
          <w:ilvl w:val="0"/>
          <w:numId w:val="5"/>
        </w:numPr>
        <w:spacing w:line="276" w:lineRule="auto"/>
        <w:rPr>
          <w:rFonts w:ascii="Arial" w:hAnsi="Arial" w:cs="Arial"/>
          <w:bCs/>
          <w:sz w:val="20"/>
          <w:szCs w:val="20"/>
        </w:rPr>
      </w:pPr>
      <w:r w:rsidRPr="00031969">
        <w:rPr>
          <w:rFonts w:ascii="Arial" w:hAnsi="Arial" w:cs="Arial"/>
          <w:bCs/>
          <w:sz w:val="20"/>
          <w:szCs w:val="20"/>
        </w:rPr>
        <w:t>IND 2020-86 and IND 2020-87 also measure uptake of MMR1</w:t>
      </w:r>
    </w:p>
    <w:p w14:paraId="2E65D36B" w14:textId="136C6A18" w:rsidR="00031969" w:rsidRDefault="00031969" w:rsidP="00031969">
      <w:pPr>
        <w:spacing w:line="276" w:lineRule="auto"/>
        <w:rPr>
          <w:rFonts w:ascii="Arial" w:hAnsi="Arial" w:cs="Arial"/>
          <w:bCs/>
          <w:sz w:val="20"/>
          <w:szCs w:val="20"/>
        </w:rPr>
      </w:pPr>
    </w:p>
    <w:p w14:paraId="412ED35D" w14:textId="5F4FC201" w:rsidR="00031969" w:rsidRPr="00031969" w:rsidRDefault="00031969" w:rsidP="00031969">
      <w:pPr>
        <w:spacing w:line="276" w:lineRule="auto"/>
        <w:rPr>
          <w:rFonts w:ascii="Arial" w:hAnsi="Arial" w:cs="Arial"/>
          <w:bCs/>
          <w:sz w:val="20"/>
          <w:szCs w:val="20"/>
        </w:rPr>
      </w:pPr>
      <w:r>
        <w:rPr>
          <w:rFonts w:ascii="Arial" w:hAnsi="Arial" w:cs="Arial"/>
          <w:bCs/>
          <w:sz w:val="20"/>
          <w:szCs w:val="20"/>
        </w:rPr>
        <w:t>There was broad support from the committee for this indicator. The committee recommended progressing the indicator for inclusion on the NICE menu.</w:t>
      </w:r>
    </w:p>
    <w:p w14:paraId="690D31A2" w14:textId="77777777" w:rsidR="00535BB5" w:rsidRDefault="00535BB5" w:rsidP="00902B5E">
      <w:pPr>
        <w:spacing w:line="276" w:lineRule="auto"/>
        <w:rPr>
          <w:rFonts w:ascii="Arial" w:hAnsi="Arial" w:cs="Arial"/>
          <w:b/>
          <w:sz w:val="20"/>
          <w:szCs w:val="20"/>
        </w:rPr>
      </w:pPr>
    </w:p>
    <w:p w14:paraId="1F033120" w14:textId="0437BAFD" w:rsidR="003C028F" w:rsidRDefault="00902B5E" w:rsidP="00902B5E">
      <w:pPr>
        <w:spacing w:line="276" w:lineRule="auto"/>
        <w:rPr>
          <w:rFonts w:ascii="Arial" w:hAnsi="Arial" w:cs="Arial"/>
          <w:b/>
          <w:sz w:val="20"/>
          <w:szCs w:val="20"/>
        </w:rPr>
      </w:pPr>
      <w:r w:rsidRPr="00643F80">
        <w:rPr>
          <w:rFonts w:ascii="Arial" w:hAnsi="Arial" w:cs="Arial"/>
          <w:b/>
          <w:sz w:val="20"/>
          <w:szCs w:val="20"/>
        </w:rPr>
        <w:lastRenderedPageBreak/>
        <w:t>Action</w:t>
      </w:r>
      <w:r w:rsidR="003C028F">
        <w:rPr>
          <w:rFonts w:ascii="Arial" w:hAnsi="Arial" w:cs="Arial"/>
          <w:b/>
          <w:sz w:val="20"/>
          <w:szCs w:val="20"/>
        </w:rPr>
        <w:t>:</w:t>
      </w:r>
      <w:r>
        <w:rPr>
          <w:rFonts w:ascii="Arial" w:hAnsi="Arial" w:cs="Arial"/>
          <w:b/>
          <w:sz w:val="20"/>
          <w:szCs w:val="20"/>
        </w:rPr>
        <w:t xml:space="preserve"> </w:t>
      </w:r>
      <w:r w:rsidR="00031969" w:rsidRPr="00902B5E">
        <w:rPr>
          <w:rFonts w:ascii="Arial" w:hAnsi="Arial" w:cs="Arial"/>
          <w:bCs/>
          <w:sz w:val="20"/>
          <w:szCs w:val="20"/>
        </w:rPr>
        <w:t>Progress</w:t>
      </w:r>
      <w:r w:rsidR="00031969">
        <w:rPr>
          <w:rFonts w:ascii="Arial" w:hAnsi="Arial" w:cs="Arial"/>
          <w:bCs/>
          <w:sz w:val="20"/>
          <w:szCs w:val="20"/>
        </w:rPr>
        <w:t xml:space="preserve"> indicator to NICE menu.</w:t>
      </w:r>
    </w:p>
    <w:p w14:paraId="40B19E16" w14:textId="77777777" w:rsidR="0034595F" w:rsidRPr="00CA30E7" w:rsidRDefault="0034595F" w:rsidP="00902B5E">
      <w:pPr>
        <w:spacing w:line="276" w:lineRule="auto"/>
        <w:rPr>
          <w:rFonts w:ascii="Arial" w:hAnsi="Arial" w:cs="Arial"/>
          <w:bCs/>
          <w:sz w:val="20"/>
          <w:szCs w:val="20"/>
        </w:rPr>
      </w:pPr>
    </w:p>
    <w:p w14:paraId="6C780393" w14:textId="6F619FDF" w:rsidR="003C028F" w:rsidRDefault="00031969" w:rsidP="00902B5E">
      <w:pPr>
        <w:spacing w:line="276" w:lineRule="auto"/>
        <w:rPr>
          <w:rFonts w:ascii="Arial" w:hAnsi="Arial" w:cs="Arial"/>
          <w:bCs/>
          <w:sz w:val="20"/>
          <w:szCs w:val="20"/>
        </w:rPr>
      </w:pPr>
      <w:r w:rsidRPr="00535BB5">
        <w:rPr>
          <w:rFonts w:ascii="Arial" w:hAnsi="Arial" w:cs="Arial"/>
          <w:b/>
          <w:sz w:val="20"/>
          <w:szCs w:val="20"/>
        </w:rPr>
        <w:t xml:space="preserve">IND 2020-86: </w:t>
      </w:r>
      <w:r w:rsidRPr="00031969">
        <w:rPr>
          <w:rFonts w:ascii="Arial" w:hAnsi="Arial" w:cs="Arial"/>
          <w:bCs/>
          <w:sz w:val="20"/>
          <w:szCs w:val="20"/>
        </w:rPr>
        <w:t>The percentage of children who reached 5 years old in the preceding 12 months who have received a reinforcing dose of DTaP/IPV and at least 2 doses of MMR on or after their first birthday</w:t>
      </w:r>
      <w:r w:rsidR="000D58B1">
        <w:rPr>
          <w:rFonts w:ascii="Arial" w:hAnsi="Arial" w:cs="Arial"/>
          <w:bCs/>
          <w:sz w:val="20"/>
          <w:szCs w:val="20"/>
        </w:rPr>
        <w:t>.</w:t>
      </w:r>
    </w:p>
    <w:p w14:paraId="0F3F25FA" w14:textId="04A093F5" w:rsidR="000D58B1" w:rsidRDefault="000D58B1" w:rsidP="00902B5E">
      <w:pPr>
        <w:spacing w:line="276" w:lineRule="auto"/>
        <w:rPr>
          <w:rFonts w:ascii="Arial" w:hAnsi="Arial" w:cs="Arial"/>
          <w:bCs/>
          <w:sz w:val="20"/>
          <w:szCs w:val="20"/>
        </w:rPr>
      </w:pPr>
    </w:p>
    <w:p w14:paraId="3A99ED89" w14:textId="77777777" w:rsidR="000D58B1" w:rsidRDefault="000D58B1" w:rsidP="000D58B1">
      <w:pPr>
        <w:spacing w:line="276" w:lineRule="auto"/>
        <w:rPr>
          <w:rFonts w:ascii="Arial" w:hAnsi="Arial" w:cs="Arial"/>
          <w:bCs/>
          <w:sz w:val="20"/>
          <w:szCs w:val="20"/>
        </w:rPr>
      </w:pPr>
      <w:r>
        <w:rPr>
          <w:rFonts w:ascii="Arial" w:hAnsi="Arial" w:cs="Arial"/>
          <w:bCs/>
          <w:sz w:val="20"/>
          <w:szCs w:val="20"/>
        </w:rPr>
        <w:t>The committee was asked to consider the following issues:</w:t>
      </w:r>
    </w:p>
    <w:p w14:paraId="3E3A6388" w14:textId="77777777" w:rsidR="000D58B1" w:rsidRDefault="000D58B1" w:rsidP="00102F48">
      <w:pPr>
        <w:pStyle w:val="ListParagraph"/>
        <w:numPr>
          <w:ilvl w:val="0"/>
          <w:numId w:val="5"/>
        </w:numPr>
        <w:spacing w:line="276" w:lineRule="auto"/>
        <w:rPr>
          <w:rFonts w:ascii="Arial" w:hAnsi="Arial" w:cs="Arial"/>
          <w:bCs/>
          <w:sz w:val="20"/>
          <w:szCs w:val="20"/>
        </w:rPr>
      </w:pPr>
      <w:r>
        <w:rPr>
          <w:rFonts w:ascii="Arial" w:hAnsi="Arial" w:cs="Arial"/>
          <w:bCs/>
          <w:sz w:val="20"/>
          <w:szCs w:val="20"/>
        </w:rPr>
        <w:t>Stakeholder support for the indicator</w:t>
      </w:r>
    </w:p>
    <w:p w14:paraId="04CE06AC" w14:textId="77777777" w:rsidR="000D58B1" w:rsidRPr="000D58B1" w:rsidRDefault="000D58B1" w:rsidP="00102F48">
      <w:pPr>
        <w:numPr>
          <w:ilvl w:val="0"/>
          <w:numId w:val="5"/>
        </w:numPr>
        <w:spacing w:line="276" w:lineRule="auto"/>
        <w:rPr>
          <w:rFonts w:ascii="Arial" w:hAnsi="Arial" w:cs="Arial"/>
          <w:bCs/>
          <w:sz w:val="20"/>
          <w:szCs w:val="20"/>
        </w:rPr>
      </w:pPr>
      <w:r w:rsidRPr="000D58B1">
        <w:rPr>
          <w:rFonts w:ascii="Arial" w:hAnsi="Arial" w:cs="Arial"/>
          <w:bCs/>
          <w:sz w:val="20"/>
          <w:szCs w:val="20"/>
        </w:rPr>
        <w:t>Suggestion it may benefit from splitting to separate vaccinations</w:t>
      </w:r>
    </w:p>
    <w:p w14:paraId="6EE2A69C" w14:textId="77777777" w:rsidR="000D58B1" w:rsidRPr="000D58B1" w:rsidRDefault="000D58B1" w:rsidP="00102F48">
      <w:pPr>
        <w:numPr>
          <w:ilvl w:val="0"/>
          <w:numId w:val="5"/>
        </w:numPr>
        <w:spacing w:line="276" w:lineRule="auto"/>
        <w:rPr>
          <w:rFonts w:ascii="Arial" w:hAnsi="Arial" w:cs="Arial"/>
          <w:bCs/>
          <w:sz w:val="20"/>
          <w:szCs w:val="20"/>
        </w:rPr>
      </w:pPr>
      <w:r w:rsidRPr="000D58B1">
        <w:rPr>
          <w:rFonts w:ascii="Arial" w:hAnsi="Arial" w:cs="Arial"/>
          <w:bCs/>
          <w:sz w:val="20"/>
          <w:szCs w:val="20"/>
        </w:rPr>
        <w:t>Concern about accuracy of measurement if children have had single vaccines rather than combined MMR</w:t>
      </w:r>
    </w:p>
    <w:p w14:paraId="081E9C5F" w14:textId="77777777" w:rsidR="000D58B1" w:rsidRPr="000D58B1" w:rsidRDefault="000D58B1" w:rsidP="00102F48">
      <w:pPr>
        <w:numPr>
          <w:ilvl w:val="0"/>
          <w:numId w:val="5"/>
        </w:numPr>
        <w:spacing w:line="276" w:lineRule="auto"/>
        <w:rPr>
          <w:rFonts w:ascii="Arial" w:hAnsi="Arial" w:cs="Arial"/>
          <w:bCs/>
          <w:sz w:val="20"/>
          <w:szCs w:val="20"/>
        </w:rPr>
      </w:pPr>
      <w:r w:rsidRPr="000D58B1">
        <w:rPr>
          <w:rFonts w:ascii="Arial" w:hAnsi="Arial" w:cs="Arial"/>
          <w:bCs/>
          <w:sz w:val="20"/>
          <w:szCs w:val="20"/>
        </w:rPr>
        <w:t>IND 2020-85 and IND 2020-87 also measure uptake of MMR1</w:t>
      </w:r>
    </w:p>
    <w:p w14:paraId="1F58D0F5" w14:textId="77425178" w:rsidR="000D58B1" w:rsidRDefault="000D58B1" w:rsidP="00902B5E">
      <w:pPr>
        <w:spacing w:line="276" w:lineRule="auto"/>
        <w:rPr>
          <w:rFonts w:ascii="Arial" w:hAnsi="Arial" w:cs="Arial"/>
          <w:bCs/>
          <w:sz w:val="20"/>
          <w:szCs w:val="20"/>
        </w:rPr>
      </w:pPr>
    </w:p>
    <w:p w14:paraId="129DDC6F" w14:textId="07C8DB20" w:rsidR="000D58B1" w:rsidRPr="000D58B1" w:rsidRDefault="000D58B1" w:rsidP="000D58B1">
      <w:pPr>
        <w:spacing w:line="276" w:lineRule="auto"/>
        <w:rPr>
          <w:rFonts w:ascii="Arial" w:hAnsi="Arial" w:cs="Arial"/>
          <w:bCs/>
          <w:sz w:val="20"/>
          <w:szCs w:val="20"/>
        </w:rPr>
      </w:pPr>
      <w:r>
        <w:rPr>
          <w:rFonts w:ascii="Arial" w:hAnsi="Arial" w:cs="Arial"/>
          <w:bCs/>
          <w:sz w:val="20"/>
          <w:szCs w:val="20"/>
        </w:rPr>
        <w:t>The committee discussed concerns raised by some sta</w:t>
      </w:r>
      <w:r w:rsidRPr="000D58B1">
        <w:rPr>
          <w:rFonts w:ascii="Arial" w:hAnsi="Arial" w:cs="Arial"/>
          <w:bCs/>
          <w:sz w:val="20"/>
          <w:szCs w:val="20"/>
        </w:rPr>
        <w:t>keholder</w:t>
      </w:r>
      <w:r>
        <w:rPr>
          <w:rFonts w:ascii="Arial" w:hAnsi="Arial" w:cs="Arial"/>
          <w:bCs/>
          <w:sz w:val="20"/>
          <w:szCs w:val="20"/>
        </w:rPr>
        <w:t xml:space="preserve">s </w:t>
      </w:r>
      <w:r w:rsidRPr="000D58B1">
        <w:rPr>
          <w:rFonts w:ascii="Arial" w:hAnsi="Arial" w:cs="Arial"/>
          <w:bCs/>
          <w:sz w:val="20"/>
          <w:szCs w:val="20"/>
        </w:rPr>
        <w:t>that the timeframe was too long</w:t>
      </w:r>
      <w:r w:rsidR="006C466A">
        <w:rPr>
          <w:rFonts w:ascii="Arial" w:hAnsi="Arial" w:cs="Arial"/>
          <w:bCs/>
          <w:sz w:val="20"/>
          <w:szCs w:val="20"/>
        </w:rPr>
        <w:t xml:space="preserve">. </w:t>
      </w:r>
      <w:r w:rsidR="002C51CD">
        <w:rPr>
          <w:rFonts w:ascii="Arial" w:hAnsi="Arial" w:cs="Arial"/>
          <w:bCs/>
          <w:sz w:val="20"/>
          <w:szCs w:val="20"/>
        </w:rPr>
        <w:t xml:space="preserve">The committee </w:t>
      </w:r>
      <w:proofErr w:type="gramStart"/>
      <w:r w:rsidR="002C51CD">
        <w:rPr>
          <w:rFonts w:ascii="Arial" w:hAnsi="Arial" w:cs="Arial"/>
          <w:bCs/>
          <w:sz w:val="20"/>
          <w:szCs w:val="20"/>
        </w:rPr>
        <w:t xml:space="preserve">heard </w:t>
      </w:r>
      <w:r w:rsidR="006C466A">
        <w:rPr>
          <w:rFonts w:ascii="Arial" w:hAnsi="Arial" w:cs="Arial"/>
          <w:bCs/>
          <w:sz w:val="20"/>
          <w:szCs w:val="20"/>
        </w:rPr>
        <w:t xml:space="preserve"> that</w:t>
      </w:r>
      <w:proofErr w:type="gramEnd"/>
      <w:r w:rsidR="006C466A">
        <w:rPr>
          <w:rFonts w:ascii="Arial" w:hAnsi="Arial" w:cs="Arial"/>
          <w:bCs/>
          <w:sz w:val="20"/>
          <w:szCs w:val="20"/>
        </w:rPr>
        <w:t xml:space="preserve"> the 5 year timeframe was set to ensure children receive the vaccine before they start school and acknowledged that whilst some children start school before their 5</w:t>
      </w:r>
      <w:r w:rsidR="006C466A" w:rsidRPr="006C466A">
        <w:rPr>
          <w:rFonts w:ascii="Arial" w:hAnsi="Arial" w:cs="Arial"/>
          <w:bCs/>
          <w:sz w:val="20"/>
          <w:szCs w:val="20"/>
          <w:vertAlign w:val="superscript"/>
        </w:rPr>
        <w:t>th</w:t>
      </w:r>
      <w:r w:rsidR="006C466A">
        <w:rPr>
          <w:rFonts w:ascii="Arial" w:hAnsi="Arial" w:cs="Arial"/>
          <w:bCs/>
          <w:sz w:val="20"/>
          <w:szCs w:val="20"/>
        </w:rPr>
        <w:t xml:space="preserve"> birthday </w:t>
      </w:r>
      <w:r w:rsidR="00535BB5">
        <w:rPr>
          <w:rFonts w:ascii="Arial" w:hAnsi="Arial" w:cs="Arial"/>
          <w:bCs/>
          <w:sz w:val="20"/>
          <w:szCs w:val="20"/>
        </w:rPr>
        <w:t>t</w:t>
      </w:r>
      <w:r w:rsidR="006C466A">
        <w:rPr>
          <w:rFonts w:ascii="Arial" w:hAnsi="Arial" w:cs="Arial"/>
          <w:bCs/>
          <w:sz w:val="20"/>
          <w:szCs w:val="20"/>
        </w:rPr>
        <w:t xml:space="preserve">he PHE Green Book specifies that the vaccine should be received at </w:t>
      </w:r>
      <w:r w:rsidRPr="000D58B1">
        <w:rPr>
          <w:rFonts w:ascii="Arial" w:hAnsi="Arial" w:cs="Arial"/>
          <w:bCs/>
          <w:sz w:val="20"/>
          <w:szCs w:val="20"/>
        </w:rPr>
        <w:t>3</w:t>
      </w:r>
      <w:r w:rsidR="006C466A">
        <w:rPr>
          <w:rFonts w:ascii="Arial" w:hAnsi="Arial" w:cs="Arial"/>
          <w:bCs/>
          <w:sz w:val="20"/>
          <w:szCs w:val="20"/>
        </w:rPr>
        <w:t xml:space="preserve"> years and </w:t>
      </w:r>
      <w:r w:rsidRPr="000D58B1">
        <w:rPr>
          <w:rFonts w:ascii="Arial" w:hAnsi="Arial" w:cs="Arial"/>
          <w:bCs/>
          <w:sz w:val="20"/>
          <w:szCs w:val="20"/>
        </w:rPr>
        <w:t>4</w:t>
      </w:r>
      <w:r w:rsidR="006C466A">
        <w:rPr>
          <w:rFonts w:ascii="Arial" w:hAnsi="Arial" w:cs="Arial"/>
          <w:bCs/>
          <w:sz w:val="20"/>
          <w:szCs w:val="20"/>
        </w:rPr>
        <w:t xml:space="preserve"> months or before</w:t>
      </w:r>
      <w:r w:rsidRPr="000D58B1">
        <w:rPr>
          <w:rFonts w:ascii="Arial" w:hAnsi="Arial" w:cs="Arial"/>
          <w:bCs/>
          <w:sz w:val="20"/>
          <w:szCs w:val="20"/>
        </w:rPr>
        <w:t xml:space="preserve"> school</w:t>
      </w:r>
      <w:r w:rsidR="00535BB5">
        <w:rPr>
          <w:rFonts w:ascii="Arial" w:hAnsi="Arial" w:cs="Arial"/>
          <w:bCs/>
          <w:sz w:val="20"/>
          <w:szCs w:val="20"/>
        </w:rPr>
        <w:t>, so a broader timeframe was included to allow flexibility as not all</w:t>
      </w:r>
      <w:r w:rsidRPr="000D58B1">
        <w:rPr>
          <w:rFonts w:ascii="Arial" w:hAnsi="Arial" w:cs="Arial"/>
          <w:bCs/>
          <w:sz w:val="20"/>
          <w:szCs w:val="20"/>
        </w:rPr>
        <w:t xml:space="preserve"> practices vacc</w:t>
      </w:r>
      <w:r w:rsidR="00535BB5">
        <w:rPr>
          <w:rFonts w:ascii="Arial" w:hAnsi="Arial" w:cs="Arial"/>
          <w:bCs/>
          <w:sz w:val="20"/>
          <w:szCs w:val="20"/>
        </w:rPr>
        <w:t>inate</w:t>
      </w:r>
      <w:r w:rsidRPr="000D58B1">
        <w:rPr>
          <w:rFonts w:ascii="Arial" w:hAnsi="Arial" w:cs="Arial"/>
          <w:bCs/>
          <w:sz w:val="20"/>
          <w:szCs w:val="20"/>
        </w:rPr>
        <w:t xml:space="preserve"> </w:t>
      </w:r>
      <w:r w:rsidR="00535BB5">
        <w:rPr>
          <w:rFonts w:ascii="Arial" w:hAnsi="Arial" w:cs="Arial"/>
          <w:bCs/>
          <w:sz w:val="20"/>
          <w:szCs w:val="20"/>
        </w:rPr>
        <w:t>at this age</w:t>
      </w:r>
      <w:r w:rsidRPr="000D58B1">
        <w:rPr>
          <w:rFonts w:ascii="Arial" w:hAnsi="Arial" w:cs="Arial"/>
          <w:bCs/>
          <w:sz w:val="20"/>
          <w:szCs w:val="20"/>
        </w:rPr>
        <w:t xml:space="preserve">. </w:t>
      </w:r>
      <w:r w:rsidR="00C479A5">
        <w:rPr>
          <w:rFonts w:ascii="Arial" w:hAnsi="Arial" w:cs="Arial"/>
          <w:bCs/>
          <w:sz w:val="20"/>
          <w:szCs w:val="20"/>
        </w:rPr>
        <w:t xml:space="preserve">The committee was aware </w:t>
      </w:r>
      <w:r w:rsidR="00535BB5">
        <w:rPr>
          <w:rFonts w:ascii="Arial" w:hAnsi="Arial" w:cs="Arial"/>
          <w:bCs/>
          <w:sz w:val="20"/>
          <w:szCs w:val="20"/>
        </w:rPr>
        <w:t>that this vaccination is</w:t>
      </w:r>
      <w:r w:rsidRPr="000D58B1">
        <w:rPr>
          <w:rFonts w:ascii="Arial" w:hAnsi="Arial" w:cs="Arial"/>
          <w:bCs/>
          <w:sz w:val="20"/>
          <w:szCs w:val="20"/>
        </w:rPr>
        <w:t xml:space="preserve"> about long-term boosting not primary dosing/vaccination.</w:t>
      </w:r>
    </w:p>
    <w:p w14:paraId="463C693F" w14:textId="79647828" w:rsidR="000D58B1" w:rsidRDefault="000D58B1" w:rsidP="00902B5E">
      <w:pPr>
        <w:spacing w:line="276" w:lineRule="auto"/>
        <w:rPr>
          <w:rFonts w:ascii="Arial" w:hAnsi="Arial" w:cs="Arial"/>
          <w:bCs/>
          <w:sz w:val="20"/>
          <w:szCs w:val="20"/>
        </w:rPr>
      </w:pPr>
    </w:p>
    <w:p w14:paraId="551235E8" w14:textId="77777777" w:rsidR="00031969" w:rsidRPr="00031969" w:rsidRDefault="00535BB5" w:rsidP="00535BB5">
      <w:pPr>
        <w:spacing w:line="276" w:lineRule="auto"/>
        <w:rPr>
          <w:rFonts w:ascii="Arial" w:hAnsi="Arial" w:cs="Arial"/>
          <w:bCs/>
          <w:sz w:val="20"/>
          <w:szCs w:val="20"/>
        </w:rPr>
      </w:pPr>
      <w:r>
        <w:rPr>
          <w:rFonts w:ascii="Arial" w:hAnsi="Arial" w:cs="Arial"/>
          <w:bCs/>
          <w:sz w:val="20"/>
          <w:szCs w:val="20"/>
        </w:rPr>
        <w:t>There was broad support from the committee for this indicator. The committee recommended progressing the indicator for inclusion on the NICE menu.</w:t>
      </w:r>
    </w:p>
    <w:p w14:paraId="7F874A3B" w14:textId="77777777" w:rsidR="00535BB5" w:rsidRDefault="00535BB5" w:rsidP="00535BB5">
      <w:pPr>
        <w:spacing w:line="276" w:lineRule="auto"/>
        <w:rPr>
          <w:rFonts w:ascii="Arial" w:hAnsi="Arial" w:cs="Arial"/>
          <w:b/>
          <w:sz w:val="20"/>
          <w:szCs w:val="20"/>
        </w:rPr>
      </w:pPr>
    </w:p>
    <w:p w14:paraId="36AAE963" w14:textId="55C84837" w:rsidR="00535BB5" w:rsidRDefault="00535BB5" w:rsidP="00535BB5">
      <w:pPr>
        <w:spacing w:line="276" w:lineRule="auto"/>
        <w:rPr>
          <w:rFonts w:ascii="Arial" w:hAnsi="Arial" w:cs="Arial"/>
          <w:b/>
          <w:sz w:val="20"/>
          <w:szCs w:val="20"/>
        </w:rPr>
      </w:pPr>
      <w:r w:rsidRPr="00643F80">
        <w:rPr>
          <w:rFonts w:ascii="Arial" w:hAnsi="Arial" w:cs="Arial"/>
          <w:b/>
          <w:sz w:val="20"/>
          <w:szCs w:val="20"/>
        </w:rPr>
        <w:t>Action</w:t>
      </w:r>
      <w:r>
        <w:rPr>
          <w:rFonts w:ascii="Arial" w:hAnsi="Arial" w:cs="Arial"/>
          <w:b/>
          <w:sz w:val="20"/>
          <w:szCs w:val="20"/>
        </w:rPr>
        <w:t xml:space="preserve">: </w:t>
      </w:r>
      <w:r w:rsidRPr="00902B5E">
        <w:rPr>
          <w:rFonts w:ascii="Arial" w:hAnsi="Arial" w:cs="Arial"/>
          <w:bCs/>
          <w:sz w:val="20"/>
          <w:szCs w:val="20"/>
        </w:rPr>
        <w:t>Progress</w:t>
      </w:r>
      <w:r>
        <w:rPr>
          <w:rFonts w:ascii="Arial" w:hAnsi="Arial" w:cs="Arial"/>
          <w:bCs/>
          <w:sz w:val="20"/>
          <w:szCs w:val="20"/>
        </w:rPr>
        <w:t xml:space="preserve"> indicator to NICE menu.</w:t>
      </w:r>
    </w:p>
    <w:p w14:paraId="64B74322" w14:textId="77777777" w:rsidR="00031969" w:rsidRDefault="00031969" w:rsidP="00902B5E">
      <w:pPr>
        <w:spacing w:line="276" w:lineRule="auto"/>
        <w:rPr>
          <w:rFonts w:ascii="Arial" w:hAnsi="Arial" w:cs="Arial"/>
          <w:b/>
          <w:sz w:val="20"/>
          <w:szCs w:val="20"/>
        </w:rPr>
      </w:pPr>
    </w:p>
    <w:p w14:paraId="76D321A0" w14:textId="39362F7C" w:rsidR="00535BB5" w:rsidRDefault="00535BB5" w:rsidP="00902B5E">
      <w:pPr>
        <w:spacing w:line="276" w:lineRule="auto"/>
        <w:rPr>
          <w:rFonts w:ascii="Arial" w:hAnsi="Arial" w:cs="Arial"/>
          <w:bCs/>
          <w:sz w:val="20"/>
          <w:szCs w:val="20"/>
        </w:rPr>
      </w:pPr>
      <w:r w:rsidRPr="00535BB5">
        <w:rPr>
          <w:rFonts w:ascii="Arial" w:hAnsi="Arial" w:cs="Arial"/>
          <w:b/>
          <w:sz w:val="20"/>
          <w:szCs w:val="20"/>
        </w:rPr>
        <w:t>IND 2020-8</w:t>
      </w:r>
      <w:r>
        <w:rPr>
          <w:rFonts w:ascii="Arial" w:hAnsi="Arial" w:cs="Arial"/>
          <w:b/>
          <w:sz w:val="20"/>
          <w:szCs w:val="20"/>
        </w:rPr>
        <w:t>7</w:t>
      </w:r>
      <w:r w:rsidRPr="00535BB5">
        <w:rPr>
          <w:rFonts w:ascii="Arial" w:hAnsi="Arial" w:cs="Arial"/>
          <w:b/>
          <w:sz w:val="20"/>
          <w:szCs w:val="20"/>
        </w:rPr>
        <w:t xml:space="preserve">: </w:t>
      </w:r>
      <w:r w:rsidRPr="00535BB5">
        <w:rPr>
          <w:rFonts w:ascii="Arial" w:hAnsi="Arial" w:cs="Arial"/>
          <w:bCs/>
          <w:sz w:val="20"/>
          <w:szCs w:val="20"/>
        </w:rPr>
        <w:t>The percentage of children who reached 5 years of age in the preceding 12 months who have received 1 dose of MMR on or after their first birthday.</w:t>
      </w:r>
    </w:p>
    <w:p w14:paraId="6EC870A6" w14:textId="56314447" w:rsidR="00535BB5" w:rsidRDefault="00535BB5" w:rsidP="00902B5E">
      <w:pPr>
        <w:spacing w:line="276" w:lineRule="auto"/>
        <w:rPr>
          <w:rFonts w:ascii="Arial" w:hAnsi="Arial" w:cs="Arial"/>
          <w:bCs/>
          <w:sz w:val="20"/>
          <w:szCs w:val="20"/>
        </w:rPr>
      </w:pPr>
    </w:p>
    <w:p w14:paraId="3831D91C" w14:textId="77777777" w:rsidR="00535BB5" w:rsidRDefault="00535BB5" w:rsidP="00535BB5">
      <w:pPr>
        <w:spacing w:line="276" w:lineRule="auto"/>
        <w:rPr>
          <w:rFonts w:ascii="Arial" w:hAnsi="Arial" w:cs="Arial"/>
          <w:bCs/>
          <w:sz w:val="20"/>
          <w:szCs w:val="20"/>
        </w:rPr>
      </w:pPr>
      <w:r>
        <w:rPr>
          <w:rFonts w:ascii="Arial" w:hAnsi="Arial" w:cs="Arial"/>
          <w:bCs/>
          <w:sz w:val="20"/>
          <w:szCs w:val="20"/>
        </w:rPr>
        <w:t>The committee was asked to consider the following issues:</w:t>
      </w:r>
    </w:p>
    <w:p w14:paraId="6B62D492" w14:textId="77777777" w:rsidR="00535BB5" w:rsidRDefault="00535BB5" w:rsidP="00102F48">
      <w:pPr>
        <w:pStyle w:val="ListParagraph"/>
        <w:numPr>
          <w:ilvl w:val="0"/>
          <w:numId w:val="5"/>
        </w:numPr>
        <w:spacing w:line="276" w:lineRule="auto"/>
        <w:rPr>
          <w:rFonts w:ascii="Arial" w:hAnsi="Arial" w:cs="Arial"/>
          <w:bCs/>
          <w:sz w:val="20"/>
          <w:szCs w:val="20"/>
        </w:rPr>
      </w:pPr>
      <w:r>
        <w:rPr>
          <w:rFonts w:ascii="Arial" w:hAnsi="Arial" w:cs="Arial"/>
          <w:bCs/>
          <w:sz w:val="20"/>
          <w:szCs w:val="20"/>
        </w:rPr>
        <w:t>Stakeholder support for the indicator</w:t>
      </w:r>
    </w:p>
    <w:p w14:paraId="1D40FC41" w14:textId="77760E2C" w:rsidR="00535BB5" w:rsidRDefault="00535BB5" w:rsidP="00102F48">
      <w:pPr>
        <w:pStyle w:val="ListParagraph"/>
        <w:numPr>
          <w:ilvl w:val="0"/>
          <w:numId w:val="5"/>
        </w:numPr>
        <w:spacing w:line="276" w:lineRule="auto"/>
        <w:rPr>
          <w:rFonts w:ascii="Arial" w:hAnsi="Arial" w:cs="Arial"/>
          <w:bCs/>
          <w:sz w:val="20"/>
          <w:szCs w:val="20"/>
        </w:rPr>
      </w:pPr>
      <w:r w:rsidRPr="00535BB5">
        <w:rPr>
          <w:rFonts w:ascii="Arial" w:hAnsi="Arial" w:cs="Arial"/>
          <w:bCs/>
          <w:sz w:val="20"/>
          <w:szCs w:val="20"/>
        </w:rPr>
        <w:t>IND 2020-85 and IND-86 also measure uptake of MMR1</w:t>
      </w:r>
    </w:p>
    <w:p w14:paraId="7B4C592A" w14:textId="41056AF5" w:rsidR="003C028F" w:rsidRDefault="003C028F" w:rsidP="00902B5E">
      <w:pPr>
        <w:spacing w:line="276" w:lineRule="auto"/>
        <w:rPr>
          <w:rFonts w:ascii="Arial" w:hAnsi="Arial" w:cs="Arial"/>
          <w:b/>
          <w:sz w:val="20"/>
          <w:szCs w:val="20"/>
        </w:rPr>
      </w:pPr>
    </w:p>
    <w:p w14:paraId="07E52069" w14:textId="07B6CA88" w:rsidR="00535BB5" w:rsidRPr="00025DAE" w:rsidRDefault="00025DAE" w:rsidP="00902B5E">
      <w:pPr>
        <w:spacing w:line="276" w:lineRule="auto"/>
        <w:rPr>
          <w:rFonts w:ascii="Arial" w:hAnsi="Arial" w:cs="Arial"/>
          <w:bCs/>
          <w:sz w:val="20"/>
          <w:szCs w:val="20"/>
        </w:rPr>
      </w:pPr>
      <w:r>
        <w:rPr>
          <w:rFonts w:ascii="Arial" w:hAnsi="Arial" w:cs="Arial"/>
          <w:bCs/>
          <w:sz w:val="20"/>
          <w:szCs w:val="20"/>
        </w:rPr>
        <w:t xml:space="preserve">The committee agreed this indicator was an important area but asked whether having just one dose of the MMR vaccine was effective. </w:t>
      </w:r>
      <w:r w:rsidR="00C479A5">
        <w:rPr>
          <w:rFonts w:ascii="Arial" w:hAnsi="Arial" w:cs="Arial"/>
          <w:bCs/>
          <w:sz w:val="20"/>
          <w:szCs w:val="20"/>
        </w:rPr>
        <w:t xml:space="preserve">The </w:t>
      </w:r>
      <w:bookmarkStart w:id="0" w:name="_Hlk49884034"/>
      <w:r w:rsidR="00C479A5">
        <w:rPr>
          <w:rFonts w:ascii="Arial" w:hAnsi="Arial" w:cs="Arial"/>
          <w:bCs/>
          <w:sz w:val="20"/>
          <w:szCs w:val="20"/>
        </w:rPr>
        <w:t xml:space="preserve">committee heard that MMR is </w:t>
      </w:r>
      <w:r>
        <w:rPr>
          <w:rFonts w:ascii="Arial" w:hAnsi="Arial" w:cs="Arial"/>
          <w:bCs/>
          <w:sz w:val="20"/>
          <w:szCs w:val="20"/>
        </w:rPr>
        <w:t>a live vaccine</w:t>
      </w:r>
      <w:r w:rsidR="004E0ED5">
        <w:rPr>
          <w:rFonts w:ascii="Arial" w:hAnsi="Arial" w:cs="Arial"/>
          <w:bCs/>
          <w:sz w:val="20"/>
          <w:szCs w:val="20"/>
        </w:rPr>
        <w:t xml:space="preserve"> and from a public health perspective it is important to have at least one dose in a high proportion of the population</w:t>
      </w:r>
      <w:bookmarkEnd w:id="0"/>
      <w:r w:rsidR="004E0ED5">
        <w:rPr>
          <w:rFonts w:ascii="Arial" w:hAnsi="Arial" w:cs="Arial"/>
          <w:bCs/>
          <w:sz w:val="20"/>
          <w:szCs w:val="20"/>
        </w:rPr>
        <w:t>. T</w:t>
      </w:r>
      <w:r>
        <w:rPr>
          <w:rFonts w:ascii="Arial" w:hAnsi="Arial" w:cs="Arial"/>
          <w:bCs/>
          <w:sz w:val="20"/>
          <w:szCs w:val="20"/>
        </w:rPr>
        <w:t>he committee supported this indicator and recommended progressing the indicator for inclusion on the NICE menu.</w:t>
      </w:r>
    </w:p>
    <w:p w14:paraId="668AAEAD" w14:textId="77777777" w:rsidR="00535BB5" w:rsidRDefault="00535BB5" w:rsidP="00902B5E">
      <w:pPr>
        <w:spacing w:line="276" w:lineRule="auto"/>
        <w:rPr>
          <w:rFonts w:ascii="Arial" w:hAnsi="Arial" w:cs="Arial"/>
          <w:b/>
          <w:sz w:val="20"/>
          <w:szCs w:val="20"/>
        </w:rPr>
      </w:pPr>
    </w:p>
    <w:p w14:paraId="23E7CF4A" w14:textId="17483859" w:rsidR="00DC23A9" w:rsidRDefault="00025DAE" w:rsidP="00025DAE">
      <w:pPr>
        <w:spacing w:line="276" w:lineRule="auto"/>
        <w:rPr>
          <w:rFonts w:ascii="Arial" w:hAnsi="Arial" w:cs="Arial"/>
          <w:bCs/>
          <w:sz w:val="20"/>
          <w:szCs w:val="20"/>
        </w:rPr>
      </w:pPr>
      <w:r w:rsidRPr="00643F80">
        <w:rPr>
          <w:rFonts w:ascii="Arial" w:hAnsi="Arial" w:cs="Arial"/>
          <w:b/>
          <w:sz w:val="20"/>
          <w:szCs w:val="20"/>
        </w:rPr>
        <w:t>Action</w:t>
      </w:r>
      <w:r>
        <w:rPr>
          <w:rFonts w:ascii="Arial" w:hAnsi="Arial" w:cs="Arial"/>
          <w:b/>
          <w:sz w:val="20"/>
          <w:szCs w:val="20"/>
        </w:rPr>
        <w:t xml:space="preserve">: </w:t>
      </w:r>
      <w:r w:rsidRPr="00902B5E">
        <w:rPr>
          <w:rFonts w:ascii="Arial" w:hAnsi="Arial" w:cs="Arial"/>
          <w:bCs/>
          <w:sz w:val="20"/>
          <w:szCs w:val="20"/>
        </w:rPr>
        <w:t>Progress</w:t>
      </w:r>
      <w:r>
        <w:rPr>
          <w:rFonts w:ascii="Arial" w:hAnsi="Arial" w:cs="Arial"/>
          <w:bCs/>
          <w:sz w:val="20"/>
          <w:szCs w:val="20"/>
        </w:rPr>
        <w:t xml:space="preserve"> indicator to NICE menu.</w:t>
      </w:r>
    </w:p>
    <w:p w14:paraId="48A66C99" w14:textId="33A10140" w:rsidR="00025DAE" w:rsidRDefault="00025DAE" w:rsidP="00025DAE">
      <w:pPr>
        <w:spacing w:line="276" w:lineRule="auto"/>
        <w:rPr>
          <w:rFonts w:ascii="Arial" w:hAnsi="Arial" w:cs="Arial"/>
          <w:bCs/>
          <w:sz w:val="20"/>
          <w:szCs w:val="20"/>
        </w:rPr>
      </w:pPr>
    </w:p>
    <w:p w14:paraId="2834B001" w14:textId="2C0E62F5" w:rsidR="003C028F" w:rsidRDefault="00025DAE" w:rsidP="00902B5E">
      <w:pPr>
        <w:spacing w:line="276" w:lineRule="auto"/>
        <w:rPr>
          <w:rFonts w:ascii="Arial" w:hAnsi="Arial" w:cs="Arial"/>
          <w:bCs/>
          <w:sz w:val="20"/>
          <w:szCs w:val="20"/>
        </w:rPr>
      </w:pPr>
      <w:r w:rsidRPr="00535BB5">
        <w:rPr>
          <w:rFonts w:ascii="Arial" w:hAnsi="Arial" w:cs="Arial"/>
          <w:b/>
          <w:sz w:val="20"/>
          <w:szCs w:val="20"/>
        </w:rPr>
        <w:t>IND 2020-8</w:t>
      </w:r>
      <w:r w:rsidR="00FD405C">
        <w:rPr>
          <w:rFonts w:ascii="Arial" w:hAnsi="Arial" w:cs="Arial"/>
          <w:b/>
          <w:sz w:val="20"/>
          <w:szCs w:val="20"/>
        </w:rPr>
        <w:t>8</w:t>
      </w:r>
      <w:r w:rsidRPr="00535BB5">
        <w:rPr>
          <w:rFonts w:ascii="Arial" w:hAnsi="Arial" w:cs="Arial"/>
          <w:b/>
          <w:sz w:val="20"/>
          <w:szCs w:val="20"/>
        </w:rPr>
        <w:t>:</w:t>
      </w:r>
      <w:r w:rsidRPr="00025DAE">
        <w:rPr>
          <w:rFonts w:ascii="Arial" w:hAnsi="Arial" w:cs="Arial"/>
          <w:bCs/>
          <w:sz w:val="20"/>
          <w:szCs w:val="20"/>
        </w:rPr>
        <w:t xml:space="preserve"> The percentage of women who reached 32 weeks of pregnancy in the preceding 12 months who have received a pertussis-containing vaccine after 16 weeks of pregnancy</w:t>
      </w:r>
    </w:p>
    <w:p w14:paraId="15B8BD41" w14:textId="220BBB25" w:rsidR="00FD405C" w:rsidRDefault="00FD405C" w:rsidP="00902B5E">
      <w:pPr>
        <w:spacing w:line="276" w:lineRule="auto"/>
        <w:rPr>
          <w:rFonts w:ascii="Arial" w:hAnsi="Arial" w:cs="Arial"/>
          <w:b/>
          <w:sz w:val="20"/>
          <w:szCs w:val="20"/>
        </w:rPr>
      </w:pPr>
    </w:p>
    <w:p w14:paraId="121DC175" w14:textId="77777777" w:rsidR="00FD405C" w:rsidRDefault="00FD405C" w:rsidP="00FD405C">
      <w:pPr>
        <w:spacing w:line="276" w:lineRule="auto"/>
        <w:rPr>
          <w:rFonts w:ascii="Arial" w:hAnsi="Arial" w:cs="Arial"/>
          <w:bCs/>
          <w:sz w:val="20"/>
          <w:szCs w:val="20"/>
        </w:rPr>
      </w:pPr>
      <w:r>
        <w:rPr>
          <w:rFonts w:ascii="Arial" w:hAnsi="Arial" w:cs="Arial"/>
          <w:bCs/>
          <w:sz w:val="20"/>
          <w:szCs w:val="20"/>
        </w:rPr>
        <w:t>The committee was asked to consider the following issues:</w:t>
      </w:r>
    </w:p>
    <w:p w14:paraId="1A9355D6" w14:textId="77777777" w:rsidR="00FD405C" w:rsidRDefault="00FD405C" w:rsidP="00102F48">
      <w:pPr>
        <w:pStyle w:val="ListParagraph"/>
        <w:numPr>
          <w:ilvl w:val="0"/>
          <w:numId w:val="5"/>
        </w:numPr>
        <w:spacing w:line="276" w:lineRule="auto"/>
        <w:rPr>
          <w:rFonts w:ascii="Arial" w:hAnsi="Arial" w:cs="Arial"/>
          <w:bCs/>
          <w:sz w:val="20"/>
          <w:szCs w:val="20"/>
        </w:rPr>
      </w:pPr>
      <w:r>
        <w:rPr>
          <w:rFonts w:ascii="Arial" w:hAnsi="Arial" w:cs="Arial"/>
          <w:bCs/>
          <w:sz w:val="20"/>
          <w:szCs w:val="20"/>
        </w:rPr>
        <w:t>Stakeholder support for the indicator</w:t>
      </w:r>
    </w:p>
    <w:p w14:paraId="5DFF1AE1" w14:textId="77777777" w:rsidR="00FD405C" w:rsidRPr="00FD405C" w:rsidRDefault="00FD405C" w:rsidP="00102F48">
      <w:pPr>
        <w:pStyle w:val="ListParagraph"/>
        <w:numPr>
          <w:ilvl w:val="0"/>
          <w:numId w:val="5"/>
        </w:numPr>
        <w:spacing w:line="276" w:lineRule="auto"/>
        <w:rPr>
          <w:rFonts w:ascii="Arial" w:hAnsi="Arial" w:cs="Arial"/>
          <w:bCs/>
          <w:sz w:val="20"/>
          <w:szCs w:val="20"/>
        </w:rPr>
      </w:pPr>
      <w:r w:rsidRPr="00FD405C">
        <w:rPr>
          <w:rFonts w:ascii="Arial" w:hAnsi="Arial" w:cs="Arial"/>
          <w:bCs/>
          <w:sz w:val="20"/>
          <w:szCs w:val="20"/>
        </w:rPr>
        <w:t>Vaccination often offered by maternity service and may not be recorded accurately or timely on general practice IT systems</w:t>
      </w:r>
    </w:p>
    <w:p w14:paraId="1EB701A2" w14:textId="77777777" w:rsidR="00FD405C" w:rsidRPr="00FD405C" w:rsidRDefault="00FD405C" w:rsidP="00102F48">
      <w:pPr>
        <w:pStyle w:val="ListParagraph"/>
        <w:numPr>
          <w:ilvl w:val="0"/>
          <w:numId w:val="5"/>
        </w:numPr>
        <w:spacing w:line="276" w:lineRule="auto"/>
        <w:rPr>
          <w:rFonts w:ascii="Arial" w:hAnsi="Arial" w:cs="Arial"/>
          <w:bCs/>
          <w:sz w:val="20"/>
          <w:szCs w:val="20"/>
        </w:rPr>
      </w:pPr>
      <w:r w:rsidRPr="00FD405C">
        <w:rPr>
          <w:rFonts w:ascii="Arial" w:hAnsi="Arial" w:cs="Arial"/>
          <w:bCs/>
          <w:sz w:val="20"/>
          <w:szCs w:val="20"/>
        </w:rPr>
        <w:t>Gestational age may not be accurately recorded on general practice IT systems or be unsuitable for data extraction</w:t>
      </w:r>
    </w:p>
    <w:p w14:paraId="6DC670CD" w14:textId="77777777" w:rsidR="00FD405C" w:rsidRPr="00FD405C" w:rsidRDefault="00FD405C" w:rsidP="00102F48">
      <w:pPr>
        <w:pStyle w:val="ListParagraph"/>
        <w:numPr>
          <w:ilvl w:val="0"/>
          <w:numId w:val="5"/>
        </w:numPr>
        <w:spacing w:line="276" w:lineRule="auto"/>
        <w:rPr>
          <w:rFonts w:ascii="Arial" w:hAnsi="Arial" w:cs="Arial"/>
          <w:bCs/>
          <w:sz w:val="20"/>
          <w:szCs w:val="20"/>
        </w:rPr>
      </w:pPr>
      <w:r w:rsidRPr="00FD405C">
        <w:rPr>
          <w:rFonts w:ascii="Arial" w:hAnsi="Arial" w:cs="Arial"/>
          <w:bCs/>
          <w:sz w:val="20"/>
          <w:szCs w:val="20"/>
        </w:rPr>
        <w:t>Unintended consequence of this indicator may be that women are not vaccinated after 32 weeks</w:t>
      </w:r>
    </w:p>
    <w:p w14:paraId="2B786F0A" w14:textId="77777777" w:rsidR="00FD405C" w:rsidRDefault="00FD405C" w:rsidP="00902B5E">
      <w:pPr>
        <w:spacing w:line="276" w:lineRule="auto"/>
        <w:rPr>
          <w:rFonts w:ascii="Arial" w:hAnsi="Arial" w:cs="Arial"/>
          <w:b/>
          <w:sz w:val="20"/>
          <w:szCs w:val="20"/>
        </w:rPr>
      </w:pPr>
    </w:p>
    <w:p w14:paraId="0B961C1B" w14:textId="4479D568" w:rsidR="00025DAE" w:rsidRPr="00FD405C" w:rsidRDefault="00FD405C" w:rsidP="00902B5E">
      <w:pPr>
        <w:spacing w:line="276" w:lineRule="auto"/>
        <w:rPr>
          <w:rFonts w:ascii="Arial" w:hAnsi="Arial" w:cs="Arial"/>
          <w:bCs/>
          <w:sz w:val="20"/>
          <w:szCs w:val="20"/>
        </w:rPr>
      </w:pPr>
      <w:r>
        <w:rPr>
          <w:rFonts w:ascii="Arial" w:hAnsi="Arial" w:cs="Arial"/>
          <w:bCs/>
          <w:sz w:val="20"/>
          <w:szCs w:val="20"/>
        </w:rPr>
        <w:lastRenderedPageBreak/>
        <w:t>The committee</w:t>
      </w:r>
      <w:r w:rsidR="00CE52B4">
        <w:rPr>
          <w:rFonts w:ascii="Arial" w:hAnsi="Arial" w:cs="Arial"/>
          <w:bCs/>
          <w:sz w:val="20"/>
          <w:szCs w:val="20"/>
        </w:rPr>
        <w:t xml:space="preserve"> noted the </w:t>
      </w:r>
      <w:r w:rsidR="00C479A5">
        <w:rPr>
          <w:rFonts w:ascii="Arial" w:hAnsi="Arial" w:cs="Arial"/>
          <w:bCs/>
          <w:sz w:val="20"/>
          <w:szCs w:val="20"/>
        </w:rPr>
        <w:t xml:space="preserve">strong </w:t>
      </w:r>
      <w:r w:rsidR="00CE52B4">
        <w:rPr>
          <w:rFonts w:ascii="Arial" w:hAnsi="Arial" w:cs="Arial"/>
          <w:bCs/>
          <w:sz w:val="20"/>
          <w:szCs w:val="20"/>
        </w:rPr>
        <w:t>stakeholder support for the indicator but acknowledge</w:t>
      </w:r>
      <w:r w:rsidR="00B071B5">
        <w:rPr>
          <w:rFonts w:ascii="Arial" w:hAnsi="Arial" w:cs="Arial"/>
          <w:bCs/>
          <w:sz w:val="20"/>
          <w:szCs w:val="20"/>
        </w:rPr>
        <w:t>d</w:t>
      </w:r>
      <w:r w:rsidR="00CE52B4">
        <w:rPr>
          <w:rFonts w:ascii="Arial" w:hAnsi="Arial" w:cs="Arial"/>
          <w:bCs/>
          <w:sz w:val="20"/>
          <w:szCs w:val="20"/>
        </w:rPr>
        <w:t xml:space="preserve"> there were some challenges around data extraction as the </w:t>
      </w:r>
      <w:r w:rsidR="00EE60B2">
        <w:rPr>
          <w:rFonts w:ascii="Arial" w:hAnsi="Arial" w:cs="Arial"/>
          <w:bCs/>
          <w:sz w:val="20"/>
          <w:szCs w:val="20"/>
        </w:rPr>
        <w:t xml:space="preserve">current </w:t>
      </w:r>
      <w:r w:rsidR="00CE52B4">
        <w:rPr>
          <w:rFonts w:ascii="Arial" w:hAnsi="Arial" w:cs="Arial"/>
          <w:bCs/>
          <w:sz w:val="20"/>
          <w:szCs w:val="20"/>
        </w:rPr>
        <w:t xml:space="preserve">information systems are </w:t>
      </w:r>
      <w:r w:rsidR="00EE60B2">
        <w:rPr>
          <w:rFonts w:ascii="Arial" w:hAnsi="Arial" w:cs="Arial"/>
          <w:bCs/>
          <w:sz w:val="20"/>
          <w:szCs w:val="20"/>
        </w:rPr>
        <w:t xml:space="preserve">often </w:t>
      </w:r>
      <w:r w:rsidR="00CE52B4">
        <w:rPr>
          <w:rFonts w:ascii="Arial" w:hAnsi="Arial" w:cs="Arial"/>
          <w:bCs/>
          <w:sz w:val="20"/>
          <w:szCs w:val="20"/>
        </w:rPr>
        <w:t>fragmented. The committee recommended that further work was required on the indicator by the NICE team.</w:t>
      </w:r>
    </w:p>
    <w:p w14:paraId="3A8A1E01" w14:textId="77777777" w:rsidR="00FD405C" w:rsidRDefault="00FD405C" w:rsidP="00902B5E">
      <w:pPr>
        <w:spacing w:line="276" w:lineRule="auto"/>
        <w:rPr>
          <w:rFonts w:ascii="Arial" w:hAnsi="Arial" w:cs="Arial"/>
          <w:b/>
          <w:sz w:val="20"/>
          <w:szCs w:val="20"/>
        </w:rPr>
      </w:pPr>
    </w:p>
    <w:p w14:paraId="21AEE880" w14:textId="21F7ABBC" w:rsidR="003C028F" w:rsidRPr="00902B5E" w:rsidRDefault="00902B5E" w:rsidP="00902B5E">
      <w:pPr>
        <w:spacing w:line="276" w:lineRule="auto"/>
        <w:rPr>
          <w:rFonts w:ascii="Arial" w:hAnsi="Arial" w:cs="Arial"/>
          <w:bCs/>
          <w:sz w:val="20"/>
          <w:szCs w:val="20"/>
        </w:rPr>
      </w:pPr>
      <w:r>
        <w:rPr>
          <w:rFonts w:ascii="Arial" w:hAnsi="Arial" w:cs="Arial"/>
          <w:b/>
          <w:sz w:val="20"/>
          <w:szCs w:val="20"/>
        </w:rPr>
        <w:t>Action</w:t>
      </w:r>
      <w:r w:rsidR="003C028F">
        <w:rPr>
          <w:rFonts w:ascii="Arial" w:hAnsi="Arial" w:cs="Arial"/>
          <w:b/>
          <w:sz w:val="20"/>
          <w:szCs w:val="20"/>
        </w:rPr>
        <w:t>:</w:t>
      </w:r>
      <w:r>
        <w:rPr>
          <w:rFonts w:ascii="Arial" w:hAnsi="Arial" w:cs="Arial"/>
          <w:b/>
          <w:sz w:val="20"/>
          <w:szCs w:val="20"/>
        </w:rPr>
        <w:t xml:space="preserve"> </w:t>
      </w:r>
      <w:r w:rsidRPr="00902B5E">
        <w:rPr>
          <w:rFonts w:ascii="Arial" w:hAnsi="Arial" w:cs="Arial"/>
          <w:bCs/>
          <w:sz w:val="20"/>
          <w:szCs w:val="20"/>
        </w:rPr>
        <w:t>NICE to undertake further development work, consider as CCG level or system indicator, possible pilot and consider</w:t>
      </w:r>
      <w:r w:rsidR="003D4680">
        <w:rPr>
          <w:rFonts w:ascii="Arial" w:hAnsi="Arial" w:cs="Arial"/>
          <w:bCs/>
          <w:sz w:val="20"/>
          <w:szCs w:val="20"/>
        </w:rPr>
        <w:t xml:space="preserve"> coding issues and</w:t>
      </w:r>
      <w:r w:rsidRPr="00902B5E">
        <w:rPr>
          <w:rFonts w:ascii="Arial" w:hAnsi="Arial" w:cs="Arial"/>
          <w:bCs/>
          <w:sz w:val="20"/>
          <w:szCs w:val="20"/>
        </w:rPr>
        <w:t xml:space="preserve"> timeframe up to delivery.</w:t>
      </w:r>
    </w:p>
    <w:p w14:paraId="4870D9CF" w14:textId="77777777" w:rsidR="00860912" w:rsidRDefault="00860912" w:rsidP="00902B5E">
      <w:pPr>
        <w:spacing w:line="276" w:lineRule="auto"/>
        <w:rPr>
          <w:rFonts w:ascii="Arial" w:hAnsi="Arial" w:cs="Arial"/>
          <w:bCs/>
          <w:sz w:val="20"/>
          <w:szCs w:val="20"/>
        </w:rPr>
      </w:pPr>
    </w:p>
    <w:p w14:paraId="61C0115A" w14:textId="53ED10A0" w:rsidR="003C028F" w:rsidRDefault="00CE52B4" w:rsidP="00902B5E">
      <w:pPr>
        <w:spacing w:line="276" w:lineRule="auto"/>
        <w:rPr>
          <w:rFonts w:ascii="Arial" w:hAnsi="Arial" w:cs="Arial"/>
          <w:bCs/>
          <w:sz w:val="20"/>
          <w:szCs w:val="20"/>
        </w:rPr>
      </w:pPr>
      <w:r w:rsidRPr="00535BB5">
        <w:rPr>
          <w:rFonts w:ascii="Arial" w:hAnsi="Arial" w:cs="Arial"/>
          <w:b/>
          <w:sz w:val="20"/>
          <w:szCs w:val="20"/>
        </w:rPr>
        <w:t>IND 2020-8</w:t>
      </w:r>
      <w:r w:rsidR="006945B4">
        <w:rPr>
          <w:rFonts w:ascii="Arial" w:hAnsi="Arial" w:cs="Arial"/>
          <w:b/>
          <w:sz w:val="20"/>
          <w:szCs w:val="20"/>
        </w:rPr>
        <w:t>9</w:t>
      </w:r>
      <w:r w:rsidRPr="00535BB5">
        <w:rPr>
          <w:rFonts w:ascii="Arial" w:hAnsi="Arial" w:cs="Arial"/>
          <w:b/>
          <w:sz w:val="20"/>
          <w:szCs w:val="20"/>
        </w:rPr>
        <w:t>:</w:t>
      </w:r>
      <w:r w:rsidRPr="00025DAE">
        <w:rPr>
          <w:rFonts w:ascii="Arial" w:hAnsi="Arial" w:cs="Arial"/>
          <w:bCs/>
          <w:sz w:val="20"/>
          <w:szCs w:val="20"/>
        </w:rPr>
        <w:t xml:space="preserve"> </w:t>
      </w:r>
      <w:r w:rsidRPr="00CE52B4">
        <w:rPr>
          <w:rFonts w:ascii="Arial" w:hAnsi="Arial" w:cs="Arial"/>
          <w:bCs/>
          <w:sz w:val="20"/>
          <w:szCs w:val="20"/>
        </w:rPr>
        <w:t>The percentage of patients who reached 75 years of age in the preceding 12 months with a record of a shingles vaccine.</w:t>
      </w:r>
    </w:p>
    <w:p w14:paraId="09DA8798" w14:textId="1F907942" w:rsidR="00CE52B4" w:rsidRDefault="00CE52B4" w:rsidP="00902B5E">
      <w:pPr>
        <w:spacing w:line="276" w:lineRule="auto"/>
        <w:rPr>
          <w:rFonts w:ascii="Arial" w:hAnsi="Arial" w:cs="Arial"/>
          <w:bCs/>
          <w:sz w:val="20"/>
          <w:szCs w:val="20"/>
        </w:rPr>
      </w:pPr>
    </w:p>
    <w:p w14:paraId="38E2F1C6" w14:textId="77777777" w:rsidR="00CE52B4" w:rsidRDefault="00CE52B4" w:rsidP="00CE52B4">
      <w:pPr>
        <w:spacing w:line="276" w:lineRule="auto"/>
        <w:rPr>
          <w:rFonts w:ascii="Arial" w:hAnsi="Arial" w:cs="Arial"/>
          <w:bCs/>
          <w:sz w:val="20"/>
          <w:szCs w:val="20"/>
        </w:rPr>
      </w:pPr>
      <w:r>
        <w:rPr>
          <w:rFonts w:ascii="Arial" w:hAnsi="Arial" w:cs="Arial"/>
          <w:bCs/>
          <w:sz w:val="20"/>
          <w:szCs w:val="20"/>
        </w:rPr>
        <w:t>The committee was asked to consider the following issues:</w:t>
      </w:r>
    </w:p>
    <w:p w14:paraId="756206ED" w14:textId="77777777" w:rsidR="00CE52B4" w:rsidRDefault="00CE52B4" w:rsidP="00102F48">
      <w:pPr>
        <w:pStyle w:val="ListParagraph"/>
        <w:numPr>
          <w:ilvl w:val="0"/>
          <w:numId w:val="5"/>
        </w:numPr>
        <w:spacing w:line="276" w:lineRule="auto"/>
        <w:rPr>
          <w:rFonts w:ascii="Arial" w:hAnsi="Arial" w:cs="Arial"/>
          <w:bCs/>
          <w:sz w:val="20"/>
          <w:szCs w:val="20"/>
        </w:rPr>
      </w:pPr>
      <w:r>
        <w:rPr>
          <w:rFonts w:ascii="Arial" w:hAnsi="Arial" w:cs="Arial"/>
          <w:bCs/>
          <w:sz w:val="20"/>
          <w:szCs w:val="20"/>
        </w:rPr>
        <w:t>Stakeholder support for the indicator</w:t>
      </w:r>
    </w:p>
    <w:p w14:paraId="19E01297" w14:textId="77777777" w:rsidR="00CE52B4" w:rsidRPr="00CE52B4" w:rsidRDefault="00CE52B4" w:rsidP="00102F48">
      <w:pPr>
        <w:numPr>
          <w:ilvl w:val="0"/>
          <w:numId w:val="5"/>
        </w:numPr>
        <w:spacing w:line="276" w:lineRule="auto"/>
        <w:rPr>
          <w:rFonts w:ascii="Arial" w:hAnsi="Arial" w:cs="Arial"/>
          <w:bCs/>
          <w:sz w:val="20"/>
          <w:szCs w:val="20"/>
        </w:rPr>
      </w:pPr>
      <w:r w:rsidRPr="00CE52B4">
        <w:rPr>
          <w:rFonts w:ascii="Arial" w:hAnsi="Arial" w:cs="Arial"/>
          <w:bCs/>
          <w:sz w:val="20"/>
          <w:szCs w:val="20"/>
        </w:rPr>
        <w:t>Tailored interventions needed to increase uptake in eligible population</w:t>
      </w:r>
    </w:p>
    <w:p w14:paraId="0488A4CF" w14:textId="38D68E3E" w:rsidR="00CE52B4" w:rsidRDefault="00CE52B4" w:rsidP="00902B5E">
      <w:pPr>
        <w:spacing w:line="276" w:lineRule="auto"/>
        <w:rPr>
          <w:rFonts w:ascii="Arial" w:hAnsi="Arial" w:cs="Arial"/>
          <w:bCs/>
          <w:sz w:val="20"/>
          <w:szCs w:val="20"/>
        </w:rPr>
      </w:pPr>
    </w:p>
    <w:p w14:paraId="6D447D03" w14:textId="2C037D89" w:rsidR="0093016A" w:rsidRPr="00025DAE" w:rsidRDefault="00CE52B4" w:rsidP="0093016A">
      <w:pPr>
        <w:spacing w:line="276" w:lineRule="auto"/>
        <w:rPr>
          <w:rFonts w:ascii="Arial" w:hAnsi="Arial" w:cs="Arial"/>
          <w:bCs/>
          <w:sz w:val="20"/>
          <w:szCs w:val="20"/>
        </w:rPr>
      </w:pPr>
      <w:r w:rsidRPr="00FD3C34">
        <w:rPr>
          <w:rFonts w:ascii="Arial" w:hAnsi="Arial" w:cs="Arial"/>
          <w:bCs/>
          <w:sz w:val="20"/>
          <w:szCs w:val="20"/>
        </w:rPr>
        <w:t xml:space="preserve">The committee supported </w:t>
      </w:r>
      <w:r w:rsidR="0093016A" w:rsidRPr="00FD3C34">
        <w:rPr>
          <w:rFonts w:ascii="Arial" w:hAnsi="Arial" w:cs="Arial"/>
          <w:bCs/>
          <w:sz w:val="20"/>
          <w:szCs w:val="20"/>
        </w:rPr>
        <w:t xml:space="preserve">this indicator, noting the </w:t>
      </w:r>
      <w:r w:rsidRPr="00FD3C34">
        <w:rPr>
          <w:rFonts w:ascii="Arial" w:hAnsi="Arial" w:cs="Arial"/>
          <w:bCs/>
          <w:sz w:val="20"/>
          <w:szCs w:val="20"/>
        </w:rPr>
        <w:t>wide variation in practice and high mortality</w:t>
      </w:r>
      <w:r w:rsidR="0093016A" w:rsidRPr="00FD3C34">
        <w:rPr>
          <w:rFonts w:ascii="Arial" w:hAnsi="Arial" w:cs="Arial"/>
          <w:bCs/>
          <w:sz w:val="20"/>
          <w:szCs w:val="20"/>
        </w:rPr>
        <w:t>.</w:t>
      </w:r>
      <w:r w:rsidR="00C479A5" w:rsidRPr="00FD3C34">
        <w:rPr>
          <w:rFonts w:ascii="Arial" w:hAnsi="Arial" w:cs="Arial"/>
          <w:bCs/>
          <w:sz w:val="20"/>
          <w:szCs w:val="20"/>
        </w:rPr>
        <w:t xml:space="preserve"> The committee was aware of stakeholder comments</w:t>
      </w:r>
      <w:r w:rsidR="00DB2CD5" w:rsidRPr="00FD3C34">
        <w:rPr>
          <w:rFonts w:ascii="Arial" w:hAnsi="Arial" w:cs="Arial"/>
          <w:bCs/>
          <w:sz w:val="20"/>
          <w:szCs w:val="20"/>
        </w:rPr>
        <w:t xml:space="preserve"> on the current age range for this indicator. The committee heard </w:t>
      </w:r>
      <w:r w:rsidR="0093016A" w:rsidRPr="00FD3C34">
        <w:rPr>
          <w:rFonts w:ascii="Arial" w:hAnsi="Arial" w:cs="Arial"/>
          <w:bCs/>
          <w:sz w:val="20"/>
          <w:szCs w:val="20"/>
        </w:rPr>
        <w:t>that the efficacy of the vaccine decreases as age increases, whilst the incidence of the disease increases as age increases, particularly</w:t>
      </w:r>
      <w:r w:rsidR="0093016A">
        <w:rPr>
          <w:rFonts w:ascii="Arial" w:hAnsi="Arial" w:cs="Arial"/>
          <w:bCs/>
          <w:sz w:val="20"/>
          <w:szCs w:val="20"/>
        </w:rPr>
        <w:t xml:space="preserve"> by 80 years old, so the age range of 75 years old was agreed as a pragmatic mid-point. The committee agreed with this age range and recommended progressing the indicator for inclusion on the NICE menu.</w:t>
      </w:r>
    </w:p>
    <w:p w14:paraId="777CD685" w14:textId="77777777" w:rsidR="0093016A" w:rsidRDefault="0093016A" w:rsidP="0093016A">
      <w:pPr>
        <w:spacing w:line="276" w:lineRule="auto"/>
        <w:rPr>
          <w:rFonts w:ascii="Arial" w:hAnsi="Arial" w:cs="Arial"/>
          <w:b/>
          <w:sz w:val="20"/>
          <w:szCs w:val="20"/>
        </w:rPr>
      </w:pPr>
    </w:p>
    <w:p w14:paraId="0B3EA508" w14:textId="358405AB" w:rsidR="0093016A" w:rsidRDefault="0093016A" w:rsidP="0093016A">
      <w:pPr>
        <w:spacing w:line="276" w:lineRule="auto"/>
        <w:rPr>
          <w:rFonts w:ascii="Arial" w:hAnsi="Arial" w:cs="Arial"/>
          <w:bCs/>
          <w:sz w:val="20"/>
          <w:szCs w:val="20"/>
        </w:rPr>
      </w:pPr>
      <w:r w:rsidRPr="00643F80">
        <w:rPr>
          <w:rFonts w:ascii="Arial" w:hAnsi="Arial" w:cs="Arial"/>
          <w:b/>
          <w:sz w:val="20"/>
          <w:szCs w:val="20"/>
        </w:rPr>
        <w:t>Action</w:t>
      </w:r>
      <w:r>
        <w:rPr>
          <w:rFonts w:ascii="Arial" w:hAnsi="Arial" w:cs="Arial"/>
          <w:b/>
          <w:sz w:val="20"/>
          <w:szCs w:val="20"/>
        </w:rPr>
        <w:t xml:space="preserve">: </w:t>
      </w:r>
      <w:r w:rsidRPr="00902B5E">
        <w:rPr>
          <w:rFonts w:ascii="Arial" w:hAnsi="Arial" w:cs="Arial"/>
          <w:bCs/>
          <w:sz w:val="20"/>
          <w:szCs w:val="20"/>
        </w:rPr>
        <w:t>Progress</w:t>
      </w:r>
      <w:r>
        <w:rPr>
          <w:rFonts w:ascii="Arial" w:hAnsi="Arial" w:cs="Arial"/>
          <w:bCs/>
          <w:sz w:val="20"/>
          <w:szCs w:val="20"/>
        </w:rPr>
        <w:t xml:space="preserve"> indicator to NICE menu.</w:t>
      </w:r>
    </w:p>
    <w:p w14:paraId="24DA37B5" w14:textId="6297D246" w:rsidR="003D4680" w:rsidRDefault="003D4680" w:rsidP="0093016A">
      <w:pPr>
        <w:spacing w:line="276" w:lineRule="auto"/>
        <w:rPr>
          <w:rFonts w:ascii="Arial" w:hAnsi="Arial" w:cs="Arial"/>
          <w:bCs/>
          <w:sz w:val="20"/>
          <w:szCs w:val="20"/>
        </w:rPr>
      </w:pPr>
    </w:p>
    <w:p w14:paraId="310E270D" w14:textId="77777777" w:rsidR="00FD0209" w:rsidRPr="002E0C54" w:rsidRDefault="003D4680" w:rsidP="0093339D">
      <w:pPr>
        <w:pStyle w:val="Heading4"/>
      </w:pPr>
      <w:r w:rsidRPr="002E0C54">
        <w:t xml:space="preserve">Additional indicators: </w:t>
      </w:r>
    </w:p>
    <w:p w14:paraId="31928268" w14:textId="77777777" w:rsidR="00FD0209" w:rsidRDefault="00FD0209" w:rsidP="0093016A">
      <w:pPr>
        <w:spacing w:line="276" w:lineRule="auto"/>
        <w:rPr>
          <w:rFonts w:ascii="Arial" w:hAnsi="Arial" w:cs="Arial"/>
          <w:bCs/>
          <w:sz w:val="20"/>
          <w:szCs w:val="20"/>
        </w:rPr>
      </w:pPr>
    </w:p>
    <w:p w14:paraId="5EAAF126" w14:textId="1C210CE4" w:rsidR="00FD0209" w:rsidRDefault="00FD0209" w:rsidP="0093016A">
      <w:pPr>
        <w:spacing w:line="276" w:lineRule="auto"/>
        <w:rPr>
          <w:rFonts w:ascii="Arial" w:hAnsi="Arial" w:cs="Arial"/>
          <w:bCs/>
          <w:sz w:val="20"/>
          <w:szCs w:val="20"/>
        </w:rPr>
      </w:pPr>
      <w:r>
        <w:rPr>
          <w:rFonts w:ascii="Arial" w:hAnsi="Arial" w:cs="Arial"/>
          <w:bCs/>
          <w:sz w:val="20"/>
          <w:szCs w:val="20"/>
        </w:rPr>
        <w:t>The committee was asked to consider the following areas suggested by stakeholders:</w:t>
      </w:r>
    </w:p>
    <w:p w14:paraId="2FF3303F" w14:textId="7DD01570" w:rsidR="00FD0209" w:rsidRDefault="00FD0209" w:rsidP="00FD0209">
      <w:pPr>
        <w:pStyle w:val="ListParagraph"/>
        <w:numPr>
          <w:ilvl w:val="0"/>
          <w:numId w:val="7"/>
        </w:numPr>
        <w:spacing w:line="276" w:lineRule="auto"/>
        <w:rPr>
          <w:rFonts w:ascii="Arial" w:hAnsi="Arial" w:cs="Arial"/>
          <w:bCs/>
          <w:sz w:val="20"/>
          <w:szCs w:val="20"/>
        </w:rPr>
      </w:pPr>
      <w:r>
        <w:rPr>
          <w:rFonts w:ascii="Arial" w:hAnsi="Arial" w:cs="Arial"/>
          <w:bCs/>
          <w:sz w:val="20"/>
          <w:szCs w:val="20"/>
        </w:rPr>
        <w:t>Percentage of children fully immunised by 5 years</w:t>
      </w:r>
    </w:p>
    <w:p w14:paraId="68FE146D" w14:textId="32D35A02" w:rsidR="00FD0209" w:rsidRDefault="00FD0209" w:rsidP="00FD0209">
      <w:pPr>
        <w:pStyle w:val="ListParagraph"/>
        <w:numPr>
          <w:ilvl w:val="0"/>
          <w:numId w:val="7"/>
        </w:numPr>
        <w:spacing w:line="276" w:lineRule="auto"/>
        <w:rPr>
          <w:rFonts w:ascii="Arial" w:hAnsi="Arial" w:cs="Arial"/>
          <w:bCs/>
          <w:sz w:val="20"/>
          <w:szCs w:val="20"/>
        </w:rPr>
      </w:pPr>
      <w:r>
        <w:rPr>
          <w:rFonts w:ascii="Arial" w:hAnsi="Arial" w:cs="Arial"/>
          <w:bCs/>
          <w:sz w:val="20"/>
          <w:szCs w:val="20"/>
        </w:rPr>
        <w:t>Pneumococcal vaccine (PPV and PCV) in eligible groups</w:t>
      </w:r>
    </w:p>
    <w:p w14:paraId="12D2EC6E" w14:textId="77777777" w:rsidR="00FD0209" w:rsidRDefault="00FD0209" w:rsidP="00FD0209">
      <w:pPr>
        <w:pStyle w:val="ListParagraph"/>
        <w:numPr>
          <w:ilvl w:val="0"/>
          <w:numId w:val="7"/>
        </w:numPr>
        <w:spacing w:line="276" w:lineRule="auto"/>
        <w:rPr>
          <w:rFonts w:ascii="Arial" w:hAnsi="Arial" w:cs="Arial"/>
          <w:bCs/>
          <w:sz w:val="20"/>
          <w:szCs w:val="20"/>
        </w:rPr>
      </w:pPr>
      <w:r>
        <w:rPr>
          <w:rFonts w:ascii="Arial" w:hAnsi="Arial" w:cs="Arial"/>
          <w:bCs/>
          <w:sz w:val="20"/>
          <w:szCs w:val="20"/>
        </w:rPr>
        <w:t>Influenza vaccine in pregnancy</w:t>
      </w:r>
    </w:p>
    <w:p w14:paraId="3B7BE2BC" w14:textId="4B0F319E" w:rsidR="00FD0209" w:rsidRDefault="00FD0209" w:rsidP="00FD0209">
      <w:pPr>
        <w:pStyle w:val="ListParagraph"/>
        <w:numPr>
          <w:ilvl w:val="0"/>
          <w:numId w:val="7"/>
        </w:numPr>
        <w:spacing w:line="276" w:lineRule="auto"/>
        <w:rPr>
          <w:rFonts w:ascii="Arial" w:hAnsi="Arial" w:cs="Arial"/>
          <w:bCs/>
          <w:sz w:val="20"/>
          <w:szCs w:val="20"/>
        </w:rPr>
      </w:pPr>
      <w:r>
        <w:rPr>
          <w:rFonts w:ascii="Arial" w:hAnsi="Arial" w:cs="Arial"/>
          <w:bCs/>
          <w:sz w:val="20"/>
          <w:szCs w:val="20"/>
        </w:rPr>
        <w:t>16-week immunisation visit</w:t>
      </w:r>
    </w:p>
    <w:p w14:paraId="61F464D5" w14:textId="56EBA2E4" w:rsidR="00FD0209" w:rsidRDefault="00FD0209" w:rsidP="00FD0209">
      <w:pPr>
        <w:pStyle w:val="ListParagraph"/>
        <w:numPr>
          <w:ilvl w:val="0"/>
          <w:numId w:val="7"/>
        </w:numPr>
        <w:spacing w:line="276" w:lineRule="auto"/>
        <w:rPr>
          <w:rFonts w:ascii="Arial" w:hAnsi="Arial" w:cs="Arial"/>
          <w:bCs/>
          <w:sz w:val="20"/>
          <w:szCs w:val="20"/>
        </w:rPr>
      </w:pPr>
      <w:r>
        <w:rPr>
          <w:rFonts w:ascii="Arial" w:hAnsi="Arial" w:cs="Arial"/>
          <w:bCs/>
          <w:sz w:val="20"/>
          <w:szCs w:val="20"/>
        </w:rPr>
        <w:t>Maternal pertussis after 32 weeks of pregnancy</w:t>
      </w:r>
    </w:p>
    <w:p w14:paraId="28D4D6CD" w14:textId="77777777" w:rsidR="00FD0209" w:rsidRDefault="00FD0209" w:rsidP="002E0C54">
      <w:pPr>
        <w:pStyle w:val="ListParagraph"/>
        <w:spacing w:line="276" w:lineRule="auto"/>
        <w:rPr>
          <w:rFonts w:ascii="Arial" w:hAnsi="Arial" w:cs="Arial"/>
          <w:bCs/>
          <w:sz w:val="20"/>
          <w:szCs w:val="20"/>
        </w:rPr>
      </w:pPr>
    </w:p>
    <w:p w14:paraId="756AB81E" w14:textId="6D3694B9" w:rsidR="003D4680" w:rsidRPr="002E0C54" w:rsidRDefault="003D4680" w:rsidP="00FD0209">
      <w:pPr>
        <w:spacing w:line="276" w:lineRule="auto"/>
        <w:rPr>
          <w:rFonts w:ascii="Arial" w:hAnsi="Arial" w:cs="Arial"/>
          <w:bCs/>
          <w:sz w:val="20"/>
          <w:szCs w:val="20"/>
        </w:rPr>
      </w:pPr>
      <w:r w:rsidRPr="002E0C54">
        <w:rPr>
          <w:rFonts w:ascii="Arial" w:hAnsi="Arial" w:cs="Arial"/>
          <w:bCs/>
          <w:sz w:val="20"/>
          <w:szCs w:val="20"/>
        </w:rPr>
        <w:t>The committee acknowledged the additional indicators suggested by stakeholders and suggested that an indicator for PPV in at risk groups including those aged 65 and over would be useful.</w:t>
      </w:r>
    </w:p>
    <w:p w14:paraId="2C335EB0" w14:textId="77777777" w:rsidR="002E5951" w:rsidRDefault="002E5951" w:rsidP="0093016A">
      <w:pPr>
        <w:spacing w:line="276" w:lineRule="auto"/>
        <w:rPr>
          <w:rFonts w:ascii="Arial" w:hAnsi="Arial" w:cs="Arial"/>
          <w:bCs/>
          <w:sz w:val="20"/>
          <w:szCs w:val="20"/>
        </w:rPr>
      </w:pPr>
    </w:p>
    <w:p w14:paraId="7F8F7244" w14:textId="57397466" w:rsidR="002E5951" w:rsidRDefault="002E5951" w:rsidP="0093016A">
      <w:pPr>
        <w:spacing w:line="276" w:lineRule="auto"/>
        <w:rPr>
          <w:rFonts w:ascii="Arial" w:hAnsi="Arial" w:cs="Arial"/>
          <w:bCs/>
          <w:sz w:val="20"/>
          <w:szCs w:val="20"/>
        </w:rPr>
      </w:pPr>
      <w:r w:rsidRPr="002E0C54">
        <w:rPr>
          <w:rFonts w:ascii="Arial" w:hAnsi="Arial" w:cs="Arial"/>
          <w:b/>
          <w:sz w:val="20"/>
          <w:szCs w:val="20"/>
        </w:rPr>
        <w:t>Action:</w:t>
      </w:r>
      <w:r>
        <w:rPr>
          <w:rFonts w:ascii="Arial" w:hAnsi="Arial" w:cs="Arial"/>
          <w:bCs/>
          <w:sz w:val="20"/>
          <w:szCs w:val="20"/>
        </w:rPr>
        <w:t xml:space="preserve"> NICE to discuss further development with PHE</w:t>
      </w:r>
      <w:r w:rsidR="00DB2CD5">
        <w:rPr>
          <w:rFonts w:ascii="Arial" w:hAnsi="Arial" w:cs="Arial"/>
          <w:bCs/>
          <w:sz w:val="20"/>
          <w:szCs w:val="20"/>
        </w:rPr>
        <w:t xml:space="preserve"> and NHS E/I</w:t>
      </w:r>
      <w:r>
        <w:rPr>
          <w:rFonts w:ascii="Arial" w:hAnsi="Arial" w:cs="Arial"/>
          <w:bCs/>
          <w:sz w:val="20"/>
          <w:szCs w:val="20"/>
        </w:rPr>
        <w:t xml:space="preserve">. </w:t>
      </w:r>
    </w:p>
    <w:p w14:paraId="1A1BAB74" w14:textId="7D4DC8FE" w:rsidR="00CE52B4" w:rsidRDefault="00CE52B4" w:rsidP="00902B5E">
      <w:pPr>
        <w:spacing w:line="276" w:lineRule="auto"/>
        <w:rPr>
          <w:rFonts w:ascii="Arial" w:hAnsi="Arial" w:cs="Arial"/>
          <w:bCs/>
          <w:sz w:val="20"/>
          <w:szCs w:val="20"/>
        </w:rPr>
      </w:pPr>
    </w:p>
    <w:p w14:paraId="3B25BE1F" w14:textId="06B4A506" w:rsidR="000F1707" w:rsidRDefault="0034595F" w:rsidP="0093339D">
      <w:pPr>
        <w:pStyle w:val="Heading4"/>
      </w:pPr>
      <w:r>
        <w:t xml:space="preserve">Obesity </w:t>
      </w:r>
    </w:p>
    <w:p w14:paraId="6FD30868" w14:textId="43E7CEC6" w:rsidR="000646AD" w:rsidRDefault="000646AD" w:rsidP="00724367">
      <w:pPr>
        <w:spacing w:line="276" w:lineRule="auto"/>
        <w:rPr>
          <w:rFonts w:ascii="Arial" w:hAnsi="Arial" w:cs="Arial"/>
          <w:bCs/>
          <w:sz w:val="20"/>
          <w:szCs w:val="20"/>
        </w:rPr>
      </w:pPr>
      <w:r>
        <w:rPr>
          <w:rFonts w:ascii="Arial" w:hAnsi="Arial" w:cs="Arial"/>
          <w:bCs/>
          <w:sz w:val="20"/>
          <w:szCs w:val="20"/>
        </w:rPr>
        <w:t xml:space="preserve">FD </w:t>
      </w:r>
      <w:r w:rsidR="007E7BB1">
        <w:rPr>
          <w:rFonts w:ascii="Arial" w:hAnsi="Arial" w:cs="Arial"/>
          <w:bCs/>
          <w:sz w:val="20"/>
          <w:szCs w:val="20"/>
        </w:rPr>
        <w:t>introduced</w:t>
      </w:r>
      <w:r>
        <w:rPr>
          <w:rFonts w:ascii="Arial" w:hAnsi="Arial" w:cs="Arial"/>
          <w:bCs/>
          <w:sz w:val="20"/>
          <w:szCs w:val="20"/>
        </w:rPr>
        <w:t xml:space="preserve"> the indicators on behalf of NHS E/I </w:t>
      </w:r>
      <w:proofErr w:type="gramStart"/>
      <w:r>
        <w:rPr>
          <w:rFonts w:ascii="Arial" w:hAnsi="Arial" w:cs="Arial"/>
          <w:bCs/>
          <w:sz w:val="20"/>
          <w:szCs w:val="20"/>
        </w:rPr>
        <w:t>including</w:t>
      </w:r>
      <w:proofErr w:type="gramEnd"/>
      <w:r>
        <w:rPr>
          <w:rFonts w:ascii="Arial" w:hAnsi="Arial" w:cs="Arial"/>
          <w:bCs/>
          <w:sz w:val="20"/>
          <w:szCs w:val="20"/>
        </w:rPr>
        <w:t xml:space="preserve"> the current national policy </w:t>
      </w:r>
      <w:r w:rsidR="007E7BB1">
        <w:rPr>
          <w:rFonts w:ascii="Arial" w:hAnsi="Arial" w:cs="Arial"/>
          <w:bCs/>
          <w:sz w:val="20"/>
          <w:szCs w:val="20"/>
        </w:rPr>
        <w:t>context and</w:t>
      </w:r>
      <w:r>
        <w:rPr>
          <w:rFonts w:ascii="Arial" w:hAnsi="Arial" w:cs="Arial"/>
          <w:bCs/>
          <w:sz w:val="20"/>
          <w:szCs w:val="20"/>
        </w:rPr>
        <w:t xml:space="preserve"> continued to provide input throughout the discussion.</w:t>
      </w:r>
    </w:p>
    <w:p w14:paraId="1A24756C" w14:textId="736F7DA5" w:rsidR="00724367" w:rsidRDefault="00724367" w:rsidP="00724367">
      <w:pPr>
        <w:spacing w:line="276" w:lineRule="auto"/>
        <w:rPr>
          <w:rFonts w:ascii="Arial" w:hAnsi="Arial" w:cs="Arial"/>
          <w:bCs/>
          <w:sz w:val="20"/>
          <w:szCs w:val="20"/>
        </w:rPr>
      </w:pPr>
      <w:r>
        <w:rPr>
          <w:rFonts w:ascii="Arial" w:hAnsi="Arial" w:cs="Arial"/>
          <w:bCs/>
          <w:sz w:val="20"/>
          <w:szCs w:val="20"/>
        </w:rPr>
        <w:t xml:space="preserve">DS </w:t>
      </w:r>
      <w:r w:rsidRPr="006876E6">
        <w:rPr>
          <w:rFonts w:ascii="Arial" w:hAnsi="Arial" w:cs="Arial"/>
          <w:bCs/>
          <w:sz w:val="20"/>
          <w:szCs w:val="20"/>
        </w:rPr>
        <w:t xml:space="preserve">presented a summary of the stakeholder consultation feedback for the draft </w:t>
      </w:r>
      <w:r w:rsidR="008804B7">
        <w:rPr>
          <w:rFonts w:ascii="Arial" w:hAnsi="Arial" w:cs="Arial"/>
          <w:bCs/>
          <w:sz w:val="20"/>
          <w:szCs w:val="20"/>
        </w:rPr>
        <w:t>obesity</w:t>
      </w:r>
      <w:r w:rsidRPr="006876E6">
        <w:rPr>
          <w:rFonts w:ascii="Arial" w:hAnsi="Arial" w:cs="Arial"/>
          <w:bCs/>
          <w:sz w:val="20"/>
          <w:szCs w:val="20"/>
        </w:rPr>
        <w:t xml:space="preserve"> indicators</w:t>
      </w:r>
      <w:r>
        <w:rPr>
          <w:rFonts w:ascii="Arial" w:hAnsi="Arial" w:cs="Arial"/>
          <w:bCs/>
          <w:sz w:val="20"/>
          <w:szCs w:val="20"/>
        </w:rPr>
        <w:t xml:space="preserve">, informing the committee that the draft indicators had generally been welcomed by </w:t>
      </w:r>
      <w:r w:rsidR="007E7BB1">
        <w:rPr>
          <w:rFonts w:ascii="Arial" w:hAnsi="Arial" w:cs="Arial"/>
          <w:bCs/>
          <w:sz w:val="20"/>
          <w:szCs w:val="20"/>
        </w:rPr>
        <w:t>stakeholders,</w:t>
      </w:r>
      <w:r>
        <w:rPr>
          <w:rFonts w:ascii="Arial" w:hAnsi="Arial" w:cs="Arial"/>
          <w:bCs/>
          <w:sz w:val="20"/>
          <w:szCs w:val="20"/>
        </w:rPr>
        <w:t xml:space="preserve"> but the following cross-cutting issues had been identified:</w:t>
      </w:r>
    </w:p>
    <w:p w14:paraId="354867BB" w14:textId="77777777" w:rsidR="00724367" w:rsidRPr="00724367" w:rsidRDefault="00724367" w:rsidP="00102F48">
      <w:pPr>
        <w:pStyle w:val="ListParagraph"/>
        <w:numPr>
          <w:ilvl w:val="0"/>
          <w:numId w:val="5"/>
        </w:numPr>
        <w:spacing w:line="276" w:lineRule="auto"/>
        <w:rPr>
          <w:rFonts w:ascii="Arial" w:hAnsi="Arial" w:cs="Arial"/>
          <w:bCs/>
          <w:sz w:val="20"/>
          <w:szCs w:val="20"/>
        </w:rPr>
      </w:pPr>
      <w:r w:rsidRPr="00724367">
        <w:rPr>
          <w:rFonts w:ascii="Arial" w:hAnsi="Arial" w:cs="Arial"/>
          <w:bCs/>
          <w:sz w:val="20"/>
          <w:szCs w:val="20"/>
        </w:rPr>
        <w:t>Role of the GP in weight management</w:t>
      </w:r>
    </w:p>
    <w:p w14:paraId="163AAFA4" w14:textId="3E065E27" w:rsidR="00724367" w:rsidRDefault="00724367" w:rsidP="00102F48">
      <w:pPr>
        <w:pStyle w:val="ListParagraph"/>
        <w:numPr>
          <w:ilvl w:val="0"/>
          <w:numId w:val="5"/>
        </w:numPr>
        <w:spacing w:line="276" w:lineRule="auto"/>
        <w:rPr>
          <w:rFonts w:ascii="Arial" w:hAnsi="Arial" w:cs="Arial"/>
          <w:bCs/>
          <w:sz w:val="20"/>
          <w:szCs w:val="20"/>
        </w:rPr>
      </w:pPr>
      <w:r w:rsidRPr="00724367">
        <w:rPr>
          <w:rFonts w:ascii="Arial" w:hAnsi="Arial" w:cs="Arial"/>
          <w:bCs/>
          <w:sz w:val="20"/>
          <w:szCs w:val="20"/>
        </w:rPr>
        <w:t>Availability of weight management programmes</w:t>
      </w:r>
    </w:p>
    <w:p w14:paraId="087B3691" w14:textId="77777777" w:rsidR="00724367" w:rsidRPr="00724367" w:rsidRDefault="00724367" w:rsidP="00102F48">
      <w:pPr>
        <w:pStyle w:val="ListParagraph"/>
        <w:numPr>
          <w:ilvl w:val="0"/>
          <w:numId w:val="5"/>
        </w:numPr>
        <w:spacing w:line="276" w:lineRule="auto"/>
        <w:rPr>
          <w:rFonts w:ascii="Arial" w:hAnsi="Arial" w:cs="Arial"/>
          <w:bCs/>
          <w:sz w:val="20"/>
          <w:szCs w:val="20"/>
        </w:rPr>
      </w:pPr>
      <w:r w:rsidRPr="00724367">
        <w:rPr>
          <w:rFonts w:ascii="Arial" w:hAnsi="Arial" w:cs="Arial"/>
          <w:bCs/>
          <w:sz w:val="20"/>
          <w:szCs w:val="20"/>
        </w:rPr>
        <w:t>Use of first relevant BMI recording in period</w:t>
      </w:r>
    </w:p>
    <w:p w14:paraId="1FB5798B" w14:textId="77777777" w:rsidR="00724367" w:rsidRPr="00724367" w:rsidRDefault="00724367" w:rsidP="00102F48">
      <w:pPr>
        <w:pStyle w:val="ListParagraph"/>
        <w:numPr>
          <w:ilvl w:val="0"/>
          <w:numId w:val="5"/>
        </w:numPr>
        <w:spacing w:line="276" w:lineRule="auto"/>
        <w:rPr>
          <w:rFonts w:ascii="Arial" w:hAnsi="Arial" w:cs="Arial"/>
          <w:bCs/>
          <w:sz w:val="20"/>
          <w:szCs w:val="20"/>
        </w:rPr>
      </w:pPr>
      <w:r w:rsidRPr="00724367">
        <w:rPr>
          <w:rFonts w:ascii="Arial" w:hAnsi="Arial" w:cs="Arial"/>
          <w:bCs/>
          <w:sz w:val="20"/>
          <w:szCs w:val="20"/>
        </w:rPr>
        <w:t>Need for specialists at higher BMI</w:t>
      </w:r>
    </w:p>
    <w:p w14:paraId="4B2F6636" w14:textId="77777777" w:rsidR="00724367" w:rsidRPr="00724367" w:rsidRDefault="00724367" w:rsidP="00102F48">
      <w:pPr>
        <w:pStyle w:val="ListParagraph"/>
        <w:numPr>
          <w:ilvl w:val="0"/>
          <w:numId w:val="5"/>
        </w:numPr>
        <w:spacing w:line="276" w:lineRule="auto"/>
        <w:rPr>
          <w:rFonts w:ascii="Arial" w:hAnsi="Arial" w:cs="Arial"/>
          <w:bCs/>
          <w:sz w:val="20"/>
          <w:szCs w:val="20"/>
        </w:rPr>
      </w:pPr>
      <w:r w:rsidRPr="00724367">
        <w:rPr>
          <w:rFonts w:ascii="Arial" w:hAnsi="Arial" w:cs="Arial"/>
          <w:bCs/>
          <w:sz w:val="20"/>
          <w:szCs w:val="20"/>
        </w:rPr>
        <w:t>Measuring waist circumference</w:t>
      </w:r>
    </w:p>
    <w:p w14:paraId="1E373B43" w14:textId="0F9CD3BB" w:rsidR="00724367" w:rsidRPr="00724367" w:rsidRDefault="00724367" w:rsidP="00102F48">
      <w:pPr>
        <w:pStyle w:val="ListParagraph"/>
        <w:numPr>
          <w:ilvl w:val="0"/>
          <w:numId w:val="5"/>
        </w:numPr>
        <w:spacing w:line="276" w:lineRule="auto"/>
        <w:rPr>
          <w:rFonts w:ascii="Arial" w:hAnsi="Arial" w:cs="Arial"/>
          <w:bCs/>
          <w:sz w:val="20"/>
          <w:szCs w:val="20"/>
        </w:rPr>
      </w:pPr>
      <w:r w:rsidRPr="00724367">
        <w:rPr>
          <w:rFonts w:ascii="Arial" w:hAnsi="Arial" w:cs="Arial"/>
          <w:bCs/>
          <w:sz w:val="20"/>
          <w:szCs w:val="20"/>
        </w:rPr>
        <w:t>Measuring outputs/outcomes and</w:t>
      </w:r>
      <w:r w:rsidR="00C42053">
        <w:rPr>
          <w:rFonts w:ascii="Arial" w:hAnsi="Arial" w:cs="Arial"/>
          <w:bCs/>
          <w:sz w:val="20"/>
          <w:szCs w:val="20"/>
        </w:rPr>
        <w:t xml:space="preserve"> avoiding</w:t>
      </w:r>
      <w:r w:rsidRPr="00724367">
        <w:rPr>
          <w:rFonts w:ascii="Arial" w:hAnsi="Arial" w:cs="Arial"/>
          <w:bCs/>
          <w:sz w:val="20"/>
          <w:szCs w:val="20"/>
        </w:rPr>
        <w:t xml:space="preserve"> unproductive referrals</w:t>
      </w:r>
    </w:p>
    <w:p w14:paraId="6BDEFA39" w14:textId="77777777" w:rsidR="00354976" w:rsidRPr="00354976" w:rsidRDefault="00354976" w:rsidP="00102F48">
      <w:pPr>
        <w:pStyle w:val="ListParagraph"/>
        <w:numPr>
          <w:ilvl w:val="0"/>
          <w:numId w:val="5"/>
        </w:numPr>
        <w:spacing w:line="276" w:lineRule="auto"/>
        <w:rPr>
          <w:rFonts w:ascii="Arial" w:hAnsi="Arial" w:cs="Arial"/>
          <w:bCs/>
          <w:sz w:val="20"/>
          <w:szCs w:val="20"/>
        </w:rPr>
      </w:pPr>
      <w:r w:rsidRPr="00354976">
        <w:rPr>
          <w:rFonts w:ascii="Arial" w:hAnsi="Arial" w:cs="Arial"/>
          <w:bCs/>
          <w:sz w:val="20"/>
          <w:szCs w:val="20"/>
        </w:rPr>
        <w:t xml:space="preserve">BMI threshold leading to large patient numbers </w:t>
      </w:r>
    </w:p>
    <w:p w14:paraId="5AA96EF7" w14:textId="4DF2B5B2" w:rsidR="00724367" w:rsidRDefault="00724367" w:rsidP="00724367">
      <w:pPr>
        <w:spacing w:line="276" w:lineRule="auto"/>
        <w:rPr>
          <w:rFonts w:ascii="Arial" w:hAnsi="Arial" w:cs="Arial"/>
          <w:bCs/>
          <w:sz w:val="20"/>
          <w:szCs w:val="20"/>
        </w:rPr>
      </w:pPr>
    </w:p>
    <w:p w14:paraId="73315789" w14:textId="6F5D923F" w:rsidR="00354976" w:rsidRDefault="00C42053" w:rsidP="00724367">
      <w:pPr>
        <w:spacing w:line="276" w:lineRule="auto"/>
        <w:rPr>
          <w:rFonts w:ascii="Arial" w:hAnsi="Arial" w:cs="Arial"/>
          <w:bCs/>
          <w:sz w:val="20"/>
          <w:szCs w:val="20"/>
        </w:rPr>
      </w:pPr>
      <w:r>
        <w:rPr>
          <w:rFonts w:ascii="Arial" w:hAnsi="Arial" w:cs="Arial"/>
          <w:bCs/>
          <w:sz w:val="20"/>
          <w:szCs w:val="20"/>
        </w:rPr>
        <w:t>The committee discussed why also measuring waist circumference may not work in these indicators, if it would be possible to use codes for the quality of the discussion, and the differences between self</w:t>
      </w:r>
      <w:r w:rsidR="007317C6">
        <w:rPr>
          <w:rFonts w:ascii="Arial" w:hAnsi="Arial" w:cs="Arial"/>
          <w:bCs/>
          <w:sz w:val="20"/>
          <w:szCs w:val="20"/>
        </w:rPr>
        <w:noBreakHyphen/>
      </w:r>
      <w:r>
        <w:rPr>
          <w:rFonts w:ascii="Arial" w:hAnsi="Arial" w:cs="Arial"/>
          <w:bCs/>
          <w:sz w:val="20"/>
          <w:szCs w:val="20"/>
        </w:rPr>
        <w:t xml:space="preserve">referral and GP referral. </w:t>
      </w:r>
    </w:p>
    <w:p w14:paraId="203D8842" w14:textId="73A10F8F" w:rsidR="00293BC5" w:rsidRDefault="00293BC5" w:rsidP="00724367">
      <w:pPr>
        <w:spacing w:line="276" w:lineRule="auto"/>
        <w:rPr>
          <w:rFonts w:ascii="Arial" w:hAnsi="Arial" w:cs="Arial"/>
          <w:bCs/>
          <w:sz w:val="20"/>
          <w:szCs w:val="20"/>
        </w:rPr>
      </w:pPr>
    </w:p>
    <w:p w14:paraId="72BD16AF" w14:textId="0E4A777D" w:rsidR="00293BC5" w:rsidRPr="00293BC5" w:rsidRDefault="00293BC5" w:rsidP="00293BC5">
      <w:pPr>
        <w:spacing w:line="276" w:lineRule="auto"/>
        <w:rPr>
          <w:rFonts w:ascii="Arial" w:hAnsi="Arial" w:cs="Arial"/>
          <w:bCs/>
          <w:sz w:val="20"/>
          <w:szCs w:val="20"/>
        </w:rPr>
      </w:pPr>
      <w:r w:rsidRPr="00293BC5">
        <w:rPr>
          <w:rFonts w:ascii="Arial" w:hAnsi="Arial" w:cs="Arial"/>
          <w:bCs/>
          <w:sz w:val="20"/>
          <w:szCs w:val="20"/>
        </w:rPr>
        <w:t xml:space="preserve">The committee </w:t>
      </w:r>
      <w:r w:rsidR="00666F7F">
        <w:rPr>
          <w:rFonts w:ascii="Arial" w:hAnsi="Arial" w:cs="Arial"/>
          <w:bCs/>
          <w:sz w:val="20"/>
          <w:szCs w:val="20"/>
        </w:rPr>
        <w:t xml:space="preserve">noted </w:t>
      </w:r>
      <w:r w:rsidRPr="00293BC5">
        <w:rPr>
          <w:rFonts w:ascii="Arial" w:hAnsi="Arial" w:cs="Arial"/>
          <w:bCs/>
          <w:sz w:val="20"/>
          <w:szCs w:val="20"/>
        </w:rPr>
        <w:t xml:space="preserve">the obesity policy paper published </w:t>
      </w:r>
      <w:r w:rsidR="00666F7F">
        <w:rPr>
          <w:rFonts w:ascii="Arial" w:hAnsi="Arial" w:cs="Arial"/>
          <w:bCs/>
          <w:sz w:val="20"/>
          <w:szCs w:val="20"/>
        </w:rPr>
        <w:t xml:space="preserve">by DHSC </w:t>
      </w:r>
      <w:r w:rsidRPr="00293BC5">
        <w:rPr>
          <w:rFonts w:ascii="Arial" w:hAnsi="Arial" w:cs="Arial"/>
          <w:bCs/>
          <w:sz w:val="20"/>
          <w:szCs w:val="20"/>
        </w:rPr>
        <w:t xml:space="preserve">on 27th July and noted emphasis on increasing the frequency of interventions for obesity in primary care. The committee was also aware that the policy paper set out </w:t>
      </w:r>
      <w:r w:rsidR="00DB2CD5" w:rsidRPr="00DB2CD5">
        <w:rPr>
          <w:rFonts w:ascii="Arial" w:hAnsi="Arial" w:cs="Arial"/>
          <w:bCs/>
          <w:sz w:val="20"/>
          <w:szCs w:val="20"/>
        </w:rPr>
        <w:t>to “</w:t>
      </w:r>
      <w:r w:rsidR="00DB2CD5" w:rsidRPr="00DB2CD5">
        <w:rPr>
          <w:rFonts w:ascii="Arial" w:hAnsi="Arial" w:cs="Arial"/>
          <w:sz w:val="20"/>
          <w:szCs w:val="20"/>
          <w:lang w:val="en"/>
        </w:rPr>
        <w:t>ensure everyone living with obesity are offered support for weight loss”.</w:t>
      </w:r>
    </w:p>
    <w:p w14:paraId="5B1C1E4D" w14:textId="77777777" w:rsidR="00293BC5" w:rsidRPr="00293BC5" w:rsidRDefault="00293BC5" w:rsidP="00293BC5">
      <w:pPr>
        <w:spacing w:line="276" w:lineRule="auto"/>
        <w:rPr>
          <w:rFonts w:ascii="Arial" w:hAnsi="Arial" w:cs="Arial"/>
          <w:bCs/>
          <w:sz w:val="20"/>
          <w:szCs w:val="20"/>
        </w:rPr>
      </w:pPr>
    </w:p>
    <w:p w14:paraId="3E83B76B" w14:textId="1CCA096C" w:rsidR="00293BC5" w:rsidRDefault="00293BC5" w:rsidP="00293BC5">
      <w:pPr>
        <w:spacing w:line="276" w:lineRule="auto"/>
        <w:rPr>
          <w:rFonts w:ascii="Arial" w:hAnsi="Arial" w:cs="Arial"/>
          <w:bCs/>
          <w:sz w:val="20"/>
          <w:szCs w:val="20"/>
        </w:rPr>
      </w:pPr>
      <w:r w:rsidRPr="00293BC5">
        <w:rPr>
          <w:rFonts w:ascii="Arial" w:hAnsi="Arial" w:cs="Arial"/>
          <w:bCs/>
          <w:sz w:val="20"/>
          <w:szCs w:val="20"/>
        </w:rPr>
        <w:t xml:space="preserve">The committee noted the current NICE guidance and was aware that weight management programmes may particularly benefit adults with a BMI over 30 kg/m2, or lower for those from black and minority ethnic groups (NICE, PH53). The committee was conscious that the NICE clinical guideline for the identification, </w:t>
      </w:r>
      <w:proofErr w:type="gramStart"/>
      <w:r w:rsidRPr="00293BC5">
        <w:rPr>
          <w:rFonts w:ascii="Arial" w:hAnsi="Arial" w:cs="Arial"/>
          <w:bCs/>
          <w:sz w:val="20"/>
          <w:szCs w:val="20"/>
        </w:rPr>
        <w:t>assessment</w:t>
      </w:r>
      <w:proofErr w:type="gramEnd"/>
      <w:r w:rsidRPr="00293BC5">
        <w:rPr>
          <w:rFonts w:ascii="Arial" w:hAnsi="Arial" w:cs="Arial"/>
          <w:bCs/>
          <w:sz w:val="20"/>
          <w:szCs w:val="20"/>
        </w:rPr>
        <w:t xml:space="preserve"> and management of obesity (NICE, CG189) has a focus on person-centred support.</w:t>
      </w:r>
    </w:p>
    <w:p w14:paraId="5F7C968F" w14:textId="6EC365FA" w:rsidR="007E7BB1" w:rsidRPr="00293BC5" w:rsidRDefault="00DB2CD5" w:rsidP="00293BC5">
      <w:pPr>
        <w:spacing w:line="276" w:lineRule="auto"/>
        <w:rPr>
          <w:rFonts w:ascii="Arial" w:hAnsi="Arial" w:cs="Arial"/>
          <w:bCs/>
          <w:sz w:val="20"/>
          <w:szCs w:val="20"/>
        </w:rPr>
      </w:pPr>
      <w:r>
        <w:rPr>
          <w:rFonts w:ascii="Arial" w:hAnsi="Arial" w:cs="Arial"/>
          <w:bCs/>
          <w:sz w:val="20"/>
          <w:szCs w:val="20"/>
        </w:rPr>
        <w:t xml:space="preserve">The committee was aware of the current QOF indicator </w:t>
      </w:r>
      <w:r w:rsidR="003D54C3">
        <w:rPr>
          <w:rFonts w:ascii="Arial" w:hAnsi="Arial" w:cs="Arial"/>
          <w:bCs/>
          <w:sz w:val="20"/>
          <w:szCs w:val="20"/>
        </w:rPr>
        <w:t xml:space="preserve">(DM014) </w:t>
      </w:r>
      <w:r>
        <w:rPr>
          <w:rFonts w:ascii="Arial" w:hAnsi="Arial" w:cs="Arial"/>
          <w:bCs/>
          <w:sz w:val="20"/>
          <w:szCs w:val="20"/>
        </w:rPr>
        <w:t xml:space="preserve">incentivising the </w:t>
      </w:r>
      <w:r w:rsidR="003D54C3">
        <w:rPr>
          <w:rFonts w:ascii="Arial" w:hAnsi="Arial" w:cs="Arial"/>
          <w:bCs/>
          <w:sz w:val="20"/>
          <w:szCs w:val="20"/>
        </w:rPr>
        <w:t>referral of people newly diagnosed with diabetes to a structured education programme, the committee heard that despite incentivising the referral uptake of the education programme was poor.</w:t>
      </w:r>
    </w:p>
    <w:p w14:paraId="5E205012" w14:textId="7F648C7B" w:rsidR="00293BC5" w:rsidRDefault="00293BC5" w:rsidP="00293BC5">
      <w:pPr>
        <w:spacing w:line="276" w:lineRule="auto"/>
        <w:rPr>
          <w:rFonts w:ascii="Arial" w:hAnsi="Arial" w:cs="Arial"/>
          <w:bCs/>
          <w:sz w:val="20"/>
          <w:szCs w:val="20"/>
        </w:rPr>
      </w:pPr>
    </w:p>
    <w:p w14:paraId="4F6E572C" w14:textId="4D0799C1" w:rsidR="00340BF7" w:rsidRDefault="00340BF7" w:rsidP="00293BC5">
      <w:pPr>
        <w:spacing w:line="276" w:lineRule="auto"/>
        <w:rPr>
          <w:rFonts w:ascii="Arial" w:hAnsi="Arial" w:cs="Arial"/>
          <w:bCs/>
          <w:sz w:val="20"/>
          <w:szCs w:val="20"/>
        </w:rPr>
      </w:pPr>
      <w:r>
        <w:rPr>
          <w:rFonts w:ascii="Arial" w:hAnsi="Arial" w:cs="Arial"/>
          <w:bCs/>
          <w:sz w:val="20"/>
          <w:szCs w:val="20"/>
        </w:rPr>
        <w:t>The committee also heard a view that referral rather than an offer to refer was more tangible which might make measurement easier.</w:t>
      </w:r>
    </w:p>
    <w:p w14:paraId="60A5CEC6" w14:textId="77777777" w:rsidR="00340BF7" w:rsidRPr="00293BC5" w:rsidRDefault="00340BF7" w:rsidP="00293BC5">
      <w:pPr>
        <w:spacing w:line="276" w:lineRule="auto"/>
        <w:rPr>
          <w:rFonts w:ascii="Arial" w:hAnsi="Arial" w:cs="Arial"/>
          <w:bCs/>
          <w:sz w:val="20"/>
          <w:szCs w:val="20"/>
        </w:rPr>
      </w:pPr>
    </w:p>
    <w:p w14:paraId="04DEDB03" w14:textId="5F5F161B" w:rsidR="00293BC5" w:rsidRDefault="00293BC5" w:rsidP="00293BC5">
      <w:pPr>
        <w:spacing w:line="276" w:lineRule="auto"/>
        <w:rPr>
          <w:rFonts w:ascii="Arial" w:hAnsi="Arial" w:cs="Arial"/>
          <w:bCs/>
          <w:sz w:val="20"/>
          <w:szCs w:val="20"/>
        </w:rPr>
      </w:pPr>
      <w:r w:rsidRPr="00293BC5">
        <w:rPr>
          <w:rFonts w:ascii="Arial" w:hAnsi="Arial" w:cs="Arial"/>
          <w:bCs/>
          <w:sz w:val="20"/>
          <w:szCs w:val="20"/>
        </w:rPr>
        <w:t>Reflecting on the</w:t>
      </w:r>
      <w:r w:rsidR="007E7BB1">
        <w:rPr>
          <w:rFonts w:ascii="Arial" w:hAnsi="Arial" w:cs="Arial"/>
          <w:bCs/>
          <w:sz w:val="20"/>
          <w:szCs w:val="20"/>
        </w:rPr>
        <w:t xml:space="preserve"> validity assessment,</w:t>
      </w:r>
      <w:r w:rsidRPr="00293BC5">
        <w:rPr>
          <w:rFonts w:ascii="Arial" w:hAnsi="Arial" w:cs="Arial"/>
          <w:bCs/>
          <w:sz w:val="20"/>
          <w:szCs w:val="20"/>
        </w:rPr>
        <w:t xml:space="preserve"> current </w:t>
      </w:r>
      <w:r w:rsidR="003D54C3">
        <w:rPr>
          <w:rFonts w:ascii="Arial" w:hAnsi="Arial" w:cs="Arial"/>
          <w:bCs/>
          <w:sz w:val="20"/>
          <w:szCs w:val="20"/>
        </w:rPr>
        <w:t xml:space="preserve">DHSC </w:t>
      </w:r>
      <w:r w:rsidRPr="00293BC5">
        <w:rPr>
          <w:rFonts w:ascii="Arial" w:hAnsi="Arial" w:cs="Arial"/>
          <w:bCs/>
          <w:sz w:val="20"/>
          <w:szCs w:val="20"/>
        </w:rPr>
        <w:t>policy paper, NICE guidance and stakeholder comments received during consultation the committee concluded that the obesity indicators should focus on the offer of a referral to a weight management programme.</w:t>
      </w:r>
    </w:p>
    <w:p w14:paraId="634C1828" w14:textId="77777777" w:rsidR="00C42053" w:rsidRDefault="00C42053" w:rsidP="00724367">
      <w:pPr>
        <w:spacing w:line="276" w:lineRule="auto"/>
        <w:rPr>
          <w:rFonts w:ascii="Arial" w:hAnsi="Arial" w:cs="Arial"/>
          <w:bCs/>
          <w:sz w:val="20"/>
          <w:szCs w:val="20"/>
        </w:rPr>
      </w:pPr>
    </w:p>
    <w:p w14:paraId="307320B4" w14:textId="489BBC45" w:rsidR="00354976" w:rsidRDefault="00354976" w:rsidP="00724367">
      <w:pPr>
        <w:spacing w:line="276" w:lineRule="auto"/>
        <w:rPr>
          <w:rFonts w:ascii="Arial" w:hAnsi="Arial" w:cs="Arial"/>
          <w:bCs/>
          <w:sz w:val="20"/>
          <w:szCs w:val="20"/>
        </w:rPr>
      </w:pPr>
      <w:r w:rsidRPr="00354976">
        <w:rPr>
          <w:rFonts w:ascii="Arial" w:hAnsi="Arial" w:cs="Arial"/>
          <w:b/>
          <w:sz w:val="20"/>
          <w:szCs w:val="20"/>
        </w:rPr>
        <w:t xml:space="preserve">IND 2020-90: </w:t>
      </w:r>
      <w:r w:rsidRPr="00354976">
        <w:rPr>
          <w:rFonts w:ascii="Arial" w:hAnsi="Arial" w:cs="Arial"/>
          <w:bCs/>
          <w:sz w:val="20"/>
          <w:szCs w:val="20"/>
        </w:rPr>
        <w:t>The percentage of patients with a BMI ≥27.5 kg/m2 (or ≥30 kg/m2 if ethnicity is recorded as White) in the preceding 24 months who have been referred to a weight management programme within 90 days of the BMI being recorded.</w:t>
      </w:r>
    </w:p>
    <w:p w14:paraId="2BFD3F35" w14:textId="77777777" w:rsidR="00354976" w:rsidRDefault="00354976" w:rsidP="00354976">
      <w:pPr>
        <w:spacing w:line="276" w:lineRule="auto"/>
        <w:rPr>
          <w:rFonts w:ascii="Arial" w:hAnsi="Arial" w:cs="Arial"/>
          <w:bCs/>
          <w:sz w:val="20"/>
          <w:szCs w:val="20"/>
        </w:rPr>
      </w:pPr>
    </w:p>
    <w:p w14:paraId="0552FE3E" w14:textId="5BF047BF" w:rsidR="00354976" w:rsidRDefault="00354976" w:rsidP="00354976">
      <w:pPr>
        <w:spacing w:line="276" w:lineRule="auto"/>
        <w:rPr>
          <w:rFonts w:ascii="Arial" w:hAnsi="Arial" w:cs="Arial"/>
          <w:bCs/>
          <w:sz w:val="20"/>
          <w:szCs w:val="20"/>
        </w:rPr>
      </w:pPr>
      <w:r>
        <w:rPr>
          <w:rFonts w:ascii="Arial" w:hAnsi="Arial" w:cs="Arial"/>
          <w:bCs/>
          <w:sz w:val="20"/>
          <w:szCs w:val="20"/>
        </w:rPr>
        <w:t>The committee was asked to consider the following issues:</w:t>
      </w:r>
    </w:p>
    <w:p w14:paraId="42FCC14A" w14:textId="09CCBFDE" w:rsidR="00354976" w:rsidRPr="00354976" w:rsidRDefault="00354976" w:rsidP="00102F48">
      <w:pPr>
        <w:pStyle w:val="ListParagraph"/>
        <w:numPr>
          <w:ilvl w:val="0"/>
          <w:numId w:val="5"/>
        </w:numPr>
        <w:spacing w:line="276" w:lineRule="auto"/>
        <w:rPr>
          <w:rFonts w:ascii="Arial" w:hAnsi="Arial" w:cs="Arial"/>
          <w:bCs/>
          <w:sz w:val="20"/>
          <w:szCs w:val="20"/>
        </w:rPr>
      </w:pPr>
      <w:r>
        <w:rPr>
          <w:rFonts w:ascii="Arial" w:hAnsi="Arial" w:cs="Arial"/>
          <w:bCs/>
          <w:sz w:val="20"/>
          <w:szCs w:val="20"/>
        </w:rPr>
        <w:t>Stakeholder</w:t>
      </w:r>
      <w:r w:rsidRPr="00354976">
        <w:rPr>
          <w:rFonts w:ascii="Arial" w:hAnsi="Arial" w:cs="Arial"/>
          <w:bCs/>
          <w:sz w:val="20"/>
          <w:szCs w:val="20"/>
        </w:rPr>
        <w:t xml:space="preserve"> suggestion for longer or shorter timeframes than 24 months for the repetition of referral. </w:t>
      </w:r>
    </w:p>
    <w:p w14:paraId="758FFEA9" w14:textId="77777777" w:rsidR="00354976" w:rsidRPr="00354976" w:rsidRDefault="00354976" w:rsidP="00102F48">
      <w:pPr>
        <w:pStyle w:val="ListParagraph"/>
        <w:numPr>
          <w:ilvl w:val="0"/>
          <w:numId w:val="5"/>
        </w:numPr>
        <w:spacing w:line="276" w:lineRule="auto"/>
        <w:rPr>
          <w:rFonts w:ascii="Arial" w:hAnsi="Arial" w:cs="Arial"/>
          <w:bCs/>
          <w:sz w:val="20"/>
          <w:szCs w:val="20"/>
        </w:rPr>
      </w:pPr>
      <w:r w:rsidRPr="00354976">
        <w:rPr>
          <w:rFonts w:ascii="Arial" w:hAnsi="Arial" w:cs="Arial"/>
          <w:bCs/>
          <w:sz w:val="20"/>
          <w:szCs w:val="20"/>
        </w:rPr>
        <w:t>Potential high levels of personalised care reporting</w:t>
      </w:r>
    </w:p>
    <w:p w14:paraId="30297DE0" w14:textId="0EE94AF1" w:rsidR="00354976" w:rsidRDefault="00354976" w:rsidP="00102F48">
      <w:pPr>
        <w:pStyle w:val="ListParagraph"/>
        <w:numPr>
          <w:ilvl w:val="0"/>
          <w:numId w:val="5"/>
        </w:numPr>
        <w:spacing w:line="276" w:lineRule="auto"/>
        <w:rPr>
          <w:rFonts w:ascii="Arial" w:hAnsi="Arial" w:cs="Arial"/>
          <w:bCs/>
          <w:sz w:val="20"/>
          <w:szCs w:val="20"/>
        </w:rPr>
      </w:pPr>
      <w:r w:rsidRPr="00354976">
        <w:rPr>
          <w:rFonts w:ascii="Arial" w:hAnsi="Arial" w:cs="Arial"/>
          <w:bCs/>
          <w:sz w:val="20"/>
          <w:szCs w:val="20"/>
        </w:rPr>
        <w:t>Capacity and coverage of weight management programmes</w:t>
      </w:r>
    </w:p>
    <w:p w14:paraId="26ECC83C" w14:textId="64CA609D" w:rsidR="00354976" w:rsidRDefault="00354976" w:rsidP="00354976">
      <w:pPr>
        <w:spacing w:line="276" w:lineRule="auto"/>
        <w:rPr>
          <w:rFonts w:ascii="Arial" w:hAnsi="Arial" w:cs="Arial"/>
          <w:bCs/>
          <w:sz w:val="20"/>
          <w:szCs w:val="20"/>
        </w:rPr>
      </w:pPr>
    </w:p>
    <w:p w14:paraId="59063382" w14:textId="43C482E0" w:rsidR="007317C6" w:rsidRDefault="00C42053" w:rsidP="00354976">
      <w:pPr>
        <w:spacing w:line="276" w:lineRule="auto"/>
        <w:rPr>
          <w:rFonts w:ascii="Arial" w:hAnsi="Arial" w:cs="Arial"/>
          <w:bCs/>
          <w:sz w:val="20"/>
          <w:szCs w:val="20"/>
        </w:rPr>
      </w:pPr>
      <w:r>
        <w:rPr>
          <w:rFonts w:ascii="Arial" w:hAnsi="Arial" w:cs="Arial"/>
          <w:bCs/>
          <w:sz w:val="20"/>
          <w:szCs w:val="20"/>
        </w:rPr>
        <w:t xml:space="preserve">The committee discussed risks that this would discourage GPs to record the BMI of patients or to turn the discussion in to a </w:t>
      </w:r>
      <w:r w:rsidR="00666F7F">
        <w:rPr>
          <w:rFonts w:ascii="Arial" w:hAnsi="Arial" w:cs="Arial"/>
          <w:bCs/>
          <w:sz w:val="20"/>
          <w:szCs w:val="20"/>
        </w:rPr>
        <w:t>‘</w:t>
      </w:r>
      <w:r>
        <w:rPr>
          <w:rFonts w:ascii="Arial" w:hAnsi="Arial" w:cs="Arial"/>
          <w:bCs/>
          <w:sz w:val="20"/>
          <w:szCs w:val="20"/>
        </w:rPr>
        <w:t>tick box exercise</w:t>
      </w:r>
      <w:r w:rsidR="00666F7F">
        <w:rPr>
          <w:rFonts w:ascii="Arial" w:hAnsi="Arial" w:cs="Arial"/>
          <w:bCs/>
          <w:sz w:val="20"/>
          <w:szCs w:val="20"/>
        </w:rPr>
        <w:t>’</w:t>
      </w:r>
      <w:r>
        <w:rPr>
          <w:rFonts w:ascii="Arial" w:hAnsi="Arial" w:cs="Arial"/>
          <w:bCs/>
          <w:sz w:val="20"/>
          <w:szCs w:val="20"/>
        </w:rPr>
        <w:t xml:space="preserve">, and the need for exception reporting when a patient has already been losing weight from a previous BMI measurement. </w:t>
      </w:r>
    </w:p>
    <w:p w14:paraId="67C17B45" w14:textId="04A2FEDB" w:rsidR="00293BC5" w:rsidRDefault="00293BC5" w:rsidP="00354976">
      <w:pPr>
        <w:spacing w:line="276" w:lineRule="auto"/>
        <w:rPr>
          <w:rFonts w:ascii="Arial" w:hAnsi="Arial" w:cs="Arial"/>
          <w:bCs/>
          <w:sz w:val="20"/>
          <w:szCs w:val="20"/>
        </w:rPr>
      </w:pPr>
    </w:p>
    <w:p w14:paraId="7C17C38A" w14:textId="33F8D564" w:rsidR="00293BC5" w:rsidRDefault="00293BC5" w:rsidP="00354976">
      <w:pPr>
        <w:spacing w:line="276" w:lineRule="auto"/>
        <w:rPr>
          <w:rFonts w:ascii="Arial" w:hAnsi="Arial" w:cs="Arial"/>
          <w:bCs/>
          <w:sz w:val="20"/>
          <w:szCs w:val="20"/>
        </w:rPr>
      </w:pPr>
      <w:r w:rsidRPr="00293BC5">
        <w:rPr>
          <w:rFonts w:ascii="Arial" w:hAnsi="Arial" w:cs="Arial"/>
          <w:bCs/>
          <w:sz w:val="20"/>
          <w:szCs w:val="20"/>
        </w:rPr>
        <w:t xml:space="preserve">A </w:t>
      </w:r>
      <w:proofErr w:type="gramStart"/>
      <w:r w:rsidRPr="00293BC5">
        <w:rPr>
          <w:rFonts w:ascii="Arial" w:hAnsi="Arial" w:cs="Arial"/>
          <w:bCs/>
          <w:sz w:val="20"/>
          <w:szCs w:val="20"/>
        </w:rPr>
        <w:t>24 month</w:t>
      </w:r>
      <w:proofErr w:type="gramEnd"/>
      <w:r w:rsidRPr="00293BC5">
        <w:rPr>
          <w:rFonts w:ascii="Arial" w:hAnsi="Arial" w:cs="Arial"/>
          <w:bCs/>
          <w:sz w:val="20"/>
          <w:szCs w:val="20"/>
        </w:rPr>
        <w:t xml:space="preserve"> timeframe for repetition of the provision of weight management services was seen as an appropriate timeframe by some stakeholders, however the committee were supportive of NHS Digital advice on the construction of the ‘all patients’ indicator and greater opportunity to assess the impact of changes in practice year-on-year. The committee agreed that the indicator should focus on the preceding 12 months but exclude patients with a previous offer or referral to weight management services in the preceding 24 months.  </w:t>
      </w:r>
    </w:p>
    <w:p w14:paraId="4AB1B5AC" w14:textId="77777777" w:rsidR="007317C6" w:rsidRDefault="007317C6" w:rsidP="00354976">
      <w:pPr>
        <w:spacing w:line="276" w:lineRule="auto"/>
        <w:rPr>
          <w:rFonts w:ascii="Arial" w:hAnsi="Arial" w:cs="Arial"/>
          <w:bCs/>
          <w:sz w:val="20"/>
          <w:szCs w:val="20"/>
        </w:rPr>
      </w:pPr>
    </w:p>
    <w:p w14:paraId="70667393" w14:textId="1E5DE8C4" w:rsidR="003C028F" w:rsidRPr="00D47053" w:rsidRDefault="00902B5E" w:rsidP="00902B5E">
      <w:pPr>
        <w:spacing w:line="276" w:lineRule="auto"/>
        <w:rPr>
          <w:rFonts w:ascii="Arial" w:hAnsi="Arial" w:cs="Arial"/>
          <w:bCs/>
          <w:sz w:val="20"/>
          <w:szCs w:val="20"/>
        </w:rPr>
      </w:pPr>
      <w:r w:rsidRPr="00643F80">
        <w:rPr>
          <w:rFonts w:ascii="Arial" w:hAnsi="Arial" w:cs="Arial"/>
          <w:b/>
          <w:sz w:val="20"/>
          <w:szCs w:val="20"/>
        </w:rPr>
        <w:t>Action</w:t>
      </w:r>
      <w:r w:rsidR="003C028F">
        <w:rPr>
          <w:rFonts w:ascii="Arial" w:hAnsi="Arial" w:cs="Arial"/>
          <w:b/>
          <w:sz w:val="20"/>
          <w:szCs w:val="20"/>
        </w:rPr>
        <w:t>:</w:t>
      </w:r>
      <w:r w:rsidR="00D47053">
        <w:rPr>
          <w:rFonts w:ascii="Arial" w:hAnsi="Arial" w:cs="Arial"/>
          <w:b/>
          <w:sz w:val="20"/>
          <w:szCs w:val="20"/>
        </w:rPr>
        <w:t xml:space="preserve"> </w:t>
      </w:r>
      <w:r w:rsidR="00D47053">
        <w:rPr>
          <w:rFonts w:ascii="Arial" w:hAnsi="Arial" w:cs="Arial"/>
          <w:bCs/>
          <w:sz w:val="20"/>
          <w:szCs w:val="20"/>
        </w:rPr>
        <w:t>Progress</w:t>
      </w:r>
      <w:r w:rsidR="00102F48">
        <w:rPr>
          <w:rFonts w:ascii="Arial" w:hAnsi="Arial" w:cs="Arial"/>
          <w:bCs/>
          <w:sz w:val="20"/>
          <w:szCs w:val="20"/>
        </w:rPr>
        <w:t xml:space="preserve"> indicator to NICE menu</w:t>
      </w:r>
      <w:r w:rsidR="00D47053">
        <w:rPr>
          <w:rFonts w:ascii="Arial" w:hAnsi="Arial" w:cs="Arial"/>
          <w:bCs/>
          <w:sz w:val="20"/>
          <w:szCs w:val="20"/>
        </w:rPr>
        <w:t xml:space="preserve"> with a revision to wording, to reflect patients being </w:t>
      </w:r>
      <w:r w:rsidR="00D47053" w:rsidRPr="00D47053">
        <w:rPr>
          <w:rFonts w:ascii="Arial" w:hAnsi="Arial" w:cs="Arial"/>
          <w:bCs/>
          <w:sz w:val="20"/>
          <w:szCs w:val="20"/>
          <w:u w:val="single"/>
        </w:rPr>
        <w:t>offered</w:t>
      </w:r>
      <w:r w:rsidR="00D47053">
        <w:rPr>
          <w:rFonts w:ascii="Arial" w:hAnsi="Arial" w:cs="Arial"/>
          <w:bCs/>
          <w:sz w:val="20"/>
          <w:szCs w:val="20"/>
        </w:rPr>
        <w:t xml:space="preserve"> a referral to a weight management programme</w:t>
      </w:r>
      <w:r w:rsidR="00C42053">
        <w:rPr>
          <w:rFonts w:ascii="Arial" w:hAnsi="Arial" w:cs="Arial"/>
          <w:bCs/>
          <w:sz w:val="20"/>
          <w:szCs w:val="20"/>
        </w:rPr>
        <w:t>, and to change the timescale to the preceding 12 months</w:t>
      </w:r>
      <w:r w:rsidR="00D47053">
        <w:rPr>
          <w:rFonts w:ascii="Arial" w:hAnsi="Arial" w:cs="Arial"/>
          <w:bCs/>
          <w:sz w:val="20"/>
          <w:szCs w:val="20"/>
        </w:rPr>
        <w:t>.</w:t>
      </w:r>
    </w:p>
    <w:p w14:paraId="51A3BE0F" w14:textId="46F815DC" w:rsidR="0034595F" w:rsidRDefault="0034595F" w:rsidP="00902B5E">
      <w:pPr>
        <w:spacing w:line="276" w:lineRule="auto"/>
        <w:rPr>
          <w:rFonts w:ascii="Arial" w:hAnsi="Arial" w:cs="Arial"/>
          <w:b/>
          <w:sz w:val="20"/>
          <w:szCs w:val="20"/>
        </w:rPr>
      </w:pPr>
    </w:p>
    <w:p w14:paraId="1D85E879" w14:textId="09361830" w:rsidR="003C028F" w:rsidRDefault="00354976" w:rsidP="00902B5E">
      <w:pPr>
        <w:spacing w:line="276" w:lineRule="auto"/>
        <w:rPr>
          <w:rFonts w:ascii="Arial" w:hAnsi="Arial" w:cs="Arial"/>
          <w:bCs/>
          <w:sz w:val="20"/>
          <w:szCs w:val="20"/>
        </w:rPr>
      </w:pPr>
      <w:r w:rsidRPr="00354976">
        <w:rPr>
          <w:rFonts w:ascii="Arial" w:hAnsi="Arial" w:cs="Arial"/>
          <w:b/>
          <w:sz w:val="20"/>
          <w:szCs w:val="20"/>
        </w:rPr>
        <w:lastRenderedPageBreak/>
        <w:t>IND 2020-9</w:t>
      </w:r>
      <w:r w:rsidR="008804B7">
        <w:rPr>
          <w:rFonts w:ascii="Arial" w:hAnsi="Arial" w:cs="Arial"/>
          <w:b/>
          <w:sz w:val="20"/>
          <w:szCs w:val="20"/>
        </w:rPr>
        <w:t>1</w:t>
      </w:r>
      <w:r w:rsidRPr="00354976">
        <w:rPr>
          <w:rFonts w:ascii="Arial" w:hAnsi="Arial" w:cs="Arial"/>
          <w:b/>
          <w:sz w:val="20"/>
          <w:szCs w:val="20"/>
        </w:rPr>
        <w:t>:</w:t>
      </w:r>
      <w:r>
        <w:rPr>
          <w:rFonts w:ascii="Arial" w:hAnsi="Arial" w:cs="Arial"/>
          <w:b/>
          <w:sz w:val="20"/>
          <w:szCs w:val="20"/>
        </w:rPr>
        <w:t xml:space="preserve"> </w:t>
      </w:r>
      <w:r w:rsidRPr="00354976">
        <w:rPr>
          <w:rFonts w:ascii="Arial" w:hAnsi="Arial" w:cs="Arial"/>
          <w:bCs/>
          <w:sz w:val="20"/>
          <w:szCs w:val="20"/>
        </w:rPr>
        <w:t>The percentage of patients with hypertension or diabetes and a BMI ≥27.5 kg/m2 (or ≥30 kg/m2 if ethnicity is recorded as White) in the preceding 12 months who have been referred to a weight management programme within 90 days of the BMI being recorded.</w:t>
      </w:r>
    </w:p>
    <w:p w14:paraId="75D5D57E" w14:textId="14DA4BE4" w:rsidR="00354976" w:rsidRDefault="00354976" w:rsidP="00902B5E">
      <w:pPr>
        <w:spacing w:line="276" w:lineRule="auto"/>
        <w:rPr>
          <w:rFonts w:ascii="Arial" w:hAnsi="Arial" w:cs="Arial"/>
          <w:bCs/>
          <w:sz w:val="20"/>
          <w:szCs w:val="20"/>
        </w:rPr>
      </w:pPr>
    </w:p>
    <w:p w14:paraId="6FA01671" w14:textId="77777777" w:rsidR="00354976" w:rsidRDefault="00354976" w:rsidP="00354976">
      <w:pPr>
        <w:spacing w:line="276" w:lineRule="auto"/>
        <w:rPr>
          <w:rFonts w:ascii="Arial" w:hAnsi="Arial" w:cs="Arial"/>
          <w:bCs/>
          <w:sz w:val="20"/>
          <w:szCs w:val="20"/>
        </w:rPr>
      </w:pPr>
      <w:r>
        <w:rPr>
          <w:rFonts w:ascii="Arial" w:hAnsi="Arial" w:cs="Arial"/>
          <w:bCs/>
          <w:sz w:val="20"/>
          <w:szCs w:val="20"/>
        </w:rPr>
        <w:t>The committee was asked to consider the following issues:</w:t>
      </w:r>
    </w:p>
    <w:p w14:paraId="32FD7B5F" w14:textId="77777777" w:rsidR="00354976" w:rsidRPr="00354976" w:rsidRDefault="00354976" w:rsidP="00102F48">
      <w:pPr>
        <w:pStyle w:val="ListParagraph"/>
        <w:numPr>
          <w:ilvl w:val="0"/>
          <w:numId w:val="5"/>
        </w:numPr>
        <w:spacing w:line="276" w:lineRule="auto"/>
        <w:rPr>
          <w:rFonts w:ascii="Arial" w:hAnsi="Arial" w:cs="Arial"/>
          <w:bCs/>
          <w:sz w:val="20"/>
          <w:szCs w:val="20"/>
        </w:rPr>
      </w:pPr>
      <w:r w:rsidRPr="00354976">
        <w:rPr>
          <w:rFonts w:ascii="Arial" w:hAnsi="Arial" w:cs="Arial"/>
          <w:bCs/>
          <w:sz w:val="20"/>
          <w:szCs w:val="20"/>
        </w:rPr>
        <w:t>Which BMI recording to count if more than one in the timeframe</w:t>
      </w:r>
    </w:p>
    <w:p w14:paraId="4172CA12" w14:textId="77777777" w:rsidR="00354976" w:rsidRPr="00354976" w:rsidRDefault="00354976" w:rsidP="00102F48">
      <w:pPr>
        <w:pStyle w:val="ListParagraph"/>
        <w:numPr>
          <w:ilvl w:val="0"/>
          <w:numId w:val="5"/>
        </w:numPr>
        <w:spacing w:line="276" w:lineRule="auto"/>
        <w:rPr>
          <w:rFonts w:ascii="Arial" w:hAnsi="Arial" w:cs="Arial"/>
          <w:bCs/>
          <w:sz w:val="20"/>
          <w:szCs w:val="20"/>
        </w:rPr>
      </w:pPr>
      <w:r w:rsidRPr="00354976">
        <w:rPr>
          <w:rFonts w:ascii="Arial" w:hAnsi="Arial" w:cs="Arial"/>
          <w:bCs/>
          <w:sz w:val="20"/>
          <w:szCs w:val="20"/>
        </w:rPr>
        <w:t>Potential high levels of personalised care reporting</w:t>
      </w:r>
    </w:p>
    <w:p w14:paraId="6BBEF738" w14:textId="77777777" w:rsidR="00354976" w:rsidRPr="00354976" w:rsidRDefault="00354976" w:rsidP="00102F48">
      <w:pPr>
        <w:pStyle w:val="ListParagraph"/>
        <w:numPr>
          <w:ilvl w:val="0"/>
          <w:numId w:val="5"/>
        </w:numPr>
        <w:spacing w:line="276" w:lineRule="auto"/>
        <w:rPr>
          <w:rFonts w:ascii="Arial" w:hAnsi="Arial" w:cs="Arial"/>
          <w:bCs/>
          <w:sz w:val="20"/>
          <w:szCs w:val="20"/>
        </w:rPr>
      </w:pPr>
      <w:r w:rsidRPr="00354976">
        <w:rPr>
          <w:rFonts w:ascii="Arial" w:hAnsi="Arial" w:cs="Arial"/>
          <w:bCs/>
          <w:sz w:val="20"/>
          <w:szCs w:val="20"/>
        </w:rPr>
        <w:t>Capacity and coverage of weight management programmes</w:t>
      </w:r>
    </w:p>
    <w:p w14:paraId="7DD9B36E" w14:textId="0A0A1707" w:rsidR="00354976" w:rsidRDefault="00354976" w:rsidP="00902B5E">
      <w:pPr>
        <w:spacing w:line="276" w:lineRule="auto"/>
        <w:rPr>
          <w:rFonts w:ascii="Arial" w:hAnsi="Arial" w:cs="Arial"/>
          <w:b/>
          <w:sz w:val="20"/>
          <w:szCs w:val="20"/>
        </w:rPr>
      </w:pPr>
    </w:p>
    <w:p w14:paraId="70F07BC4" w14:textId="28F1D0A7" w:rsidR="00354976" w:rsidRPr="00354976" w:rsidRDefault="008A4171" w:rsidP="00354976">
      <w:pPr>
        <w:spacing w:line="276" w:lineRule="auto"/>
        <w:rPr>
          <w:rFonts w:ascii="Arial" w:hAnsi="Arial" w:cs="Arial"/>
          <w:bCs/>
          <w:sz w:val="20"/>
          <w:szCs w:val="20"/>
        </w:rPr>
      </w:pPr>
      <w:r>
        <w:rPr>
          <w:rFonts w:ascii="Arial" w:hAnsi="Arial" w:cs="Arial"/>
          <w:bCs/>
          <w:sz w:val="20"/>
          <w:szCs w:val="20"/>
        </w:rPr>
        <w:t xml:space="preserve">The committee queried what benefits there would be to progressing this indicator to the NICE menu if IND 2020-90 could already capture these patients, and it was confirmed that it was sensible to do so as it would provide more choice </w:t>
      </w:r>
      <w:r w:rsidR="007317C6">
        <w:rPr>
          <w:rFonts w:ascii="Arial" w:hAnsi="Arial" w:cs="Arial"/>
          <w:bCs/>
          <w:sz w:val="20"/>
          <w:szCs w:val="20"/>
        </w:rPr>
        <w:t>on the NICE menu</w:t>
      </w:r>
      <w:r>
        <w:rPr>
          <w:rFonts w:ascii="Arial" w:hAnsi="Arial" w:cs="Arial"/>
          <w:bCs/>
          <w:sz w:val="20"/>
          <w:szCs w:val="20"/>
        </w:rPr>
        <w:t>. The committee agreed that the wording around offer of referral should be consistent on both indicators.</w:t>
      </w:r>
    </w:p>
    <w:p w14:paraId="52689EFA" w14:textId="77777777" w:rsidR="00354976" w:rsidRDefault="00354976" w:rsidP="00902B5E">
      <w:pPr>
        <w:spacing w:line="276" w:lineRule="auto"/>
        <w:rPr>
          <w:rFonts w:ascii="Arial" w:hAnsi="Arial" w:cs="Arial"/>
          <w:b/>
          <w:sz w:val="20"/>
          <w:szCs w:val="20"/>
        </w:rPr>
      </w:pPr>
    </w:p>
    <w:p w14:paraId="2F8FEC80" w14:textId="01644DEE" w:rsidR="003C028F" w:rsidRDefault="00902B5E" w:rsidP="00902B5E">
      <w:pPr>
        <w:spacing w:line="276" w:lineRule="auto"/>
        <w:rPr>
          <w:rFonts w:ascii="Arial" w:hAnsi="Arial" w:cs="Arial"/>
          <w:b/>
          <w:sz w:val="20"/>
          <w:szCs w:val="20"/>
        </w:rPr>
      </w:pPr>
      <w:r w:rsidRPr="00643F80">
        <w:rPr>
          <w:rFonts w:ascii="Arial" w:hAnsi="Arial" w:cs="Arial"/>
          <w:b/>
          <w:sz w:val="20"/>
          <w:szCs w:val="20"/>
        </w:rPr>
        <w:t>Action</w:t>
      </w:r>
      <w:r w:rsidR="003C028F">
        <w:rPr>
          <w:rFonts w:ascii="Arial" w:hAnsi="Arial" w:cs="Arial"/>
          <w:b/>
          <w:sz w:val="20"/>
          <w:szCs w:val="20"/>
        </w:rPr>
        <w:t>:</w:t>
      </w:r>
      <w:r w:rsidR="00D47053">
        <w:rPr>
          <w:rFonts w:ascii="Arial" w:hAnsi="Arial" w:cs="Arial"/>
          <w:b/>
          <w:sz w:val="20"/>
          <w:szCs w:val="20"/>
        </w:rPr>
        <w:t xml:space="preserve"> </w:t>
      </w:r>
      <w:r w:rsidR="00D47053">
        <w:rPr>
          <w:rFonts w:ascii="Arial" w:hAnsi="Arial" w:cs="Arial"/>
          <w:bCs/>
          <w:sz w:val="20"/>
          <w:szCs w:val="20"/>
        </w:rPr>
        <w:t xml:space="preserve">Progress </w:t>
      </w:r>
      <w:r w:rsidR="00102F48">
        <w:rPr>
          <w:rFonts w:ascii="Arial" w:hAnsi="Arial" w:cs="Arial"/>
          <w:bCs/>
          <w:sz w:val="20"/>
          <w:szCs w:val="20"/>
        </w:rPr>
        <w:t xml:space="preserve">indicator to NICE menu </w:t>
      </w:r>
      <w:r w:rsidR="00D47053">
        <w:rPr>
          <w:rFonts w:ascii="Arial" w:hAnsi="Arial" w:cs="Arial"/>
          <w:bCs/>
          <w:sz w:val="20"/>
          <w:szCs w:val="20"/>
        </w:rPr>
        <w:t xml:space="preserve">with a revision to wording, to reflect patients being </w:t>
      </w:r>
      <w:r w:rsidR="00D47053" w:rsidRPr="00D47053">
        <w:rPr>
          <w:rFonts w:ascii="Arial" w:hAnsi="Arial" w:cs="Arial"/>
          <w:bCs/>
          <w:sz w:val="20"/>
          <w:szCs w:val="20"/>
          <w:u w:val="single"/>
        </w:rPr>
        <w:t>offered</w:t>
      </w:r>
      <w:r w:rsidR="00D47053">
        <w:rPr>
          <w:rFonts w:ascii="Arial" w:hAnsi="Arial" w:cs="Arial"/>
          <w:bCs/>
          <w:sz w:val="20"/>
          <w:szCs w:val="20"/>
        </w:rPr>
        <w:t xml:space="preserve"> a referral to a weight management programme.</w:t>
      </w:r>
    </w:p>
    <w:p w14:paraId="09976FA3" w14:textId="77777777" w:rsidR="004250D9" w:rsidRDefault="004250D9" w:rsidP="004250D9">
      <w:pPr>
        <w:rPr>
          <w:rFonts w:ascii="Arial" w:hAnsi="Arial" w:cs="Arial"/>
          <w:b/>
          <w:sz w:val="20"/>
          <w:szCs w:val="20"/>
        </w:rPr>
      </w:pPr>
    </w:p>
    <w:p w14:paraId="0A15BA5E" w14:textId="1A56A8D3" w:rsidR="003C028F" w:rsidRDefault="003C028F" w:rsidP="0093339D">
      <w:pPr>
        <w:pStyle w:val="Heading4"/>
      </w:pPr>
      <w:r w:rsidRPr="008804B7">
        <w:t>Cancer</w:t>
      </w:r>
    </w:p>
    <w:p w14:paraId="0EDD1DCD" w14:textId="77777777" w:rsidR="000B198B" w:rsidRPr="008804B7" w:rsidRDefault="000B198B" w:rsidP="00902B5E">
      <w:pPr>
        <w:spacing w:line="276" w:lineRule="auto"/>
        <w:rPr>
          <w:rFonts w:ascii="Arial" w:hAnsi="Arial" w:cs="Arial"/>
          <w:b/>
          <w:sz w:val="20"/>
          <w:szCs w:val="20"/>
        </w:rPr>
      </w:pPr>
    </w:p>
    <w:p w14:paraId="4E4CE84A" w14:textId="32F50CAB" w:rsidR="008804B7" w:rsidRDefault="008804B7" w:rsidP="008804B7">
      <w:pPr>
        <w:spacing w:line="276" w:lineRule="auto"/>
        <w:rPr>
          <w:rFonts w:ascii="Arial" w:hAnsi="Arial" w:cs="Arial"/>
          <w:bCs/>
          <w:sz w:val="20"/>
          <w:szCs w:val="20"/>
        </w:rPr>
      </w:pPr>
      <w:r>
        <w:rPr>
          <w:rFonts w:ascii="Arial" w:hAnsi="Arial" w:cs="Arial"/>
          <w:bCs/>
          <w:sz w:val="20"/>
          <w:szCs w:val="20"/>
        </w:rPr>
        <w:t xml:space="preserve">DS </w:t>
      </w:r>
      <w:r w:rsidRPr="006876E6">
        <w:rPr>
          <w:rFonts w:ascii="Arial" w:hAnsi="Arial" w:cs="Arial"/>
          <w:bCs/>
          <w:sz w:val="20"/>
          <w:szCs w:val="20"/>
        </w:rPr>
        <w:t xml:space="preserve">presented a summary of the stakeholder consultation feedback for the draft </w:t>
      </w:r>
      <w:r>
        <w:rPr>
          <w:rFonts w:ascii="Arial" w:hAnsi="Arial" w:cs="Arial"/>
          <w:bCs/>
          <w:sz w:val="20"/>
          <w:szCs w:val="20"/>
        </w:rPr>
        <w:t>cancer</w:t>
      </w:r>
      <w:r w:rsidRPr="006876E6">
        <w:rPr>
          <w:rFonts w:ascii="Arial" w:hAnsi="Arial" w:cs="Arial"/>
          <w:bCs/>
          <w:sz w:val="20"/>
          <w:szCs w:val="20"/>
        </w:rPr>
        <w:t xml:space="preserve"> indicators</w:t>
      </w:r>
      <w:r>
        <w:rPr>
          <w:rFonts w:ascii="Arial" w:hAnsi="Arial" w:cs="Arial"/>
          <w:bCs/>
          <w:sz w:val="20"/>
          <w:szCs w:val="20"/>
        </w:rPr>
        <w:t xml:space="preserve">, informing the committee that the draft indicators had generally been welcomed by </w:t>
      </w:r>
      <w:r w:rsidR="007E7BB1">
        <w:rPr>
          <w:rFonts w:ascii="Arial" w:hAnsi="Arial" w:cs="Arial"/>
          <w:bCs/>
          <w:sz w:val="20"/>
          <w:szCs w:val="20"/>
        </w:rPr>
        <w:t>stakeholders,</w:t>
      </w:r>
      <w:r>
        <w:rPr>
          <w:rFonts w:ascii="Arial" w:hAnsi="Arial" w:cs="Arial"/>
          <w:bCs/>
          <w:sz w:val="20"/>
          <w:szCs w:val="20"/>
        </w:rPr>
        <w:t xml:space="preserve"> but the following cross-cutting issues had been identified:</w:t>
      </w:r>
    </w:p>
    <w:p w14:paraId="24E732BD" w14:textId="77777777" w:rsidR="008804B7" w:rsidRPr="008804B7" w:rsidRDefault="008804B7" w:rsidP="00102F48">
      <w:pPr>
        <w:pStyle w:val="ListParagraph"/>
        <w:numPr>
          <w:ilvl w:val="0"/>
          <w:numId w:val="5"/>
        </w:numPr>
        <w:spacing w:line="276" w:lineRule="auto"/>
        <w:rPr>
          <w:rFonts w:ascii="Arial" w:hAnsi="Arial" w:cs="Arial"/>
          <w:bCs/>
          <w:sz w:val="20"/>
          <w:szCs w:val="20"/>
        </w:rPr>
      </w:pPr>
      <w:r w:rsidRPr="008804B7">
        <w:rPr>
          <w:rFonts w:ascii="Arial" w:hAnsi="Arial" w:cs="Arial"/>
          <w:bCs/>
          <w:sz w:val="20"/>
          <w:szCs w:val="20"/>
        </w:rPr>
        <w:t>Adapting timing of indicators to match the diagnosis</w:t>
      </w:r>
    </w:p>
    <w:p w14:paraId="55057C61" w14:textId="77777777" w:rsidR="008804B7" w:rsidRPr="008804B7" w:rsidRDefault="008804B7" w:rsidP="00102F48">
      <w:pPr>
        <w:pStyle w:val="ListParagraph"/>
        <w:numPr>
          <w:ilvl w:val="0"/>
          <w:numId w:val="5"/>
        </w:numPr>
        <w:spacing w:line="276" w:lineRule="auto"/>
        <w:rPr>
          <w:rFonts w:ascii="Arial" w:hAnsi="Arial" w:cs="Arial"/>
          <w:bCs/>
          <w:sz w:val="20"/>
          <w:szCs w:val="20"/>
        </w:rPr>
      </w:pPr>
      <w:r w:rsidRPr="008804B7">
        <w:rPr>
          <w:rFonts w:ascii="Arial" w:hAnsi="Arial" w:cs="Arial"/>
          <w:bCs/>
          <w:sz w:val="20"/>
          <w:szCs w:val="20"/>
        </w:rPr>
        <w:t>Avoiding ‘tick box’ approach</w:t>
      </w:r>
    </w:p>
    <w:p w14:paraId="7E3B26C8" w14:textId="77777777" w:rsidR="008804B7" w:rsidRPr="008804B7" w:rsidRDefault="008804B7" w:rsidP="00102F48">
      <w:pPr>
        <w:pStyle w:val="ListParagraph"/>
        <w:numPr>
          <w:ilvl w:val="0"/>
          <w:numId w:val="5"/>
        </w:numPr>
        <w:spacing w:line="276" w:lineRule="auto"/>
        <w:rPr>
          <w:rFonts w:ascii="Arial" w:hAnsi="Arial" w:cs="Arial"/>
          <w:bCs/>
          <w:sz w:val="20"/>
          <w:szCs w:val="20"/>
        </w:rPr>
      </w:pPr>
      <w:r w:rsidRPr="008804B7">
        <w:rPr>
          <w:rFonts w:ascii="Arial" w:hAnsi="Arial" w:cs="Arial"/>
          <w:bCs/>
          <w:sz w:val="20"/>
          <w:szCs w:val="20"/>
        </w:rPr>
        <w:t>Information from secondary care</w:t>
      </w:r>
    </w:p>
    <w:p w14:paraId="47AF1C27" w14:textId="77777777" w:rsidR="008804B7" w:rsidRPr="008804B7" w:rsidRDefault="008804B7" w:rsidP="00102F48">
      <w:pPr>
        <w:pStyle w:val="ListParagraph"/>
        <w:numPr>
          <w:ilvl w:val="0"/>
          <w:numId w:val="5"/>
        </w:numPr>
        <w:spacing w:line="276" w:lineRule="auto"/>
        <w:rPr>
          <w:rFonts w:ascii="Arial" w:hAnsi="Arial" w:cs="Arial"/>
          <w:bCs/>
          <w:sz w:val="20"/>
          <w:szCs w:val="20"/>
        </w:rPr>
      </w:pPr>
      <w:r w:rsidRPr="008804B7">
        <w:rPr>
          <w:rFonts w:ascii="Arial" w:hAnsi="Arial" w:cs="Arial"/>
          <w:bCs/>
          <w:sz w:val="20"/>
          <w:szCs w:val="20"/>
        </w:rPr>
        <w:t>Avoiding clinical focus</w:t>
      </w:r>
    </w:p>
    <w:p w14:paraId="4A9139F5" w14:textId="77777777" w:rsidR="008804B7" w:rsidRPr="008804B7" w:rsidRDefault="008804B7" w:rsidP="00102F48">
      <w:pPr>
        <w:pStyle w:val="ListParagraph"/>
        <w:numPr>
          <w:ilvl w:val="0"/>
          <w:numId w:val="5"/>
        </w:numPr>
        <w:spacing w:line="276" w:lineRule="auto"/>
        <w:rPr>
          <w:rFonts w:ascii="Arial" w:hAnsi="Arial" w:cs="Arial"/>
          <w:bCs/>
          <w:sz w:val="20"/>
          <w:szCs w:val="20"/>
        </w:rPr>
      </w:pPr>
      <w:r w:rsidRPr="008804B7">
        <w:rPr>
          <w:rFonts w:ascii="Arial" w:hAnsi="Arial" w:cs="Arial"/>
          <w:bCs/>
          <w:sz w:val="20"/>
          <w:szCs w:val="20"/>
        </w:rPr>
        <w:t>Conducting remotely and accessibility</w:t>
      </w:r>
    </w:p>
    <w:p w14:paraId="5B57E103" w14:textId="368E0105" w:rsidR="008804B7" w:rsidRDefault="008804B7" w:rsidP="008804B7">
      <w:pPr>
        <w:pStyle w:val="ListParagraph"/>
        <w:spacing w:line="276" w:lineRule="auto"/>
        <w:rPr>
          <w:rFonts w:ascii="Arial" w:hAnsi="Arial" w:cs="Arial"/>
          <w:bCs/>
          <w:sz w:val="20"/>
          <w:szCs w:val="20"/>
        </w:rPr>
      </w:pPr>
    </w:p>
    <w:p w14:paraId="00C9FD07" w14:textId="7B4A9485" w:rsidR="008804B7" w:rsidRDefault="008804B7" w:rsidP="008804B7">
      <w:pPr>
        <w:pStyle w:val="ListParagraph"/>
        <w:spacing w:line="276" w:lineRule="auto"/>
        <w:ind w:left="0"/>
        <w:rPr>
          <w:rFonts w:ascii="Arial" w:hAnsi="Arial" w:cs="Arial"/>
          <w:bCs/>
          <w:sz w:val="20"/>
          <w:szCs w:val="20"/>
        </w:rPr>
      </w:pPr>
      <w:r w:rsidRPr="00354976">
        <w:rPr>
          <w:rFonts w:ascii="Arial" w:hAnsi="Arial" w:cs="Arial"/>
          <w:b/>
          <w:sz w:val="20"/>
          <w:szCs w:val="20"/>
        </w:rPr>
        <w:t>IND 2020-</w:t>
      </w:r>
      <w:r>
        <w:rPr>
          <w:rFonts w:ascii="Arial" w:hAnsi="Arial" w:cs="Arial"/>
          <w:b/>
          <w:sz w:val="20"/>
          <w:szCs w:val="20"/>
        </w:rPr>
        <w:t>82</w:t>
      </w:r>
      <w:r w:rsidRPr="00354976">
        <w:rPr>
          <w:rFonts w:ascii="Arial" w:hAnsi="Arial" w:cs="Arial"/>
          <w:b/>
          <w:sz w:val="20"/>
          <w:szCs w:val="20"/>
        </w:rPr>
        <w:t>:</w:t>
      </w:r>
      <w:r>
        <w:rPr>
          <w:rFonts w:ascii="Arial" w:hAnsi="Arial" w:cs="Arial"/>
          <w:b/>
          <w:sz w:val="20"/>
          <w:szCs w:val="20"/>
        </w:rPr>
        <w:t xml:space="preserve"> </w:t>
      </w:r>
      <w:r w:rsidRPr="008804B7">
        <w:rPr>
          <w:rFonts w:ascii="Arial" w:hAnsi="Arial" w:cs="Arial"/>
          <w:bCs/>
          <w:sz w:val="20"/>
          <w:szCs w:val="20"/>
        </w:rPr>
        <w:t>The percentage of patients with cancer, diagnosed within the preceding 12 months, who have had a discussion within 3 months of diagnosis about the support available from primary care.</w:t>
      </w:r>
    </w:p>
    <w:p w14:paraId="77309D29" w14:textId="1F0A2F00" w:rsidR="008804B7" w:rsidRDefault="008804B7" w:rsidP="008804B7">
      <w:pPr>
        <w:pStyle w:val="ListParagraph"/>
        <w:spacing w:line="276" w:lineRule="auto"/>
        <w:ind w:left="0"/>
        <w:rPr>
          <w:rFonts w:ascii="Arial" w:hAnsi="Arial" w:cs="Arial"/>
          <w:bCs/>
          <w:sz w:val="20"/>
          <w:szCs w:val="20"/>
        </w:rPr>
      </w:pPr>
    </w:p>
    <w:p w14:paraId="0AA668BE" w14:textId="77777777" w:rsidR="008804B7" w:rsidRDefault="008804B7" w:rsidP="008804B7">
      <w:pPr>
        <w:spacing w:line="276" w:lineRule="auto"/>
        <w:rPr>
          <w:rFonts w:ascii="Arial" w:hAnsi="Arial" w:cs="Arial"/>
          <w:bCs/>
          <w:sz w:val="20"/>
          <w:szCs w:val="20"/>
        </w:rPr>
      </w:pPr>
      <w:r>
        <w:rPr>
          <w:rFonts w:ascii="Arial" w:hAnsi="Arial" w:cs="Arial"/>
          <w:bCs/>
          <w:sz w:val="20"/>
          <w:szCs w:val="20"/>
        </w:rPr>
        <w:t>The committee was asked to consider the following issues:</w:t>
      </w:r>
    </w:p>
    <w:p w14:paraId="6AA707F2" w14:textId="77777777" w:rsidR="008804B7" w:rsidRPr="008804B7" w:rsidRDefault="008804B7" w:rsidP="00102F48">
      <w:pPr>
        <w:pStyle w:val="ListParagraph"/>
        <w:numPr>
          <w:ilvl w:val="0"/>
          <w:numId w:val="5"/>
        </w:numPr>
        <w:spacing w:line="276" w:lineRule="auto"/>
        <w:rPr>
          <w:rFonts w:ascii="Arial" w:hAnsi="Arial" w:cs="Arial"/>
          <w:bCs/>
          <w:sz w:val="20"/>
          <w:szCs w:val="20"/>
        </w:rPr>
      </w:pPr>
      <w:r w:rsidRPr="008804B7">
        <w:rPr>
          <w:rFonts w:ascii="Arial" w:hAnsi="Arial" w:cs="Arial"/>
          <w:bCs/>
          <w:sz w:val="20"/>
          <w:szCs w:val="20"/>
        </w:rPr>
        <w:t>No specific NICE guidance identified but supported by patient experience guideline CG138</w:t>
      </w:r>
    </w:p>
    <w:p w14:paraId="24E8C3A8" w14:textId="77777777" w:rsidR="008804B7" w:rsidRPr="008804B7" w:rsidRDefault="008804B7" w:rsidP="00102F48">
      <w:pPr>
        <w:pStyle w:val="ListParagraph"/>
        <w:numPr>
          <w:ilvl w:val="0"/>
          <w:numId w:val="5"/>
        </w:numPr>
        <w:spacing w:line="276" w:lineRule="auto"/>
        <w:rPr>
          <w:rFonts w:ascii="Arial" w:hAnsi="Arial" w:cs="Arial"/>
          <w:bCs/>
          <w:sz w:val="20"/>
          <w:szCs w:val="20"/>
        </w:rPr>
      </w:pPr>
      <w:r w:rsidRPr="008804B7">
        <w:rPr>
          <w:rFonts w:ascii="Arial" w:hAnsi="Arial" w:cs="Arial"/>
          <w:bCs/>
          <w:sz w:val="20"/>
          <w:szCs w:val="20"/>
        </w:rPr>
        <w:t>Defining the support</w:t>
      </w:r>
    </w:p>
    <w:p w14:paraId="10A6B75C" w14:textId="77777777" w:rsidR="008804B7" w:rsidRPr="008804B7" w:rsidRDefault="008804B7" w:rsidP="00102F48">
      <w:pPr>
        <w:pStyle w:val="ListParagraph"/>
        <w:numPr>
          <w:ilvl w:val="0"/>
          <w:numId w:val="5"/>
        </w:numPr>
        <w:spacing w:line="276" w:lineRule="auto"/>
        <w:rPr>
          <w:rFonts w:ascii="Arial" w:hAnsi="Arial" w:cs="Arial"/>
          <w:bCs/>
          <w:sz w:val="20"/>
          <w:szCs w:val="20"/>
        </w:rPr>
      </w:pPr>
      <w:r w:rsidRPr="008804B7">
        <w:rPr>
          <w:rFonts w:ascii="Arial" w:hAnsi="Arial" w:cs="Arial"/>
          <w:bCs/>
          <w:sz w:val="20"/>
          <w:szCs w:val="20"/>
        </w:rPr>
        <w:t>Timing for patients and arranging appointments in 3 months</w:t>
      </w:r>
    </w:p>
    <w:p w14:paraId="64B9C546" w14:textId="11307691" w:rsidR="008804B7" w:rsidRDefault="008804B7" w:rsidP="008804B7">
      <w:pPr>
        <w:pStyle w:val="ListParagraph"/>
        <w:spacing w:line="276" w:lineRule="auto"/>
        <w:ind w:left="0"/>
        <w:rPr>
          <w:rFonts w:ascii="Arial" w:hAnsi="Arial" w:cs="Arial"/>
          <w:bCs/>
          <w:sz w:val="20"/>
          <w:szCs w:val="20"/>
        </w:rPr>
      </w:pPr>
    </w:p>
    <w:p w14:paraId="1504B152" w14:textId="0BE02D03" w:rsidR="00102F48" w:rsidRDefault="00B071B5" w:rsidP="00102F48">
      <w:pPr>
        <w:spacing w:line="276" w:lineRule="auto"/>
        <w:rPr>
          <w:rFonts w:ascii="Arial" w:hAnsi="Arial" w:cs="Arial"/>
          <w:bCs/>
          <w:sz w:val="20"/>
          <w:szCs w:val="20"/>
        </w:rPr>
      </w:pPr>
      <w:r>
        <w:rPr>
          <w:rFonts w:ascii="Arial" w:hAnsi="Arial" w:cs="Arial"/>
          <w:bCs/>
          <w:sz w:val="20"/>
          <w:szCs w:val="20"/>
        </w:rPr>
        <w:t>The committee were supportive of the indicator and discussed</w:t>
      </w:r>
      <w:r w:rsidR="008A4171">
        <w:rPr>
          <w:rFonts w:ascii="Arial" w:hAnsi="Arial" w:cs="Arial"/>
          <w:bCs/>
          <w:sz w:val="20"/>
          <w:szCs w:val="20"/>
        </w:rPr>
        <w:t xml:space="preserve"> noting that it could drive improvements in </w:t>
      </w:r>
      <w:r w:rsidR="007E7BB1">
        <w:rPr>
          <w:rFonts w:ascii="Arial" w:hAnsi="Arial" w:cs="Arial"/>
          <w:bCs/>
          <w:sz w:val="20"/>
          <w:szCs w:val="20"/>
        </w:rPr>
        <w:t>communication and</w:t>
      </w:r>
      <w:r w:rsidR="008A4171">
        <w:rPr>
          <w:rFonts w:ascii="Arial" w:hAnsi="Arial" w:cs="Arial"/>
          <w:bCs/>
          <w:sz w:val="20"/>
          <w:szCs w:val="20"/>
        </w:rPr>
        <w:t xml:space="preserve"> discussed</w:t>
      </w:r>
      <w:r>
        <w:rPr>
          <w:rFonts w:ascii="Arial" w:hAnsi="Arial" w:cs="Arial"/>
          <w:bCs/>
          <w:sz w:val="20"/>
          <w:szCs w:val="20"/>
        </w:rPr>
        <w:t xml:space="preserve"> what was meant by ‘support’ and ‘discussion’</w:t>
      </w:r>
      <w:r w:rsidR="00102F48">
        <w:rPr>
          <w:rFonts w:ascii="Arial" w:hAnsi="Arial" w:cs="Arial"/>
          <w:bCs/>
          <w:sz w:val="20"/>
          <w:szCs w:val="20"/>
        </w:rPr>
        <w:t>. Consideration was given to amending the wording to ‘structured discussion</w:t>
      </w:r>
      <w:proofErr w:type="gramStart"/>
      <w:r w:rsidR="00102F48">
        <w:rPr>
          <w:rFonts w:ascii="Arial" w:hAnsi="Arial" w:cs="Arial"/>
          <w:bCs/>
          <w:sz w:val="20"/>
          <w:szCs w:val="20"/>
        </w:rPr>
        <w:t>’</w:t>
      </w:r>
      <w:proofErr w:type="gramEnd"/>
      <w:r w:rsidR="00102F48">
        <w:rPr>
          <w:rFonts w:ascii="Arial" w:hAnsi="Arial" w:cs="Arial"/>
          <w:bCs/>
          <w:sz w:val="20"/>
          <w:szCs w:val="20"/>
        </w:rPr>
        <w:t xml:space="preserve"> but the committee agreed this was not necessary. The committee recommended progressing the indicator for inclusion on the NICE menu with a minor editorial amendment.</w:t>
      </w:r>
    </w:p>
    <w:p w14:paraId="0B4159B8" w14:textId="701362D7" w:rsidR="008804B7" w:rsidRPr="008804B7" w:rsidRDefault="008804B7" w:rsidP="008804B7">
      <w:pPr>
        <w:pStyle w:val="ListParagraph"/>
        <w:spacing w:line="276" w:lineRule="auto"/>
        <w:ind w:left="0"/>
        <w:rPr>
          <w:rFonts w:ascii="Arial" w:hAnsi="Arial" w:cs="Arial"/>
          <w:bCs/>
          <w:sz w:val="20"/>
          <w:szCs w:val="20"/>
        </w:rPr>
      </w:pPr>
    </w:p>
    <w:p w14:paraId="3EC226AD" w14:textId="47B95FA6" w:rsidR="003C028F" w:rsidRPr="008804B7" w:rsidRDefault="00902B5E" w:rsidP="00902B5E">
      <w:pPr>
        <w:spacing w:line="276" w:lineRule="auto"/>
        <w:rPr>
          <w:rFonts w:ascii="Arial" w:hAnsi="Arial" w:cs="Arial"/>
          <w:b/>
          <w:sz w:val="20"/>
          <w:szCs w:val="20"/>
        </w:rPr>
      </w:pPr>
      <w:r w:rsidRPr="008804B7">
        <w:rPr>
          <w:rFonts w:ascii="Arial" w:hAnsi="Arial" w:cs="Arial"/>
          <w:b/>
          <w:sz w:val="20"/>
          <w:szCs w:val="20"/>
        </w:rPr>
        <w:t>Action</w:t>
      </w:r>
      <w:r w:rsidR="003C028F" w:rsidRPr="008804B7">
        <w:rPr>
          <w:rFonts w:ascii="Arial" w:hAnsi="Arial" w:cs="Arial"/>
          <w:b/>
          <w:sz w:val="20"/>
          <w:szCs w:val="20"/>
        </w:rPr>
        <w:t>:</w:t>
      </w:r>
      <w:r w:rsidR="00D47053" w:rsidRPr="008804B7">
        <w:rPr>
          <w:rFonts w:ascii="Arial" w:hAnsi="Arial" w:cs="Arial"/>
          <w:b/>
          <w:sz w:val="20"/>
          <w:szCs w:val="20"/>
        </w:rPr>
        <w:t xml:space="preserve"> </w:t>
      </w:r>
      <w:r w:rsidR="00D47053" w:rsidRPr="008804B7">
        <w:rPr>
          <w:rFonts w:ascii="Arial" w:hAnsi="Arial" w:cs="Arial"/>
          <w:bCs/>
          <w:sz w:val="20"/>
          <w:szCs w:val="20"/>
        </w:rPr>
        <w:t>Progress</w:t>
      </w:r>
      <w:r w:rsidR="00102F48">
        <w:rPr>
          <w:rFonts w:ascii="Arial" w:hAnsi="Arial" w:cs="Arial"/>
          <w:bCs/>
          <w:sz w:val="20"/>
          <w:szCs w:val="20"/>
        </w:rPr>
        <w:t xml:space="preserve"> indicator to NICE menu</w:t>
      </w:r>
      <w:r w:rsidR="00D47053" w:rsidRPr="008804B7">
        <w:rPr>
          <w:rFonts w:ascii="Arial" w:hAnsi="Arial" w:cs="Arial"/>
          <w:bCs/>
          <w:sz w:val="20"/>
          <w:szCs w:val="20"/>
        </w:rPr>
        <w:t>, with minor editorial amendment.</w:t>
      </w:r>
    </w:p>
    <w:p w14:paraId="13334C5A" w14:textId="3204D7B6" w:rsidR="003C028F" w:rsidRPr="008804B7" w:rsidRDefault="003C028F" w:rsidP="00902B5E">
      <w:pPr>
        <w:spacing w:line="276" w:lineRule="auto"/>
        <w:rPr>
          <w:rFonts w:ascii="Arial" w:hAnsi="Arial" w:cs="Arial"/>
          <w:b/>
          <w:sz w:val="20"/>
          <w:szCs w:val="20"/>
        </w:rPr>
      </w:pPr>
    </w:p>
    <w:p w14:paraId="06193F60" w14:textId="2674F6E2" w:rsidR="003C028F" w:rsidRDefault="00102F48" w:rsidP="00902B5E">
      <w:pPr>
        <w:spacing w:line="276" w:lineRule="auto"/>
        <w:rPr>
          <w:rFonts w:ascii="Arial" w:hAnsi="Arial" w:cs="Arial"/>
          <w:bCs/>
          <w:sz w:val="20"/>
          <w:szCs w:val="20"/>
        </w:rPr>
      </w:pPr>
      <w:r w:rsidRPr="00354976">
        <w:rPr>
          <w:rFonts w:ascii="Arial" w:hAnsi="Arial" w:cs="Arial"/>
          <w:b/>
          <w:sz w:val="20"/>
          <w:szCs w:val="20"/>
        </w:rPr>
        <w:t>IND 2020-</w:t>
      </w:r>
      <w:r>
        <w:rPr>
          <w:rFonts w:ascii="Arial" w:hAnsi="Arial" w:cs="Arial"/>
          <w:b/>
          <w:sz w:val="20"/>
          <w:szCs w:val="20"/>
        </w:rPr>
        <w:t>83</w:t>
      </w:r>
      <w:r w:rsidRPr="00354976">
        <w:rPr>
          <w:rFonts w:ascii="Arial" w:hAnsi="Arial" w:cs="Arial"/>
          <w:b/>
          <w:sz w:val="20"/>
          <w:szCs w:val="20"/>
        </w:rPr>
        <w:t>:</w:t>
      </w:r>
      <w:r>
        <w:rPr>
          <w:rFonts w:ascii="Arial" w:hAnsi="Arial" w:cs="Arial"/>
          <w:b/>
          <w:sz w:val="20"/>
          <w:szCs w:val="20"/>
        </w:rPr>
        <w:t xml:space="preserve"> </w:t>
      </w:r>
      <w:r w:rsidRPr="00102F48">
        <w:rPr>
          <w:rFonts w:ascii="Arial" w:hAnsi="Arial" w:cs="Arial"/>
          <w:bCs/>
          <w:sz w:val="20"/>
          <w:szCs w:val="20"/>
        </w:rPr>
        <w:t>The percentage of patients with cancer, diagnosed within the preceding 24 months, who have a patient Cancer Care Review using a structured template within 12 months of diagnosis.</w:t>
      </w:r>
    </w:p>
    <w:p w14:paraId="0B641B43" w14:textId="1A7690DD" w:rsidR="00102F48" w:rsidRDefault="00102F48" w:rsidP="00902B5E">
      <w:pPr>
        <w:spacing w:line="276" w:lineRule="auto"/>
        <w:rPr>
          <w:rFonts w:ascii="Arial" w:hAnsi="Arial" w:cs="Arial"/>
          <w:bCs/>
          <w:sz w:val="20"/>
          <w:szCs w:val="20"/>
        </w:rPr>
      </w:pPr>
    </w:p>
    <w:p w14:paraId="0AA8C012" w14:textId="77777777" w:rsidR="00102F48" w:rsidRDefault="00102F48" w:rsidP="00102F48">
      <w:pPr>
        <w:spacing w:line="276" w:lineRule="auto"/>
        <w:rPr>
          <w:rFonts w:ascii="Arial" w:hAnsi="Arial" w:cs="Arial"/>
          <w:bCs/>
          <w:sz w:val="20"/>
          <w:szCs w:val="20"/>
        </w:rPr>
      </w:pPr>
      <w:r>
        <w:rPr>
          <w:rFonts w:ascii="Arial" w:hAnsi="Arial" w:cs="Arial"/>
          <w:bCs/>
          <w:sz w:val="20"/>
          <w:szCs w:val="20"/>
        </w:rPr>
        <w:t>The committee was asked to consider the following issues:</w:t>
      </w:r>
    </w:p>
    <w:p w14:paraId="54C9B410" w14:textId="77777777" w:rsidR="00102F48" w:rsidRPr="00102F48" w:rsidRDefault="00102F48" w:rsidP="00102F48">
      <w:pPr>
        <w:pStyle w:val="ListParagraph"/>
        <w:numPr>
          <w:ilvl w:val="0"/>
          <w:numId w:val="5"/>
        </w:numPr>
        <w:spacing w:line="276" w:lineRule="auto"/>
        <w:rPr>
          <w:rFonts w:ascii="Arial" w:hAnsi="Arial" w:cs="Arial"/>
          <w:bCs/>
          <w:sz w:val="20"/>
          <w:szCs w:val="20"/>
        </w:rPr>
      </w:pPr>
      <w:r w:rsidRPr="00102F48">
        <w:rPr>
          <w:rFonts w:ascii="Arial" w:hAnsi="Arial" w:cs="Arial"/>
          <w:bCs/>
          <w:sz w:val="20"/>
          <w:szCs w:val="20"/>
        </w:rPr>
        <w:t>No specific NICE guidance identified but supported by patient experience guideline CG138</w:t>
      </w:r>
    </w:p>
    <w:p w14:paraId="590DA466" w14:textId="77777777" w:rsidR="00102F48" w:rsidRPr="00102F48" w:rsidRDefault="00102F48" w:rsidP="00102F48">
      <w:pPr>
        <w:pStyle w:val="ListParagraph"/>
        <w:numPr>
          <w:ilvl w:val="0"/>
          <w:numId w:val="5"/>
        </w:numPr>
        <w:spacing w:line="276" w:lineRule="auto"/>
        <w:rPr>
          <w:rFonts w:ascii="Arial" w:hAnsi="Arial" w:cs="Arial"/>
          <w:bCs/>
          <w:sz w:val="20"/>
          <w:szCs w:val="20"/>
        </w:rPr>
      </w:pPr>
      <w:r w:rsidRPr="00102F48">
        <w:rPr>
          <w:rFonts w:ascii="Arial" w:hAnsi="Arial" w:cs="Arial"/>
          <w:bCs/>
          <w:sz w:val="20"/>
          <w:szCs w:val="20"/>
        </w:rPr>
        <w:t>No code available for use of a structured template</w:t>
      </w:r>
    </w:p>
    <w:p w14:paraId="7B68CE0B" w14:textId="77777777" w:rsidR="00102F48" w:rsidRPr="00102F48" w:rsidRDefault="00102F48" w:rsidP="00102F48">
      <w:pPr>
        <w:pStyle w:val="ListParagraph"/>
        <w:numPr>
          <w:ilvl w:val="0"/>
          <w:numId w:val="5"/>
        </w:numPr>
        <w:spacing w:line="276" w:lineRule="auto"/>
        <w:rPr>
          <w:rFonts w:ascii="Arial" w:hAnsi="Arial" w:cs="Arial"/>
          <w:bCs/>
          <w:sz w:val="20"/>
          <w:szCs w:val="20"/>
        </w:rPr>
      </w:pPr>
      <w:r w:rsidRPr="00102F48">
        <w:rPr>
          <w:rFonts w:ascii="Arial" w:hAnsi="Arial" w:cs="Arial"/>
          <w:bCs/>
          <w:sz w:val="20"/>
          <w:szCs w:val="20"/>
        </w:rPr>
        <w:t>Overlap with health needs assessment</w:t>
      </w:r>
    </w:p>
    <w:p w14:paraId="7EB578E6" w14:textId="77777777" w:rsidR="00102F48" w:rsidRPr="00102F48" w:rsidRDefault="00102F48" w:rsidP="00102F48">
      <w:pPr>
        <w:pStyle w:val="ListParagraph"/>
        <w:numPr>
          <w:ilvl w:val="0"/>
          <w:numId w:val="5"/>
        </w:numPr>
        <w:spacing w:line="276" w:lineRule="auto"/>
        <w:rPr>
          <w:rFonts w:ascii="Arial" w:hAnsi="Arial" w:cs="Arial"/>
          <w:bCs/>
          <w:sz w:val="20"/>
          <w:szCs w:val="20"/>
        </w:rPr>
      </w:pPr>
      <w:r w:rsidRPr="00102F48">
        <w:rPr>
          <w:rFonts w:ascii="Arial" w:hAnsi="Arial" w:cs="Arial"/>
          <w:bCs/>
          <w:sz w:val="20"/>
          <w:szCs w:val="20"/>
        </w:rPr>
        <w:lastRenderedPageBreak/>
        <w:t>Flexibility and personalisation of timing and template</w:t>
      </w:r>
    </w:p>
    <w:p w14:paraId="12EC07F8" w14:textId="77777777" w:rsidR="00102F48" w:rsidRPr="00102F48" w:rsidRDefault="00102F48" w:rsidP="00102F48">
      <w:pPr>
        <w:pStyle w:val="ListParagraph"/>
        <w:numPr>
          <w:ilvl w:val="0"/>
          <w:numId w:val="5"/>
        </w:numPr>
        <w:spacing w:line="276" w:lineRule="auto"/>
        <w:rPr>
          <w:rFonts w:ascii="Arial" w:hAnsi="Arial" w:cs="Arial"/>
          <w:bCs/>
          <w:sz w:val="20"/>
          <w:szCs w:val="20"/>
        </w:rPr>
      </w:pPr>
      <w:r w:rsidRPr="00102F48">
        <w:rPr>
          <w:rFonts w:ascii="Arial" w:hAnsi="Arial" w:cs="Arial"/>
          <w:bCs/>
          <w:sz w:val="20"/>
          <w:szCs w:val="20"/>
        </w:rPr>
        <w:t>May still not be a suitable timeframe for some patients</w:t>
      </w:r>
    </w:p>
    <w:p w14:paraId="03FA64AD" w14:textId="77777777" w:rsidR="00102F48" w:rsidRPr="00102F48" w:rsidRDefault="00102F48" w:rsidP="00102F48">
      <w:pPr>
        <w:pStyle w:val="ListParagraph"/>
        <w:numPr>
          <w:ilvl w:val="0"/>
          <w:numId w:val="5"/>
        </w:numPr>
        <w:spacing w:line="276" w:lineRule="auto"/>
        <w:rPr>
          <w:rFonts w:ascii="Arial" w:hAnsi="Arial" w:cs="Arial"/>
          <w:bCs/>
          <w:sz w:val="20"/>
          <w:szCs w:val="20"/>
        </w:rPr>
      </w:pPr>
      <w:r w:rsidRPr="00102F48">
        <w:rPr>
          <w:rFonts w:ascii="Arial" w:hAnsi="Arial" w:cs="Arial"/>
          <w:bCs/>
          <w:sz w:val="20"/>
          <w:szCs w:val="20"/>
        </w:rPr>
        <w:t>End of treatment link may not be possible</w:t>
      </w:r>
    </w:p>
    <w:p w14:paraId="51A0389D" w14:textId="79218127" w:rsidR="00102F48" w:rsidRDefault="00102F48" w:rsidP="00902B5E">
      <w:pPr>
        <w:spacing w:line="276" w:lineRule="auto"/>
        <w:rPr>
          <w:rFonts w:ascii="Arial" w:hAnsi="Arial" w:cs="Arial"/>
          <w:b/>
          <w:sz w:val="20"/>
          <w:szCs w:val="20"/>
        </w:rPr>
      </w:pPr>
    </w:p>
    <w:p w14:paraId="501F36D5" w14:textId="77777777" w:rsidR="00260529" w:rsidRPr="00031969" w:rsidRDefault="00260529" w:rsidP="00260529">
      <w:pPr>
        <w:spacing w:line="276" w:lineRule="auto"/>
        <w:rPr>
          <w:rFonts w:ascii="Arial" w:hAnsi="Arial" w:cs="Arial"/>
          <w:bCs/>
          <w:sz w:val="20"/>
          <w:szCs w:val="20"/>
        </w:rPr>
      </w:pPr>
      <w:r>
        <w:rPr>
          <w:rFonts w:ascii="Arial" w:hAnsi="Arial" w:cs="Arial"/>
          <w:bCs/>
          <w:sz w:val="20"/>
          <w:szCs w:val="20"/>
        </w:rPr>
        <w:t>There was broad support from the committee for this indicator. The committee recommended progressing the indicator for inclusion on the NICE menu.</w:t>
      </w:r>
    </w:p>
    <w:p w14:paraId="208D57CF" w14:textId="77777777" w:rsidR="00102F48" w:rsidRDefault="00102F48" w:rsidP="00902B5E">
      <w:pPr>
        <w:spacing w:line="276" w:lineRule="auto"/>
        <w:rPr>
          <w:rFonts w:ascii="Arial" w:hAnsi="Arial" w:cs="Arial"/>
          <w:b/>
          <w:sz w:val="20"/>
          <w:szCs w:val="20"/>
        </w:rPr>
      </w:pPr>
    </w:p>
    <w:p w14:paraId="64E18204" w14:textId="588764CA" w:rsidR="003C028F" w:rsidRDefault="00902B5E" w:rsidP="00902B5E">
      <w:pPr>
        <w:spacing w:line="276" w:lineRule="auto"/>
        <w:rPr>
          <w:rFonts w:ascii="Arial" w:hAnsi="Arial" w:cs="Arial"/>
          <w:bCs/>
          <w:sz w:val="20"/>
          <w:szCs w:val="20"/>
        </w:rPr>
      </w:pPr>
      <w:r w:rsidRPr="008804B7">
        <w:rPr>
          <w:rFonts w:ascii="Arial" w:hAnsi="Arial" w:cs="Arial"/>
          <w:b/>
          <w:sz w:val="20"/>
          <w:szCs w:val="20"/>
        </w:rPr>
        <w:t>Action</w:t>
      </w:r>
      <w:r w:rsidR="003C028F" w:rsidRPr="008804B7">
        <w:rPr>
          <w:rFonts w:ascii="Arial" w:hAnsi="Arial" w:cs="Arial"/>
          <w:b/>
          <w:sz w:val="20"/>
          <w:szCs w:val="20"/>
        </w:rPr>
        <w:t>:</w:t>
      </w:r>
      <w:r w:rsidR="00D47053" w:rsidRPr="008804B7">
        <w:rPr>
          <w:rFonts w:ascii="Arial" w:hAnsi="Arial" w:cs="Arial"/>
          <w:b/>
          <w:sz w:val="20"/>
          <w:szCs w:val="20"/>
        </w:rPr>
        <w:t xml:space="preserve"> </w:t>
      </w:r>
      <w:r w:rsidR="00D47053" w:rsidRPr="008804B7">
        <w:rPr>
          <w:rFonts w:ascii="Arial" w:hAnsi="Arial" w:cs="Arial"/>
          <w:bCs/>
          <w:sz w:val="20"/>
          <w:szCs w:val="20"/>
        </w:rPr>
        <w:t>Progress</w:t>
      </w:r>
      <w:r w:rsidR="00102F48">
        <w:rPr>
          <w:rFonts w:ascii="Arial" w:hAnsi="Arial" w:cs="Arial"/>
          <w:bCs/>
          <w:sz w:val="20"/>
          <w:szCs w:val="20"/>
        </w:rPr>
        <w:t xml:space="preserve"> indicator to NICE menu</w:t>
      </w:r>
      <w:r w:rsidR="00D47053" w:rsidRPr="008804B7">
        <w:rPr>
          <w:rFonts w:ascii="Arial" w:hAnsi="Arial" w:cs="Arial"/>
          <w:bCs/>
          <w:sz w:val="20"/>
          <w:szCs w:val="20"/>
        </w:rPr>
        <w:t>, with minor editorial amendment.</w:t>
      </w:r>
    </w:p>
    <w:p w14:paraId="5D328A4C" w14:textId="77777777" w:rsidR="00260529" w:rsidRPr="008804B7" w:rsidRDefault="00260529" w:rsidP="00902B5E">
      <w:pPr>
        <w:spacing w:line="276" w:lineRule="auto"/>
        <w:rPr>
          <w:rFonts w:ascii="Arial" w:hAnsi="Arial" w:cs="Arial"/>
          <w:b/>
          <w:sz w:val="20"/>
          <w:szCs w:val="20"/>
        </w:rPr>
      </w:pPr>
    </w:p>
    <w:p w14:paraId="34B73A0B" w14:textId="53CCFF5D" w:rsidR="00166EB8" w:rsidRDefault="00166EB8" w:rsidP="0093339D">
      <w:pPr>
        <w:pStyle w:val="Heading3"/>
      </w:pPr>
      <w:r w:rsidRPr="00BF3873">
        <w:t xml:space="preserve">Item 6 – </w:t>
      </w:r>
      <w:r w:rsidR="003C028F" w:rsidRPr="00BF3873">
        <w:t>Assessment of indicators on the NICE menu</w:t>
      </w:r>
      <w:r w:rsidRPr="00BF3873">
        <w:t xml:space="preserve"> </w:t>
      </w:r>
    </w:p>
    <w:p w14:paraId="7A6D6DF8" w14:textId="77777777" w:rsidR="000B198B" w:rsidRPr="00BF3873" w:rsidRDefault="000B198B" w:rsidP="00902B5E">
      <w:pPr>
        <w:spacing w:line="276" w:lineRule="auto"/>
        <w:rPr>
          <w:rFonts w:ascii="Arial" w:hAnsi="Arial" w:cs="Arial"/>
          <w:b/>
          <w:sz w:val="20"/>
          <w:szCs w:val="20"/>
        </w:rPr>
      </w:pPr>
    </w:p>
    <w:p w14:paraId="4D5E3EC0" w14:textId="77777777" w:rsidR="00260529" w:rsidRPr="00BF3873" w:rsidRDefault="00260529" w:rsidP="00260529">
      <w:pPr>
        <w:spacing w:line="276" w:lineRule="auto"/>
        <w:rPr>
          <w:rFonts w:ascii="Arial" w:hAnsi="Arial" w:cs="Arial"/>
          <w:bCs/>
          <w:sz w:val="20"/>
          <w:szCs w:val="20"/>
        </w:rPr>
      </w:pPr>
      <w:r w:rsidRPr="00BF3873">
        <w:rPr>
          <w:rFonts w:ascii="Arial" w:hAnsi="Arial" w:cs="Arial"/>
          <w:bCs/>
          <w:sz w:val="20"/>
          <w:szCs w:val="20"/>
        </w:rPr>
        <w:t>CDG presented the following NICE menu indicators which have been reviewed by the NICE team and asked the committee whether any changes were required:</w:t>
      </w:r>
    </w:p>
    <w:p w14:paraId="6440130E" w14:textId="77777777" w:rsidR="00BF3873" w:rsidRPr="00BF3873" w:rsidRDefault="00D47053" w:rsidP="0093339D">
      <w:pPr>
        <w:pStyle w:val="Heading4"/>
      </w:pPr>
      <w:r w:rsidRPr="00BF3873">
        <w:t xml:space="preserve">NM08 – </w:t>
      </w:r>
      <w:r w:rsidR="00BF3873" w:rsidRPr="00BF3873">
        <w:t>Angina</w:t>
      </w:r>
    </w:p>
    <w:p w14:paraId="4D5D79E1" w14:textId="5320C578" w:rsidR="00D47053" w:rsidRDefault="00BF3873" w:rsidP="00BF3873">
      <w:pPr>
        <w:spacing w:line="276" w:lineRule="auto"/>
        <w:rPr>
          <w:rFonts w:ascii="Arial" w:hAnsi="Arial" w:cs="Arial"/>
          <w:bCs/>
          <w:sz w:val="20"/>
          <w:szCs w:val="20"/>
        </w:rPr>
      </w:pPr>
      <w:r w:rsidRPr="00BF3873">
        <w:rPr>
          <w:rFonts w:ascii="Arial" w:hAnsi="Arial" w:cs="Arial"/>
          <w:bCs/>
          <w:sz w:val="20"/>
          <w:szCs w:val="20"/>
        </w:rPr>
        <w:t xml:space="preserve">The committee agreed that as this indicator was no longer supported by </w:t>
      </w:r>
      <w:r w:rsidR="00D47053" w:rsidRPr="00BF3873">
        <w:rPr>
          <w:rFonts w:ascii="Arial" w:hAnsi="Arial" w:cs="Arial"/>
          <w:bCs/>
          <w:sz w:val="20"/>
          <w:szCs w:val="20"/>
        </w:rPr>
        <w:t>NICE guidance</w:t>
      </w:r>
      <w:r w:rsidRPr="00BF3873">
        <w:rPr>
          <w:rFonts w:ascii="Arial" w:hAnsi="Arial" w:cs="Arial"/>
          <w:bCs/>
          <w:sz w:val="20"/>
          <w:szCs w:val="20"/>
        </w:rPr>
        <w:t xml:space="preserve"> it should be retired.</w:t>
      </w:r>
    </w:p>
    <w:p w14:paraId="2B446888" w14:textId="77777777" w:rsidR="000B198B" w:rsidRPr="00BF3873" w:rsidRDefault="000B198B" w:rsidP="00BF3873">
      <w:pPr>
        <w:spacing w:line="276" w:lineRule="auto"/>
        <w:rPr>
          <w:rFonts w:ascii="Arial" w:hAnsi="Arial" w:cs="Arial"/>
          <w:bCs/>
          <w:sz w:val="20"/>
          <w:szCs w:val="20"/>
        </w:rPr>
      </w:pPr>
    </w:p>
    <w:p w14:paraId="4538CB50" w14:textId="4A8BB299" w:rsidR="00BF3873" w:rsidRPr="00BF3873" w:rsidRDefault="00BF3873" w:rsidP="00BF3873">
      <w:pPr>
        <w:spacing w:line="276" w:lineRule="auto"/>
        <w:rPr>
          <w:rFonts w:ascii="Arial" w:hAnsi="Arial" w:cs="Arial"/>
          <w:bCs/>
          <w:sz w:val="20"/>
          <w:szCs w:val="20"/>
        </w:rPr>
      </w:pPr>
      <w:r w:rsidRPr="00BF3873">
        <w:rPr>
          <w:rFonts w:ascii="Arial" w:hAnsi="Arial" w:cs="Arial"/>
          <w:b/>
          <w:sz w:val="20"/>
          <w:szCs w:val="20"/>
        </w:rPr>
        <w:t>Action:</w:t>
      </w:r>
      <w:r w:rsidRPr="00BF3873">
        <w:rPr>
          <w:rFonts w:ascii="Arial" w:hAnsi="Arial" w:cs="Arial"/>
          <w:bCs/>
          <w:sz w:val="20"/>
          <w:szCs w:val="20"/>
        </w:rPr>
        <w:t xml:space="preserve"> NICE team to retire NM08 from the NICE menu.</w:t>
      </w:r>
    </w:p>
    <w:p w14:paraId="2B1DCAD4" w14:textId="286262F9" w:rsidR="00BF3873" w:rsidRDefault="00D47053" w:rsidP="0093339D">
      <w:pPr>
        <w:pStyle w:val="Heading4"/>
      </w:pPr>
      <w:r w:rsidRPr="00BF3873">
        <w:t>NM35</w:t>
      </w:r>
      <w:r w:rsidR="00BF3873">
        <w:t xml:space="preserve"> /</w:t>
      </w:r>
      <w:r w:rsidR="00BF3873" w:rsidRPr="00BF3873">
        <w:t xml:space="preserve"> NM</w:t>
      </w:r>
      <w:r w:rsidRPr="00BF3873">
        <w:t>60</w:t>
      </w:r>
      <w:r w:rsidR="00BF3873">
        <w:t xml:space="preserve"> /</w:t>
      </w:r>
      <w:r w:rsidR="00BF3873" w:rsidRPr="00BF3873">
        <w:t xml:space="preserve"> NM</w:t>
      </w:r>
      <w:r w:rsidRPr="00BF3873">
        <w:t>118</w:t>
      </w:r>
      <w:r w:rsidR="00BF3873">
        <w:t xml:space="preserve"> – Cholesterol</w:t>
      </w:r>
    </w:p>
    <w:p w14:paraId="50F88DF1" w14:textId="21B42C0A" w:rsidR="00BF3873" w:rsidRPr="00BF3873" w:rsidRDefault="00BF3873" w:rsidP="00BF3873">
      <w:pPr>
        <w:spacing w:line="276" w:lineRule="auto"/>
        <w:rPr>
          <w:rFonts w:ascii="Arial" w:hAnsi="Arial" w:cs="Arial"/>
          <w:bCs/>
          <w:sz w:val="20"/>
          <w:szCs w:val="20"/>
        </w:rPr>
      </w:pPr>
      <w:r w:rsidRPr="00BF3873">
        <w:rPr>
          <w:rFonts w:ascii="Arial" w:hAnsi="Arial" w:cs="Arial"/>
          <w:bCs/>
          <w:sz w:val="20"/>
          <w:szCs w:val="20"/>
        </w:rPr>
        <w:t>The committee agreed that as th</w:t>
      </w:r>
      <w:r>
        <w:rPr>
          <w:rFonts w:ascii="Arial" w:hAnsi="Arial" w:cs="Arial"/>
          <w:bCs/>
          <w:sz w:val="20"/>
          <w:szCs w:val="20"/>
        </w:rPr>
        <w:t>ese</w:t>
      </w:r>
      <w:r w:rsidRPr="00BF3873">
        <w:rPr>
          <w:rFonts w:ascii="Arial" w:hAnsi="Arial" w:cs="Arial"/>
          <w:bCs/>
          <w:sz w:val="20"/>
          <w:szCs w:val="20"/>
        </w:rPr>
        <w:t xml:space="preserve"> indicator</w:t>
      </w:r>
      <w:r>
        <w:rPr>
          <w:rFonts w:ascii="Arial" w:hAnsi="Arial" w:cs="Arial"/>
          <w:bCs/>
          <w:sz w:val="20"/>
          <w:szCs w:val="20"/>
        </w:rPr>
        <w:t>s</w:t>
      </w:r>
      <w:r w:rsidRPr="00BF3873">
        <w:rPr>
          <w:rFonts w:ascii="Arial" w:hAnsi="Arial" w:cs="Arial"/>
          <w:bCs/>
          <w:sz w:val="20"/>
          <w:szCs w:val="20"/>
        </w:rPr>
        <w:t xml:space="preserve"> w</w:t>
      </w:r>
      <w:r>
        <w:rPr>
          <w:rFonts w:ascii="Arial" w:hAnsi="Arial" w:cs="Arial"/>
          <w:bCs/>
          <w:sz w:val="20"/>
          <w:szCs w:val="20"/>
        </w:rPr>
        <w:t>ere</w:t>
      </w:r>
      <w:r w:rsidRPr="00BF3873">
        <w:rPr>
          <w:rFonts w:ascii="Arial" w:hAnsi="Arial" w:cs="Arial"/>
          <w:bCs/>
          <w:sz w:val="20"/>
          <w:szCs w:val="20"/>
        </w:rPr>
        <w:t xml:space="preserve"> no longer supported by NICE guidance </w:t>
      </w:r>
      <w:r>
        <w:rPr>
          <w:rFonts w:ascii="Arial" w:hAnsi="Arial" w:cs="Arial"/>
          <w:bCs/>
          <w:sz w:val="20"/>
          <w:szCs w:val="20"/>
        </w:rPr>
        <w:t>or NICE-accredited guidance they</w:t>
      </w:r>
      <w:r w:rsidRPr="00BF3873">
        <w:rPr>
          <w:rFonts w:ascii="Arial" w:hAnsi="Arial" w:cs="Arial"/>
          <w:bCs/>
          <w:sz w:val="20"/>
          <w:szCs w:val="20"/>
        </w:rPr>
        <w:t xml:space="preserve"> should be retired.</w:t>
      </w:r>
      <w:r>
        <w:rPr>
          <w:rFonts w:ascii="Arial" w:hAnsi="Arial" w:cs="Arial"/>
          <w:bCs/>
          <w:sz w:val="20"/>
          <w:szCs w:val="20"/>
        </w:rPr>
        <w:t xml:space="preserve"> The committee noted that the indicators were part of the indicators no longer in QOF (INLIQ) dataset and recommended that the NICE team flag this with NHS England</w:t>
      </w:r>
      <w:r w:rsidR="00F61CF0">
        <w:rPr>
          <w:rFonts w:ascii="Arial" w:hAnsi="Arial" w:cs="Arial"/>
          <w:bCs/>
          <w:sz w:val="20"/>
          <w:szCs w:val="20"/>
        </w:rPr>
        <w:t xml:space="preserve"> and NHS Digital</w:t>
      </w:r>
      <w:r>
        <w:rPr>
          <w:rFonts w:ascii="Arial" w:hAnsi="Arial" w:cs="Arial"/>
          <w:bCs/>
          <w:sz w:val="20"/>
          <w:szCs w:val="20"/>
        </w:rPr>
        <w:t>.</w:t>
      </w:r>
    </w:p>
    <w:p w14:paraId="1F5D0699" w14:textId="77777777" w:rsidR="000B198B" w:rsidRDefault="000B198B" w:rsidP="00F61CF0">
      <w:pPr>
        <w:spacing w:line="276" w:lineRule="auto"/>
        <w:rPr>
          <w:rFonts w:ascii="Arial" w:hAnsi="Arial" w:cs="Arial"/>
          <w:b/>
          <w:sz w:val="20"/>
          <w:szCs w:val="20"/>
        </w:rPr>
      </w:pPr>
    </w:p>
    <w:p w14:paraId="49F03891" w14:textId="1C5FB986" w:rsidR="00F61CF0" w:rsidRDefault="00F61CF0" w:rsidP="00F61CF0">
      <w:pPr>
        <w:spacing w:line="276" w:lineRule="auto"/>
        <w:rPr>
          <w:rFonts w:ascii="Arial" w:hAnsi="Arial" w:cs="Arial"/>
          <w:bCs/>
          <w:sz w:val="20"/>
          <w:szCs w:val="20"/>
        </w:rPr>
      </w:pPr>
      <w:r w:rsidRPr="00BF3873">
        <w:rPr>
          <w:rFonts w:ascii="Arial" w:hAnsi="Arial" w:cs="Arial"/>
          <w:b/>
          <w:sz w:val="20"/>
          <w:szCs w:val="20"/>
        </w:rPr>
        <w:t>Action:</w:t>
      </w:r>
      <w:r w:rsidRPr="00BF3873">
        <w:rPr>
          <w:rFonts w:ascii="Arial" w:hAnsi="Arial" w:cs="Arial"/>
          <w:bCs/>
          <w:sz w:val="20"/>
          <w:szCs w:val="20"/>
        </w:rPr>
        <w:t xml:space="preserve"> NICE team to retire NM</w:t>
      </w:r>
      <w:r>
        <w:rPr>
          <w:rFonts w:ascii="Arial" w:hAnsi="Arial" w:cs="Arial"/>
          <w:bCs/>
          <w:sz w:val="20"/>
          <w:szCs w:val="20"/>
        </w:rPr>
        <w:t xml:space="preserve">35, NM60 and NM118 </w:t>
      </w:r>
      <w:r w:rsidRPr="00BF3873">
        <w:rPr>
          <w:rFonts w:ascii="Arial" w:hAnsi="Arial" w:cs="Arial"/>
          <w:bCs/>
          <w:sz w:val="20"/>
          <w:szCs w:val="20"/>
        </w:rPr>
        <w:t>from the NICE menu.</w:t>
      </w:r>
    </w:p>
    <w:p w14:paraId="0C3DF782" w14:textId="77777777" w:rsidR="000B198B" w:rsidRDefault="000B198B" w:rsidP="00F61CF0">
      <w:pPr>
        <w:spacing w:line="276" w:lineRule="auto"/>
        <w:rPr>
          <w:rFonts w:ascii="Arial" w:hAnsi="Arial" w:cs="Arial"/>
          <w:b/>
          <w:sz w:val="20"/>
          <w:szCs w:val="20"/>
        </w:rPr>
      </w:pPr>
    </w:p>
    <w:p w14:paraId="34787730" w14:textId="4ED2E8E8" w:rsidR="00F61CF0" w:rsidRPr="00BF3873" w:rsidRDefault="00F61CF0" w:rsidP="00F61CF0">
      <w:pPr>
        <w:spacing w:line="276" w:lineRule="auto"/>
        <w:rPr>
          <w:rFonts w:ascii="Arial" w:hAnsi="Arial" w:cs="Arial"/>
          <w:bCs/>
          <w:sz w:val="20"/>
          <w:szCs w:val="20"/>
        </w:rPr>
      </w:pPr>
      <w:r w:rsidRPr="00BF3873">
        <w:rPr>
          <w:rFonts w:ascii="Arial" w:hAnsi="Arial" w:cs="Arial"/>
          <w:b/>
          <w:sz w:val="20"/>
          <w:szCs w:val="20"/>
        </w:rPr>
        <w:t>Action:</w:t>
      </w:r>
      <w:r w:rsidRPr="00BF3873">
        <w:rPr>
          <w:rFonts w:ascii="Arial" w:hAnsi="Arial" w:cs="Arial"/>
          <w:bCs/>
          <w:sz w:val="20"/>
          <w:szCs w:val="20"/>
        </w:rPr>
        <w:t xml:space="preserve"> NICE team to</w:t>
      </w:r>
      <w:r>
        <w:rPr>
          <w:rFonts w:ascii="Arial" w:hAnsi="Arial" w:cs="Arial"/>
          <w:bCs/>
          <w:sz w:val="20"/>
          <w:szCs w:val="20"/>
        </w:rPr>
        <w:t xml:space="preserve"> flag the retirement of NM35, NM60 and NM118 with NHS England and NHS Digital given their inclusion in INLIQ.</w:t>
      </w:r>
    </w:p>
    <w:p w14:paraId="2BEA35C9" w14:textId="4FD1D4A8" w:rsidR="00F61CF0" w:rsidRDefault="00D47053" w:rsidP="0093339D">
      <w:pPr>
        <w:pStyle w:val="Heading4"/>
      </w:pPr>
      <w:r w:rsidRPr="00BF3873">
        <w:t>CCG23</w:t>
      </w:r>
      <w:r w:rsidR="00F61CF0">
        <w:t xml:space="preserve"> – </w:t>
      </w:r>
      <w:r w:rsidR="003C0937">
        <w:t>H</w:t>
      </w:r>
      <w:r w:rsidR="00F61CF0">
        <w:t>ip fracture</w:t>
      </w:r>
    </w:p>
    <w:p w14:paraId="32C68A75" w14:textId="27392200" w:rsidR="00F61CF0" w:rsidRDefault="00F61CF0" w:rsidP="00F61CF0">
      <w:pPr>
        <w:spacing w:line="276" w:lineRule="auto"/>
        <w:rPr>
          <w:rFonts w:ascii="Arial" w:hAnsi="Arial" w:cs="Arial"/>
          <w:bCs/>
          <w:sz w:val="20"/>
          <w:szCs w:val="20"/>
        </w:rPr>
      </w:pPr>
      <w:r w:rsidRPr="00F61CF0">
        <w:rPr>
          <w:rFonts w:ascii="Arial" w:hAnsi="Arial" w:cs="Arial"/>
          <w:bCs/>
          <w:sz w:val="20"/>
          <w:szCs w:val="20"/>
        </w:rPr>
        <w:t xml:space="preserve">The committee </w:t>
      </w:r>
      <w:r>
        <w:rPr>
          <w:rFonts w:ascii="Arial" w:hAnsi="Arial" w:cs="Arial"/>
          <w:bCs/>
          <w:sz w:val="20"/>
          <w:szCs w:val="20"/>
        </w:rPr>
        <w:t>acknowledged that complete data collection for the current indicator parameters may now not be possible using the National Hip Fracture Database (NHFD) as data collected by the NHFD and the Best Practice Tariff (BPT) has been amended and agreed that the care processes contained within the indicator should be aligned with the 8 for which data is collected by the NHFD and BPT 2019/20.</w:t>
      </w:r>
    </w:p>
    <w:p w14:paraId="6D5BF45E" w14:textId="69D89D9B" w:rsidR="00F61CF0" w:rsidRDefault="00F61CF0" w:rsidP="00D47053">
      <w:pPr>
        <w:pStyle w:val="Paragraphnonumbers"/>
        <w:spacing w:after="60" w:line="240" w:lineRule="auto"/>
        <w:rPr>
          <w:rFonts w:cs="Arial"/>
          <w:bCs/>
          <w:sz w:val="20"/>
          <w:szCs w:val="20"/>
        </w:rPr>
      </w:pPr>
      <w:r w:rsidRPr="00BF3873">
        <w:rPr>
          <w:rFonts w:cs="Arial"/>
          <w:b/>
          <w:sz w:val="20"/>
          <w:szCs w:val="20"/>
        </w:rPr>
        <w:t>Action:</w:t>
      </w:r>
      <w:r w:rsidRPr="00BF3873">
        <w:rPr>
          <w:rFonts w:cs="Arial"/>
          <w:bCs/>
          <w:sz w:val="20"/>
          <w:szCs w:val="20"/>
        </w:rPr>
        <w:t xml:space="preserve"> NICE team </w:t>
      </w:r>
      <w:r>
        <w:rPr>
          <w:rFonts w:cs="Arial"/>
          <w:bCs/>
          <w:sz w:val="20"/>
          <w:szCs w:val="20"/>
        </w:rPr>
        <w:t xml:space="preserve">to amend </w:t>
      </w:r>
      <w:r w:rsidR="003C0937">
        <w:rPr>
          <w:rFonts w:cs="Arial"/>
          <w:bCs/>
          <w:sz w:val="20"/>
          <w:szCs w:val="20"/>
        </w:rPr>
        <w:t>CCG23 in line with the care processes described within the NHFD and BPT 2019/20.</w:t>
      </w:r>
    </w:p>
    <w:p w14:paraId="3CB469DE" w14:textId="77777777" w:rsidR="003C0937" w:rsidRDefault="00D47053" w:rsidP="0093339D">
      <w:pPr>
        <w:pStyle w:val="Heading4"/>
      </w:pPr>
      <w:r w:rsidRPr="00BF3873">
        <w:t>NM04</w:t>
      </w:r>
      <w:r w:rsidR="003C0937">
        <w:t xml:space="preserve"> – Learning disability</w:t>
      </w:r>
    </w:p>
    <w:p w14:paraId="131981B2" w14:textId="0F199585" w:rsidR="003C0937" w:rsidRDefault="003C0937" w:rsidP="003C0937">
      <w:pPr>
        <w:spacing w:line="276" w:lineRule="auto"/>
        <w:rPr>
          <w:rFonts w:ascii="Arial" w:hAnsi="Arial" w:cs="Arial"/>
          <w:bCs/>
          <w:sz w:val="20"/>
          <w:szCs w:val="20"/>
        </w:rPr>
      </w:pPr>
      <w:r>
        <w:rPr>
          <w:rFonts w:ascii="Arial" w:hAnsi="Arial" w:cs="Arial"/>
          <w:bCs/>
          <w:sz w:val="20"/>
          <w:szCs w:val="20"/>
        </w:rPr>
        <w:t>The committee agreed that the indicator should be reclassified as a genera</w:t>
      </w:r>
      <w:r w:rsidR="002E5951">
        <w:rPr>
          <w:rFonts w:ascii="Arial" w:hAnsi="Arial" w:cs="Arial"/>
          <w:bCs/>
          <w:sz w:val="20"/>
          <w:szCs w:val="20"/>
        </w:rPr>
        <w:t>l</w:t>
      </w:r>
      <w:r>
        <w:rPr>
          <w:rFonts w:ascii="Arial" w:hAnsi="Arial" w:cs="Arial"/>
          <w:bCs/>
          <w:sz w:val="20"/>
          <w:szCs w:val="20"/>
        </w:rPr>
        <w:t xml:space="preserve"> practice indicator for use outside the QOF given the small numbers at practice level.</w:t>
      </w:r>
    </w:p>
    <w:p w14:paraId="614414D9" w14:textId="77777777" w:rsidR="000B198B" w:rsidRDefault="000B198B" w:rsidP="003C0937">
      <w:pPr>
        <w:spacing w:line="276" w:lineRule="auto"/>
        <w:rPr>
          <w:rFonts w:ascii="Arial" w:hAnsi="Arial" w:cs="Arial"/>
          <w:b/>
          <w:sz w:val="20"/>
          <w:szCs w:val="20"/>
        </w:rPr>
      </w:pPr>
    </w:p>
    <w:p w14:paraId="4AA79254" w14:textId="404CE6EE" w:rsidR="00D47053" w:rsidRPr="003C0937" w:rsidRDefault="003C0937" w:rsidP="003C0937">
      <w:pPr>
        <w:spacing w:line="276" w:lineRule="auto"/>
        <w:rPr>
          <w:rFonts w:ascii="Arial" w:hAnsi="Arial" w:cs="Arial"/>
          <w:bCs/>
          <w:sz w:val="20"/>
          <w:szCs w:val="20"/>
        </w:rPr>
      </w:pPr>
      <w:r w:rsidRPr="00BF3873">
        <w:rPr>
          <w:rFonts w:ascii="Arial" w:hAnsi="Arial" w:cs="Arial"/>
          <w:b/>
          <w:sz w:val="20"/>
          <w:szCs w:val="20"/>
        </w:rPr>
        <w:t>Action:</w:t>
      </w:r>
      <w:r w:rsidRPr="00BF3873">
        <w:rPr>
          <w:rFonts w:ascii="Arial" w:hAnsi="Arial" w:cs="Arial"/>
          <w:bCs/>
          <w:sz w:val="20"/>
          <w:szCs w:val="20"/>
        </w:rPr>
        <w:t xml:space="preserve"> NICE</w:t>
      </w:r>
      <w:r>
        <w:rPr>
          <w:rFonts w:ascii="Arial" w:hAnsi="Arial" w:cs="Arial"/>
          <w:bCs/>
          <w:sz w:val="20"/>
          <w:szCs w:val="20"/>
        </w:rPr>
        <w:t xml:space="preserve"> team to amend the indicator category of NM04 on the NICE menu.</w:t>
      </w:r>
    </w:p>
    <w:p w14:paraId="7AE8BB11" w14:textId="6389C2F1" w:rsidR="00D47053" w:rsidRDefault="00D47053" w:rsidP="00902B5E">
      <w:pPr>
        <w:spacing w:line="276" w:lineRule="auto"/>
        <w:rPr>
          <w:rFonts w:ascii="Arial" w:hAnsi="Arial" w:cs="Arial"/>
          <w:b/>
          <w:sz w:val="20"/>
          <w:szCs w:val="20"/>
        </w:rPr>
      </w:pPr>
    </w:p>
    <w:p w14:paraId="37087729" w14:textId="24497E83" w:rsidR="002E5951" w:rsidRPr="00DE48C5" w:rsidRDefault="002E5951" w:rsidP="00902B5E">
      <w:pPr>
        <w:spacing w:line="276" w:lineRule="auto"/>
        <w:rPr>
          <w:rFonts w:ascii="Arial" w:hAnsi="Arial" w:cs="Arial"/>
          <w:bCs/>
          <w:sz w:val="20"/>
          <w:szCs w:val="20"/>
        </w:rPr>
      </w:pPr>
      <w:r>
        <w:rPr>
          <w:rFonts w:ascii="Arial" w:hAnsi="Arial" w:cs="Arial"/>
          <w:bCs/>
          <w:sz w:val="20"/>
          <w:szCs w:val="20"/>
        </w:rPr>
        <w:t xml:space="preserve">The committee agreed to editorial amendments for indicators outlined in Appendix A of the paper. </w:t>
      </w:r>
    </w:p>
    <w:p w14:paraId="79C457A3" w14:textId="77777777" w:rsidR="00166EB8" w:rsidRPr="00BF3873" w:rsidRDefault="00166EB8" w:rsidP="00902B5E">
      <w:pPr>
        <w:spacing w:line="276" w:lineRule="auto"/>
        <w:rPr>
          <w:rFonts w:ascii="Arial" w:hAnsi="Arial" w:cs="Arial"/>
          <w:bCs/>
          <w:sz w:val="20"/>
          <w:szCs w:val="20"/>
        </w:rPr>
      </w:pPr>
    </w:p>
    <w:p w14:paraId="7C4FB92C" w14:textId="6E4BFE87" w:rsidR="00166EB8" w:rsidRPr="00DE48C5" w:rsidRDefault="00166EB8" w:rsidP="0093339D">
      <w:pPr>
        <w:pStyle w:val="Heading3"/>
      </w:pPr>
      <w:r w:rsidRPr="00DE48C5">
        <w:lastRenderedPageBreak/>
        <w:t xml:space="preserve">Item 7 – </w:t>
      </w:r>
      <w:r w:rsidR="003C028F" w:rsidRPr="00DE48C5">
        <w:t xml:space="preserve">Assuring external indicators – National Library of quality </w:t>
      </w:r>
      <w:proofErr w:type="gramStart"/>
      <w:r w:rsidR="003C028F" w:rsidRPr="00DE48C5">
        <w:t>indicators</w:t>
      </w:r>
      <w:proofErr w:type="gramEnd"/>
      <w:r w:rsidRPr="00DE48C5">
        <w:t xml:space="preserve"> </w:t>
      </w:r>
    </w:p>
    <w:p w14:paraId="69901816" w14:textId="6397F3A9" w:rsidR="00670159" w:rsidRPr="00DE48C5" w:rsidRDefault="00670159" w:rsidP="00D47053">
      <w:pPr>
        <w:pStyle w:val="Paragraphnonumbers"/>
        <w:rPr>
          <w:sz w:val="20"/>
          <w:szCs w:val="20"/>
        </w:rPr>
      </w:pPr>
      <w:r w:rsidRPr="00DE48C5">
        <w:rPr>
          <w:sz w:val="20"/>
          <w:szCs w:val="20"/>
        </w:rPr>
        <w:t>MM updated the committee about the partnership working with NHS Digital.  From April 2020 NICE took on responsibility for publication and assurance of the national library of quality indicators. The review process for renewal of indicators was being supported through NEQOS.</w:t>
      </w:r>
    </w:p>
    <w:p w14:paraId="32B00979" w14:textId="22C3FF3F" w:rsidR="00670159" w:rsidRPr="00DE48C5" w:rsidRDefault="00670159" w:rsidP="00D47053">
      <w:pPr>
        <w:pStyle w:val="Paragraphnonumbers"/>
        <w:rPr>
          <w:sz w:val="20"/>
          <w:szCs w:val="20"/>
        </w:rPr>
      </w:pPr>
      <w:r w:rsidRPr="00DE48C5">
        <w:rPr>
          <w:sz w:val="20"/>
          <w:szCs w:val="20"/>
        </w:rPr>
        <w:t>RT presented the methodology which had been adopted for review of indicators due for renewal.  The process was based on the NICE indicator process guide.  The committee approved the methodology described.</w:t>
      </w:r>
    </w:p>
    <w:p w14:paraId="09D5CD4A" w14:textId="074C973B" w:rsidR="00670159" w:rsidRPr="00DE48C5" w:rsidRDefault="00670159" w:rsidP="00D47053">
      <w:pPr>
        <w:pStyle w:val="Paragraphnonumbers"/>
        <w:rPr>
          <w:sz w:val="20"/>
          <w:szCs w:val="20"/>
        </w:rPr>
      </w:pPr>
      <w:r w:rsidRPr="00DE48C5">
        <w:rPr>
          <w:sz w:val="20"/>
          <w:szCs w:val="20"/>
        </w:rPr>
        <w:t>PC presented the assessment of 2 indicators where the input of the committee was requested.</w:t>
      </w:r>
    </w:p>
    <w:p w14:paraId="0C5F596F" w14:textId="4CC37370" w:rsidR="00D47053" w:rsidRPr="00DE48C5" w:rsidRDefault="00D47053" w:rsidP="00D47053">
      <w:pPr>
        <w:pStyle w:val="Paragraphnonumbers"/>
        <w:rPr>
          <w:sz w:val="20"/>
          <w:szCs w:val="20"/>
        </w:rPr>
      </w:pPr>
      <w:r w:rsidRPr="00DE48C5">
        <w:rPr>
          <w:sz w:val="20"/>
          <w:szCs w:val="20"/>
        </w:rPr>
        <w:t xml:space="preserve">IAP00144 – </w:t>
      </w:r>
      <w:r w:rsidR="00670159" w:rsidRPr="00DE48C5">
        <w:rPr>
          <w:sz w:val="20"/>
          <w:szCs w:val="20"/>
        </w:rPr>
        <w:t xml:space="preserve">the committee </w:t>
      </w:r>
      <w:r w:rsidRPr="00DE48C5">
        <w:rPr>
          <w:sz w:val="20"/>
          <w:szCs w:val="20"/>
        </w:rPr>
        <w:t>agreed t</w:t>
      </w:r>
      <w:r w:rsidR="00670159" w:rsidRPr="00DE48C5">
        <w:rPr>
          <w:sz w:val="20"/>
          <w:szCs w:val="20"/>
        </w:rPr>
        <w:t xml:space="preserve">hat this indicator should be </w:t>
      </w:r>
      <w:r w:rsidRPr="00DE48C5">
        <w:rPr>
          <w:sz w:val="20"/>
          <w:szCs w:val="20"/>
        </w:rPr>
        <w:t>discontinue</w:t>
      </w:r>
      <w:r w:rsidR="00670159" w:rsidRPr="00DE48C5">
        <w:rPr>
          <w:sz w:val="20"/>
          <w:szCs w:val="20"/>
        </w:rPr>
        <w:t>d</w:t>
      </w:r>
      <w:r w:rsidR="00DE48C5">
        <w:rPr>
          <w:sz w:val="20"/>
          <w:szCs w:val="20"/>
        </w:rPr>
        <w:t>.</w:t>
      </w:r>
    </w:p>
    <w:p w14:paraId="40F6B750" w14:textId="154804F4" w:rsidR="00D47053" w:rsidRPr="00DE48C5" w:rsidRDefault="00D47053" w:rsidP="00D47053">
      <w:pPr>
        <w:pStyle w:val="Paragraphnonumbers"/>
        <w:rPr>
          <w:sz w:val="20"/>
          <w:szCs w:val="20"/>
        </w:rPr>
      </w:pPr>
      <w:r w:rsidRPr="00DE48C5">
        <w:rPr>
          <w:sz w:val="20"/>
          <w:szCs w:val="20"/>
        </w:rPr>
        <w:t xml:space="preserve">IAP00140 – </w:t>
      </w:r>
      <w:r w:rsidR="00670159" w:rsidRPr="00DE48C5">
        <w:rPr>
          <w:sz w:val="20"/>
          <w:szCs w:val="20"/>
        </w:rPr>
        <w:t>the committee agreed that this indicator should remain in the library.</w:t>
      </w:r>
    </w:p>
    <w:p w14:paraId="6EA794E6" w14:textId="0BE0A140" w:rsidR="00D47053" w:rsidRPr="00BF3873" w:rsidRDefault="00DE48C5" w:rsidP="000B198B">
      <w:pPr>
        <w:pStyle w:val="Paragraphnonumbers"/>
        <w:rPr>
          <w:rFonts w:cs="Arial"/>
          <w:bCs/>
          <w:sz w:val="20"/>
          <w:szCs w:val="20"/>
        </w:rPr>
      </w:pPr>
      <w:r>
        <w:rPr>
          <w:sz w:val="20"/>
          <w:szCs w:val="20"/>
        </w:rPr>
        <w:t>There was no change to the outcome of the reviews for a further 9 indicators for which assessments were shared with the committee.</w:t>
      </w:r>
    </w:p>
    <w:p w14:paraId="60448344" w14:textId="67BE6ACA" w:rsidR="00166EB8" w:rsidRPr="00BF3873" w:rsidRDefault="00166EB8" w:rsidP="0093339D">
      <w:pPr>
        <w:pStyle w:val="Heading3"/>
      </w:pPr>
      <w:r w:rsidRPr="00BF3873">
        <w:t xml:space="preserve">Item </w:t>
      </w:r>
      <w:r w:rsidR="003C028F" w:rsidRPr="00BF3873">
        <w:t xml:space="preserve">8 - </w:t>
      </w:r>
      <w:r w:rsidRPr="00BF3873">
        <w:t xml:space="preserve">Review of decisions </w:t>
      </w:r>
    </w:p>
    <w:p w14:paraId="3F6CAD75" w14:textId="77777777" w:rsidR="00166EB8" w:rsidRPr="003809BC" w:rsidRDefault="00166EB8" w:rsidP="00902B5E">
      <w:pPr>
        <w:spacing w:line="276" w:lineRule="auto"/>
        <w:rPr>
          <w:rFonts w:ascii="Arial" w:hAnsi="Arial" w:cs="Arial"/>
          <w:b/>
          <w:sz w:val="20"/>
          <w:szCs w:val="20"/>
        </w:rPr>
      </w:pPr>
    </w:p>
    <w:p w14:paraId="47472E9B" w14:textId="11A2708C" w:rsidR="00E76B63" w:rsidRDefault="003809BC" w:rsidP="00902B5E">
      <w:pPr>
        <w:pStyle w:val="CommentText"/>
        <w:spacing w:line="276" w:lineRule="auto"/>
        <w:rPr>
          <w:rFonts w:ascii="Arial" w:hAnsi="Arial" w:cs="Arial"/>
          <w:lang w:val="en-US"/>
        </w:rPr>
      </w:pPr>
      <w:r>
        <w:rPr>
          <w:rFonts w:ascii="Arial" w:hAnsi="Arial" w:cs="Arial"/>
          <w:lang w:val="en-US"/>
        </w:rPr>
        <w:t>TJ</w:t>
      </w:r>
      <w:r w:rsidR="00E76B63" w:rsidRPr="00690669">
        <w:rPr>
          <w:rFonts w:ascii="Arial" w:hAnsi="Arial" w:cs="Arial"/>
          <w:lang w:val="en-US"/>
        </w:rPr>
        <w:t xml:space="preserve"> </w:t>
      </w:r>
      <w:r w:rsidR="00EC43B6">
        <w:rPr>
          <w:rFonts w:ascii="Arial" w:hAnsi="Arial" w:cs="Arial"/>
          <w:lang w:val="en-US"/>
        </w:rPr>
        <w:t>confirmed to the chair that details of the</w:t>
      </w:r>
      <w:r w:rsidR="00E76B63" w:rsidRPr="00690669">
        <w:rPr>
          <w:rFonts w:ascii="Arial" w:hAnsi="Arial" w:cs="Arial"/>
          <w:lang w:val="en-US"/>
        </w:rPr>
        <w:t xml:space="preserve"> busines</w:t>
      </w:r>
      <w:r w:rsidR="00764AB8">
        <w:rPr>
          <w:rFonts w:ascii="Arial" w:hAnsi="Arial" w:cs="Arial"/>
          <w:lang w:val="en-US"/>
        </w:rPr>
        <w:t>s</w:t>
      </w:r>
      <w:r w:rsidR="00E76B63" w:rsidRPr="00690669">
        <w:rPr>
          <w:rFonts w:ascii="Arial" w:hAnsi="Arial" w:cs="Arial"/>
          <w:lang w:val="en-US"/>
        </w:rPr>
        <w:t xml:space="preserve"> and all recorded decisions and actions</w:t>
      </w:r>
      <w:r w:rsidR="00EC43B6">
        <w:rPr>
          <w:rFonts w:ascii="Arial" w:hAnsi="Arial" w:cs="Arial"/>
          <w:lang w:val="en-US"/>
        </w:rPr>
        <w:t xml:space="preserve"> discussed had been noted</w:t>
      </w:r>
      <w:r w:rsidR="004250D9">
        <w:rPr>
          <w:rFonts w:ascii="Arial" w:hAnsi="Arial" w:cs="Arial"/>
          <w:lang w:val="en-US"/>
        </w:rPr>
        <w:t>.</w:t>
      </w:r>
    </w:p>
    <w:p w14:paraId="10D3C6A1" w14:textId="77777777" w:rsidR="003809BC" w:rsidRDefault="003809BC" w:rsidP="00902B5E">
      <w:pPr>
        <w:pStyle w:val="CommentText"/>
        <w:spacing w:line="276" w:lineRule="auto"/>
        <w:rPr>
          <w:rFonts w:ascii="Arial" w:hAnsi="Arial" w:cs="Arial"/>
          <w:lang w:val="en-US"/>
        </w:rPr>
      </w:pPr>
    </w:p>
    <w:p w14:paraId="39C8E1D9" w14:textId="7D6B7C6D" w:rsidR="00E76B63" w:rsidRPr="003809BC" w:rsidRDefault="00E76B63" w:rsidP="0093339D">
      <w:pPr>
        <w:pStyle w:val="Heading3"/>
        <w:rPr>
          <w:lang w:val="en-US"/>
        </w:rPr>
      </w:pPr>
      <w:r w:rsidRPr="003809BC">
        <w:t xml:space="preserve">Item </w:t>
      </w:r>
      <w:r w:rsidR="003C028F">
        <w:t>9</w:t>
      </w:r>
      <w:r w:rsidRPr="003809BC">
        <w:t xml:space="preserve"> – AOB</w:t>
      </w:r>
    </w:p>
    <w:p w14:paraId="0F33CEEF" w14:textId="77777777" w:rsidR="0021258D" w:rsidRDefault="0021258D" w:rsidP="00902B5E">
      <w:pPr>
        <w:spacing w:line="276" w:lineRule="auto"/>
        <w:rPr>
          <w:rFonts w:ascii="Arial" w:hAnsi="Arial" w:cs="Arial"/>
          <w:sz w:val="20"/>
          <w:szCs w:val="20"/>
          <w:lang w:val="en-US"/>
        </w:rPr>
      </w:pPr>
    </w:p>
    <w:p w14:paraId="519669A9" w14:textId="749A8A74" w:rsidR="00E76B63" w:rsidRDefault="003809BC" w:rsidP="00902B5E">
      <w:pPr>
        <w:spacing w:line="276" w:lineRule="auto"/>
        <w:rPr>
          <w:rFonts w:ascii="Arial" w:hAnsi="Arial" w:cs="Arial"/>
          <w:sz w:val="20"/>
          <w:szCs w:val="20"/>
          <w:lang w:val="en-US"/>
        </w:rPr>
      </w:pPr>
      <w:r>
        <w:rPr>
          <w:rFonts w:ascii="Arial" w:hAnsi="Arial" w:cs="Arial"/>
          <w:sz w:val="20"/>
          <w:szCs w:val="20"/>
          <w:lang w:val="en-US"/>
        </w:rPr>
        <w:t>DK</w:t>
      </w:r>
      <w:r w:rsidR="00E76B63" w:rsidRPr="00690669">
        <w:rPr>
          <w:rFonts w:ascii="Arial" w:hAnsi="Arial" w:cs="Arial"/>
          <w:sz w:val="20"/>
          <w:szCs w:val="20"/>
          <w:lang w:val="en-US"/>
        </w:rPr>
        <w:t xml:space="preserve"> thanked the committee and staff from NICE</w:t>
      </w:r>
      <w:r w:rsidR="005677EA">
        <w:rPr>
          <w:rFonts w:ascii="Arial" w:hAnsi="Arial" w:cs="Arial"/>
          <w:sz w:val="20"/>
          <w:szCs w:val="20"/>
          <w:lang w:val="en-US"/>
        </w:rPr>
        <w:t xml:space="preserve">, </w:t>
      </w:r>
      <w:r w:rsidR="005D2515">
        <w:rPr>
          <w:rFonts w:ascii="Arial" w:hAnsi="Arial" w:cs="Arial"/>
          <w:sz w:val="20"/>
          <w:szCs w:val="20"/>
          <w:lang w:val="en-US"/>
        </w:rPr>
        <w:t>NCCID</w:t>
      </w:r>
      <w:r w:rsidR="003C028F">
        <w:rPr>
          <w:rFonts w:ascii="Arial" w:hAnsi="Arial" w:cs="Arial"/>
          <w:sz w:val="20"/>
          <w:szCs w:val="20"/>
          <w:lang w:val="en-US"/>
        </w:rPr>
        <w:t xml:space="preserve">, NHS England, Public Health </w:t>
      </w:r>
      <w:proofErr w:type="gramStart"/>
      <w:r w:rsidR="003C028F">
        <w:rPr>
          <w:rFonts w:ascii="Arial" w:hAnsi="Arial" w:cs="Arial"/>
          <w:sz w:val="20"/>
          <w:szCs w:val="20"/>
          <w:lang w:val="en-US"/>
        </w:rPr>
        <w:t>England</w:t>
      </w:r>
      <w:proofErr w:type="gramEnd"/>
      <w:r w:rsidR="003C028F">
        <w:rPr>
          <w:rFonts w:ascii="Arial" w:hAnsi="Arial" w:cs="Arial"/>
          <w:sz w:val="20"/>
          <w:szCs w:val="20"/>
          <w:lang w:val="en-US"/>
        </w:rPr>
        <w:t xml:space="preserve"> and </w:t>
      </w:r>
      <w:r w:rsidR="005677EA">
        <w:rPr>
          <w:rFonts w:ascii="Arial" w:hAnsi="Arial" w:cs="Arial"/>
          <w:sz w:val="20"/>
          <w:szCs w:val="20"/>
          <w:lang w:val="en-US"/>
        </w:rPr>
        <w:t xml:space="preserve">NHS Digital </w:t>
      </w:r>
      <w:r w:rsidR="00E76B63" w:rsidRPr="00690669">
        <w:rPr>
          <w:rFonts w:ascii="Arial" w:hAnsi="Arial" w:cs="Arial"/>
          <w:sz w:val="20"/>
          <w:szCs w:val="20"/>
          <w:lang w:val="en-US"/>
        </w:rPr>
        <w:t>for their input.</w:t>
      </w:r>
    </w:p>
    <w:p w14:paraId="12605323" w14:textId="77777777" w:rsidR="003809BC" w:rsidRPr="00690669" w:rsidRDefault="003809BC" w:rsidP="00902B5E">
      <w:pPr>
        <w:spacing w:line="276" w:lineRule="auto"/>
        <w:rPr>
          <w:rFonts w:ascii="Arial" w:hAnsi="Arial" w:cs="Arial"/>
          <w:sz w:val="20"/>
          <w:szCs w:val="20"/>
          <w:lang w:val="en-US"/>
        </w:rPr>
      </w:pPr>
    </w:p>
    <w:p w14:paraId="31557935" w14:textId="5B57ADF4" w:rsidR="00B923C8" w:rsidRPr="008B0B4B" w:rsidRDefault="001C1136" w:rsidP="00902B5E">
      <w:pPr>
        <w:spacing w:line="276" w:lineRule="auto"/>
      </w:pPr>
      <w:r w:rsidRPr="007A6F23">
        <w:rPr>
          <w:rFonts w:ascii="Arial" w:hAnsi="Arial" w:cs="Arial"/>
          <w:b/>
          <w:sz w:val="20"/>
          <w:szCs w:val="20"/>
          <w:lang w:val="en-US"/>
        </w:rPr>
        <w:t>Close of meeting</w:t>
      </w:r>
    </w:p>
    <w:sectPr w:rsidR="00B923C8" w:rsidRPr="008B0B4B" w:rsidSect="00FB524A">
      <w:headerReference w:type="even" r:id="rId8"/>
      <w:headerReference w:type="default" r:id="rId9"/>
      <w:footerReference w:type="default" r:id="rId10"/>
      <w:headerReference w:type="first" r:id="rId11"/>
      <w:pgSz w:w="11906" w:h="16838"/>
      <w:pgMar w:top="1440" w:right="1134" w:bottom="1134" w:left="1797"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D899" w14:textId="77777777" w:rsidR="00BD650A" w:rsidRDefault="00BD650A">
      <w:r>
        <w:separator/>
      </w:r>
    </w:p>
  </w:endnote>
  <w:endnote w:type="continuationSeparator" w:id="0">
    <w:p w14:paraId="2CC89210" w14:textId="77777777" w:rsidR="00BD650A" w:rsidRDefault="00BD650A">
      <w:r>
        <w:continuationSeparator/>
      </w:r>
    </w:p>
  </w:endnote>
  <w:endnote w:type="continuationNotice" w:id="1">
    <w:p w14:paraId="598014B1" w14:textId="77777777" w:rsidR="00BD650A" w:rsidRDefault="00BD6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3EE7" w14:textId="47FC6217" w:rsidR="00093164" w:rsidRDefault="00093164" w:rsidP="00E8157D">
    <w:pPr>
      <w:pStyle w:val="Footer"/>
      <w:pBdr>
        <w:top w:val="single" w:sz="4" w:space="1" w:color="D9D9D9"/>
      </w:pBdr>
      <w:jc w:val="right"/>
    </w:pPr>
    <w:r w:rsidRPr="00E8157D">
      <w:rPr>
        <w:szCs w:val="20"/>
      </w:rPr>
      <w:fldChar w:fldCharType="begin"/>
    </w:r>
    <w:r w:rsidRPr="00E8157D">
      <w:rPr>
        <w:szCs w:val="20"/>
      </w:rPr>
      <w:instrText xml:space="preserve"> PAGE   \* MERGEFORMAT </w:instrText>
    </w:r>
    <w:r w:rsidRPr="00E8157D">
      <w:rPr>
        <w:szCs w:val="20"/>
      </w:rPr>
      <w:fldChar w:fldCharType="separate"/>
    </w:r>
    <w:r w:rsidRPr="00E8157D">
      <w:rPr>
        <w:noProof/>
        <w:szCs w:val="20"/>
      </w:rPr>
      <w:t>2</w:t>
    </w:r>
    <w:r w:rsidRPr="00E8157D">
      <w:rPr>
        <w:noProof/>
        <w:szCs w:val="20"/>
      </w:rPr>
      <w:fldChar w:fldCharType="end"/>
    </w:r>
    <w:r w:rsidRPr="00E8157D">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A33A" w14:textId="77777777" w:rsidR="00BD650A" w:rsidRDefault="00BD650A">
      <w:r>
        <w:separator/>
      </w:r>
    </w:p>
  </w:footnote>
  <w:footnote w:type="continuationSeparator" w:id="0">
    <w:p w14:paraId="5011C2BE" w14:textId="77777777" w:rsidR="00BD650A" w:rsidRDefault="00BD650A">
      <w:r>
        <w:continuationSeparator/>
      </w:r>
    </w:p>
  </w:footnote>
  <w:footnote w:type="continuationNotice" w:id="1">
    <w:p w14:paraId="54AD3EC4" w14:textId="77777777" w:rsidR="00BD650A" w:rsidRDefault="00BD6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4154" w14:textId="5943C2A1" w:rsidR="00093164" w:rsidRDefault="00093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F9D6" w14:textId="178E8ACF" w:rsidR="00093164" w:rsidRPr="00141B01" w:rsidRDefault="00093164" w:rsidP="00AA3FED">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55F9" w14:textId="70BB3742" w:rsidR="00093164" w:rsidRDefault="00093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1E65"/>
    <w:multiLevelType w:val="hybridMultilevel"/>
    <w:tmpl w:val="A10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9039A"/>
    <w:multiLevelType w:val="hybridMultilevel"/>
    <w:tmpl w:val="93EA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F10B37"/>
    <w:multiLevelType w:val="hybridMultilevel"/>
    <w:tmpl w:val="E1D8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918E1"/>
    <w:multiLevelType w:val="hybridMultilevel"/>
    <w:tmpl w:val="6BCC0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50"/>
    <w:rsid w:val="000001C3"/>
    <w:rsid w:val="0000021E"/>
    <w:rsid w:val="00000A33"/>
    <w:rsid w:val="00005712"/>
    <w:rsid w:val="00011EC0"/>
    <w:rsid w:val="00014EAE"/>
    <w:rsid w:val="00025DAE"/>
    <w:rsid w:val="00026CCF"/>
    <w:rsid w:val="00031969"/>
    <w:rsid w:val="000322AD"/>
    <w:rsid w:val="00032A7E"/>
    <w:rsid w:val="000338E3"/>
    <w:rsid w:val="00037F27"/>
    <w:rsid w:val="00041867"/>
    <w:rsid w:val="000423A6"/>
    <w:rsid w:val="00042ADE"/>
    <w:rsid w:val="00044142"/>
    <w:rsid w:val="0005153A"/>
    <w:rsid w:val="00052156"/>
    <w:rsid w:val="000531E8"/>
    <w:rsid w:val="000539DE"/>
    <w:rsid w:val="000557CE"/>
    <w:rsid w:val="0006167F"/>
    <w:rsid w:val="000646AD"/>
    <w:rsid w:val="000673B2"/>
    <w:rsid w:val="00072B0C"/>
    <w:rsid w:val="00074A43"/>
    <w:rsid w:val="000753A4"/>
    <w:rsid w:val="00087737"/>
    <w:rsid w:val="00091867"/>
    <w:rsid w:val="00093164"/>
    <w:rsid w:val="00093995"/>
    <w:rsid w:val="0009500E"/>
    <w:rsid w:val="00097718"/>
    <w:rsid w:val="000A01D8"/>
    <w:rsid w:val="000A29AC"/>
    <w:rsid w:val="000A4B31"/>
    <w:rsid w:val="000A51EA"/>
    <w:rsid w:val="000A5373"/>
    <w:rsid w:val="000A76C4"/>
    <w:rsid w:val="000B198B"/>
    <w:rsid w:val="000B1CC3"/>
    <w:rsid w:val="000B264D"/>
    <w:rsid w:val="000B30BB"/>
    <w:rsid w:val="000B39EA"/>
    <w:rsid w:val="000B4F8A"/>
    <w:rsid w:val="000B4FB6"/>
    <w:rsid w:val="000B586C"/>
    <w:rsid w:val="000B6760"/>
    <w:rsid w:val="000B6962"/>
    <w:rsid w:val="000B74EB"/>
    <w:rsid w:val="000C0E58"/>
    <w:rsid w:val="000C1366"/>
    <w:rsid w:val="000C337D"/>
    <w:rsid w:val="000D17E5"/>
    <w:rsid w:val="000D2325"/>
    <w:rsid w:val="000D3371"/>
    <w:rsid w:val="000D58B1"/>
    <w:rsid w:val="000E090E"/>
    <w:rsid w:val="000E267F"/>
    <w:rsid w:val="000E48A5"/>
    <w:rsid w:val="000E57FA"/>
    <w:rsid w:val="000E70F0"/>
    <w:rsid w:val="000E76D6"/>
    <w:rsid w:val="000F1707"/>
    <w:rsid w:val="000F1AA1"/>
    <w:rsid w:val="000F368E"/>
    <w:rsid w:val="000F5616"/>
    <w:rsid w:val="00102910"/>
    <w:rsid w:val="00102F48"/>
    <w:rsid w:val="001032E4"/>
    <w:rsid w:val="00104E61"/>
    <w:rsid w:val="0011107B"/>
    <w:rsid w:val="00116634"/>
    <w:rsid w:val="0012241C"/>
    <w:rsid w:val="001236FA"/>
    <w:rsid w:val="001250A0"/>
    <w:rsid w:val="00127E86"/>
    <w:rsid w:val="00132DB9"/>
    <w:rsid w:val="00133FC0"/>
    <w:rsid w:val="00141149"/>
    <w:rsid w:val="00141339"/>
    <w:rsid w:val="00141B01"/>
    <w:rsid w:val="00142E7B"/>
    <w:rsid w:val="001436FF"/>
    <w:rsid w:val="00144862"/>
    <w:rsid w:val="00151AE5"/>
    <w:rsid w:val="00151D4D"/>
    <w:rsid w:val="00152028"/>
    <w:rsid w:val="00152A13"/>
    <w:rsid w:val="00153118"/>
    <w:rsid w:val="001539B7"/>
    <w:rsid w:val="00154D55"/>
    <w:rsid w:val="00155D99"/>
    <w:rsid w:val="00157D0E"/>
    <w:rsid w:val="0016280F"/>
    <w:rsid w:val="00163B1A"/>
    <w:rsid w:val="00166849"/>
    <w:rsid w:val="00166EB8"/>
    <w:rsid w:val="0016727D"/>
    <w:rsid w:val="0017067C"/>
    <w:rsid w:val="00170BD4"/>
    <w:rsid w:val="00173CE0"/>
    <w:rsid w:val="00173F2A"/>
    <w:rsid w:val="00173FBE"/>
    <w:rsid w:val="001770EB"/>
    <w:rsid w:val="001803E6"/>
    <w:rsid w:val="00184474"/>
    <w:rsid w:val="00191133"/>
    <w:rsid w:val="0019131A"/>
    <w:rsid w:val="0019443B"/>
    <w:rsid w:val="00196262"/>
    <w:rsid w:val="00196EE9"/>
    <w:rsid w:val="001A14F3"/>
    <w:rsid w:val="001A2B79"/>
    <w:rsid w:val="001A383D"/>
    <w:rsid w:val="001A3FF7"/>
    <w:rsid w:val="001A57BA"/>
    <w:rsid w:val="001A6CEB"/>
    <w:rsid w:val="001B0AE5"/>
    <w:rsid w:val="001B1FA1"/>
    <w:rsid w:val="001B7252"/>
    <w:rsid w:val="001C06CC"/>
    <w:rsid w:val="001C0842"/>
    <w:rsid w:val="001C1136"/>
    <w:rsid w:val="001C396B"/>
    <w:rsid w:val="001C5454"/>
    <w:rsid w:val="001C6E54"/>
    <w:rsid w:val="001C7D33"/>
    <w:rsid w:val="001D0DE3"/>
    <w:rsid w:val="001D1613"/>
    <w:rsid w:val="001D35EA"/>
    <w:rsid w:val="001D419C"/>
    <w:rsid w:val="001E337B"/>
    <w:rsid w:val="001E42A3"/>
    <w:rsid w:val="001F303C"/>
    <w:rsid w:val="001F7E2F"/>
    <w:rsid w:val="00203CB6"/>
    <w:rsid w:val="00206DC4"/>
    <w:rsid w:val="002105F3"/>
    <w:rsid w:val="002111A3"/>
    <w:rsid w:val="0021258D"/>
    <w:rsid w:val="00213204"/>
    <w:rsid w:val="0022367D"/>
    <w:rsid w:val="00235261"/>
    <w:rsid w:val="00235FB2"/>
    <w:rsid w:val="002369C9"/>
    <w:rsid w:val="00236C0D"/>
    <w:rsid w:val="00240955"/>
    <w:rsid w:val="00243CAE"/>
    <w:rsid w:val="002454C5"/>
    <w:rsid w:val="00245BCA"/>
    <w:rsid w:val="0024736D"/>
    <w:rsid w:val="00247D7A"/>
    <w:rsid w:val="002507E6"/>
    <w:rsid w:val="00250F46"/>
    <w:rsid w:val="002520EE"/>
    <w:rsid w:val="00260529"/>
    <w:rsid w:val="002617BB"/>
    <w:rsid w:val="00261CB9"/>
    <w:rsid w:val="00263288"/>
    <w:rsid w:val="002661DE"/>
    <w:rsid w:val="0027037D"/>
    <w:rsid w:val="00276282"/>
    <w:rsid w:val="00280AAB"/>
    <w:rsid w:val="00281F3E"/>
    <w:rsid w:val="002824DD"/>
    <w:rsid w:val="00282876"/>
    <w:rsid w:val="002850B1"/>
    <w:rsid w:val="00285834"/>
    <w:rsid w:val="002933B5"/>
    <w:rsid w:val="00293BC5"/>
    <w:rsid w:val="00294A78"/>
    <w:rsid w:val="002A31A6"/>
    <w:rsid w:val="002A71A4"/>
    <w:rsid w:val="002A746F"/>
    <w:rsid w:val="002B06E5"/>
    <w:rsid w:val="002B2478"/>
    <w:rsid w:val="002B4062"/>
    <w:rsid w:val="002C125D"/>
    <w:rsid w:val="002C20D0"/>
    <w:rsid w:val="002C51CD"/>
    <w:rsid w:val="002C5A22"/>
    <w:rsid w:val="002C7E47"/>
    <w:rsid w:val="002D3303"/>
    <w:rsid w:val="002D38DA"/>
    <w:rsid w:val="002D40FE"/>
    <w:rsid w:val="002D4754"/>
    <w:rsid w:val="002E0C54"/>
    <w:rsid w:val="002E5951"/>
    <w:rsid w:val="002E781F"/>
    <w:rsid w:val="002F0B71"/>
    <w:rsid w:val="002F0F4E"/>
    <w:rsid w:val="002F65AF"/>
    <w:rsid w:val="00300DE2"/>
    <w:rsid w:val="00304715"/>
    <w:rsid w:val="003070EE"/>
    <w:rsid w:val="003109C3"/>
    <w:rsid w:val="00315E40"/>
    <w:rsid w:val="00323A38"/>
    <w:rsid w:val="00323BBB"/>
    <w:rsid w:val="00327C9D"/>
    <w:rsid w:val="00327D5E"/>
    <w:rsid w:val="0033074A"/>
    <w:rsid w:val="00330BC5"/>
    <w:rsid w:val="00331414"/>
    <w:rsid w:val="00333722"/>
    <w:rsid w:val="003344D3"/>
    <w:rsid w:val="00336C5F"/>
    <w:rsid w:val="00340BF7"/>
    <w:rsid w:val="00343160"/>
    <w:rsid w:val="00344690"/>
    <w:rsid w:val="00344BE7"/>
    <w:rsid w:val="0034595F"/>
    <w:rsid w:val="00345E1A"/>
    <w:rsid w:val="003467C3"/>
    <w:rsid w:val="00351406"/>
    <w:rsid w:val="00354976"/>
    <w:rsid w:val="0036161C"/>
    <w:rsid w:val="00361A93"/>
    <w:rsid w:val="00361FFE"/>
    <w:rsid w:val="0036258F"/>
    <w:rsid w:val="0036261B"/>
    <w:rsid w:val="003640AC"/>
    <w:rsid w:val="003643F0"/>
    <w:rsid w:val="00364633"/>
    <w:rsid w:val="003744D8"/>
    <w:rsid w:val="00375523"/>
    <w:rsid w:val="00377CE8"/>
    <w:rsid w:val="003806E6"/>
    <w:rsid w:val="003809BC"/>
    <w:rsid w:val="0038133D"/>
    <w:rsid w:val="00383596"/>
    <w:rsid w:val="00391C8D"/>
    <w:rsid w:val="00394B0F"/>
    <w:rsid w:val="00397F37"/>
    <w:rsid w:val="003A0E22"/>
    <w:rsid w:val="003A26CF"/>
    <w:rsid w:val="003A4462"/>
    <w:rsid w:val="003A6364"/>
    <w:rsid w:val="003A7D34"/>
    <w:rsid w:val="003B4D11"/>
    <w:rsid w:val="003B582B"/>
    <w:rsid w:val="003B593A"/>
    <w:rsid w:val="003B6A85"/>
    <w:rsid w:val="003C028F"/>
    <w:rsid w:val="003C0937"/>
    <w:rsid w:val="003C525A"/>
    <w:rsid w:val="003D0047"/>
    <w:rsid w:val="003D16F6"/>
    <w:rsid w:val="003D1F2C"/>
    <w:rsid w:val="003D4680"/>
    <w:rsid w:val="003D496B"/>
    <w:rsid w:val="003D54C3"/>
    <w:rsid w:val="003D606A"/>
    <w:rsid w:val="003E3852"/>
    <w:rsid w:val="003E39B7"/>
    <w:rsid w:val="003E727B"/>
    <w:rsid w:val="00400785"/>
    <w:rsid w:val="00403872"/>
    <w:rsid w:val="00403CB6"/>
    <w:rsid w:val="00406785"/>
    <w:rsid w:val="00411464"/>
    <w:rsid w:val="004114CA"/>
    <w:rsid w:val="00411FBE"/>
    <w:rsid w:val="00412A8B"/>
    <w:rsid w:val="00414895"/>
    <w:rsid w:val="00416382"/>
    <w:rsid w:val="0042119A"/>
    <w:rsid w:val="00422C64"/>
    <w:rsid w:val="004250D9"/>
    <w:rsid w:val="0042540E"/>
    <w:rsid w:val="004271BD"/>
    <w:rsid w:val="00427842"/>
    <w:rsid w:val="0043055F"/>
    <w:rsid w:val="00432C38"/>
    <w:rsid w:val="004345AC"/>
    <w:rsid w:val="00434A09"/>
    <w:rsid w:val="00437C9F"/>
    <w:rsid w:val="00440641"/>
    <w:rsid w:val="004429CC"/>
    <w:rsid w:val="004437FA"/>
    <w:rsid w:val="0044760C"/>
    <w:rsid w:val="00452C16"/>
    <w:rsid w:val="00454B34"/>
    <w:rsid w:val="004565AF"/>
    <w:rsid w:val="00457EE5"/>
    <w:rsid w:val="00460B00"/>
    <w:rsid w:val="004616A4"/>
    <w:rsid w:val="004628DD"/>
    <w:rsid w:val="004638CE"/>
    <w:rsid w:val="0046517C"/>
    <w:rsid w:val="004711DD"/>
    <w:rsid w:val="00474F7F"/>
    <w:rsid w:val="00476B9F"/>
    <w:rsid w:val="00476D9A"/>
    <w:rsid w:val="00477525"/>
    <w:rsid w:val="00483FDC"/>
    <w:rsid w:val="004864DE"/>
    <w:rsid w:val="00486A72"/>
    <w:rsid w:val="00496FF3"/>
    <w:rsid w:val="004A03B7"/>
    <w:rsid w:val="004B0C3E"/>
    <w:rsid w:val="004C218B"/>
    <w:rsid w:val="004C2B31"/>
    <w:rsid w:val="004C3DA5"/>
    <w:rsid w:val="004C45F7"/>
    <w:rsid w:val="004C5401"/>
    <w:rsid w:val="004C5D36"/>
    <w:rsid w:val="004C75FE"/>
    <w:rsid w:val="004D6A05"/>
    <w:rsid w:val="004E0ED5"/>
    <w:rsid w:val="004E1E5C"/>
    <w:rsid w:val="004F2672"/>
    <w:rsid w:val="004F6048"/>
    <w:rsid w:val="004F70C6"/>
    <w:rsid w:val="00501EEA"/>
    <w:rsid w:val="005027D7"/>
    <w:rsid w:val="00503949"/>
    <w:rsid w:val="00504123"/>
    <w:rsid w:val="005049F0"/>
    <w:rsid w:val="00505C76"/>
    <w:rsid w:val="00513A7F"/>
    <w:rsid w:val="00515382"/>
    <w:rsid w:val="0052050C"/>
    <w:rsid w:val="00521450"/>
    <w:rsid w:val="005223E2"/>
    <w:rsid w:val="00523497"/>
    <w:rsid w:val="00525B60"/>
    <w:rsid w:val="00530AF4"/>
    <w:rsid w:val="00533D89"/>
    <w:rsid w:val="005350C5"/>
    <w:rsid w:val="00535BB5"/>
    <w:rsid w:val="0053633D"/>
    <w:rsid w:val="005407C6"/>
    <w:rsid w:val="00540D32"/>
    <w:rsid w:val="00544DE7"/>
    <w:rsid w:val="005476FC"/>
    <w:rsid w:val="00550964"/>
    <w:rsid w:val="00556973"/>
    <w:rsid w:val="005608F4"/>
    <w:rsid w:val="005677EA"/>
    <w:rsid w:val="00567946"/>
    <w:rsid w:val="00570C7D"/>
    <w:rsid w:val="005729CC"/>
    <w:rsid w:val="00581A7C"/>
    <w:rsid w:val="005836CB"/>
    <w:rsid w:val="00590A54"/>
    <w:rsid w:val="00590F1D"/>
    <w:rsid w:val="00591406"/>
    <w:rsid w:val="0059361A"/>
    <w:rsid w:val="005A0DF5"/>
    <w:rsid w:val="005A17FA"/>
    <w:rsid w:val="005A1BC4"/>
    <w:rsid w:val="005A1D35"/>
    <w:rsid w:val="005A31F1"/>
    <w:rsid w:val="005A4566"/>
    <w:rsid w:val="005A4B04"/>
    <w:rsid w:val="005B07A1"/>
    <w:rsid w:val="005B3139"/>
    <w:rsid w:val="005B3E80"/>
    <w:rsid w:val="005B4F97"/>
    <w:rsid w:val="005C1E21"/>
    <w:rsid w:val="005C36F1"/>
    <w:rsid w:val="005C76F7"/>
    <w:rsid w:val="005D0F5B"/>
    <w:rsid w:val="005D15B0"/>
    <w:rsid w:val="005D2515"/>
    <w:rsid w:val="005D2696"/>
    <w:rsid w:val="005D388C"/>
    <w:rsid w:val="005D7DD4"/>
    <w:rsid w:val="005E02D8"/>
    <w:rsid w:val="005E220D"/>
    <w:rsid w:val="005E77F4"/>
    <w:rsid w:val="005F1AEC"/>
    <w:rsid w:val="005F1E56"/>
    <w:rsid w:val="005F230F"/>
    <w:rsid w:val="005F3A21"/>
    <w:rsid w:val="005F6647"/>
    <w:rsid w:val="005F77AF"/>
    <w:rsid w:val="006006C4"/>
    <w:rsid w:val="00601371"/>
    <w:rsid w:val="00621875"/>
    <w:rsid w:val="00623220"/>
    <w:rsid w:val="00627EE7"/>
    <w:rsid w:val="006414B5"/>
    <w:rsid w:val="00642429"/>
    <w:rsid w:val="006427AC"/>
    <w:rsid w:val="00643119"/>
    <w:rsid w:val="00643F80"/>
    <w:rsid w:val="006457DC"/>
    <w:rsid w:val="0064631B"/>
    <w:rsid w:val="00650C0B"/>
    <w:rsid w:val="00650D27"/>
    <w:rsid w:val="00651DD2"/>
    <w:rsid w:val="006607D3"/>
    <w:rsid w:val="006608D8"/>
    <w:rsid w:val="00665A5F"/>
    <w:rsid w:val="00666F7F"/>
    <w:rsid w:val="00670159"/>
    <w:rsid w:val="006765F4"/>
    <w:rsid w:val="00677F1B"/>
    <w:rsid w:val="006801E1"/>
    <w:rsid w:val="00682547"/>
    <w:rsid w:val="006828A6"/>
    <w:rsid w:val="00684F8C"/>
    <w:rsid w:val="006852CE"/>
    <w:rsid w:val="006852F3"/>
    <w:rsid w:val="006876E6"/>
    <w:rsid w:val="00690B88"/>
    <w:rsid w:val="00692A48"/>
    <w:rsid w:val="006945B4"/>
    <w:rsid w:val="006949F2"/>
    <w:rsid w:val="006952AE"/>
    <w:rsid w:val="00695F95"/>
    <w:rsid w:val="006963B9"/>
    <w:rsid w:val="006976D0"/>
    <w:rsid w:val="006A38D8"/>
    <w:rsid w:val="006A45FA"/>
    <w:rsid w:val="006A510E"/>
    <w:rsid w:val="006A59C2"/>
    <w:rsid w:val="006B3F3A"/>
    <w:rsid w:val="006B5168"/>
    <w:rsid w:val="006B5699"/>
    <w:rsid w:val="006B5D50"/>
    <w:rsid w:val="006C466A"/>
    <w:rsid w:val="006D0421"/>
    <w:rsid w:val="006D14DE"/>
    <w:rsid w:val="006D1EB2"/>
    <w:rsid w:val="006D37F8"/>
    <w:rsid w:val="006D3B18"/>
    <w:rsid w:val="006D7388"/>
    <w:rsid w:val="006E06C2"/>
    <w:rsid w:val="006E12AE"/>
    <w:rsid w:val="006E4167"/>
    <w:rsid w:val="006E66C8"/>
    <w:rsid w:val="006F0CC6"/>
    <w:rsid w:val="006F1FC7"/>
    <w:rsid w:val="006F589B"/>
    <w:rsid w:val="006F5ECF"/>
    <w:rsid w:val="006F7A39"/>
    <w:rsid w:val="00701798"/>
    <w:rsid w:val="007061B7"/>
    <w:rsid w:val="00706E7A"/>
    <w:rsid w:val="00710A23"/>
    <w:rsid w:val="007116DA"/>
    <w:rsid w:val="00712737"/>
    <w:rsid w:val="00712A7B"/>
    <w:rsid w:val="007177DF"/>
    <w:rsid w:val="00724367"/>
    <w:rsid w:val="007256AB"/>
    <w:rsid w:val="00726876"/>
    <w:rsid w:val="007317C6"/>
    <w:rsid w:val="00732868"/>
    <w:rsid w:val="00732F47"/>
    <w:rsid w:val="00735D2A"/>
    <w:rsid w:val="00737BFE"/>
    <w:rsid w:val="00737E03"/>
    <w:rsid w:val="00743212"/>
    <w:rsid w:val="0075233D"/>
    <w:rsid w:val="00752986"/>
    <w:rsid w:val="007602A3"/>
    <w:rsid w:val="00760AE7"/>
    <w:rsid w:val="00761B13"/>
    <w:rsid w:val="00764AB8"/>
    <w:rsid w:val="00772664"/>
    <w:rsid w:val="007739AA"/>
    <w:rsid w:val="00774131"/>
    <w:rsid w:val="00775C18"/>
    <w:rsid w:val="00775C22"/>
    <w:rsid w:val="007764BB"/>
    <w:rsid w:val="007803B0"/>
    <w:rsid w:val="007812D4"/>
    <w:rsid w:val="00783BB6"/>
    <w:rsid w:val="007920BA"/>
    <w:rsid w:val="0079635A"/>
    <w:rsid w:val="00796749"/>
    <w:rsid w:val="00796988"/>
    <w:rsid w:val="007A1F15"/>
    <w:rsid w:val="007A1FE8"/>
    <w:rsid w:val="007A4FE7"/>
    <w:rsid w:val="007A5257"/>
    <w:rsid w:val="007A5330"/>
    <w:rsid w:val="007A5345"/>
    <w:rsid w:val="007A6F23"/>
    <w:rsid w:val="007B0682"/>
    <w:rsid w:val="007B681F"/>
    <w:rsid w:val="007B736B"/>
    <w:rsid w:val="007B78F4"/>
    <w:rsid w:val="007C1343"/>
    <w:rsid w:val="007C2ADB"/>
    <w:rsid w:val="007C35B5"/>
    <w:rsid w:val="007C47B0"/>
    <w:rsid w:val="007C548F"/>
    <w:rsid w:val="007D018A"/>
    <w:rsid w:val="007D0FA2"/>
    <w:rsid w:val="007D2157"/>
    <w:rsid w:val="007D35E6"/>
    <w:rsid w:val="007D51AC"/>
    <w:rsid w:val="007E5900"/>
    <w:rsid w:val="007E6DCA"/>
    <w:rsid w:val="007E7BB1"/>
    <w:rsid w:val="007F68FE"/>
    <w:rsid w:val="00801E72"/>
    <w:rsid w:val="00803F5B"/>
    <w:rsid w:val="008046B5"/>
    <w:rsid w:val="00810256"/>
    <w:rsid w:val="00814AC5"/>
    <w:rsid w:val="008170AD"/>
    <w:rsid w:val="0081763B"/>
    <w:rsid w:val="0082165E"/>
    <w:rsid w:val="008307D2"/>
    <w:rsid w:val="00832552"/>
    <w:rsid w:val="00833113"/>
    <w:rsid w:val="00833E21"/>
    <w:rsid w:val="0083725C"/>
    <w:rsid w:val="00843E2A"/>
    <w:rsid w:val="00844485"/>
    <w:rsid w:val="00847941"/>
    <w:rsid w:val="00851868"/>
    <w:rsid w:val="0085450C"/>
    <w:rsid w:val="008546C8"/>
    <w:rsid w:val="0085548E"/>
    <w:rsid w:val="00860912"/>
    <w:rsid w:val="0086341C"/>
    <w:rsid w:val="00865487"/>
    <w:rsid w:val="008707D1"/>
    <w:rsid w:val="00870A76"/>
    <w:rsid w:val="00871848"/>
    <w:rsid w:val="008804B7"/>
    <w:rsid w:val="0088152D"/>
    <w:rsid w:val="008820F8"/>
    <w:rsid w:val="008946D7"/>
    <w:rsid w:val="00896C92"/>
    <w:rsid w:val="008A0185"/>
    <w:rsid w:val="008A3C5C"/>
    <w:rsid w:val="008A4171"/>
    <w:rsid w:val="008A5476"/>
    <w:rsid w:val="008A6338"/>
    <w:rsid w:val="008A7293"/>
    <w:rsid w:val="008A7966"/>
    <w:rsid w:val="008B0B4B"/>
    <w:rsid w:val="008B2F27"/>
    <w:rsid w:val="008B4E6E"/>
    <w:rsid w:val="008B650B"/>
    <w:rsid w:val="008B7527"/>
    <w:rsid w:val="008C205A"/>
    <w:rsid w:val="008C3362"/>
    <w:rsid w:val="008C5311"/>
    <w:rsid w:val="008C7766"/>
    <w:rsid w:val="008C7EAA"/>
    <w:rsid w:val="008D0BD8"/>
    <w:rsid w:val="008D67AC"/>
    <w:rsid w:val="008D692A"/>
    <w:rsid w:val="008D6B0E"/>
    <w:rsid w:val="008D7156"/>
    <w:rsid w:val="008E19EF"/>
    <w:rsid w:val="008E394A"/>
    <w:rsid w:val="008E7287"/>
    <w:rsid w:val="008E7B97"/>
    <w:rsid w:val="008F151F"/>
    <w:rsid w:val="008F1CA7"/>
    <w:rsid w:val="008F20BD"/>
    <w:rsid w:val="008F792D"/>
    <w:rsid w:val="009023AE"/>
    <w:rsid w:val="00902B5E"/>
    <w:rsid w:val="0090300C"/>
    <w:rsid w:val="009060DF"/>
    <w:rsid w:val="009068FE"/>
    <w:rsid w:val="009159AE"/>
    <w:rsid w:val="00915ADF"/>
    <w:rsid w:val="00917ABC"/>
    <w:rsid w:val="009211EB"/>
    <w:rsid w:val="00922EFE"/>
    <w:rsid w:val="009258E5"/>
    <w:rsid w:val="00925DFD"/>
    <w:rsid w:val="0093016A"/>
    <w:rsid w:val="009314DD"/>
    <w:rsid w:val="0093339D"/>
    <w:rsid w:val="00940DDD"/>
    <w:rsid w:val="0094331B"/>
    <w:rsid w:val="00943778"/>
    <w:rsid w:val="00943DCC"/>
    <w:rsid w:val="009459BD"/>
    <w:rsid w:val="00945D98"/>
    <w:rsid w:val="009460F7"/>
    <w:rsid w:val="00947F89"/>
    <w:rsid w:val="009520F6"/>
    <w:rsid w:val="0095499D"/>
    <w:rsid w:val="00954C83"/>
    <w:rsid w:val="009553C5"/>
    <w:rsid w:val="00955FCF"/>
    <w:rsid w:val="009566E4"/>
    <w:rsid w:val="009570CD"/>
    <w:rsid w:val="009616F4"/>
    <w:rsid w:val="00972918"/>
    <w:rsid w:val="00980CCD"/>
    <w:rsid w:val="00981946"/>
    <w:rsid w:val="00981F3E"/>
    <w:rsid w:val="00983191"/>
    <w:rsid w:val="00984C21"/>
    <w:rsid w:val="00985D59"/>
    <w:rsid w:val="00987C4D"/>
    <w:rsid w:val="0099044D"/>
    <w:rsid w:val="00990E58"/>
    <w:rsid w:val="009928A0"/>
    <w:rsid w:val="009935F6"/>
    <w:rsid w:val="00994A97"/>
    <w:rsid w:val="009A2291"/>
    <w:rsid w:val="009A31AE"/>
    <w:rsid w:val="009B04FD"/>
    <w:rsid w:val="009B0F5A"/>
    <w:rsid w:val="009B1CFB"/>
    <w:rsid w:val="009C471B"/>
    <w:rsid w:val="009C4B5B"/>
    <w:rsid w:val="009C51C0"/>
    <w:rsid w:val="009C5277"/>
    <w:rsid w:val="009C5F0D"/>
    <w:rsid w:val="009C5F38"/>
    <w:rsid w:val="009C7150"/>
    <w:rsid w:val="009C7FB7"/>
    <w:rsid w:val="009D24D4"/>
    <w:rsid w:val="009D53F5"/>
    <w:rsid w:val="009D67B1"/>
    <w:rsid w:val="009E014B"/>
    <w:rsid w:val="009E1098"/>
    <w:rsid w:val="009E6E90"/>
    <w:rsid w:val="009F3E7D"/>
    <w:rsid w:val="009F4D8E"/>
    <w:rsid w:val="00A01CB3"/>
    <w:rsid w:val="00A03E22"/>
    <w:rsid w:val="00A1540B"/>
    <w:rsid w:val="00A165B7"/>
    <w:rsid w:val="00A20AFC"/>
    <w:rsid w:val="00A23124"/>
    <w:rsid w:val="00A23679"/>
    <w:rsid w:val="00A24300"/>
    <w:rsid w:val="00A2442F"/>
    <w:rsid w:val="00A32D0A"/>
    <w:rsid w:val="00A3488A"/>
    <w:rsid w:val="00A361E9"/>
    <w:rsid w:val="00A40034"/>
    <w:rsid w:val="00A42ADC"/>
    <w:rsid w:val="00A438B9"/>
    <w:rsid w:val="00A45178"/>
    <w:rsid w:val="00A459A6"/>
    <w:rsid w:val="00A4687E"/>
    <w:rsid w:val="00A47B95"/>
    <w:rsid w:val="00A51F4A"/>
    <w:rsid w:val="00A52406"/>
    <w:rsid w:val="00A53A0B"/>
    <w:rsid w:val="00A54141"/>
    <w:rsid w:val="00A54B72"/>
    <w:rsid w:val="00A565C6"/>
    <w:rsid w:val="00A638BA"/>
    <w:rsid w:val="00A646C9"/>
    <w:rsid w:val="00A76BBE"/>
    <w:rsid w:val="00A77466"/>
    <w:rsid w:val="00A83839"/>
    <w:rsid w:val="00A8478D"/>
    <w:rsid w:val="00A94815"/>
    <w:rsid w:val="00A95108"/>
    <w:rsid w:val="00A95A82"/>
    <w:rsid w:val="00A961DF"/>
    <w:rsid w:val="00A968F6"/>
    <w:rsid w:val="00A973A7"/>
    <w:rsid w:val="00A97592"/>
    <w:rsid w:val="00AA0265"/>
    <w:rsid w:val="00AA1759"/>
    <w:rsid w:val="00AA3FED"/>
    <w:rsid w:val="00AA6432"/>
    <w:rsid w:val="00AA678A"/>
    <w:rsid w:val="00AA6C0F"/>
    <w:rsid w:val="00AA6E2B"/>
    <w:rsid w:val="00AB0791"/>
    <w:rsid w:val="00AB2FCF"/>
    <w:rsid w:val="00AB3CB1"/>
    <w:rsid w:val="00AB5EB6"/>
    <w:rsid w:val="00AD180D"/>
    <w:rsid w:val="00AD3701"/>
    <w:rsid w:val="00AD3AC8"/>
    <w:rsid w:val="00AE7446"/>
    <w:rsid w:val="00AF0697"/>
    <w:rsid w:val="00AF3F6D"/>
    <w:rsid w:val="00AF4A3D"/>
    <w:rsid w:val="00AF548F"/>
    <w:rsid w:val="00AF713D"/>
    <w:rsid w:val="00AF76BB"/>
    <w:rsid w:val="00B0157C"/>
    <w:rsid w:val="00B03445"/>
    <w:rsid w:val="00B038BA"/>
    <w:rsid w:val="00B051E3"/>
    <w:rsid w:val="00B05712"/>
    <w:rsid w:val="00B071B5"/>
    <w:rsid w:val="00B200D1"/>
    <w:rsid w:val="00B204C7"/>
    <w:rsid w:val="00B20F89"/>
    <w:rsid w:val="00B21A6D"/>
    <w:rsid w:val="00B23F29"/>
    <w:rsid w:val="00B24B99"/>
    <w:rsid w:val="00B25585"/>
    <w:rsid w:val="00B25EBC"/>
    <w:rsid w:val="00B25F59"/>
    <w:rsid w:val="00B31488"/>
    <w:rsid w:val="00B3453D"/>
    <w:rsid w:val="00B34A2B"/>
    <w:rsid w:val="00B3781C"/>
    <w:rsid w:val="00B37BE6"/>
    <w:rsid w:val="00B4063B"/>
    <w:rsid w:val="00B416A8"/>
    <w:rsid w:val="00B42328"/>
    <w:rsid w:val="00B447FB"/>
    <w:rsid w:val="00B450AE"/>
    <w:rsid w:val="00B46BA4"/>
    <w:rsid w:val="00B47AA5"/>
    <w:rsid w:val="00B50E7A"/>
    <w:rsid w:val="00B521FC"/>
    <w:rsid w:val="00B53347"/>
    <w:rsid w:val="00B57DCF"/>
    <w:rsid w:val="00B60A54"/>
    <w:rsid w:val="00B60EDD"/>
    <w:rsid w:val="00B63996"/>
    <w:rsid w:val="00B676AD"/>
    <w:rsid w:val="00B67B64"/>
    <w:rsid w:val="00B7337D"/>
    <w:rsid w:val="00B747D3"/>
    <w:rsid w:val="00B7481E"/>
    <w:rsid w:val="00B75C3B"/>
    <w:rsid w:val="00B77786"/>
    <w:rsid w:val="00B80571"/>
    <w:rsid w:val="00B81E0D"/>
    <w:rsid w:val="00B83889"/>
    <w:rsid w:val="00B86641"/>
    <w:rsid w:val="00B923C8"/>
    <w:rsid w:val="00B928D5"/>
    <w:rsid w:val="00B942BB"/>
    <w:rsid w:val="00B95057"/>
    <w:rsid w:val="00BB09BC"/>
    <w:rsid w:val="00BB1481"/>
    <w:rsid w:val="00BB25AD"/>
    <w:rsid w:val="00BC0995"/>
    <w:rsid w:val="00BC1EA3"/>
    <w:rsid w:val="00BC446F"/>
    <w:rsid w:val="00BC4ED6"/>
    <w:rsid w:val="00BD2830"/>
    <w:rsid w:val="00BD2EC7"/>
    <w:rsid w:val="00BD650A"/>
    <w:rsid w:val="00BD70A5"/>
    <w:rsid w:val="00BE1068"/>
    <w:rsid w:val="00BE5E63"/>
    <w:rsid w:val="00BE5F3A"/>
    <w:rsid w:val="00BF0DF6"/>
    <w:rsid w:val="00BF2C76"/>
    <w:rsid w:val="00BF3180"/>
    <w:rsid w:val="00BF3873"/>
    <w:rsid w:val="00BF5C83"/>
    <w:rsid w:val="00BF6362"/>
    <w:rsid w:val="00BF6AAA"/>
    <w:rsid w:val="00BF6E0B"/>
    <w:rsid w:val="00C013A2"/>
    <w:rsid w:val="00C0201C"/>
    <w:rsid w:val="00C029F3"/>
    <w:rsid w:val="00C04A42"/>
    <w:rsid w:val="00C05B26"/>
    <w:rsid w:val="00C076F6"/>
    <w:rsid w:val="00C10F50"/>
    <w:rsid w:val="00C152C8"/>
    <w:rsid w:val="00C22537"/>
    <w:rsid w:val="00C22980"/>
    <w:rsid w:val="00C23824"/>
    <w:rsid w:val="00C23C9A"/>
    <w:rsid w:val="00C26A3E"/>
    <w:rsid w:val="00C27CCB"/>
    <w:rsid w:val="00C36BDF"/>
    <w:rsid w:val="00C417E0"/>
    <w:rsid w:val="00C41EF3"/>
    <w:rsid w:val="00C42053"/>
    <w:rsid w:val="00C47804"/>
    <w:rsid w:val="00C479A5"/>
    <w:rsid w:val="00C47BED"/>
    <w:rsid w:val="00C61B1D"/>
    <w:rsid w:val="00C65EBC"/>
    <w:rsid w:val="00C7581B"/>
    <w:rsid w:val="00C7793E"/>
    <w:rsid w:val="00C80642"/>
    <w:rsid w:val="00C8105E"/>
    <w:rsid w:val="00C8115D"/>
    <w:rsid w:val="00C81255"/>
    <w:rsid w:val="00C81D65"/>
    <w:rsid w:val="00C82022"/>
    <w:rsid w:val="00C87B5C"/>
    <w:rsid w:val="00C92F79"/>
    <w:rsid w:val="00C9441B"/>
    <w:rsid w:val="00C94F1C"/>
    <w:rsid w:val="00C95274"/>
    <w:rsid w:val="00C952A0"/>
    <w:rsid w:val="00C97DE6"/>
    <w:rsid w:val="00CA2334"/>
    <w:rsid w:val="00CA30E7"/>
    <w:rsid w:val="00CA5F90"/>
    <w:rsid w:val="00CA73D2"/>
    <w:rsid w:val="00CA7417"/>
    <w:rsid w:val="00CB1364"/>
    <w:rsid w:val="00CB328D"/>
    <w:rsid w:val="00CB5248"/>
    <w:rsid w:val="00CB6A19"/>
    <w:rsid w:val="00CB7C7A"/>
    <w:rsid w:val="00CC07E3"/>
    <w:rsid w:val="00CC26A9"/>
    <w:rsid w:val="00CC3004"/>
    <w:rsid w:val="00CC5B45"/>
    <w:rsid w:val="00CD1E5A"/>
    <w:rsid w:val="00CD2A43"/>
    <w:rsid w:val="00CD7774"/>
    <w:rsid w:val="00CE0873"/>
    <w:rsid w:val="00CE1EBC"/>
    <w:rsid w:val="00CE3BA3"/>
    <w:rsid w:val="00CE52B4"/>
    <w:rsid w:val="00CF1751"/>
    <w:rsid w:val="00CF4482"/>
    <w:rsid w:val="00CF6A47"/>
    <w:rsid w:val="00D02852"/>
    <w:rsid w:val="00D03C86"/>
    <w:rsid w:val="00D05254"/>
    <w:rsid w:val="00D065DE"/>
    <w:rsid w:val="00D13362"/>
    <w:rsid w:val="00D15023"/>
    <w:rsid w:val="00D200A6"/>
    <w:rsid w:val="00D2075E"/>
    <w:rsid w:val="00D237CA"/>
    <w:rsid w:val="00D25098"/>
    <w:rsid w:val="00D26A63"/>
    <w:rsid w:val="00D279C6"/>
    <w:rsid w:val="00D30A58"/>
    <w:rsid w:val="00D30DAE"/>
    <w:rsid w:val="00D31DF6"/>
    <w:rsid w:val="00D31F87"/>
    <w:rsid w:val="00D348F1"/>
    <w:rsid w:val="00D35638"/>
    <w:rsid w:val="00D41D36"/>
    <w:rsid w:val="00D47053"/>
    <w:rsid w:val="00D511C2"/>
    <w:rsid w:val="00D55120"/>
    <w:rsid w:val="00D55F6A"/>
    <w:rsid w:val="00D5614A"/>
    <w:rsid w:val="00D62408"/>
    <w:rsid w:val="00D6393E"/>
    <w:rsid w:val="00D63FAD"/>
    <w:rsid w:val="00D70F21"/>
    <w:rsid w:val="00D72F77"/>
    <w:rsid w:val="00D74413"/>
    <w:rsid w:val="00D759C8"/>
    <w:rsid w:val="00D80E2A"/>
    <w:rsid w:val="00D8721E"/>
    <w:rsid w:val="00D909BD"/>
    <w:rsid w:val="00D92992"/>
    <w:rsid w:val="00D969DE"/>
    <w:rsid w:val="00D97642"/>
    <w:rsid w:val="00D97755"/>
    <w:rsid w:val="00D97C3E"/>
    <w:rsid w:val="00DA0DC5"/>
    <w:rsid w:val="00DA1D8B"/>
    <w:rsid w:val="00DA2803"/>
    <w:rsid w:val="00DA2B3C"/>
    <w:rsid w:val="00DA7E86"/>
    <w:rsid w:val="00DA7F60"/>
    <w:rsid w:val="00DB0C2C"/>
    <w:rsid w:val="00DB14E4"/>
    <w:rsid w:val="00DB2CD5"/>
    <w:rsid w:val="00DB5D35"/>
    <w:rsid w:val="00DB6835"/>
    <w:rsid w:val="00DC0AFE"/>
    <w:rsid w:val="00DC23A9"/>
    <w:rsid w:val="00DC3B6B"/>
    <w:rsid w:val="00DC6D76"/>
    <w:rsid w:val="00DD1138"/>
    <w:rsid w:val="00DD1F43"/>
    <w:rsid w:val="00DD3634"/>
    <w:rsid w:val="00DD39B4"/>
    <w:rsid w:val="00DD63F5"/>
    <w:rsid w:val="00DD72DA"/>
    <w:rsid w:val="00DE1B61"/>
    <w:rsid w:val="00DE4026"/>
    <w:rsid w:val="00DE48C5"/>
    <w:rsid w:val="00DF0F99"/>
    <w:rsid w:val="00DF3374"/>
    <w:rsid w:val="00DF39F6"/>
    <w:rsid w:val="00DF48AF"/>
    <w:rsid w:val="00E00206"/>
    <w:rsid w:val="00E0314C"/>
    <w:rsid w:val="00E14D26"/>
    <w:rsid w:val="00E1641D"/>
    <w:rsid w:val="00E17C6D"/>
    <w:rsid w:val="00E23031"/>
    <w:rsid w:val="00E23BF3"/>
    <w:rsid w:val="00E23F50"/>
    <w:rsid w:val="00E24254"/>
    <w:rsid w:val="00E4062F"/>
    <w:rsid w:val="00E40DC5"/>
    <w:rsid w:val="00E41235"/>
    <w:rsid w:val="00E42955"/>
    <w:rsid w:val="00E45076"/>
    <w:rsid w:val="00E479C3"/>
    <w:rsid w:val="00E57323"/>
    <w:rsid w:val="00E61745"/>
    <w:rsid w:val="00E62408"/>
    <w:rsid w:val="00E7081A"/>
    <w:rsid w:val="00E712E7"/>
    <w:rsid w:val="00E717CC"/>
    <w:rsid w:val="00E75322"/>
    <w:rsid w:val="00E75797"/>
    <w:rsid w:val="00E76AD3"/>
    <w:rsid w:val="00E76B63"/>
    <w:rsid w:val="00E8157D"/>
    <w:rsid w:val="00E82349"/>
    <w:rsid w:val="00E837C8"/>
    <w:rsid w:val="00E8664F"/>
    <w:rsid w:val="00E87FA7"/>
    <w:rsid w:val="00E90E94"/>
    <w:rsid w:val="00E91728"/>
    <w:rsid w:val="00E95E93"/>
    <w:rsid w:val="00E96FBC"/>
    <w:rsid w:val="00EA0707"/>
    <w:rsid w:val="00EA0ECC"/>
    <w:rsid w:val="00EA2EF1"/>
    <w:rsid w:val="00EA75E3"/>
    <w:rsid w:val="00EB1B9F"/>
    <w:rsid w:val="00EB2164"/>
    <w:rsid w:val="00EB5658"/>
    <w:rsid w:val="00EB62B2"/>
    <w:rsid w:val="00EB723E"/>
    <w:rsid w:val="00EB73A7"/>
    <w:rsid w:val="00EB74A6"/>
    <w:rsid w:val="00EC43B6"/>
    <w:rsid w:val="00EC5608"/>
    <w:rsid w:val="00ED029E"/>
    <w:rsid w:val="00ED28F2"/>
    <w:rsid w:val="00ED475A"/>
    <w:rsid w:val="00ED4839"/>
    <w:rsid w:val="00ED568C"/>
    <w:rsid w:val="00EE3593"/>
    <w:rsid w:val="00EE4945"/>
    <w:rsid w:val="00EE4955"/>
    <w:rsid w:val="00EE49AA"/>
    <w:rsid w:val="00EE5883"/>
    <w:rsid w:val="00EE5DD6"/>
    <w:rsid w:val="00EE60B2"/>
    <w:rsid w:val="00EE783A"/>
    <w:rsid w:val="00EF3BDE"/>
    <w:rsid w:val="00EF4370"/>
    <w:rsid w:val="00F043CB"/>
    <w:rsid w:val="00F04564"/>
    <w:rsid w:val="00F0782E"/>
    <w:rsid w:val="00F10D7E"/>
    <w:rsid w:val="00F1302C"/>
    <w:rsid w:val="00F134BA"/>
    <w:rsid w:val="00F14266"/>
    <w:rsid w:val="00F16D0A"/>
    <w:rsid w:val="00F207CE"/>
    <w:rsid w:val="00F245BD"/>
    <w:rsid w:val="00F35D93"/>
    <w:rsid w:val="00F36DE2"/>
    <w:rsid w:val="00F4220C"/>
    <w:rsid w:val="00F451BC"/>
    <w:rsid w:val="00F457A7"/>
    <w:rsid w:val="00F466D7"/>
    <w:rsid w:val="00F503AE"/>
    <w:rsid w:val="00F50AFA"/>
    <w:rsid w:val="00F5240E"/>
    <w:rsid w:val="00F54002"/>
    <w:rsid w:val="00F57DC2"/>
    <w:rsid w:val="00F61CF0"/>
    <w:rsid w:val="00F621FA"/>
    <w:rsid w:val="00F630C4"/>
    <w:rsid w:val="00F631FC"/>
    <w:rsid w:val="00F63E61"/>
    <w:rsid w:val="00F6435A"/>
    <w:rsid w:val="00F7154C"/>
    <w:rsid w:val="00F76EC3"/>
    <w:rsid w:val="00F771CC"/>
    <w:rsid w:val="00F77418"/>
    <w:rsid w:val="00F80223"/>
    <w:rsid w:val="00F810E4"/>
    <w:rsid w:val="00F81FD3"/>
    <w:rsid w:val="00F83007"/>
    <w:rsid w:val="00F84A24"/>
    <w:rsid w:val="00F85BB6"/>
    <w:rsid w:val="00F92559"/>
    <w:rsid w:val="00F97EEE"/>
    <w:rsid w:val="00FA0345"/>
    <w:rsid w:val="00FA1793"/>
    <w:rsid w:val="00FA17D0"/>
    <w:rsid w:val="00FA27C2"/>
    <w:rsid w:val="00FA52BC"/>
    <w:rsid w:val="00FA69E2"/>
    <w:rsid w:val="00FB0450"/>
    <w:rsid w:val="00FB524A"/>
    <w:rsid w:val="00FB6EAC"/>
    <w:rsid w:val="00FB7FA3"/>
    <w:rsid w:val="00FC2974"/>
    <w:rsid w:val="00FC4929"/>
    <w:rsid w:val="00FC55F6"/>
    <w:rsid w:val="00FC6017"/>
    <w:rsid w:val="00FC731E"/>
    <w:rsid w:val="00FC7B74"/>
    <w:rsid w:val="00FD0209"/>
    <w:rsid w:val="00FD16AD"/>
    <w:rsid w:val="00FD3C34"/>
    <w:rsid w:val="00FD405C"/>
    <w:rsid w:val="00FD5088"/>
    <w:rsid w:val="00FD7EB6"/>
    <w:rsid w:val="00FE0836"/>
    <w:rsid w:val="00FE1C20"/>
    <w:rsid w:val="00FE253C"/>
    <w:rsid w:val="00FE28FE"/>
    <w:rsid w:val="00FE6006"/>
    <w:rsid w:val="00FF1A6E"/>
    <w:rsid w:val="00FF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6EC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2B"/>
    <w:rPr>
      <w:sz w:val="24"/>
      <w:szCs w:val="24"/>
    </w:rPr>
  </w:style>
  <w:style w:type="paragraph" w:styleId="Heading1">
    <w:name w:val="heading 1"/>
    <w:basedOn w:val="Normal"/>
    <w:next w:val="Paragraph"/>
    <w:qFormat/>
    <w:rsid w:val="00173F2A"/>
    <w:pPr>
      <w:keepNext/>
      <w:spacing w:before="240" w:after="120" w:line="276" w:lineRule="auto"/>
      <w:outlineLvl w:val="0"/>
    </w:pPr>
    <w:rPr>
      <w:rFonts w:ascii="Arial" w:hAnsi="Arial"/>
      <w:b/>
      <w:bCs/>
      <w:kern w:val="32"/>
      <w:sz w:val="40"/>
      <w:szCs w:val="40"/>
    </w:rPr>
  </w:style>
  <w:style w:type="paragraph" w:styleId="Heading2">
    <w:name w:val="heading 2"/>
    <w:basedOn w:val="Normal"/>
    <w:next w:val="Paragraph"/>
    <w:qFormat/>
    <w:rsid w:val="0093339D"/>
    <w:pPr>
      <w:keepNext/>
      <w:spacing w:before="240" w:after="60"/>
      <w:outlineLvl w:val="1"/>
    </w:pPr>
    <w:rPr>
      <w:rFonts w:ascii="Arial" w:hAnsi="Arial"/>
      <w:b/>
      <w:bCs/>
      <w:sz w:val="36"/>
      <w:szCs w:val="36"/>
    </w:rPr>
  </w:style>
  <w:style w:type="paragraph" w:styleId="Heading3">
    <w:name w:val="heading 3"/>
    <w:basedOn w:val="Normal"/>
    <w:next w:val="Paragraph"/>
    <w:qFormat/>
    <w:rsid w:val="0093339D"/>
    <w:pPr>
      <w:keepNext/>
      <w:spacing w:before="240" w:after="60"/>
      <w:outlineLvl w:val="2"/>
    </w:pPr>
    <w:rPr>
      <w:rFonts w:ascii="Arial" w:hAnsi="Arial"/>
      <w:b/>
      <w:bCs/>
      <w:sz w:val="28"/>
      <w:szCs w:val="28"/>
    </w:rPr>
  </w:style>
  <w:style w:type="paragraph" w:styleId="Heading4">
    <w:name w:val="heading 4"/>
    <w:basedOn w:val="Normal"/>
    <w:next w:val="Normal"/>
    <w:qFormat/>
    <w:rsid w:val="0093339D"/>
    <w:pPr>
      <w:keepNext/>
      <w:spacing w:before="240" w:after="60"/>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pPr>
      <w:numPr>
        <w:numId w:val="1"/>
      </w:numPr>
      <w:spacing w:before="240" w:after="240" w:line="276" w:lineRule="auto"/>
    </w:pPr>
    <w:rPr>
      <w:rFonts w:ascii="Arial" w:hAnsi="Arial"/>
    </w:rPr>
  </w:style>
  <w:style w:type="paragraph" w:styleId="Title">
    <w:name w:val="Title"/>
    <w:basedOn w:val="Normal"/>
    <w:next w:val="Heading1"/>
    <w:qFormat/>
    <w:pPr>
      <w:spacing w:before="240" w:after="240"/>
      <w:jc w:val="center"/>
      <w:outlineLvl w:val="0"/>
    </w:pPr>
    <w:rPr>
      <w:rFonts w:ascii="Arial" w:hAnsi="Arial"/>
      <w:b/>
      <w:bCs/>
      <w:kern w:val="28"/>
      <w:sz w:val="32"/>
      <w:szCs w:val="32"/>
    </w:rPr>
  </w:style>
  <w:style w:type="character" w:customStyle="1" w:styleId="TitleChar">
    <w:name w:val="Title Char"/>
    <w:rPr>
      <w:rFonts w:ascii="Arial" w:hAnsi="Arial"/>
      <w:b/>
      <w:bCs/>
      <w:kern w:val="28"/>
      <w:sz w:val="32"/>
      <w:szCs w:val="32"/>
    </w:rPr>
  </w:style>
  <w:style w:type="character" w:customStyle="1" w:styleId="Heading1Char">
    <w:name w:val="Heading 1 Char"/>
    <w:rPr>
      <w:rFonts w:ascii="Arial" w:hAnsi="Arial"/>
      <w:b/>
      <w:bCs/>
      <w:kern w:val="32"/>
      <w:sz w:val="28"/>
      <w:szCs w:val="32"/>
    </w:rPr>
  </w:style>
  <w:style w:type="paragraph" w:customStyle="1" w:styleId="Bullets">
    <w:name w:val="Bullets"/>
    <w:basedOn w:val="Normal"/>
    <w:qFormat/>
    <w:pPr>
      <w:numPr>
        <w:numId w:val="2"/>
      </w:numPr>
      <w:spacing w:line="276" w:lineRule="auto"/>
    </w:pPr>
    <w:rPr>
      <w:rFonts w:ascii="Arial" w:hAnsi="Arial"/>
    </w:rPr>
  </w:style>
  <w:style w:type="paragraph" w:styleId="Header">
    <w:name w:val="header"/>
    <w:basedOn w:val="Normal"/>
    <w:semiHidden/>
    <w:pPr>
      <w:tabs>
        <w:tab w:val="center" w:pos="4513"/>
        <w:tab w:val="right" w:pos="9026"/>
      </w:tabs>
    </w:pPr>
    <w:rPr>
      <w:rFonts w:ascii="Arial" w:hAnsi="Arial"/>
    </w:rPr>
  </w:style>
  <w:style w:type="character" w:customStyle="1" w:styleId="HeaderChar">
    <w:name w:val="Header Char"/>
    <w:semiHidden/>
    <w:rPr>
      <w:rFonts w:ascii="Arial" w:hAnsi="Arial"/>
      <w:sz w:val="24"/>
      <w:szCs w:val="24"/>
    </w:rPr>
  </w:style>
  <w:style w:type="paragraph" w:styleId="Footer">
    <w:name w:val="footer"/>
    <w:basedOn w:val="Normal"/>
    <w:uiPriority w:val="99"/>
    <w:pPr>
      <w:tabs>
        <w:tab w:val="center" w:pos="4513"/>
        <w:tab w:val="right" w:pos="9026"/>
      </w:tabs>
    </w:pPr>
    <w:rPr>
      <w:rFonts w:ascii="Arial" w:hAnsi="Arial"/>
      <w:sz w:val="20"/>
    </w:rPr>
  </w:style>
  <w:style w:type="character" w:customStyle="1" w:styleId="FooterChar">
    <w:name w:val="Footer Char"/>
    <w:uiPriority w:val="99"/>
    <w:rPr>
      <w:rFonts w:ascii="Arial" w:hAnsi="Arial"/>
      <w:szCs w:val="2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2Char">
    <w:name w:val="Heading 2 Char"/>
    <w:rPr>
      <w:rFonts w:ascii="Arial" w:hAnsi="Arial"/>
      <w:b/>
      <w:bCs/>
      <w:i/>
      <w:iCs/>
      <w:sz w:val="28"/>
      <w:szCs w:val="28"/>
    </w:rPr>
  </w:style>
  <w:style w:type="character" w:customStyle="1" w:styleId="Heading3Char">
    <w:name w:val="Heading 3 Char"/>
    <w:rPr>
      <w:rFonts w:ascii="Arial" w:hAnsi="Arial"/>
      <w:b/>
      <w:bCs/>
      <w:sz w:val="24"/>
      <w:szCs w:val="26"/>
    </w:rPr>
  </w:style>
  <w:style w:type="paragraph" w:customStyle="1" w:styleId="Subbullets">
    <w:name w:val="Sub bullets"/>
    <w:basedOn w:val="Normal"/>
    <w:qFormat/>
    <w:pPr>
      <w:numPr>
        <w:numId w:val="3"/>
      </w:numPr>
      <w:spacing w:line="276" w:lineRule="auto"/>
      <w:ind w:left="1418" w:hanging="284"/>
    </w:pPr>
    <w:rPr>
      <w:rFonts w:ascii="Arial" w:hAnsi="Arial"/>
    </w:rPr>
  </w:style>
  <w:style w:type="paragraph" w:customStyle="1" w:styleId="Paragraphnonumbers">
    <w:name w:val="Paragraph no numbers"/>
    <w:basedOn w:val="Normal"/>
    <w:uiPriority w:val="99"/>
    <w:qFormat/>
    <w:pPr>
      <w:spacing w:before="240" w:after="240" w:line="276" w:lineRule="auto"/>
    </w:pPr>
    <w:rPr>
      <w:rFonts w:ascii="Arial" w:hAnsi="Arial"/>
    </w:rPr>
  </w:style>
  <w:style w:type="paragraph" w:styleId="NormalWeb">
    <w:name w:val="Normal (Web)"/>
    <w:basedOn w:val="Normal"/>
    <w:uiPriority w:val="99"/>
    <w:semiHidden/>
    <w:unhideWhenUsed/>
    <w:rsid w:val="0081763B"/>
    <w:pPr>
      <w:spacing w:before="100" w:beforeAutospacing="1" w:after="100" w:afterAutospacing="1"/>
    </w:p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autoRedefine/>
    <w:semiHidden/>
    <w:rPr>
      <w:rFonts w:ascii="Arial" w:hAnsi="Arial"/>
    </w:rPr>
  </w:style>
  <w:style w:type="paragraph" w:styleId="TOC2">
    <w:name w:val="toc 2"/>
    <w:basedOn w:val="Normal"/>
    <w:next w:val="Normal"/>
    <w:autoRedefine/>
    <w:semiHidden/>
    <w:pPr>
      <w:ind w:left="240"/>
    </w:pPr>
    <w:rPr>
      <w:rFonts w:ascii="Arial" w:hAnsi="Arial"/>
    </w:rPr>
  </w:style>
  <w:style w:type="paragraph" w:styleId="TOC3">
    <w:name w:val="toc 3"/>
    <w:basedOn w:val="Normal"/>
    <w:next w:val="Normal"/>
    <w:autoRedefine/>
    <w:semiHidden/>
    <w:pPr>
      <w:ind w:left="480"/>
    </w:pPr>
    <w:rPr>
      <w:rFonts w:ascii="Arial" w:hAnsi="Arial"/>
    </w:rPr>
  </w:style>
  <w:style w:type="paragraph" w:styleId="TOC4">
    <w:name w:val="toc 4"/>
    <w:basedOn w:val="Normal"/>
    <w:next w:val="Normal"/>
    <w:autoRedefine/>
    <w:semiHidden/>
    <w:pPr>
      <w:ind w:left="720"/>
    </w:pPr>
    <w:rPr>
      <w:rFonts w:ascii="Arial" w:hAnsi="Arial"/>
    </w:rPr>
  </w:style>
  <w:style w:type="character" w:customStyle="1" w:styleId="Heading4Char">
    <w:name w:val="Heading 4 Char"/>
    <w:semiHidden/>
    <w:rPr>
      <w:rFonts w:ascii="Arial" w:eastAsia="Times New Roman" w:hAnsi="Arial" w:cs="Times New Roman"/>
      <w:b/>
      <w:bCs/>
      <w:i/>
      <w:sz w:val="24"/>
      <w:szCs w:val="28"/>
    </w:rPr>
  </w:style>
  <w:style w:type="paragraph" w:styleId="CommentText">
    <w:name w:val="annotation text"/>
    <w:basedOn w:val="Normal"/>
    <w:semiHidden/>
    <w:rPr>
      <w:sz w:val="20"/>
      <w:szCs w:val="20"/>
      <w:lang w:eastAsia="en-US"/>
    </w:rPr>
  </w:style>
  <w:style w:type="character" w:customStyle="1" w:styleId="CommentTextChar">
    <w:name w:val="Comment Text Char"/>
    <w:semiHidden/>
    <w:rPr>
      <w:lang w:eastAsia="en-US"/>
    </w:rPr>
  </w:style>
  <w:style w:type="character" w:styleId="Hyperlink">
    <w:name w:val="Hyperlink"/>
    <w:semiHidden/>
    <w:rPr>
      <w:color w:val="0000FF"/>
      <w:u w:val="single"/>
    </w:rPr>
  </w:style>
  <w:style w:type="paragraph" w:styleId="BodyTextIndent2">
    <w:name w:val="Body Text Indent 2"/>
    <w:basedOn w:val="Normal"/>
    <w:semiHidden/>
    <w:pPr>
      <w:widowControl w:val="0"/>
      <w:autoSpaceDE w:val="0"/>
      <w:autoSpaceDN w:val="0"/>
      <w:adjustRightInd w:val="0"/>
      <w:ind w:left="72"/>
    </w:pPr>
    <w:rPr>
      <w:rFonts w:ascii="Arial" w:hAnsi="Arial"/>
      <w:sz w:val="20"/>
      <w:lang w:val="en-US" w:eastAsia="en-US"/>
    </w:rPr>
  </w:style>
  <w:style w:type="character" w:customStyle="1" w:styleId="BodyTextIndent2Char">
    <w:name w:val="Body Text Indent 2 Char"/>
    <w:rPr>
      <w:rFonts w:ascii="Arial" w:hAnsi="Arial"/>
      <w:szCs w:val="24"/>
      <w:lang w:val="en-US" w:eastAsia="en-US"/>
    </w:rPr>
  </w:style>
  <w:style w:type="character" w:customStyle="1" w:styleId="nowrap1">
    <w:name w:val="nowrap1"/>
    <w:basedOn w:val="DefaultParagraphFont"/>
  </w:style>
  <w:style w:type="paragraph" w:customStyle="1" w:styleId="NICEnormal">
    <w:name w:val="NICE normal"/>
    <w:pPr>
      <w:spacing w:after="240" w:line="360" w:lineRule="auto"/>
    </w:pPr>
    <w:rPr>
      <w:rFonts w:ascii="Arial" w:hAnsi="Arial"/>
      <w:sz w:val="24"/>
      <w:szCs w:val="24"/>
      <w:lang w:val="en-US" w:eastAsia="en-US"/>
    </w:rPr>
  </w:style>
  <w:style w:type="character" w:customStyle="1" w:styleId="NICEnormalChar">
    <w:name w:val="NICE normal Char"/>
    <w:rPr>
      <w:rFonts w:ascii="Arial" w:hAnsi="Arial"/>
      <w:sz w:val="24"/>
      <w:szCs w:val="24"/>
      <w:lang w:val="en-US" w:eastAsia="en-US" w:bidi="ar-SA"/>
    </w:rPr>
  </w:style>
  <w:style w:type="paragraph" w:styleId="ListParagraph">
    <w:name w:val="List Paragraph"/>
    <w:basedOn w:val="Normal"/>
    <w:uiPriority w:val="34"/>
    <w:qFormat/>
    <w:pPr>
      <w:ind w:left="720"/>
      <w:contextualSpacing/>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eastAsia="en-GB"/>
    </w:rPr>
  </w:style>
  <w:style w:type="character" w:customStyle="1" w:styleId="CommentSubjectChar">
    <w:name w:val="Comment Subject Char"/>
    <w:semiHidden/>
    <w:rPr>
      <w:b/>
      <w:bCs/>
      <w:lang w:eastAsia="en-US"/>
    </w:rPr>
  </w:style>
  <w:style w:type="paragraph" w:styleId="PlainText">
    <w:name w:val="Plain Text"/>
    <w:basedOn w:val="Normal"/>
    <w:semiHidden/>
    <w:unhideWhenUsed/>
    <w:rPr>
      <w:rFonts w:ascii="Consolas" w:eastAsia="Calibri" w:hAnsi="Consolas"/>
      <w:sz w:val="21"/>
      <w:szCs w:val="21"/>
      <w:lang w:eastAsia="en-US"/>
    </w:rPr>
  </w:style>
  <w:style w:type="character" w:customStyle="1" w:styleId="PlainTextChar">
    <w:name w:val="Plain Text Char"/>
    <w:semiHidden/>
    <w:rPr>
      <w:rFonts w:ascii="Consolas" w:eastAsia="Calibri" w:hAnsi="Consolas" w:cs="Times New Roman"/>
      <w:sz w:val="21"/>
      <w:szCs w:val="21"/>
      <w:lang w:eastAsia="en-US"/>
    </w:rPr>
  </w:style>
  <w:style w:type="paragraph" w:styleId="Revision">
    <w:name w:val="Revision"/>
    <w:hidden/>
    <w:uiPriority w:val="99"/>
    <w:semiHidden/>
    <w:rsid w:val="005A31F1"/>
    <w:rPr>
      <w:sz w:val="24"/>
      <w:szCs w:val="24"/>
    </w:rPr>
  </w:style>
  <w:style w:type="table" w:styleId="TableGrid">
    <w:name w:val="Table Grid"/>
    <w:basedOn w:val="TableNormal"/>
    <w:rsid w:val="0052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82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01">
      <w:bodyDiv w:val="1"/>
      <w:marLeft w:val="0"/>
      <w:marRight w:val="0"/>
      <w:marTop w:val="0"/>
      <w:marBottom w:val="0"/>
      <w:divBdr>
        <w:top w:val="none" w:sz="0" w:space="0" w:color="auto"/>
        <w:left w:val="none" w:sz="0" w:space="0" w:color="auto"/>
        <w:bottom w:val="none" w:sz="0" w:space="0" w:color="auto"/>
        <w:right w:val="none" w:sz="0" w:space="0" w:color="auto"/>
      </w:divBdr>
    </w:div>
    <w:div w:id="23020643">
      <w:bodyDiv w:val="1"/>
      <w:marLeft w:val="0"/>
      <w:marRight w:val="0"/>
      <w:marTop w:val="0"/>
      <w:marBottom w:val="0"/>
      <w:divBdr>
        <w:top w:val="none" w:sz="0" w:space="0" w:color="auto"/>
        <w:left w:val="none" w:sz="0" w:space="0" w:color="auto"/>
        <w:bottom w:val="none" w:sz="0" w:space="0" w:color="auto"/>
        <w:right w:val="none" w:sz="0" w:space="0" w:color="auto"/>
      </w:divBdr>
      <w:divsChild>
        <w:div w:id="902374612">
          <w:marLeft w:val="547"/>
          <w:marRight w:val="0"/>
          <w:marTop w:val="0"/>
          <w:marBottom w:val="0"/>
          <w:divBdr>
            <w:top w:val="none" w:sz="0" w:space="0" w:color="auto"/>
            <w:left w:val="none" w:sz="0" w:space="0" w:color="auto"/>
            <w:bottom w:val="none" w:sz="0" w:space="0" w:color="auto"/>
            <w:right w:val="none" w:sz="0" w:space="0" w:color="auto"/>
          </w:divBdr>
        </w:div>
        <w:div w:id="1485780685">
          <w:marLeft w:val="547"/>
          <w:marRight w:val="0"/>
          <w:marTop w:val="0"/>
          <w:marBottom w:val="0"/>
          <w:divBdr>
            <w:top w:val="none" w:sz="0" w:space="0" w:color="auto"/>
            <w:left w:val="none" w:sz="0" w:space="0" w:color="auto"/>
            <w:bottom w:val="none" w:sz="0" w:space="0" w:color="auto"/>
            <w:right w:val="none" w:sz="0" w:space="0" w:color="auto"/>
          </w:divBdr>
        </w:div>
        <w:div w:id="525363246">
          <w:marLeft w:val="547"/>
          <w:marRight w:val="0"/>
          <w:marTop w:val="0"/>
          <w:marBottom w:val="0"/>
          <w:divBdr>
            <w:top w:val="none" w:sz="0" w:space="0" w:color="auto"/>
            <w:left w:val="none" w:sz="0" w:space="0" w:color="auto"/>
            <w:bottom w:val="none" w:sz="0" w:space="0" w:color="auto"/>
            <w:right w:val="none" w:sz="0" w:space="0" w:color="auto"/>
          </w:divBdr>
        </w:div>
        <w:div w:id="2021661701">
          <w:marLeft w:val="547"/>
          <w:marRight w:val="0"/>
          <w:marTop w:val="0"/>
          <w:marBottom w:val="0"/>
          <w:divBdr>
            <w:top w:val="none" w:sz="0" w:space="0" w:color="auto"/>
            <w:left w:val="none" w:sz="0" w:space="0" w:color="auto"/>
            <w:bottom w:val="none" w:sz="0" w:space="0" w:color="auto"/>
            <w:right w:val="none" w:sz="0" w:space="0" w:color="auto"/>
          </w:divBdr>
        </w:div>
      </w:divsChild>
    </w:div>
    <w:div w:id="145518141">
      <w:bodyDiv w:val="1"/>
      <w:marLeft w:val="0"/>
      <w:marRight w:val="0"/>
      <w:marTop w:val="0"/>
      <w:marBottom w:val="0"/>
      <w:divBdr>
        <w:top w:val="none" w:sz="0" w:space="0" w:color="auto"/>
        <w:left w:val="none" w:sz="0" w:space="0" w:color="auto"/>
        <w:bottom w:val="none" w:sz="0" w:space="0" w:color="auto"/>
        <w:right w:val="none" w:sz="0" w:space="0" w:color="auto"/>
      </w:divBdr>
    </w:div>
    <w:div w:id="185140543">
      <w:bodyDiv w:val="1"/>
      <w:marLeft w:val="0"/>
      <w:marRight w:val="0"/>
      <w:marTop w:val="0"/>
      <w:marBottom w:val="0"/>
      <w:divBdr>
        <w:top w:val="none" w:sz="0" w:space="0" w:color="auto"/>
        <w:left w:val="none" w:sz="0" w:space="0" w:color="auto"/>
        <w:bottom w:val="none" w:sz="0" w:space="0" w:color="auto"/>
        <w:right w:val="none" w:sz="0" w:space="0" w:color="auto"/>
      </w:divBdr>
      <w:divsChild>
        <w:div w:id="1481726706">
          <w:marLeft w:val="547"/>
          <w:marRight w:val="0"/>
          <w:marTop w:val="0"/>
          <w:marBottom w:val="0"/>
          <w:divBdr>
            <w:top w:val="none" w:sz="0" w:space="0" w:color="auto"/>
            <w:left w:val="none" w:sz="0" w:space="0" w:color="auto"/>
            <w:bottom w:val="none" w:sz="0" w:space="0" w:color="auto"/>
            <w:right w:val="none" w:sz="0" w:space="0" w:color="auto"/>
          </w:divBdr>
        </w:div>
        <w:div w:id="1963874634">
          <w:marLeft w:val="547"/>
          <w:marRight w:val="0"/>
          <w:marTop w:val="0"/>
          <w:marBottom w:val="0"/>
          <w:divBdr>
            <w:top w:val="none" w:sz="0" w:space="0" w:color="auto"/>
            <w:left w:val="none" w:sz="0" w:space="0" w:color="auto"/>
            <w:bottom w:val="none" w:sz="0" w:space="0" w:color="auto"/>
            <w:right w:val="none" w:sz="0" w:space="0" w:color="auto"/>
          </w:divBdr>
        </w:div>
      </w:divsChild>
    </w:div>
    <w:div w:id="186330187">
      <w:bodyDiv w:val="1"/>
      <w:marLeft w:val="0"/>
      <w:marRight w:val="0"/>
      <w:marTop w:val="0"/>
      <w:marBottom w:val="0"/>
      <w:divBdr>
        <w:top w:val="none" w:sz="0" w:space="0" w:color="auto"/>
        <w:left w:val="none" w:sz="0" w:space="0" w:color="auto"/>
        <w:bottom w:val="none" w:sz="0" w:space="0" w:color="auto"/>
        <w:right w:val="none" w:sz="0" w:space="0" w:color="auto"/>
      </w:divBdr>
    </w:div>
    <w:div w:id="310406836">
      <w:bodyDiv w:val="1"/>
      <w:marLeft w:val="0"/>
      <w:marRight w:val="0"/>
      <w:marTop w:val="0"/>
      <w:marBottom w:val="0"/>
      <w:divBdr>
        <w:top w:val="none" w:sz="0" w:space="0" w:color="auto"/>
        <w:left w:val="none" w:sz="0" w:space="0" w:color="auto"/>
        <w:bottom w:val="none" w:sz="0" w:space="0" w:color="auto"/>
        <w:right w:val="none" w:sz="0" w:space="0" w:color="auto"/>
      </w:divBdr>
      <w:divsChild>
        <w:div w:id="1530725960">
          <w:marLeft w:val="547"/>
          <w:marRight w:val="0"/>
          <w:marTop w:val="0"/>
          <w:marBottom w:val="0"/>
          <w:divBdr>
            <w:top w:val="none" w:sz="0" w:space="0" w:color="auto"/>
            <w:left w:val="none" w:sz="0" w:space="0" w:color="auto"/>
            <w:bottom w:val="none" w:sz="0" w:space="0" w:color="auto"/>
            <w:right w:val="none" w:sz="0" w:space="0" w:color="auto"/>
          </w:divBdr>
        </w:div>
      </w:divsChild>
    </w:div>
    <w:div w:id="374232616">
      <w:bodyDiv w:val="1"/>
      <w:marLeft w:val="0"/>
      <w:marRight w:val="0"/>
      <w:marTop w:val="0"/>
      <w:marBottom w:val="0"/>
      <w:divBdr>
        <w:top w:val="none" w:sz="0" w:space="0" w:color="auto"/>
        <w:left w:val="none" w:sz="0" w:space="0" w:color="auto"/>
        <w:bottom w:val="none" w:sz="0" w:space="0" w:color="auto"/>
        <w:right w:val="none" w:sz="0" w:space="0" w:color="auto"/>
      </w:divBdr>
      <w:divsChild>
        <w:div w:id="1566143083">
          <w:marLeft w:val="547"/>
          <w:marRight w:val="0"/>
          <w:marTop w:val="0"/>
          <w:marBottom w:val="0"/>
          <w:divBdr>
            <w:top w:val="none" w:sz="0" w:space="0" w:color="auto"/>
            <w:left w:val="none" w:sz="0" w:space="0" w:color="auto"/>
            <w:bottom w:val="none" w:sz="0" w:space="0" w:color="auto"/>
            <w:right w:val="none" w:sz="0" w:space="0" w:color="auto"/>
          </w:divBdr>
        </w:div>
      </w:divsChild>
    </w:div>
    <w:div w:id="394165682">
      <w:bodyDiv w:val="1"/>
      <w:marLeft w:val="0"/>
      <w:marRight w:val="0"/>
      <w:marTop w:val="0"/>
      <w:marBottom w:val="0"/>
      <w:divBdr>
        <w:top w:val="none" w:sz="0" w:space="0" w:color="auto"/>
        <w:left w:val="none" w:sz="0" w:space="0" w:color="auto"/>
        <w:bottom w:val="none" w:sz="0" w:space="0" w:color="auto"/>
        <w:right w:val="none" w:sz="0" w:space="0" w:color="auto"/>
      </w:divBdr>
      <w:divsChild>
        <w:div w:id="1329988217">
          <w:marLeft w:val="547"/>
          <w:marRight w:val="0"/>
          <w:marTop w:val="0"/>
          <w:marBottom w:val="0"/>
          <w:divBdr>
            <w:top w:val="none" w:sz="0" w:space="0" w:color="auto"/>
            <w:left w:val="none" w:sz="0" w:space="0" w:color="auto"/>
            <w:bottom w:val="none" w:sz="0" w:space="0" w:color="auto"/>
            <w:right w:val="none" w:sz="0" w:space="0" w:color="auto"/>
          </w:divBdr>
        </w:div>
        <w:div w:id="1494175857">
          <w:marLeft w:val="1368"/>
          <w:marRight w:val="0"/>
          <w:marTop w:val="0"/>
          <w:marBottom w:val="0"/>
          <w:divBdr>
            <w:top w:val="none" w:sz="0" w:space="0" w:color="auto"/>
            <w:left w:val="none" w:sz="0" w:space="0" w:color="auto"/>
            <w:bottom w:val="none" w:sz="0" w:space="0" w:color="auto"/>
            <w:right w:val="none" w:sz="0" w:space="0" w:color="auto"/>
          </w:divBdr>
        </w:div>
        <w:div w:id="1291790961">
          <w:marLeft w:val="1368"/>
          <w:marRight w:val="0"/>
          <w:marTop w:val="0"/>
          <w:marBottom w:val="0"/>
          <w:divBdr>
            <w:top w:val="none" w:sz="0" w:space="0" w:color="auto"/>
            <w:left w:val="none" w:sz="0" w:space="0" w:color="auto"/>
            <w:bottom w:val="none" w:sz="0" w:space="0" w:color="auto"/>
            <w:right w:val="none" w:sz="0" w:space="0" w:color="auto"/>
          </w:divBdr>
        </w:div>
        <w:div w:id="46925688">
          <w:marLeft w:val="1368"/>
          <w:marRight w:val="0"/>
          <w:marTop w:val="0"/>
          <w:marBottom w:val="0"/>
          <w:divBdr>
            <w:top w:val="none" w:sz="0" w:space="0" w:color="auto"/>
            <w:left w:val="none" w:sz="0" w:space="0" w:color="auto"/>
            <w:bottom w:val="none" w:sz="0" w:space="0" w:color="auto"/>
            <w:right w:val="none" w:sz="0" w:space="0" w:color="auto"/>
          </w:divBdr>
        </w:div>
      </w:divsChild>
    </w:div>
    <w:div w:id="412357923">
      <w:bodyDiv w:val="1"/>
      <w:marLeft w:val="0"/>
      <w:marRight w:val="0"/>
      <w:marTop w:val="0"/>
      <w:marBottom w:val="0"/>
      <w:divBdr>
        <w:top w:val="none" w:sz="0" w:space="0" w:color="auto"/>
        <w:left w:val="none" w:sz="0" w:space="0" w:color="auto"/>
        <w:bottom w:val="none" w:sz="0" w:space="0" w:color="auto"/>
        <w:right w:val="none" w:sz="0" w:space="0" w:color="auto"/>
      </w:divBdr>
      <w:divsChild>
        <w:div w:id="2057121285">
          <w:marLeft w:val="547"/>
          <w:marRight w:val="0"/>
          <w:marTop w:val="0"/>
          <w:marBottom w:val="0"/>
          <w:divBdr>
            <w:top w:val="none" w:sz="0" w:space="0" w:color="auto"/>
            <w:left w:val="none" w:sz="0" w:space="0" w:color="auto"/>
            <w:bottom w:val="none" w:sz="0" w:space="0" w:color="auto"/>
            <w:right w:val="none" w:sz="0" w:space="0" w:color="auto"/>
          </w:divBdr>
        </w:div>
      </w:divsChild>
    </w:div>
    <w:div w:id="424234518">
      <w:bodyDiv w:val="1"/>
      <w:marLeft w:val="0"/>
      <w:marRight w:val="0"/>
      <w:marTop w:val="0"/>
      <w:marBottom w:val="0"/>
      <w:divBdr>
        <w:top w:val="none" w:sz="0" w:space="0" w:color="auto"/>
        <w:left w:val="none" w:sz="0" w:space="0" w:color="auto"/>
        <w:bottom w:val="none" w:sz="0" w:space="0" w:color="auto"/>
        <w:right w:val="none" w:sz="0" w:space="0" w:color="auto"/>
      </w:divBdr>
    </w:div>
    <w:div w:id="431047297">
      <w:bodyDiv w:val="1"/>
      <w:marLeft w:val="0"/>
      <w:marRight w:val="0"/>
      <w:marTop w:val="0"/>
      <w:marBottom w:val="0"/>
      <w:divBdr>
        <w:top w:val="none" w:sz="0" w:space="0" w:color="auto"/>
        <w:left w:val="none" w:sz="0" w:space="0" w:color="auto"/>
        <w:bottom w:val="none" w:sz="0" w:space="0" w:color="auto"/>
        <w:right w:val="none" w:sz="0" w:space="0" w:color="auto"/>
      </w:divBdr>
      <w:divsChild>
        <w:div w:id="1082605853">
          <w:marLeft w:val="547"/>
          <w:marRight w:val="0"/>
          <w:marTop w:val="0"/>
          <w:marBottom w:val="0"/>
          <w:divBdr>
            <w:top w:val="none" w:sz="0" w:space="0" w:color="auto"/>
            <w:left w:val="none" w:sz="0" w:space="0" w:color="auto"/>
            <w:bottom w:val="none" w:sz="0" w:space="0" w:color="auto"/>
            <w:right w:val="none" w:sz="0" w:space="0" w:color="auto"/>
          </w:divBdr>
        </w:div>
      </w:divsChild>
    </w:div>
    <w:div w:id="487524356">
      <w:bodyDiv w:val="1"/>
      <w:marLeft w:val="0"/>
      <w:marRight w:val="0"/>
      <w:marTop w:val="0"/>
      <w:marBottom w:val="0"/>
      <w:divBdr>
        <w:top w:val="none" w:sz="0" w:space="0" w:color="auto"/>
        <w:left w:val="none" w:sz="0" w:space="0" w:color="auto"/>
        <w:bottom w:val="none" w:sz="0" w:space="0" w:color="auto"/>
        <w:right w:val="none" w:sz="0" w:space="0" w:color="auto"/>
      </w:divBdr>
    </w:div>
    <w:div w:id="496457252">
      <w:bodyDiv w:val="1"/>
      <w:marLeft w:val="0"/>
      <w:marRight w:val="0"/>
      <w:marTop w:val="0"/>
      <w:marBottom w:val="0"/>
      <w:divBdr>
        <w:top w:val="none" w:sz="0" w:space="0" w:color="auto"/>
        <w:left w:val="none" w:sz="0" w:space="0" w:color="auto"/>
        <w:bottom w:val="none" w:sz="0" w:space="0" w:color="auto"/>
        <w:right w:val="none" w:sz="0" w:space="0" w:color="auto"/>
      </w:divBdr>
      <w:divsChild>
        <w:div w:id="1377316111">
          <w:marLeft w:val="547"/>
          <w:marRight w:val="0"/>
          <w:marTop w:val="0"/>
          <w:marBottom w:val="0"/>
          <w:divBdr>
            <w:top w:val="none" w:sz="0" w:space="0" w:color="auto"/>
            <w:left w:val="none" w:sz="0" w:space="0" w:color="auto"/>
            <w:bottom w:val="none" w:sz="0" w:space="0" w:color="auto"/>
            <w:right w:val="none" w:sz="0" w:space="0" w:color="auto"/>
          </w:divBdr>
        </w:div>
      </w:divsChild>
    </w:div>
    <w:div w:id="501773935">
      <w:bodyDiv w:val="1"/>
      <w:marLeft w:val="0"/>
      <w:marRight w:val="0"/>
      <w:marTop w:val="0"/>
      <w:marBottom w:val="0"/>
      <w:divBdr>
        <w:top w:val="none" w:sz="0" w:space="0" w:color="auto"/>
        <w:left w:val="none" w:sz="0" w:space="0" w:color="auto"/>
        <w:bottom w:val="none" w:sz="0" w:space="0" w:color="auto"/>
        <w:right w:val="none" w:sz="0" w:space="0" w:color="auto"/>
      </w:divBdr>
      <w:divsChild>
        <w:div w:id="766852394">
          <w:marLeft w:val="547"/>
          <w:marRight w:val="0"/>
          <w:marTop w:val="0"/>
          <w:marBottom w:val="0"/>
          <w:divBdr>
            <w:top w:val="none" w:sz="0" w:space="0" w:color="auto"/>
            <w:left w:val="none" w:sz="0" w:space="0" w:color="auto"/>
            <w:bottom w:val="none" w:sz="0" w:space="0" w:color="auto"/>
            <w:right w:val="none" w:sz="0" w:space="0" w:color="auto"/>
          </w:divBdr>
        </w:div>
      </w:divsChild>
    </w:div>
    <w:div w:id="556864777">
      <w:bodyDiv w:val="1"/>
      <w:marLeft w:val="0"/>
      <w:marRight w:val="0"/>
      <w:marTop w:val="0"/>
      <w:marBottom w:val="0"/>
      <w:divBdr>
        <w:top w:val="none" w:sz="0" w:space="0" w:color="auto"/>
        <w:left w:val="none" w:sz="0" w:space="0" w:color="auto"/>
        <w:bottom w:val="none" w:sz="0" w:space="0" w:color="auto"/>
        <w:right w:val="none" w:sz="0" w:space="0" w:color="auto"/>
      </w:divBdr>
    </w:div>
    <w:div w:id="563756876">
      <w:bodyDiv w:val="1"/>
      <w:marLeft w:val="0"/>
      <w:marRight w:val="0"/>
      <w:marTop w:val="0"/>
      <w:marBottom w:val="0"/>
      <w:divBdr>
        <w:top w:val="none" w:sz="0" w:space="0" w:color="auto"/>
        <w:left w:val="none" w:sz="0" w:space="0" w:color="auto"/>
        <w:bottom w:val="none" w:sz="0" w:space="0" w:color="auto"/>
        <w:right w:val="none" w:sz="0" w:space="0" w:color="auto"/>
      </w:divBdr>
      <w:divsChild>
        <w:div w:id="1973096353">
          <w:marLeft w:val="547"/>
          <w:marRight w:val="0"/>
          <w:marTop w:val="0"/>
          <w:marBottom w:val="0"/>
          <w:divBdr>
            <w:top w:val="none" w:sz="0" w:space="0" w:color="auto"/>
            <w:left w:val="none" w:sz="0" w:space="0" w:color="auto"/>
            <w:bottom w:val="none" w:sz="0" w:space="0" w:color="auto"/>
            <w:right w:val="none" w:sz="0" w:space="0" w:color="auto"/>
          </w:divBdr>
        </w:div>
      </w:divsChild>
    </w:div>
    <w:div w:id="613174950">
      <w:bodyDiv w:val="1"/>
      <w:marLeft w:val="0"/>
      <w:marRight w:val="0"/>
      <w:marTop w:val="0"/>
      <w:marBottom w:val="0"/>
      <w:divBdr>
        <w:top w:val="none" w:sz="0" w:space="0" w:color="auto"/>
        <w:left w:val="none" w:sz="0" w:space="0" w:color="auto"/>
        <w:bottom w:val="none" w:sz="0" w:space="0" w:color="auto"/>
        <w:right w:val="none" w:sz="0" w:space="0" w:color="auto"/>
      </w:divBdr>
      <w:divsChild>
        <w:div w:id="1087847915">
          <w:marLeft w:val="547"/>
          <w:marRight w:val="0"/>
          <w:marTop w:val="0"/>
          <w:marBottom w:val="0"/>
          <w:divBdr>
            <w:top w:val="none" w:sz="0" w:space="0" w:color="auto"/>
            <w:left w:val="none" w:sz="0" w:space="0" w:color="auto"/>
            <w:bottom w:val="none" w:sz="0" w:space="0" w:color="auto"/>
            <w:right w:val="none" w:sz="0" w:space="0" w:color="auto"/>
          </w:divBdr>
        </w:div>
        <w:div w:id="23024105">
          <w:marLeft w:val="547"/>
          <w:marRight w:val="0"/>
          <w:marTop w:val="0"/>
          <w:marBottom w:val="0"/>
          <w:divBdr>
            <w:top w:val="none" w:sz="0" w:space="0" w:color="auto"/>
            <w:left w:val="none" w:sz="0" w:space="0" w:color="auto"/>
            <w:bottom w:val="none" w:sz="0" w:space="0" w:color="auto"/>
            <w:right w:val="none" w:sz="0" w:space="0" w:color="auto"/>
          </w:divBdr>
        </w:div>
        <w:div w:id="1874145194">
          <w:marLeft w:val="547"/>
          <w:marRight w:val="0"/>
          <w:marTop w:val="0"/>
          <w:marBottom w:val="0"/>
          <w:divBdr>
            <w:top w:val="none" w:sz="0" w:space="0" w:color="auto"/>
            <w:left w:val="none" w:sz="0" w:space="0" w:color="auto"/>
            <w:bottom w:val="none" w:sz="0" w:space="0" w:color="auto"/>
            <w:right w:val="none" w:sz="0" w:space="0" w:color="auto"/>
          </w:divBdr>
        </w:div>
      </w:divsChild>
    </w:div>
    <w:div w:id="613564491">
      <w:bodyDiv w:val="1"/>
      <w:marLeft w:val="0"/>
      <w:marRight w:val="0"/>
      <w:marTop w:val="0"/>
      <w:marBottom w:val="0"/>
      <w:divBdr>
        <w:top w:val="none" w:sz="0" w:space="0" w:color="auto"/>
        <w:left w:val="none" w:sz="0" w:space="0" w:color="auto"/>
        <w:bottom w:val="none" w:sz="0" w:space="0" w:color="auto"/>
        <w:right w:val="none" w:sz="0" w:space="0" w:color="auto"/>
      </w:divBdr>
      <w:divsChild>
        <w:div w:id="886531984">
          <w:marLeft w:val="547"/>
          <w:marRight w:val="0"/>
          <w:marTop w:val="0"/>
          <w:marBottom w:val="0"/>
          <w:divBdr>
            <w:top w:val="none" w:sz="0" w:space="0" w:color="auto"/>
            <w:left w:val="none" w:sz="0" w:space="0" w:color="auto"/>
            <w:bottom w:val="none" w:sz="0" w:space="0" w:color="auto"/>
            <w:right w:val="none" w:sz="0" w:space="0" w:color="auto"/>
          </w:divBdr>
        </w:div>
        <w:div w:id="1806893872">
          <w:marLeft w:val="1368"/>
          <w:marRight w:val="0"/>
          <w:marTop w:val="0"/>
          <w:marBottom w:val="0"/>
          <w:divBdr>
            <w:top w:val="none" w:sz="0" w:space="0" w:color="auto"/>
            <w:left w:val="none" w:sz="0" w:space="0" w:color="auto"/>
            <w:bottom w:val="none" w:sz="0" w:space="0" w:color="auto"/>
            <w:right w:val="none" w:sz="0" w:space="0" w:color="auto"/>
          </w:divBdr>
        </w:div>
        <w:div w:id="1192567678">
          <w:marLeft w:val="1368"/>
          <w:marRight w:val="0"/>
          <w:marTop w:val="0"/>
          <w:marBottom w:val="0"/>
          <w:divBdr>
            <w:top w:val="none" w:sz="0" w:space="0" w:color="auto"/>
            <w:left w:val="none" w:sz="0" w:space="0" w:color="auto"/>
            <w:bottom w:val="none" w:sz="0" w:space="0" w:color="auto"/>
            <w:right w:val="none" w:sz="0" w:space="0" w:color="auto"/>
          </w:divBdr>
        </w:div>
      </w:divsChild>
    </w:div>
    <w:div w:id="639462563">
      <w:bodyDiv w:val="1"/>
      <w:marLeft w:val="0"/>
      <w:marRight w:val="0"/>
      <w:marTop w:val="0"/>
      <w:marBottom w:val="0"/>
      <w:divBdr>
        <w:top w:val="none" w:sz="0" w:space="0" w:color="auto"/>
        <w:left w:val="none" w:sz="0" w:space="0" w:color="auto"/>
        <w:bottom w:val="none" w:sz="0" w:space="0" w:color="auto"/>
        <w:right w:val="none" w:sz="0" w:space="0" w:color="auto"/>
      </w:divBdr>
      <w:divsChild>
        <w:div w:id="1773629587">
          <w:marLeft w:val="547"/>
          <w:marRight w:val="0"/>
          <w:marTop w:val="0"/>
          <w:marBottom w:val="0"/>
          <w:divBdr>
            <w:top w:val="none" w:sz="0" w:space="0" w:color="auto"/>
            <w:left w:val="none" w:sz="0" w:space="0" w:color="auto"/>
            <w:bottom w:val="none" w:sz="0" w:space="0" w:color="auto"/>
            <w:right w:val="none" w:sz="0" w:space="0" w:color="auto"/>
          </w:divBdr>
        </w:div>
        <w:div w:id="1324554399">
          <w:marLeft w:val="547"/>
          <w:marRight w:val="0"/>
          <w:marTop w:val="0"/>
          <w:marBottom w:val="0"/>
          <w:divBdr>
            <w:top w:val="none" w:sz="0" w:space="0" w:color="auto"/>
            <w:left w:val="none" w:sz="0" w:space="0" w:color="auto"/>
            <w:bottom w:val="none" w:sz="0" w:space="0" w:color="auto"/>
            <w:right w:val="none" w:sz="0" w:space="0" w:color="auto"/>
          </w:divBdr>
        </w:div>
        <w:div w:id="233783309">
          <w:marLeft w:val="1368"/>
          <w:marRight w:val="0"/>
          <w:marTop w:val="0"/>
          <w:marBottom w:val="0"/>
          <w:divBdr>
            <w:top w:val="none" w:sz="0" w:space="0" w:color="auto"/>
            <w:left w:val="none" w:sz="0" w:space="0" w:color="auto"/>
            <w:bottom w:val="none" w:sz="0" w:space="0" w:color="auto"/>
            <w:right w:val="none" w:sz="0" w:space="0" w:color="auto"/>
          </w:divBdr>
        </w:div>
        <w:div w:id="844826028">
          <w:marLeft w:val="1368"/>
          <w:marRight w:val="0"/>
          <w:marTop w:val="0"/>
          <w:marBottom w:val="0"/>
          <w:divBdr>
            <w:top w:val="none" w:sz="0" w:space="0" w:color="auto"/>
            <w:left w:val="none" w:sz="0" w:space="0" w:color="auto"/>
            <w:bottom w:val="none" w:sz="0" w:space="0" w:color="auto"/>
            <w:right w:val="none" w:sz="0" w:space="0" w:color="auto"/>
          </w:divBdr>
        </w:div>
        <w:div w:id="1548295474">
          <w:marLeft w:val="547"/>
          <w:marRight w:val="0"/>
          <w:marTop w:val="0"/>
          <w:marBottom w:val="0"/>
          <w:divBdr>
            <w:top w:val="none" w:sz="0" w:space="0" w:color="auto"/>
            <w:left w:val="none" w:sz="0" w:space="0" w:color="auto"/>
            <w:bottom w:val="none" w:sz="0" w:space="0" w:color="auto"/>
            <w:right w:val="none" w:sz="0" w:space="0" w:color="auto"/>
          </w:divBdr>
        </w:div>
        <w:div w:id="1216313132">
          <w:marLeft w:val="1368"/>
          <w:marRight w:val="0"/>
          <w:marTop w:val="0"/>
          <w:marBottom w:val="0"/>
          <w:divBdr>
            <w:top w:val="none" w:sz="0" w:space="0" w:color="auto"/>
            <w:left w:val="none" w:sz="0" w:space="0" w:color="auto"/>
            <w:bottom w:val="none" w:sz="0" w:space="0" w:color="auto"/>
            <w:right w:val="none" w:sz="0" w:space="0" w:color="auto"/>
          </w:divBdr>
        </w:div>
        <w:div w:id="1913734794">
          <w:marLeft w:val="547"/>
          <w:marRight w:val="0"/>
          <w:marTop w:val="0"/>
          <w:marBottom w:val="0"/>
          <w:divBdr>
            <w:top w:val="none" w:sz="0" w:space="0" w:color="auto"/>
            <w:left w:val="none" w:sz="0" w:space="0" w:color="auto"/>
            <w:bottom w:val="none" w:sz="0" w:space="0" w:color="auto"/>
            <w:right w:val="none" w:sz="0" w:space="0" w:color="auto"/>
          </w:divBdr>
        </w:div>
      </w:divsChild>
    </w:div>
    <w:div w:id="722945774">
      <w:bodyDiv w:val="1"/>
      <w:marLeft w:val="0"/>
      <w:marRight w:val="0"/>
      <w:marTop w:val="0"/>
      <w:marBottom w:val="0"/>
      <w:divBdr>
        <w:top w:val="none" w:sz="0" w:space="0" w:color="auto"/>
        <w:left w:val="none" w:sz="0" w:space="0" w:color="auto"/>
        <w:bottom w:val="none" w:sz="0" w:space="0" w:color="auto"/>
        <w:right w:val="none" w:sz="0" w:space="0" w:color="auto"/>
      </w:divBdr>
      <w:divsChild>
        <w:div w:id="161622673">
          <w:marLeft w:val="274"/>
          <w:marRight w:val="0"/>
          <w:marTop w:val="150"/>
          <w:marBottom w:val="0"/>
          <w:divBdr>
            <w:top w:val="none" w:sz="0" w:space="0" w:color="auto"/>
            <w:left w:val="none" w:sz="0" w:space="0" w:color="auto"/>
            <w:bottom w:val="none" w:sz="0" w:space="0" w:color="auto"/>
            <w:right w:val="none" w:sz="0" w:space="0" w:color="auto"/>
          </w:divBdr>
        </w:div>
        <w:div w:id="663317662">
          <w:marLeft w:val="274"/>
          <w:marRight w:val="0"/>
          <w:marTop w:val="150"/>
          <w:marBottom w:val="0"/>
          <w:divBdr>
            <w:top w:val="none" w:sz="0" w:space="0" w:color="auto"/>
            <w:left w:val="none" w:sz="0" w:space="0" w:color="auto"/>
            <w:bottom w:val="none" w:sz="0" w:space="0" w:color="auto"/>
            <w:right w:val="none" w:sz="0" w:space="0" w:color="auto"/>
          </w:divBdr>
        </w:div>
        <w:div w:id="1437871836">
          <w:marLeft w:val="274"/>
          <w:marRight w:val="0"/>
          <w:marTop w:val="150"/>
          <w:marBottom w:val="0"/>
          <w:divBdr>
            <w:top w:val="none" w:sz="0" w:space="0" w:color="auto"/>
            <w:left w:val="none" w:sz="0" w:space="0" w:color="auto"/>
            <w:bottom w:val="none" w:sz="0" w:space="0" w:color="auto"/>
            <w:right w:val="none" w:sz="0" w:space="0" w:color="auto"/>
          </w:divBdr>
        </w:div>
        <w:div w:id="1520503775">
          <w:marLeft w:val="274"/>
          <w:marRight w:val="0"/>
          <w:marTop w:val="150"/>
          <w:marBottom w:val="0"/>
          <w:divBdr>
            <w:top w:val="none" w:sz="0" w:space="0" w:color="auto"/>
            <w:left w:val="none" w:sz="0" w:space="0" w:color="auto"/>
            <w:bottom w:val="none" w:sz="0" w:space="0" w:color="auto"/>
            <w:right w:val="none" w:sz="0" w:space="0" w:color="auto"/>
          </w:divBdr>
        </w:div>
        <w:div w:id="1546218741">
          <w:marLeft w:val="274"/>
          <w:marRight w:val="0"/>
          <w:marTop w:val="150"/>
          <w:marBottom w:val="0"/>
          <w:divBdr>
            <w:top w:val="none" w:sz="0" w:space="0" w:color="auto"/>
            <w:left w:val="none" w:sz="0" w:space="0" w:color="auto"/>
            <w:bottom w:val="none" w:sz="0" w:space="0" w:color="auto"/>
            <w:right w:val="none" w:sz="0" w:space="0" w:color="auto"/>
          </w:divBdr>
        </w:div>
        <w:div w:id="1634481025">
          <w:marLeft w:val="274"/>
          <w:marRight w:val="0"/>
          <w:marTop w:val="150"/>
          <w:marBottom w:val="0"/>
          <w:divBdr>
            <w:top w:val="none" w:sz="0" w:space="0" w:color="auto"/>
            <w:left w:val="none" w:sz="0" w:space="0" w:color="auto"/>
            <w:bottom w:val="none" w:sz="0" w:space="0" w:color="auto"/>
            <w:right w:val="none" w:sz="0" w:space="0" w:color="auto"/>
          </w:divBdr>
        </w:div>
        <w:div w:id="1902905585">
          <w:marLeft w:val="274"/>
          <w:marRight w:val="0"/>
          <w:marTop w:val="150"/>
          <w:marBottom w:val="0"/>
          <w:divBdr>
            <w:top w:val="none" w:sz="0" w:space="0" w:color="auto"/>
            <w:left w:val="none" w:sz="0" w:space="0" w:color="auto"/>
            <w:bottom w:val="none" w:sz="0" w:space="0" w:color="auto"/>
            <w:right w:val="none" w:sz="0" w:space="0" w:color="auto"/>
          </w:divBdr>
        </w:div>
        <w:div w:id="1945920722">
          <w:marLeft w:val="274"/>
          <w:marRight w:val="0"/>
          <w:marTop w:val="150"/>
          <w:marBottom w:val="0"/>
          <w:divBdr>
            <w:top w:val="none" w:sz="0" w:space="0" w:color="auto"/>
            <w:left w:val="none" w:sz="0" w:space="0" w:color="auto"/>
            <w:bottom w:val="none" w:sz="0" w:space="0" w:color="auto"/>
            <w:right w:val="none" w:sz="0" w:space="0" w:color="auto"/>
          </w:divBdr>
        </w:div>
      </w:divsChild>
    </w:div>
    <w:div w:id="763261992">
      <w:bodyDiv w:val="1"/>
      <w:marLeft w:val="0"/>
      <w:marRight w:val="0"/>
      <w:marTop w:val="0"/>
      <w:marBottom w:val="0"/>
      <w:divBdr>
        <w:top w:val="none" w:sz="0" w:space="0" w:color="auto"/>
        <w:left w:val="none" w:sz="0" w:space="0" w:color="auto"/>
        <w:bottom w:val="none" w:sz="0" w:space="0" w:color="auto"/>
        <w:right w:val="none" w:sz="0" w:space="0" w:color="auto"/>
      </w:divBdr>
      <w:divsChild>
        <w:div w:id="1091272474">
          <w:marLeft w:val="547"/>
          <w:marRight w:val="0"/>
          <w:marTop w:val="0"/>
          <w:marBottom w:val="0"/>
          <w:divBdr>
            <w:top w:val="none" w:sz="0" w:space="0" w:color="auto"/>
            <w:left w:val="none" w:sz="0" w:space="0" w:color="auto"/>
            <w:bottom w:val="none" w:sz="0" w:space="0" w:color="auto"/>
            <w:right w:val="none" w:sz="0" w:space="0" w:color="auto"/>
          </w:divBdr>
        </w:div>
        <w:div w:id="1933660886">
          <w:marLeft w:val="547"/>
          <w:marRight w:val="0"/>
          <w:marTop w:val="0"/>
          <w:marBottom w:val="0"/>
          <w:divBdr>
            <w:top w:val="none" w:sz="0" w:space="0" w:color="auto"/>
            <w:left w:val="none" w:sz="0" w:space="0" w:color="auto"/>
            <w:bottom w:val="none" w:sz="0" w:space="0" w:color="auto"/>
            <w:right w:val="none" w:sz="0" w:space="0" w:color="auto"/>
          </w:divBdr>
        </w:div>
      </w:divsChild>
    </w:div>
    <w:div w:id="898784298">
      <w:bodyDiv w:val="1"/>
      <w:marLeft w:val="0"/>
      <w:marRight w:val="0"/>
      <w:marTop w:val="0"/>
      <w:marBottom w:val="0"/>
      <w:divBdr>
        <w:top w:val="none" w:sz="0" w:space="0" w:color="auto"/>
        <w:left w:val="none" w:sz="0" w:space="0" w:color="auto"/>
        <w:bottom w:val="none" w:sz="0" w:space="0" w:color="auto"/>
        <w:right w:val="none" w:sz="0" w:space="0" w:color="auto"/>
      </w:divBdr>
      <w:divsChild>
        <w:div w:id="753085595">
          <w:marLeft w:val="547"/>
          <w:marRight w:val="0"/>
          <w:marTop w:val="0"/>
          <w:marBottom w:val="0"/>
          <w:divBdr>
            <w:top w:val="none" w:sz="0" w:space="0" w:color="auto"/>
            <w:left w:val="none" w:sz="0" w:space="0" w:color="auto"/>
            <w:bottom w:val="none" w:sz="0" w:space="0" w:color="auto"/>
            <w:right w:val="none" w:sz="0" w:space="0" w:color="auto"/>
          </w:divBdr>
        </w:div>
        <w:div w:id="1075199488">
          <w:marLeft w:val="547"/>
          <w:marRight w:val="0"/>
          <w:marTop w:val="0"/>
          <w:marBottom w:val="0"/>
          <w:divBdr>
            <w:top w:val="none" w:sz="0" w:space="0" w:color="auto"/>
            <w:left w:val="none" w:sz="0" w:space="0" w:color="auto"/>
            <w:bottom w:val="none" w:sz="0" w:space="0" w:color="auto"/>
            <w:right w:val="none" w:sz="0" w:space="0" w:color="auto"/>
          </w:divBdr>
        </w:div>
        <w:div w:id="1745108262">
          <w:marLeft w:val="547"/>
          <w:marRight w:val="0"/>
          <w:marTop w:val="0"/>
          <w:marBottom w:val="0"/>
          <w:divBdr>
            <w:top w:val="none" w:sz="0" w:space="0" w:color="auto"/>
            <w:left w:val="none" w:sz="0" w:space="0" w:color="auto"/>
            <w:bottom w:val="none" w:sz="0" w:space="0" w:color="auto"/>
            <w:right w:val="none" w:sz="0" w:space="0" w:color="auto"/>
          </w:divBdr>
        </w:div>
        <w:div w:id="1052921330">
          <w:marLeft w:val="547"/>
          <w:marRight w:val="0"/>
          <w:marTop w:val="0"/>
          <w:marBottom w:val="0"/>
          <w:divBdr>
            <w:top w:val="none" w:sz="0" w:space="0" w:color="auto"/>
            <w:left w:val="none" w:sz="0" w:space="0" w:color="auto"/>
            <w:bottom w:val="none" w:sz="0" w:space="0" w:color="auto"/>
            <w:right w:val="none" w:sz="0" w:space="0" w:color="auto"/>
          </w:divBdr>
        </w:div>
        <w:div w:id="629213179">
          <w:marLeft w:val="547"/>
          <w:marRight w:val="0"/>
          <w:marTop w:val="0"/>
          <w:marBottom w:val="0"/>
          <w:divBdr>
            <w:top w:val="none" w:sz="0" w:space="0" w:color="auto"/>
            <w:left w:val="none" w:sz="0" w:space="0" w:color="auto"/>
            <w:bottom w:val="none" w:sz="0" w:space="0" w:color="auto"/>
            <w:right w:val="none" w:sz="0" w:space="0" w:color="auto"/>
          </w:divBdr>
        </w:div>
        <w:div w:id="594172205">
          <w:marLeft w:val="547"/>
          <w:marRight w:val="0"/>
          <w:marTop w:val="0"/>
          <w:marBottom w:val="0"/>
          <w:divBdr>
            <w:top w:val="none" w:sz="0" w:space="0" w:color="auto"/>
            <w:left w:val="none" w:sz="0" w:space="0" w:color="auto"/>
            <w:bottom w:val="none" w:sz="0" w:space="0" w:color="auto"/>
            <w:right w:val="none" w:sz="0" w:space="0" w:color="auto"/>
          </w:divBdr>
        </w:div>
      </w:divsChild>
    </w:div>
    <w:div w:id="918445418">
      <w:bodyDiv w:val="1"/>
      <w:marLeft w:val="0"/>
      <w:marRight w:val="0"/>
      <w:marTop w:val="0"/>
      <w:marBottom w:val="0"/>
      <w:divBdr>
        <w:top w:val="none" w:sz="0" w:space="0" w:color="auto"/>
        <w:left w:val="none" w:sz="0" w:space="0" w:color="auto"/>
        <w:bottom w:val="none" w:sz="0" w:space="0" w:color="auto"/>
        <w:right w:val="none" w:sz="0" w:space="0" w:color="auto"/>
      </w:divBdr>
    </w:div>
    <w:div w:id="918562365">
      <w:bodyDiv w:val="1"/>
      <w:marLeft w:val="0"/>
      <w:marRight w:val="0"/>
      <w:marTop w:val="0"/>
      <w:marBottom w:val="0"/>
      <w:divBdr>
        <w:top w:val="none" w:sz="0" w:space="0" w:color="auto"/>
        <w:left w:val="none" w:sz="0" w:space="0" w:color="auto"/>
        <w:bottom w:val="none" w:sz="0" w:space="0" w:color="auto"/>
        <w:right w:val="none" w:sz="0" w:space="0" w:color="auto"/>
      </w:divBdr>
      <w:divsChild>
        <w:div w:id="1358895007">
          <w:marLeft w:val="274"/>
          <w:marRight w:val="0"/>
          <w:marTop w:val="150"/>
          <w:marBottom w:val="0"/>
          <w:divBdr>
            <w:top w:val="none" w:sz="0" w:space="0" w:color="auto"/>
            <w:left w:val="none" w:sz="0" w:space="0" w:color="auto"/>
            <w:bottom w:val="none" w:sz="0" w:space="0" w:color="auto"/>
            <w:right w:val="none" w:sz="0" w:space="0" w:color="auto"/>
          </w:divBdr>
        </w:div>
      </w:divsChild>
    </w:div>
    <w:div w:id="955673923">
      <w:bodyDiv w:val="1"/>
      <w:marLeft w:val="0"/>
      <w:marRight w:val="0"/>
      <w:marTop w:val="0"/>
      <w:marBottom w:val="0"/>
      <w:divBdr>
        <w:top w:val="none" w:sz="0" w:space="0" w:color="auto"/>
        <w:left w:val="none" w:sz="0" w:space="0" w:color="auto"/>
        <w:bottom w:val="none" w:sz="0" w:space="0" w:color="auto"/>
        <w:right w:val="none" w:sz="0" w:space="0" w:color="auto"/>
      </w:divBdr>
      <w:divsChild>
        <w:div w:id="230117856">
          <w:marLeft w:val="274"/>
          <w:marRight w:val="0"/>
          <w:marTop w:val="150"/>
          <w:marBottom w:val="0"/>
          <w:divBdr>
            <w:top w:val="none" w:sz="0" w:space="0" w:color="auto"/>
            <w:left w:val="none" w:sz="0" w:space="0" w:color="auto"/>
            <w:bottom w:val="none" w:sz="0" w:space="0" w:color="auto"/>
            <w:right w:val="none" w:sz="0" w:space="0" w:color="auto"/>
          </w:divBdr>
        </w:div>
        <w:div w:id="240069796">
          <w:marLeft w:val="274"/>
          <w:marRight w:val="0"/>
          <w:marTop w:val="150"/>
          <w:marBottom w:val="0"/>
          <w:divBdr>
            <w:top w:val="none" w:sz="0" w:space="0" w:color="auto"/>
            <w:left w:val="none" w:sz="0" w:space="0" w:color="auto"/>
            <w:bottom w:val="none" w:sz="0" w:space="0" w:color="auto"/>
            <w:right w:val="none" w:sz="0" w:space="0" w:color="auto"/>
          </w:divBdr>
        </w:div>
        <w:div w:id="581447073">
          <w:marLeft w:val="274"/>
          <w:marRight w:val="0"/>
          <w:marTop w:val="150"/>
          <w:marBottom w:val="0"/>
          <w:divBdr>
            <w:top w:val="none" w:sz="0" w:space="0" w:color="auto"/>
            <w:left w:val="none" w:sz="0" w:space="0" w:color="auto"/>
            <w:bottom w:val="none" w:sz="0" w:space="0" w:color="auto"/>
            <w:right w:val="none" w:sz="0" w:space="0" w:color="auto"/>
          </w:divBdr>
        </w:div>
        <w:div w:id="772482097">
          <w:marLeft w:val="274"/>
          <w:marRight w:val="0"/>
          <w:marTop w:val="150"/>
          <w:marBottom w:val="0"/>
          <w:divBdr>
            <w:top w:val="none" w:sz="0" w:space="0" w:color="auto"/>
            <w:left w:val="none" w:sz="0" w:space="0" w:color="auto"/>
            <w:bottom w:val="none" w:sz="0" w:space="0" w:color="auto"/>
            <w:right w:val="none" w:sz="0" w:space="0" w:color="auto"/>
          </w:divBdr>
        </w:div>
        <w:div w:id="972248259">
          <w:marLeft w:val="274"/>
          <w:marRight w:val="0"/>
          <w:marTop w:val="150"/>
          <w:marBottom w:val="0"/>
          <w:divBdr>
            <w:top w:val="none" w:sz="0" w:space="0" w:color="auto"/>
            <w:left w:val="none" w:sz="0" w:space="0" w:color="auto"/>
            <w:bottom w:val="none" w:sz="0" w:space="0" w:color="auto"/>
            <w:right w:val="none" w:sz="0" w:space="0" w:color="auto"/>
          </w:divBdr>
        </w:div>
        <w:div w:id="1375543610">
          <w:marLeft w:val="274"/>
          <w:marRight w:val="0"/>
          <w:marTop w:val="150"/>
          <w:marBottom w:val="0"/>
          <w:divBdr>
            <w:top w:val="none" w:sz="0" w:space="0" w:color="auto"/>
            <w:left w:val="none" w:sz="0" w:space="0" w:color="auto"/>
            <w:bottom w:val="none" w:sz="0" w:space="0" w:color="auto"/>
            <w:right w:val="none" w:sz="0" w:space="0" w:color="auto"/>
          </w:divBdr>
        </w:div>
        <w:div w:id="1488788900">
          <w:marLeft w:val="274"/>
          <w:marRight w:val="0"/>
          <w:marTop w:val="150"/>
          <w:marBottom w:val="0"/>
          <w:divBdr>
            <w:top w:val="none" w:sz="0" w:space="0" w:color="auto"/>
            <w:left w:val="none" w:sz="0" w:space="0" w:color="auto"/>
            <w:bottom w:val="none" w:sz="0" w:space="0" w:color="auto"/>
            <w:right w:val="none" w:sz="0" w:space="0" w:color="auto"/>
          </w:divBdr>
        </w:div>
        <w:div w:id="1514026143">
          <w:marLeft w:val="274"/>
          <w:marRight w:val="0"/>
          <w:marTop w:val="150"/>
          <w:marBottom w:val="0"/>
          <w:divBdr>
            <w:top w:val="none" w:sz="0" w:space="0" w:color="auto"/>
            <w:left w:val="none" w:sz="0" w:space="0" w:color="auto"/>
            <w:bottom w:val="none" w:sz="0" w:space="0" w:color="auto"/>
            <w:right w:val="none" w:sz="0" w:space="0" w:color="auto"/>
          </w:divBdr>
        </w:div>
      </w:divsChild>
    </w:div>
    <w:div w:id="973220973">
      <w:bodyDiv w:val="1"/>
      <w:marLeft w:val="0"/>
      <w:marRight w:val="0"/>
      <w:marTop w:val="0"/>
      <w:marBottom w:val="0"/>
      <w:divBdr>
        <w:top w:val="none" w:sz="0" w:space="0" w:color="auto"/>
        <w:left w:val="none" w:sz="0" w:space="0" w:color="auto"/>
        <w:bottom w:val="none" w:sz="0" w:space="0" w:color="auto"/>
        <w:right w:val="none" w:sz="0" w:space="0" w:color="auto"/>
      </w:divBdr>
      <w:divsChild>
        <w:div w:id="998195693">
          <w:marLeft w:val="547"/>
          <w:marRight w:val="0"/>
          <w:marTop w:val="0"/>
          <w:marBottom w:val="0"/>
          <w:divBdr>
            <w:top w:val="none" w:sz="0" w:space="0" w:color="auto"/>
            <w:left w:val="none" w:sz="0" w:space="0" w:color="auto"/>
            <w:bottom w:val="none" w:sz="0" w:space="0" w:color="auto"/>
            <w:right w:val="none" w:sz="0" w:space="0" w:color="auto"/>
          </w:divBdr>
        </w:div>
      </w:divsChild>
    </w:div>
    <w:div w:id="1013070292">
      <w:bodyDiv w:val="1"/>
      <w:marLeft w:val="0"/>
      <w:marRight w:val="0"/>
      <w:marTop w:val="0"/>
      <w:marBottom w:val="0"/>
      <w:divBdr>
        <w:top w:val="none" w:sz="0" w:space="0" w:color="auto"/>
        <w:left w:val="none" w:sz="0" w:space="0" w:color="auto"/>
        <w:bottom w:val="none" w:sz="0" w:space="0" w:color="auto"/>
        <w:right w:val="none" w:sz="0" w:space="0" w:color="auto"/>
      </w:divBdr>
    </w:div>
    <w:div w:id="1031807692">
      <w:bodyDiv w:val="1"/>
      <w:marLeft w:val="0"/>
      <w:marRight w:val="0"/>
      <w:marTop w:val="0"/>
      <w:marBottom w:val="0"/>
      <w:divBdr>
        <w:top w:val="none" w:sz="0" w:space="0" w:color="auto"/>
        <w:left w:val="none" w:sz="0" w:space="0" w:color="auto"/>
        <w:bottom w:val="none" w:sz="0" w:space="0" w:color="auto"/>
        <w:right w:val="none" w:sz="0" w:space="0" w:color="auto"/>
      </w:divBdr>
      <w:divsChild>
        <w:div w:id="537472356">
          <w:marLeft w:val="547"/>
          <w:marRight w:val="0"/>
          <w:marTop w:val="0"/>
          <w:marBottom w:val="0"/>
          <w:divBdr>
            <w:top w:val="none" w:sz="0" w:space="0" w:color="auto"/>
            <w:left w:val="none" w:sz="0" w:space="0" w:color="auto"/>
            <w:bottom w:val="none" w:sz="0" w:space="0" w:color="auto"/>
            <w:right w:val="none" w:sz="0" w:space="0" w:color="auto"/>
          </w:divBdr>
        </w:div>
        <w:div w:id="771828180">
          <w:marLeft w:val="547"/>
          <w:marRight w:val="0"/>
          <w:marTop w:val="0"/>
          <w:marBottom w:val="0"/>
          <w:divBdr>
            <w:top w:val="none" w:sz="0" w:space="0" w:color="auto"/>
            <w:left w:val="none" w:sz="0" w:space="0" w:color="auto"/>
            <w:bottom w:val="none" w:sz="0" w:space="0" w:color="auto"/>
            <w:right w:val="none" w:sz="0" w:space="0" w:color="auto"/>
          </w:divBdr>
        </w:div>
      </w:divsChild>
    </w:div>
    <w:div w:id="1130903154">
      <w:bodyDiv w:val="1"/>
      <w:marLeft w:val="0"/>
      <w:marRight w:val="0"/>
      <w:marTop w:val="0"/>
      <w:marBottom w:val="0"/>
      <w:divBdr>
        <w:top w:val="none" w:sz="0" w:space="0" w:color="auto"/>
        <w:left w:val="none" w:sz="0" w:space="0" w:color="auto"/>
        <w:bottom w:val="none" w:sz="0" w:space="0" w:color="auto"/>
        <w:right w:val="none" w:sz="0" w:space="0" w:color="auto"/>
      </w:divBdr>
    </w:div>
    <w:div w:id="1140154289">
      <w:bodyDiv w:val="1"/>
      <w:marLeft w:val="0"/>
      <w:marRight w:val="0"/>
      <w:marTop w:val="0"/>
      <w:marBottom w:val="0"/>
      <w:divBdr>
        <w:top w:val="none" w:sz="0" w:space="0" w:color="auto"/>
        <w:left w:val="none" w:sz="0" w:space="0" w:color="auto"/>
        <w:bottom w:val="none" w:sz="0" w:space="0" w:color="auto"/>
        <w:right w:val="none" w:sz="0" w:space="0" w:color="auto"/>
      </w:divBdr>
      <w:divsChild>
        <w:div w:id="1753040876">
          <w:marLeft w:val="547"/>
          <w:marRight w:val="0"/>
          <w:marTop w:val="0"/>
          <w:marBottom w:val="0"/>
          <w:divBdr>
            <w:top w:val="none" w:sz="0" w:space="0" w:color="auto"/>
            <w:left w:val="none" w:sz="0" w:space="0" w:color="auto"/>
            <w:bottom w:val="none" w:sz="0" w:space="0" w:color="auto"/>
            <w:right w:val="none" w:sz="0" w:space="0" w:color="auto"/>
          </w:divBdr>
        </w:div>
        <w:div w:id="1706254334">
          <w:marLeft w:val="547"/>
          <w:marRight w:val="0"/>
          <w:marTop w:val="0"/>
          <w:marBottom w:val="0"/>
          <w:divBdr>
            <w:top w:val="none" w:sz="0" w:space="0" w:color="auto"/>
            <w:left w:val="none" w:sz="0" w:space="0" w:color="auto"/>
            <w:bottom w:val="none" w:sz="0" w:space="0" w:color="auto"/>
            <w:right w:val="none" w:sz="0" w:space="0" w:color="auto"/>
          </w:divBdr>
        </w:div>
      </w:divsChild>
    </w:div>
    <w:div w:id="1166744643">
      <w:bodyDiv w:val="1"/>
      <w:marLeft w:val="0"/>
      <w:marRight w:val="0"/>
      <w:marTop w:val="0"/>
      <w:marBottom w:val="0"/>
      <w:divBdr>
        <w:top w:val="none" w:sz="0" w:space="0" w:color="auto"/>
        <w:left w:val="none" w:sz="0" w:space="0" w:color="auto"/>
        <w:bottom w:val="none" w:sz="0" w:space="0" w:color="auto"/>
        <w:right w:val="none" w:sz="0" w:space="0" w:color="auto"/>
      </w:divBdr>
      <w:divsChild>
        <w:div w:id="1539244911">
          <w:marLeft w:val="547"/>
          <w:marRight w:val="0"/>
          <w:marTop w:val="0"/>
          <w:marBottom w:val="0"/>
          <w:divBdr>
            <w:top w:val="none" w:sz="0" w:space="0" w:color="auto"/>
            <w:left w:val="none" w:sz="0" w:space="0" w:color="auto"/>
            <w:bottom w:val="none" w:sz="0" w:space="0" w:color="auto"/>
            <w:right w:val="none" w:sz="0" w:space="0" w:color="auto"/>
          </w:divBdr>
        </w:div>
      </w:divsChild>
    </w:div>
    <w:div w:id="1200969767">
      <w:bodyDiv w:val="1"/>
      <w:marLeft w:val="0"/>
      <w:marRight w:val="0"/>
      <w:marTop w:val="0"/>
      <w:marBottom w:val="0"/>
      <w:divBdr>
        <w:top w:val="none" w:sz="0" w:space="0" w:color="auto"/>
        <w:left w:val="none" w:sz="0" w:space="0" w:color="auto"/>
        <w:bottom w:val="none" w:sz="0" w:space="0" w:color="auto"/>
        <w:right w:val="none" w:sz="0" w:space="0" w:color="auto"/>
      </w:divBdr>
    </w:div>
    <w:div w:id="1204250469">
      <w:bodyDiv w:val="1"/>
      <w:marLeft w:val="0"/>
      <w:marRight w:val="0"/>
      <w:marTop w:val="0"/>
      <w:marBottom w:val="0"/>
      <w:divBdr>
        <w:top w:val="none" w:sz="0" w:space="0" w:color="auto"/>
        <w:left w:val="none" w:sz="0" w:space="0" w:color="auto"/>
        <w:bottom w:val="none" w:sz="0" w:space="0" w:color="auto"/>
        <w:right w:val="none" w:sz="0" w:space="0" w:color="auto"/>
      </w:divBdr>
    </w:div>
    <w:div w:id="1237862652">
      <w:bodyDiv w:val="1"/>
      <w:marLeft w:val="0"/>
      <w:marRight w:val="0"/>
      <w:marTop w:val="0"/>
      <w:marBottom w:val="0"/>
      <w:divBdr>
        <w:top w:val="none" w:sz="0" w:space="0" w:color="auto"/>
        <w:left w:val="none" w:sz="0" w:space="0" w:color="auto"/>
        <w:bottom w:val="none" w:sz="0" w:space="0" w:color="auto"/>
        <w:right w:val="none" w:sz="0" w:space="0" w:color="auto"/>
      </w:divBdr>
      <w:divsChild>
        <w:div w:id="1814105514">
          <w:marLeft w:val="547"/>
          <w:marRight w:val="0"/>
          <w:marTop w:val="0"/>
          <w:marBottom w:val="0"/>
          <w:divBdr>
            <w:top w:val="none" w:sz="0" w:space="0" w:color="auto"/>
            <w:left w:val="none" w:sz="0" w:space="0" w:color="auto"/>
            <w:bottom w:val="none" w:sz="0" w:space="0" w:color="auto"/>
            <w:right w:val="none" w:sz="0" w:space="0" w:color="auto"/>
          </w:divBdr>
        </w:div>
      </w:divsChild>
    </w:div>
    <w:div w:id="1356685844">
      <w:bodyDiv w:val="1"/>
      <w:marLeft w:val="0"/>
      <w:marRight w:val="0"/>
      <w:marTop w:val="0"/>
      <w:marBottom w:val="0"/>
      <w:divBdr>
        <w:top w:val="none" w:sz="0" w:space="0" w:color="auto"/>
        <w:left w:val="none" w:sz="0" w:space="0" w:color="auto"/>
        <w:bottom w:val="none" w:sz="0" w:space="0" w:color="auto"/>
        <w:right w:val="none" w:sz="0" w:space="0" w:color="auto"/>
      </w:divBdr>
      <w:divsChild>
        <w:div w:id="13459031">
          <w:marLeft w:val="0"/>
          <w:marRight w:val="0"/>
          <w:marTop w:val="86"/>
          <w:marBottom w:val="0"/>
          <w:divBdr>
            <w:top w:val="none" w:sz="0" w:space="0" w:color="auto"/>
            <w:left w:val="none" w:sz="0" w:space="0" w:color="auto"/>
            <w:bottom w:val="none" w:sz="0" w:space="0" w:color="auto"/>
            <w:right w:val="none" w:sz="0" w:space="0" w:color="auto"/>
          </w:divBdr>
        </w:div>
        <w:div w:id="374355303">
          <w:marLeft w:val="0"/>
          <w:marRight w:val="0"/>
          <w:marTop w:val="86"/>
          <w:marBottom w:val="0"/>
          <w:divBdr>
            <w:top w:val="none" w:sz="0" w:space="0" w:color="auto"/>
            <w:left w:val="none" w:sz="0" w:space="0" w:color="auto"/>
            <w:bottom w:val="none" w:sz="0" w:space="0" w:color="auto"/>
            <w:right w:val="none" w:sz="0" w:space="0" w:color="auto"/>
          </w:divBdr>
        </w:div>
        <w:div w:id="463931464">
          <w:marLeft w:val="0"/>
          <w:marRight w:val="0"/>
          <w:marTop w:val="86"/>
          <w:marBottom w:val="0"/>
          <w:divBdr>
            <w:top w:val="none" w:sz="0" w:space="0" w:color="auto"/>
            <w:left w:val="none" w:sz="0" w:space="0" w:color="auto"/>
            <w:bottom w:val="none" w:sz="0" w:space="0" w:color="auto"/>
            <w:right w:val="none" w:sz="0" w:space="0" w:color="auto"/>
          </w:divBdr>
        </w:div>
        <w:div w:id="484705815">
          <w:marLeft w:val="0"/>
          <w:marRight w:val="0"/>
          <w:marTop w:val="86"/>
          <w:marBottom w:val="0"/>
          <w:divBdr>
            <w:top w:val="none" w:sz="0" w:space="0" w:color="auto"/>
            <w:left w:val="none" w:sz="0" w:space="0" w:color="auto"/>
            <w:bottom w:val="none" w:sz="0" w:space="0" w:color="auto"/>
            <w:right w:val="none" w:sz="0" w:space="0" w:color="auto"/>
          </w:divBdr>
        </w:div>
        <w:div w:id="635263239">
          <w:marLeft w:val="0"/>
          <w:marRight w:val="0"/>
          <w:marTop w:val="86"/>
          <w:marBottom w:val="0"/>
          <w:divBdr>
            <w:top w:val="none" w:sz="0" w:space="0" w:color="auto"/>
            <w:left w:val="none" w:sz="0" w:space="0" w:color="auto"/>
            <w:bottom w:val="none" w:sz="0" w:space="0" w:color="auto"/>
            <w:right w:val="none" w:sz="0" w:space="0" w:color="auto"/>
          </w:divBdr>
        </w:div>
        <w:div w:id="1066804555">
          <w:marLeft w:val="0"/>
          <w:marRight w:val="0"/>
          <w:marTop w:val="86"/>
          <w:marBottom w:val="0"/>
          <w:divBdr>
            <w:top w:val="none" w:sz="0" w:space="0" w:color="auto"/>
            <w:left w:val="none" w:sz="0" w:space="0" w:color="auto"/>
            <w:bottom w:val="none" w:sz="0" w:space="0" w:color="auto"/>
            <w:right w:val="none" w:sz="0" w:space="0" w:color="auto"/>
          </w:divBdr>
        </w:div>
        <w:div w:id="2049528251">
          <w:marLeft w:val="0"/>
          <w:marRight w:val="0"/>
          <w:marTop w:val="86"/>
          <w:marBottom w:val="0"/>
          <w:divBdr>
            <w:top w:val="none" w:sz="0" w:space="0" w:color="auto"/>
            <w:left w:val="none" w:sz="0" w:space="0" w:color="auto"/>
            <w:bottom w:val="none" w:sz="0" w:space="0" w:color="auto"/>
            <w:right w:val="none" w:sz="0" w:space="0" w:color="auto"/>
          </w:divBdr>
        </w:div>
      </w:divsChild>
    </w:div>
    <w:div w:id="1380010804">
      <w:bodyDiv w:val="1"/>
      <w:marLeft w:val="0"/>
      <w:marRight w:val="0"/>
      <w:marTop w:val="0"/>
      <w:marBottom w:val="0"/>
      <w:divBdr>
        <w:top w:val="none" w:sz="0" w:space="0" w:color="auto"/>
        <w:left w:val="none" w:sz="0" w:space="0" w:color="auto"/>
        <w:bottom w:val="none" w:sz="0" w:space="0" w:color="auto"/>
        <w:right w:val="none" w:sz="0" w:space="0" w:color="auto"/>
      </w:divBdr>
      <w:divsChild>
        <w:div w:id="308628858">
          <w:marLeft w:val="274"/>
          <w:marRight w:val="0"/>
          <w:marTop w:val="150"/>
          <w:marBottom w:val="0"/>
          <w:divBdr>
            <w:top w:val="none" w:sz="0" w:space="0" w:color="auto"/>
            <w:left w:val="none" w:sz="0" w:space="0" w:color="auto"/>
            <w:bottom w:val="none" w:sz="0" w:space="0" w:color="auto"/>
            <w:right w:val="none" w:sz="0" w:space="0" w:color="auto"/>
          </w:divBdr>
        </w:div>
        <w:div w:id="332493546">
          <w:marLeft w:val="274"/>
          <w:marRight w:val="0"/>
          <w:marTop w:val="150"/>
          <w:marBottom w:val="0"/>
          <w:divBdr>
            <w:top w:val="none" w:sz="0" w:space="0" w:color="auto"/>
            <w:left w:val="none" w:sz="0" w:space="0" w:color="auto"/>
            <w:bottom w:val="none" w:sz="0" w:space="0" w:color="auto"/>
            <w:right w:val="none" w:sz="0" w:space="0" w:color="auto"/>
          </w:divBdr>
        </w:div>
        <w:div w:id="522744757">
          <w:marLeft w:val="274"/>
          <w:marRight w:val="0"/>
          <w:marTop w:val="150"/>
          <w:marBottom w:val="0"/>
          <w:divBdr>
            <w:top w:val="none" w:sz="0" w:space="0" w:color="auto"/>
            <w:left w:val="none" w:sz="0" w:space="0" w:color="auto"/>
            <w:bottom w:val="none" w:sz="0" w:space="0" w:color="auto"/>
            <w:right w:val="none" w:sz="0" w:space="0" w:color="auto"/>
          </w:divBdr>
        </w:div>
        <w:div w:id="736241218">
          <w:marLeft w:val="274"/>
          <w:marRight w:val="0"/>
          <w:marTop w:val="150"/>
          <w:marBottom w:val="0"/>
          <w:divBdr>
            <w:top w:val="none" w:sz="0" w:space="0" w:color="auto"/>
            <w:left w:val="none" w:sz="0" w:space="0" w:color="auto"/>
            <w:bottom w:val="none" w:sz="0" w:space="0" w:color="auto"/>
            <w:right w:val="none" w:sz="0" w:space="0" w:color="auto"/>
          </w:divBdr>
        </w:div>
        <w:div w:id="1096756431">
          <w:marLeft w:val="274"/>
          <w:marRight w:val="0"/>
          <w:marTop w:val="150"/>
          <w:marBottom w:val="0"/>
          <w:divBdr>
            <w:top w:val="none" w:sz="0" w:space="0" w:color="auto"/>
            <w:left w:val="none" w:sz="0" w:space="0" w:color="auto"/>
            <w:bottom w:val="none" w:sz="0" w:space="0" w:color="auto"/>
            <w:right w:val="none" w:sz="0" w:space="0" w:color="auto"/>
          </w:divBdr>
        </w:div>
        <w:div w:id="1348100052">
          <w:marLeft w:val="274"/>
          <w:marRight w:val="0"/>
          <w:marTop w:val="150"/>
          <w:marBottom w:val="0"/>
          <w:divBdr>
            <w:top w:val="none" w:sz="0" w:space="0" w:color="auto"/>
            <w:left w:val="none" w:sz="0" w:space="0" w:color="auto"/>
            <w:bottom w:val="none" w:sz="0" w:space="0" w:color="auto"/>
            <w:right w:val="none" w:sz="0" w:space="0" w:color="auto"/>
          </w:divBdr>
        </w:div>
        <w:div w:id="1419867608">
          <w:marLeft w:val="274"/>
          <w:marRight w:val="0"/>
          <w:marTop w:val="150"/>
          <w:marBottom w:val="0"/>
          <w:divBdr>
            <w:top w:val="none" w:sz="0" w:space="0" w:color="auto"/>
            <w:left w:val="none" w:sz="0" w:space="0" w:color="auto"/>
            <w:bottom w:val="none" w:sz="0" w:space="0" w:color="auto"/>
            <w:right w:val="none" w:sz="0" w:space="0" w:color="auto"/>
          </w:divBdr>
        </w:div>
        <w:div w:id="1747730449">
          <w:marLeft w:val="274"/>
          <w:marRight w:val="0"/>
          <w:marTop w:val="150"/>
          <w:marBottom w:val="0"/>
          <w:divBdr>
            <w:top w:val="none" w:sz="0" w:space="0" w:color="auto"/>
            <w:left w:val="none" w:sz="0" w:space="0" w:color="auto"/>
            <w:bottom w:val="none" w:sz="0" w:space="0" w:color="auto"/>
            <w:right w:val="none" w:sz="0" w:space="0" w:color="auto"/>
          </w:divBdr>
        </w:div>
      </w:divsChild>
    </w:div>
    <w:div w:id="1411998772">
      <w:bodyDiv w:val="1"/>
      <w:marLeft w:val="0"/>
      <w:marRight w:val="0"/>
      <w:marTop w:val="0"/>
      <w:marBottom w:val="0"/>
      <w:divBdr>
        <w:top w:val="none" w:sz="0" w:space="0" w:color="auto"/>
        <w:left w:val="none" w:sz="0" w:space="0" w:color="auto"/>
        <w:bottom w:val="none" w:sz="0" w:space="0" w:color="auto"/>
        <w:right w:val="none" w:sz="0" w:space="0" w:color="auto"/>
      </w:divBdr>
    </w:div>
    <w:div w:id="1429235695">
      <w:bodyDiv w:val="1"/>
      <w:marLeft w:val="0"/>
      <w:marRight w:val="0"/>
      <w:marTop w:val="0"/>
      <w:marBottom w:val="0"/>
      <w:divBdr>
        <w:top w:val="none" w:sz="0" w:space="0" w:color="auto"/>
        <w:left w:val="none" w:sz="0" w:space="0" w:color="auto"/>
        <w:bottom w:val="none" w:sz="0" w:space="0" w:color="auto"/>
        <w:right w:val="none" w:sz="0" w:space="0" w:color="auto"/>
      </w:divBdr>
      <w:divsChild>
        <w:div w:id="264188836">
          <w:marLeft w:val="274"/>
          <w:marRight w:val="0"/>
          <w:marTop w:val="150"/>
          <w:marBottom w:val="0"/>
          <w:divBdr>
            <w:top w:val="none" w:sz="0" w:space="0" w:color="auto"/>
            <w:left w:val="none" w:sz="0" w:space="0" w:color="auto"/>
            <w:bottom w:val="none" w:sz="0" w:space="0" w:color="auto"/>
            <w:right w:val="none" w:sz="0" w:space="0" w:color="auto"/>
          </w:divBdr>
        </w:div>
        <w:div w:id="502090368">
          <w:marLeft w:val="274"/>
          <w:marRight w:val="0"/>
          <w:marTop w:val="150"/>
          <w:marBottom w:val="0"/>
          <w:divBdr>
            <w:top w:val="none" w:sz="0" w:space="0" w:color="auto"/>
            <w:left w:val="none" w:sz="0" w:space="0" w:color="auto"/>
            <w:bottom w:val="none" w:sz="0" w:space="0" w:color="auto"/>
            <w:right w:val="none" w:sz="0" w:space="0" w:color="auto"/>
          </w:divBdr>
        </w:div>
        <w:div w:id="632366759">
          <w:marLeft w:val="274"/>
          <w:marRight w:val="0"/>
          <w:marTop w:val="150"/>
          <w:marBottom w:val="0"/>
          <w:divBdr>
            <w:top w:val="none" w:sz="0" w:space="0" w:color="auto"/>
            <w:left w:val="none" w:sz="0" w:space="0" w:color="auto"/>
            <w:bottom w:val="none" w:sz="0" w:space="0" w:color="auto"/>
            <w:right w:val="none" w:sz="0" w:space="0" w:color="auto"/>
          </w:divBdr>
        </w:div>
        <w:div w:id="1183326733">
          <w:marLeft w:val="274"/>
          <w:marRight w:val="0"/>
          <w:marTop w:val="150"/>
          <w:marBottom w:val="0"/>
          <w:divBdr>
            <w:top w:val="none" w:sz="0" w:space="0" w:color="auto"/>
            <w:left w:val="none" w:sz="0" w:space="0" w:color="auto"/>
            <w:bottom w:val="none" w:sz="0" w:space="0" w:color="auto"/>
            <w:right w:val="none" w:sz="0" w:space="0" w:color="auto"/>
          </w:divBdr>
        </w:div>
        <w:div w:id="1892112178">
          <w:marLeft w:val="274"/>
          <w:marRight w:val="0"/>
          <w:marTop w:val="150"/>
          <w:marBottom w:val="0"/>
          <w:divBdr>
            <w:top w:val="none" w:sz="0" w:space="0" w:color="auto"/>
            <w:left w:val="none" w:sz="0" w:space="0" w:color="auto"/>
            <w:bottom w:val="none" w:sz="0" w:space="0" w:color="auto"/>
            <w:right w:val="none" w:sz="0" w:space="0" w:color="auto"/>
          </w:divBdr>
        </w:div>
      </w:divsChild>
    </w:div>
    <w:div w:id="1443384239">
      <w:bodyDiv w:val="1"/>
      <w:marLeft w:val="0"/>
      <w:marRight w:val="0"/>
      <w:marTop w:val="0"/>
      <w:marBottom w:val="0"/>
      <w:divBdr>
        <w:top w:val="none" w:sz="0" w:space="0" w:color="auto"/>
        <w:left w:val="none" w:sz="0" w:space="0" w:color="auto"/>
        <w:bottom w:val="none" w:sz="0" w:space="0" w:color="auto"/>
        <w:right w:val="none" w:sz="0" w:space="0" w:color="auto"/>
      </w:divBdr>
    </w:div>
    <w:div w:id="1447237784">
      <w:bodyDiv w:val="1"/>
      <w:marLeft w:val="0"/>
      <w:marRight w:val="0"/>
      <w:marTop w:val="0"/>
      <w:marBottom w:val="0"/>
      <w:divBdr>
        <w:top w:val="none" w:sz="0" w:space="0" w:color="auto"/>
        <w:left w:val="none" w:sz="0" w:space="0" w:color="auto"/>
        <w:bottom w:val="none" w:sz="0" w:space="0" w:color="auto"/>
        <w:right w:val="none" w:sz="0" w:space="0" w:color="auto"/>
      </w:divBdr>
      <w:divsChild>
        <w:div w:id="1356686599">
          <w:marLeft w:val="446"/>
          <w:marRight w:val="0"/>
          <w:marTop w:val="0"/>
          <w:marBottom w:val="0"/>
          <w:divBdr>
            <w:top w:val="none" w:sz="0" w:space="0" w:color="auto"/>
            <w:left w:val="none" w:sz="0" w:space="0" w:color="auto"/>
            <w:bottom w:val="none" w:sz="0" w:space="0" w:color="auto"/>
            <w:right w:val="none" w:sz="0" w:space="0" w:color="auto"/>
          </w:divBdr>
        </w:div>
        <w:div w:id="1737704816">
          <w:marLeft w:val="446"/>
          <w:marRight w:val="0"/>
          <w:marTop w:val="0"/>
          <w:marBottom w:val="0"/>
          <w:divBdr>
            <w:top w:val="none" w:sz="0" w:space="0" w:color="auto"/>
            <w:left w:val="none" w:sz="0" w:space="0" w:color="auto"/>
            <w:bottom w:val="none" w:sz="0" w:space="0" w:color="auto"/>
            <w:right w:val="none" w:sz="0" w:space="0" w:color="auto"/>
          </w:divBdr>
        </w:div>
        <w:div w:id="1920169388">
          <w:marLeft w:val="446"/>
          <w:marRight w:val="0"/>
          <w:marTop w:val="0"/>
          <w:marBottom w:val="0"/>
          <w:divBdr>
            <w:top w:val="none" w:sz="0" w:space="0" w:color="auto"/>
            <w:left w:val="none" w:sz="0" w:space="0" w:color="auto"/>
            <w:bottom w:val="none" w:sz="0" w:space="0" w:color="auto"/>
            <w:right w:val="none" w:sz="0" w:space="0" w:color="auto"/>
          </w:divBdr>
        </w:div>
      </w:divsChild>
    </w:div>
    <w:div w:id="1469317341">
      <w:bodyDiv w:val="1"/>
      <w:marLeft w:val="0"/>
      <w:marRight w:val="0"/>
      <w:marTop w:val="0"/>
      <w:marBottom w:val="0"/>
      <w:divBdr>
        <w:top w:val="none" w:sz="0" w:space="0" w:color="auto"/>
        <w:left w:val="none" w:sz="0" w:space="0" w:color="auto"/>
        <w:bottom w:val="none" w:sz="0" w:space="0" w:color="auto"/>
        <w:right w:val="none" w:sz="0" w:space="0" w:color="auto"/>
      </w:divBdr>
      <w:divsChild>
        <w:div w:id="305818717">
          <w:marLeft w:val="274"/>
          <w:marRight w:val="0"/>
          <w:marTop w:val="150"/>
          <w:marBottom w:val="150"/>
          <w:divBdr>
            <w:top w:val="none" w:sz="0" w:space="0" w:color="auto"/>
            <w:left w:val="none" w:sz="0" w:space="0" w:color="auto"/>
            <w:bottom w:val="none" w:sz="0" w:space="0" w:color="auto"/>
            <w:right w:val="none" w:sz="0" w:space="0" w:color="auto"/>
          </w:divBdr>
        </w:div>
      </w:divsChild>
    </w:div>
    <w:div w:id="1469932099">
      <w:bodyDiv w:val="1"/>
      <w:marLeft w:val="0"/>
      <w:marRight w:val="0"/>
      <w:marTop w:val="0"/>
      <w:marBottom w:val="0"/>
      <w:divBdr>
        <w:top w:val="none" w:sz="0" w:space="0" w:color="auto"/>
        <w:left w:val="none" w:sz="0" w:space="0" w:color="auto"/>
        <w:bottom w:val="none" w:sz="0" w:space="0" w:color="auto"/>
        <w:right w:val="none" w:sz="0" w:space="0" w:color="auto"/>
      </w:divBdr>
      <w:divsChild>
        <w:div w:id="928199089">
          <w:marLeft w:val="547"/>
          <w:marRight w:val="0"/>
          <w:marTop w:val="0"/>
          <w:marBottom w:val="0"/>
          <w:divBdr>
            <w:top w:val="none" w:sz="0" w:space="0" w:color="auto"/>
            <w:left w:val="none" w:sz="0" w:space="0" w:color="auto"/>
            <w:bottom w:val="none" w:sz="0" w:space="0" w:color="auto"/>
            <w:right w:val="none" w:sz="0" w:space="0" w:color="auto"/>
          </w:divBdr>
        </w:div>
        <w:div w:id="1973822531">
          <w:marLeft w:val="547"/>
          <w:marRight w:val="0"/>
          <w:marTop w:val="0"/>
          <w:marBottom w:val="0"/>
          <w:divBdr>
            <w:top w:val="none" w:sz="0" w:space="0" w:color="auto"/>
            <w:left w:val="none" w:sz="0" w:space="0" w:color="auto"/>
            <w:bottom w:val="none" w:sz="0" w:space="0" w:color="auto"/>
            <w:right w:val="none" w:sz="0" w:space="0" w:color="auto"/>
          </w:divBdr>
        </w:div>
        <w:div w:id="633217826">
          <w:marLeft w:val="547"/>
          <w:marRight w:val="0"/>
          <w:marTop w:val="0"/>
          <w:marBottom w:val="0"/>
          <w:divBdr>
            <w:top w:val="none" w:sz="0" w:space="0" w:color="auto"/>
            <w:left w:val="none" w:sz="0" w:space="0" w:color="auto"/>
            <w:bottom w:val="none" w:sz="0" w:space="0" w:color="auto"/>
            <w:right w:val="none" w:sz="0" w:space="0" w:color="auto"/>
          </w:divBdr>
        </w:div>
      </w:divsChild>
    </w:div>
    <w:div w:id="1506090178">
      <w:bodyDiv w:val="1"/>
      <w:marLeft w:val="0"/>
      <w:marRight w:val="0"/>
      <w:marTop w:val="0"/>
      <w:marBottom w:val="0"/>
      <w:divBdr>
        <w:top w:val="none" w:sz="0" w:space="0" w:color="auto"/>
        <w:left w:val="none" w:sz="0" w:space="0" w:color="auto"/>
        <w:bottom w:val="none" w:sz="0" w:space="0" w:color="auto"/>
        <w:right w:val="none" w:sz="0" w:space="0" w:color="auto"/>
      </w:divBdr>
    </w:div>
    <w:div w:id="1564364973">
      <w:bodyDiv w:val="1"/>
      <w:marLeft w:val="0"/>
      <w:marRight w:val="0"/>
      <w:marTop w:val="0"/>
      <w:marBottom w:val="0"/>
      <w:divBdr>
        <w:top w:val="none" w:sz="0" w:space="0" w:color="auto"/>
        <w:left w:val="none" w:sz="0" w:space="0" w:color="auto"/>
        <w:bottom w:val="none" w:sz="0" w:space="0" w:color="auto"/>
        <w:right w:val="none" w:sz="0" w:space="0" w:color="auto"/>
      </w:divBdr>
    </w:div>
    <w:div w:id="1588690610">
      <w:bodyDiv w:val="1"/>
      <w:marLeft w:val="0"/>
      <w:marRight w:val="0"/>
      <w:marTop w:val="0"/>
      <w:marBottom w:val="0"/>
      <w:divBdr>
        <w:top w:val="none" w:sz="0" w:space="0" w:color="auto"/>
        <w:left w:val="none" w:sz="0" w:space="0" w:color="auto"/>
        <w:bottom w:val="none" w:sz="0" w:space="0" w:color="auto"/>
        <w:right w:val="none" w:sz="0" w:space="0" w:color="auto"/>
      </w:divBdr>
      <w:divsChild>
        <w:div w:id="1863206119">
          <w:marLeft w:val="547"/>
          <w:marRight w:val="0"/>
          <w:marTop w:val="0"/>
          <w:marBottom w:val="0"/>
          <w:divBdr>
            <w:top w:val="none" w:sz="0" w:space="0" w:color="auto"/>
            <w:left w:val="none" w:sz="0" w:space="0" w:color="auto"/>
            <w:bottom w:val="none" w:sz="0" w:space="0" w:color="auto"/>
            <w:right w:val="none" w:sz="0" w:space="0" w:color="auto"/>
          </w:divBdr>
        </w:div>
      </w:divsChild>
    </w:div>
    <w:div w:id="1598899832">
      <w:bodyDiv w:val="1"/>
      <w:marLeft w:val="0"/>
      <w:marRight w:val="0"/>
      <w:marTop w:val="0"/>
      <w:marBottom w:val="0"/>
      <w:divBdr>
        <w:top w:val="none" w:sz="0" w:space="0" w:color="auto"/>
        <w:left w:val="none" w:sz="0" w:space="0" w:color="auto"/>
        <w:bottom w:val="none" w:sz="0" w:space="0" w:color="auto"/>
        <w:right w:val="none" w:sz="0" w:space="0" w:color="auto"/>
      </w:divBdr>
      <w:divsChild>
        <w:div w:id="840587226">
          <w:marLeft w:val="547"/>
          <w:marRight w:val="0"/>
          <w:marTop w:val="0"/>
          <w:marBottom w:val="0"/>
          <w:divBdr>
            <w:top w:val="none" w:sz="0" w:space="0" w:color="auto"/>
            <w:left w:val="none" w:sz="0" w:space="0" w:color="auto"/>
            <w:bottom w:val="none" w:sz="0" w:space="0" w:color="auto"/>
            <w:right w:val="none" w:sz="0" w:space="0" w:color="auto"/>
          </w:divBdr>
        </w:div>
      </w:divsChild>
    </w:div>
    <w:div w:id="1756853097">
      <w:bodyDiv w:val="1"/>
      <w:marLeft w:val="0"/>
      <w:marRight w:val="0"/>
      <w:marTop w:val="0"/>
      <w:marBottom w:val="0"/>
      <w:divBdr>
        <w:top w:val="none" w:sz="0" w:space="0" w:color="auto"/>
        <w:left w:val="none" w:sz="0" w:space="0" w:color="auto"/>
        <w:bottom w:val="none" w:sz="0" w:space="0" w:color="auto"/>
        <w:right w:val="none" w:sz="0" w:space="0" w:color="auto"/>
      </w:divBdr>
      <w:divsChild>
        <w:div w:id="28842718">
          <w:marLeft w:val="547"/>
          <w:marRight w:val="0"/>
          <w:marTop w:val="0"/>
          <w:marBottom w:val="0"/>
          <w:divBdr>
            <w:top w:val="none" w:sz="0" w:space="0" w:color="auto"/>
            <w:left w:val="none" w:sz="0" w:space="0" w:color="auto"/>
            <w:bottom w:val="none" w:sz="0" w:space="0" w:color="auto"/>
            <w:right w:val="none" w:sz="0" w:space="0" w:color="auto"/>
          </w:divBdr>
        </w:div>
        <w:div w:id="1179929571">
          <w:marLeft w:val="547"/>
          <w:marRight w:val="0"/>
          <w:marTop w:val="0"/>
          <w:marBottom w:val="0"/>
          <w:divBdr>
            <w:top w:val="none" w:sz="0" w:space="0" w:color="auto"/>
            <w:left w:val="none" w:sz="0" w:space="0" w:color="auto"/>
            <w:bottom w:val="none" w:sz="0" w:space="0" w:color="auto"/>
            <w:right w:val="none" w:sz="0" w:space="0" w:color="auto"/>
          </w:divBdr>
        </w:div>
        <w:div w:id="191963738">
          <w:marLeft w:val="547"/>
          <w:marRight w:val="0"/>
          <w:marTop w:val="0"/>
          <w:marBottom w:val="0"/>
          <w:divBdr>
            <w:top w:val="none" w:sz="0" w:space="0" w:color="auto"/>
            <w:left w:val="none" w:sz="0" w:space="0" w:color="auto"/>
            <w:bottom w:val="none" w:sz="0" w:space="0" w:color="auto"/>
            <w:right w:val="none" w:sz="0" w:space="0" w:color="auto"/>
          </w:divBdr>
        </w:div>
      </w:divsChild>
    </w:div>
    <w:div w:id="1785270339">
      <w:bodyDiv w:val="1"/>
      <w:marLeft w:val="0"/>
      <w:marRight w:val="0"/>
      <w:marTop w:val="0"/>
      <w:marBottom w:val="0"/>
      <w:divBdr>
        <w:top w:val="none" w:sz="0" w:space="0" w:color="auto"/>
        <w:left w:val="none" w:sz="0" w:space="0" w:color="auto"/>
        <w:bottom w:val="none" w:sz="0" w:space="0" w:color="auto"/>
        <w:right w:val="none" w:sz="0" w:space="0" w:color="auto"/>
      </w:divBdr>
    </w:div>
    <w:div w:id="1797407676">
      <w:bodyDiv w:val="1"/>
      <w:marLeft w:val="0"/>
      <w:marRight w:val="0"/>
      <w:marTop w:val="0"/>
      <w:marBottom w:val="0"/>
      <w:divBdr>
        <w:top w:val="none" w:sz="0" w:space="0" w:color="auto"/>
        <w:left w:val="none" w:sz="0" w:space="0" w:color="auto"/>
        <w:bottom w:val="none" w:sz="0" w:space="0" w:color="auto"/>
        <w:right w:val="none" w:sz="0" w:space="0" w:color="auto"/>
      </w:divBdr>
      <w:divsChild>
        <w:div w:id="1599171674">
          <w:marLeft w:val="547"/>
          <w:marRight w:val="0"/>
          <w:marTop w:val="0"/>
          <w:marBottom w:val="0"/>
          <w:divBdr>
            <w:top w:val="none" w:sz="0" w:space="0" w:color="auto"/>
            <w:left w:val="none" w:sz="0" w:space="0" w:color="auto"/>
            <w:bottom w:val="none" w:sz="0" w:space="0" w:color="auto"/>
            <w:right w:val="none" w:sz="0" w:space="0" w:color="auto"/>
          </w:divBdr>
        </w:div>
      </w:divsChild>
    </w:div>
    <w:div w:id="1850482423">
      <w:bodyDiv w:val="1"/>
      <w:marLeft w:val="0"/>
      <w:marRight w:val="0"/>
      <w:marTop w:val="0"/>
      <w:marBottom w:val="0"/>
      <w:divBdr>
        <w:top w:val="none" w:sz="0" w:space="0" w:color="auto"/>
        <w:left w:val="none" w:sz="0" w:space="0" w:color="auto"/>
        <w:bottom w:val="none" w:sz="0" w:space="0" w:color="auto"/>
        <w:right w:val="none" w:sz="0" w:space="0" w:color="auto"/>
      </w:divBdr>
    </w:div>
    <w:div w:id="1879198444">
      <w:bodyDiv w:val="1"/>
      <w:marLeft w:val="0"/>
      <w:marRight w:val="0"/>
      <w:marTop w:val="0"/>
      <w:marBottom w:val="0"/>
      <w:divBdr>
        <w:top w:val="none" w:sz="0" w:space="0" w:color="auto"/>
        <w:left w:val="none" w:sz="0" w:space="0" w:color="auto"/>
        <w:bottom w:val="none" w:sz="0" w:space="0" w:color="auto"/>
        <w:right w:val="none" w:sz="0" w:space="0" w:color="auto"/>
      </w:divBdr>
      <w:divsChild>
        <w:div w:id="451360395">
          <w:marLeft w:val="274"/>
          <w:marRight w:val="0"/>
          <w:marTop w:val="150"/>
          <w:marBottom w:val="0"/>
          <w:divBdr>
            <w:top w:val="none" w:sz="0" w:space="0" w:color="auto"/>
            <w:left w:val="none" w:sz="0" w:space="0" w:color="auto"/>
            <w:bottom w:val="none" w:sz="0" w:space="0" w:color="auto"/>
            <w:right w:val="none" w:sz="0" w:space="0" w:color="auto"/>
          </w:divBdr>
        </w:div>
        <w:div w:id="585656527">
          <w:marLeft w:val="274"/>
          <w:marRight w:val="0"/>
          <w:marTop w:val="150"/>
          <w:marBottom w:val="0"/>
          <w:divBdr>
            <w:top w:val="none" w:sz="0" w:space="0" w:color="auto"/>
            <w:left w:val="none" w:sz="0" w:space="0" w:color="auto"/>
            <w:bottom w:val="none" w:sz="0" w:space="0" w:color="auto"/>
            <w:right w:val="none" w:sz="0" w:space="0" w:color="auto"/>
          </w:divBdr>
        </w:div>
        <w:div w:id="839780901">
          <w:marLeft w:val="274"/>
          <w:marRight w:val="0"/>
          <w:marTop w:val="150"/>
          <w:marBottom w:val="0"/>
          <w:divBdr>
            <w:top w:val="none" w:sz="0" w:space="0" w:color="auto"/>
            <w:left w:val="none" w:sz="0" w:space="0" w:color="auto"/>
            <w:bottom w:val="none" w:sz="0" w:space="0" w:color="auto"/>
            <w:right w:val="none" w:sz="0" w:space="0" w:color="auto"/>
          </w:divBdr>
        </w:div>
        <w:div w:id="852836880">
          <w:marLeft w:val="274"/>
          <w:marRight w:val="0"/>
          <w:marTop w:val="150"/>
          <w:marBottom w:val="0"/>
          <w:divBdr>
            <w:top w:val="none" w:sz="0" w:space="0" w:color="auto"/>
            <w:left w:val="none" w:sz="0" w:space="0" w:color="auto"/>
            <w:bottom w:val="none" w:sz="0" w:space="0" w:color="auto"/>
            <w:right w:val="none" w:sz="0" w:space="0" w:color="auto"/>
          </w:divBdr>
        </w:div>
        <w:div w:id="1544174831">
          <w:marLeft w:val="274"/>
          <w:marRight w:val="0"/>
          <w:marTop w:val="150"/>
          <w:marBottom w:val="0"/>
          <w:divBdr>
            <w:top w:val="none" w:sz="0" w:space="0" w:color="auto"/>
            <w:left w:val="none" w:sz="0" w:space="0" w:color="auto"/>
            <w:bottom w:val="none" w:sz="0" w:space="0" w:color="auto"/>
            <w:right w:val="none" w:sz="0" w:space="0" w:color="auto"/>
          </w:divBdr>
        </w:div>
        <w:div w:id="1996494352">
          <w:marLeft w:val="274"/>
          <w:marRight w:val="0"/>
          <w:marTop w:val="150"/>
          <w:marBottom w:val="0"/>
          <w:divBdr>
            <w:top w:val="none" w:sz="0" w:space="0" w:color="auto"/>
            <w:left w:val="none" w:sz="0" w:space="0" w:color="auto"/>
            <w:bottom w:val="none" w:sz="0" w:space="0" w:color="auto"/>
            <w:right w:val="none" w:sz="0" w:space="0" w:color="auto"/>
          </w:divBdr>
        </w:div>
      </w:divsChild>
    </w:div>
    <w:div w:id="1885364434">
      <w:bodyDiv w:val="1"/>
      <w:marLeft w:val="0"/>
      <w:marRight w:val="0"/>
      <w:marTop w:val="0"/>
      <w:marBottom w:val="0"/>
      <w:divBdr>
        <w:top w:val="none" w:sz="0" w:space="0" w:color="auto"/>
        <w:left w:val="none" w:sz="0" w:space="0" w:color="auto"/>
        <w:bottom w:val="none" w:sz="0" w:space="0" w:color="auto"/>
        <w:right w:val="none" w:sz="0" w:space="0" w:color="auto"/>
      </w:divBdr>
    </w:div>
    <w:div w:id="1904482528">
      <w:bodyDiv w:val="1"/>
      <w:marLeft w:val="0"/>
      <w:marRight w:val="0"/>
      <w:marTop w:val="0"/>
      <w:marBottom w:val="0"/>
      <w:divBdr>
        <w:top w:val="none" w:sz="0" w:space="0" w:color="auto"/>
        <w:left w:val="none" w:sz="0" w:space="0" w:color="auto"/>
        <w:bottom w:val="none" w:sz="0" w:space="0" w:color="auto"/>
        <w:right w:val="none" w:sz="0" w:space="0" w:color="auto"/>
      </w:divBdr>
    </w:div>
    <w:div w:id="1927424413">
      <w:bodyDiv w:val="1"/>
      <w:marLeft w:val="0"/>
      <w:marRight w:val="0"/>
      <w:marTop w:val="0"/>
      <w:marBottom w:val="0"/>
      <w:divBdr>
        <w:top w:val="none" w:sz="0" w:space="0" w:color="auto"/>
        <w:left w:val="none" w:sz="0" w:space="0" w:color="auto"/>
        <w:bottom w:val="none" w:sz="0" w:space="0" w:color="auto"/>
        <w:right w:val="none" w:sz="0" w:space="0" w:color="auto"/>
      </w:divBdr>
      <w:divsChild>
        <w:div w:id="1745176003">
          <w:marLeft w:val="547"/>
          <w:marRight w:val="0"/>
          <w:marTop w:val="0"/>
          <w:marBottom w:val="0"/>
          <w:divBdr>
            <w:top w:val="none" w:sz="0" w:space="0" w:color="auto"/>
            <w:left w:val="none" w:sz="0" w:space="0" w:color="auto"/>
            <w:bottom w:val="none" w:sz="0" w:space="0" w:color="auto"/>
            <w:right w:val="none" w:sz="0" w:space="0" w:color="auto"/>
          </w:divBdr>
        </w:div>
      </w:divsChild>
    </w:div>
    <w:div w:id="1948002020">
      <w:bodyDiv w:val="1"/>
      <w:marLeft w:val="0"/>
      <w:marRight w:val="0"/>
      <w:marTop w:val="0"/>
      <w:marBottom w:val="0"/>
      <w:divBdr>
        <w:top w:val="none" w:sz="0" w:space="0" w:color="auto"/>
        <w:left w:val="none" w:sz="0" w:space="0" w:color="auto"/>
        <w:bottom w:val="none" w:sz="0" w:space="0" w:color="auto"/>
        <w:right w:val="none" w:sz="0" w:space="0" w:color="auto"/>
      </w:divBdr>
      <w:divsChild>
        <w:div w:id="408189727">
          <w:marLeft w:val="547"/>
          <w:marRight w:val="0"/>
          <w:marTop w:val="0"/>
          <w:marBottom w:val="0"/>
          <w:divBdr>
            <w:top w:val="none" w:sz="0" w:space="0" w:color="auto"/>
            <w:left w:val="none" w:sz="0" w:space="0" w:color="auto"/>
            <w:bottom w:val="none" w:sz="0" w:space="0" w:color="auto"/>
            <w:right w:val="none" w:sz="0" w:space="0" w:color="auto"/>
          </w:divBdr>
        </w:div>
      </w:divsChild>
    </w:div>
    <w:div w:id="1972246008">
      <w:bodyDiv w:val="1"/>
      <w:marLeft w:val="0"/>
      <w:marRight w:val="0"/>
      <w:marTop w:val="0"/>
      <w:marBottom w:val="0"/>
      <w:divBdr>
        <w:top w:val="none" w:sz="0" w:space="0" w:color="auto"/>
        <w:left w:val="none" w:sz="0" w:space="0" w:color="auto"/>
        <w:bottom w:val="none" w:sz="0" w:space="0" w:color="auto"/>
        <w:right w:val="none" w:sz="0" w:space="0" w:color="auto"/>
      </w:divBdr>
      <w:divsChild>
        <w:div w:id="1901944628">
          <w:marLeft w:val="547"/>
          <w:marRight w:val="0"/>
          <w:marTop w:val="0"/>
          <w:marBottom w:val="0"/>
          <w:divBdr>
            <w:top w:val="none" w:sz="0" w:space="0" w:color="auto"/>
            <w:left w:val="none" w:sz="0" w:space="0" w:color="auto"/>
            <w:bottom w:val="none" w:sz="0" w:space="0" w:color="auto"/>
            <w:right w:val="none" w:sz="0" w:space="0" w:color="auto"/>
          </w:divBdr>
        </w:div>
        <w:div w:id="1131829334">
          <w:marLeft w:val="547"/>
          <w:marRight w:val="0"/>
          <w:marTop w:val="0"/>
          <w:marBottom w:val="0"/>
          <w:divBdr>
            <w:top w:val="none" w:sz="0" w:space="0" w:color="auto"/>
            <w:left w:val="none" w:sz="0" w:space="0" w:color="auto"/>
            <w:bottom w:val="none" w:sz="0" w:space="0" w:color="auto"/>
            <w:right w:val="none" w:sz="0" w:space="0" w:color="auto"/>
          </w:divBdr>
        </w:div>
        <w:div w:id="1099527643">
          <w:marLeft w:val="547"/>
          <w:marRight w:val="0"/>
          <w:marTop w:val="0"/>
          <w:marBottom w:val="0"/>
          <w:divBdr>
            <w:top w:val="none" w:sz="0" w:space="0" w:color="auto"/>
            <w:left w:val="none" w:sz="0" w:space="0" w:color="auto"/>
            <w:bottom w:val="none" w:sz="0" w:space="0" w:color="auto"/>
            <w:right w:val="none" w:sz="0" w:space="0" w:color="auto"/>
          </w:divBdr>
        </w:div>
      </w:divsChild>
    </w:div>
    <w:div w:id="2037655456">
      <w:bodyDiv w:val="1"/>
      <w:marLeft w:val="0"/>
      <w:marRight w:val="0"/>
      <w:marTop w:val="0"/>
      <w:marBottom w:val="0"/>
      <w:divBdr>
        <w:top w:val="none" w:sz="0" w:space="0" w:color="auto"/>
        <w:left w:val="none" w:sz="0" w:space="0" w:color="auto"/>
        <w:bottom w:val="none" w:sz="0" w:space="0" w:color="auto"/>
        <w:right w:val="none" w:sz="0" w:space="0" w:color="auto"/>
      </w:divBdr>
    </w:div>
    <w:div w:id="2071032500">
      <w:bodyDiv w:val="1"/>
      <w:marLeft w:val="0"/>
      <w:marRight w:val="0"/>
      <w:marTop w:val="0"/>
      <w:marBottom w:val="0"/>
      <w:divBdr>
        <w:top w:val="none" w:sz="0" w:space="0" w:color="auto"/>
        <w:left w:val="none" w:sz="0" w:space="0" w:color="auto"/>
        <w:bottom w:val="none" w:sz="0" w:space="0" w:color="auto"/>
        <w:right w:val="none" w:sz="0" w:space="0" w:color="auto"/>
      </w:divBdr>
    </w:div>
    <w:div w:id="2092726462">
      <w:bodyDiv w:val="1"/>
      <w:marLeft w:val="0"/>
      <w:marRight w:val="0"/>
      <w:marTop w:val="0"/>
      <w:marBottom w:val="0"/>
      <w:divBdr>
        <w:top w:val="none" w:sz="0" w:space="0" w:color="auto"/>
        <w:left w:val="none" w:sz="0" w:space="0" w:color="auto"/>
        <w:bottom w:val="none" w:sz="0" w:space="0" w:color="auto"/>
        <w:right w:val="none" w:sz="0" w:space="0" w:color="auto"/>
      </w:divBdr>
      <w:divsChild>
        <w:div w:id="15482977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19/10/interim-findings-of-the-vaccinations-and-immunisations-review-201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21396</CharactersWithSpaces>
  <SharedDoc>false</SharedDoc>
  <HLinks>
    <vt:vector size="6" baseType="variant">
      <vt:variant>
        <vt:i4>8323128</vt:i4>
      </vt:variant>
      <vt:variant>
        <vt:i4>0</vt:i4>
      </vt:variant>
      <vt:variant>
        <vt:i4>0</vt:i4>
      </vt:variant>
      <vt:variant>
        <vt:i4>5</vt:i4>
      </vt:variant>
      <vt:variant>
        <vt:lpwstr>https://www.nice.org.uk/about/who-we-are/sustainability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2020-09-11T15:32:00Z</dcterms:created>
  <dcterms:modified xsi:type="dcterms:W3CDTF">2021-06-30T11:42:00Z</dcterms:modified>
</cp:coreProperties>
</file>