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389B14F2" w:rsidR="00B8026E" w:rsidRDefault="00B8026E" w:rsidP="00B8026E">
      <w:pPr>
        <w:pStyle w:val="NICEnormal"/>
      </w:pPr>
      <w:r>
        <w:t>Date first published on NICE menu:</w:t>
      </w:r>
      <w:r w:rsidR="00DF637B">
        <w:t xml:space="preserve"> </w:t>
      </w:r>
      <w:r w:rsidR="00F11E7E">
        <w:t>2013</w:t>
      </w:r>
    </w:p>
    <w:p w14:paraId="06BAB3FE" w14:textId="011B41A8" w:rsidR="00B8026E" w:rsidRPr="00126C3F" w:rsidRDefault="00B8026E" w:rsidP="00B8026E">
      <w:pPr>
        <w:pStyle w:val="NICEnormal"/>
        <w:rPr>
          <w:b/>
        </w:rPr>
      </w:pPr>
      <w:r>
        <w:t>Last update</w:t>
      </w:r>
      <w:r w:rsidRPr="00B8026E">
        <w:t xml:space="preserve">: </w:t>
      </w:r>
      <w:r w:rsidR="00AC1EC7">
        <w:t>October</w:t>
      </w:r>
      <w:r w:rsidR="00F11E7E">
        <w:t xml:space="preserve"> 2020</w:t>
      </w:r>
    </w:p>
    <w:p w14:paraId="6107852F" w14:textId="35F21CC7" w:rsidR="006F0A86" w:rsidRPr="00E72A32" w:rsidRDefault="006F0A86" w:rsidP="00E72A32">
      <w:pPr>
        <w:pStyle w:val="Heading2"/>
        <w:rPr>
          <w:i w:val="0"/>
          <w:iCs w:val="0"/>
        </w:rPr>
      </w:pPr>
      <w:r w:rsidRPr="00E72A32">
        <w:rPr>
          <w:i w:val="0"/>
          <w:iCs w:val="0"/>
        </w:rPr>
        <w:t xml:space="preserve">Indicator </w:t>
      </w:r>
      <w:r w:rsidR="00FF7420" w:rsidRPr="00E72A32">
        <w:rPr>
          <w:i w:val="0"/>
          <w:iCs w:val="0"/>
        </w:rPr>
        <w:t>CCG01</w:t>
      </w:r>
    </w:p>
    <w:p w14:paraId="0A6C169D" w14:textId="3BA661EB" w:rsidR="00611A1D" w:rsidRPr="00611A1D" w:rsidRDefault="00FF7420" w:rsidP="00611A1D">
      <w:pPr>
        <w:pStyle w:val="Paragraph"/>
      </w:pPr>
      <w:r w:rsidRPr="00FF7420">
        <w:t>The proportion of invasive cases of cancer diagnosed via an emergency route.</w:t>
      </w:r>
    </w:p>
    <w:p w14:paraId="18778417" w14:textId="333A8E39" w:rsidR="00806B97" w:rsidRPr="00E72A32" w:rsidRDefault="00806B97" w:rsidP="00E72A32">
      <w:pPr>
        <w:pStyle w:val="Heading2"/>
        <w:rPr>
          <w:i w:val="0"/>
          <w:iCs w:val="0"/>
        </w:rPr>
      </w:pPr>
      <w:r w:rsidRPr="00E72A32">
        <w:rPr>
          <w:i w:val="0"/>
          <w:iCs w:val="0"/>
        </w:rPr>
        <w:t xml:space="preserve">Indicator type </w:t>
      </w:r>
    </w:p>
    <w:p w14:paraId="7C80C1AF" w14:textId="25D1E7E7" w:rsidR="001C31E9" w:rsidRPr="00F6535D" w:rsidRDefault="001C31E9" w:rsidP="00F6535D">
      <w:pPr>
        <w:pStyle w:val="Paragraph"/>
      </w:pPr>
      <w:r w:rsidRPr="00FF7420">
        <w:t>Clinical commissioning group indicator</w:t>
      </w:r>
    </w:p>
    <w:p w14:paraId="5CBA37E8" w14:textId="6F58C6BE" w:rsidR="006F0A86" w:rsidRPr="00E72A32" w:rsidRDefault="006F0A86" w:rsidP="00E72A32">
      <w:pPr>
        <w:pStyle w:val="Heading2"/>
        <w:rPr>
          <w:i w:val="0"/>
          <w:iCs w:val="0"/>
        </w:rPr>
      </w:pPr>
      <w:r w:rsidRPr="00E72A32">
        <w:rPr>
          <w:i w:val="0"/>
          <w:iCs w:val="0"/>
        </w:rPr>
        <w:t>Rationale</w:t>
      </w:r>
    </w:p>
    <w:p w14:paraId="36B429FF" w14:textId="53E0246A" w:rsidR="00FF7420" w:rsidRDefault="00FF7420" w:rsidP="00BD6253">
      <w:pPr>
        <w:pStyle w:val="NICEnormal"/>
        <w:rPr>
          <w:highlight w:val="lightGray"/>
        </w:rPr>
      </w:pPr>
      <w:r w:rsidRPr="00FF7420">
        <w:t xml:space="preserve">Approximately a </w:t>
      </w:r>
      <w:hyperlink r:id="rId7" w:history="1">
        <w:r w:rsidRPr="003434EC">
          <w:rPr>
            <w:rStyle w:val="Hyperlink"/>
          </w:rPr>
          <w:t>fifth of people with cancer</w:t>
        </w:r>
      </w:hyperlink>
      <w:r w:rsidRPr="00FF7420">
        <w:t xml:space="preserve"> are diagnosed via emergency routes. Survival rates for people diagnosed via emergency routes are considerably lower than for other cancer patients. By identifying the proportion of people who first present as an emergency, it is likely to prompt investigation into why these people did present as emergencies and how some patients could have presented earlier via a different route.  An increase in the proportion of people who present through more managed process will correspond with improved outcomes. </w:t>
      </w:r>
      <w:r w:rsidR="009D3B02" w:rsidRPr="00FF7420">
        <w:t>Therefore,</w:t>
      </w:r>
      <w:r w:rsidRPr="00FF7420">
        <w:t xml:space="preserve"> this indicator is useful for assessing improvements in early diagnosis.</w:t>
      </w:r>
    </w:p>
    <w:p w14:paraId="69D4A75D" w14:textId="77777777" w:rsidR="00D141B1" w:rsidRPr="00E72A32" w:rsidRDefault="00D141B1" w:rsidP="00E72A32">
      <w:pPr>
        <w:pStyle w:val="Heading2"/>
        <w:rPr>
          <w:i w:val="0"/>
          <w:iCs w:val="0"/>
        </w:rPr>
      </w:pPr>
      <w:r w:rsidRPr="00E72A32">
        <w:rPr>
          <w:i w:val="0"/>
          <w:iCs w:val="0"/>
        </w:rPr>
        <w:t xml:space="preserve">Source guidance </w:t>
      </w:r>
    </w:p>
    <w:p w14:paraId="47478902" w14:textId="79993310" w:rsidR="005B28E6" w:rsidRDefault="00991AB6" w:rsidP="00D141B1">
      <w:pPr>
        <w:pStyle w:val="NICEnormal"/>
        <w:rPr>
          <w:highlight w:val="lightGray"/>
        </w:rPr>
      </w:pPr>
      <w:hyperlink r:id="rId8" w:history="1">
        <w:r w:rsidR="006E4781" w:rsidRPr="002607B2">
          <w:rPr>
            <w:rStyle w:val="Hyperlink"/>
          </w:rPr>
          <w:t>Suspected cancer: recognition and referral</w:t>
        </w:r>
        <w:r w:rsidR="002607B2" w:rsidRPr="002607B2">
          <w:rPr>
            <w:rStyle w:val="Hyperlink"/>
          </w:rPr>
          <w:t>.</w:t>
        </w:r>
        <w:r w:rsidR="006E4781" w:rsidRPr="002607B2">
          <w:rPr>
            <w:rStyle w:val="Hyperlink"/>
          </w:rPr>
          <w:t xml:space="preserve"> </w:t>
        </w:r>
        <w:r w:rsidR="002607B2" w:rsidRPr="002607B2">
          <w:rPr>
            <w:rStyle w:val="Hyperlink"/>
          </w:rPr>
          <w:t>NICE guideline NG12</w:t>
        </w:r>
      </w:hyperlink>
      <w:r w:rsidR="002607B2">
        <w:t xml:space="preserve"> </w:t>
      </w:r>
      <w:r w:rsidR="007A3A15">
        <w:t xml:space="preserve">(2015) </w:t>
      </w:r>
    </w:p>
    <w:p w14:paraId="05AD89C4" w14:textId="77777777" w:rsidR="00D141B1" w:rsidRPr="00E72A32" w:rsidRDefault="00D141B1" w:rsidP="00E72A32">
      <w:pPr>
        <w:pStyle w:val="Heading2"/>
        <w:rPr>
          <w:i w:val="0"/>
          <w:iCs w:val="0"/>
        </w:rPr>
      </w:pPr>
      <w:r w:rsidRPr="00E72A32">
        <w:rPr>
          <w:i w:val="0"/>
          <w:iCs w:val="0"/>
        </w:rPr>
        <w:t xml:space="preserve">Specification </w:t>
      </w:r>
    </w:p>
    <w:p w14:paraId="4B62A813" w14:textId="73999DA7" w:rsidR="0009195D" w:rsidRDefault="00D141B1" w:rsidP="00D141B1">
      <w:pPr>
        <w:pStyle w:val="NICEnormal"/>
      </w:pPr>
      <w:r>
        <w:t xml:space="preserve">Numerator: </w:t>
      </w:r>
      <w:r w:rsidR="005B28E6" w:rsidRPr="005B28E6">
        <w:t>The number in the denominator where the first presentation to secondary care was via an emergency route.</w:t>
      </w:r>
      <w:r w:rsidR="0009195D" w:rsidRPr="0009195D">
        <w:t xml:space="preserve"> </w:t>
      </w:r>
    </w:p>
    <w:p w14:paraId="06B62F8F" w14:textId="6906224C" w:rsidR="00D141B1" w:rsidRDefault="00D141B1" w:rsidP="00D141B1">
      <w:pPr>
        <w:pStyle w:val="NICEnormal"/>
      </w:pPr>
      <w:r>
        <w:t xml:space="preserve">Denominator: </w:t>
      </w:r>
      <w:r w:rsidR="005B28E6" w:rsidRPr="005B28E6">
        <w:t xml:space="preserve">The number </w:t>
      </w:r>
      <w:r w:rsidR="006E4781">
        <w:t>of cases of</w:t>
      </w:r>
      <w:r w:rsidR="00BB6FAA">
        <w:t xml:space="preserve"> </w:t>
      </w:r>
      <w:r w:rsidR="005B28E6" w:rsidRPr="005B28E6">
        <w:t>invasive cancer</w:t>
      </w:r>
      <w:r w:rsidR="00BB6FAA">
        <w:t>.</w:t>
      </w:r>
    </w:p>
    <w:p w14:paraId="04501E11" w14:textId="2D95785E" w:rsidR="0009195D" w:rsidRDefault="0009195D" w:rsidP="00D141B1">
      <w:pPr>
        <w:pStyle w:val="NICEnormal"/>
      </w:pPr>
      <w:r w:rsidRPr="00BB6FAA">
        <w:t>Calculation: (Numerator/</w:t>
      </w:r>
      <w:proofErr w:type="gramStart"/>
      <w:r w:rsidRPr="00BB6FAA">
        <w:t>denominator)*</w:t>
      </w:r>
      <w:proofErr w:type="gramEnd"/>
      <w:r w:rsidRPr="00BB6FAA">
        <w:t>100</w:t>
      </w:r>
    </w:p>
    <w:p w14:paraId="200701E0" w14:textId="3F00FF89" w:rsidR="00D141B1" w:rsidRDefault="00D141B1" w:rsidP="00D141B1">
      <w:pPr>
        <w:pStyle w:val="NICEnormal"/>
      </w:pPr>
      <w:r>
        <w:lastRenderedPageBreak/>
        <w:t xml:space="preserve">Exclusions: </w:t>
      </w:r>
      <w:r w:rsidR="005B28E6">
        <w:t>P</w:t>
      </w:r>
      <w:r w:rsidR="00A97C28">
        <w:t>eople</w:t>
      </w:r>
      <w:r w:rsidR="005B28E6">
        <w:t xml:space="preserve"> diagnosed with</w:t>
      </w:r>
      <w:r w:rsidR="005B28E6" w:rsidRPr="005B28E6">
        <w:t xml:space="preserve"> non-melanoma skin cancer</w:t>
      </w:r>
      <w:r w:rsidR="002607B2">
        <w:t>.</w:t>
      </w:r>
      <w:r w:rsidR="00DF45AD">
        <w:t xml:space="preserve"> </w:t>
      </w:r>
    </w:p>
    <w:p w14:paraId="0D2624A5" w14:textId="576A6E59" w:rsidR="009607DA" w:rsidRDefault="009607DA" w:rsidP="00D141B1">
      <w:pPr>
        <w:pStyle w:val="NICEnormal"/>
      </w:pPr>
      <w:r>
        <w:t>Data</w:t>
      </w:r>
      <w:r w:rsidR="000962FA">
        <w:t xml:space="preserve"> </w:t>
      </w:r>
      <w:r>
        <w:t xml:space="preserve">source: </w:t>
      </w:r>
      <w:r w:rsidR="00BB6FAA" w:rsidRPr="00BB6FAA">
        <w:t>Cancer Analysis System (CAS), National Cancer Intelligence Network (NCIN).</w:t>
      </w:r>
      <w:r>
        <w:t xml:space="preserve"> </w:t>
      </w:r>
    </w:p>
    <w:p w14:paraId="15239063" w14:textId="5A3787E9" w:rsidR="00706451" w:rsidRDefault="00706451" w:rsidP="00D141B1">
      <w:pPr>
        <w:pStyle w:val="NICEnormal"/>
      </w:pPr>
      <w:r>
        <w:t xml:space="preserve">Minimum population: </w:t>
      </w:r>
      <w:r w:rsidR="000D5395" w:rsidRPr="00BB6FAA">
        <w:t xml:space="preserve">The indicator would be appropriate </w:t>
      </w:r>
      <w:r w:rsidR="00391F4B" w:rsidRPr="00BB6FAA">
        <w:t>to assess performance of individual CCGs</w:t>
      </w:r>
      <w:r w:rsidR="000D5395" w:rsidRPr="00BB6FAA">
        <w:t>.</w:t>
      </w:r>
    </w:p>
    <w:p w14:paraId="129ECA00" w14:textId="65691789" w:rsidR="0009195D" w:rsidRPr="00E72A32" w:rsidRDefault="0009195D" w:rsidP="00E72A32">
      <w:pPr>
        <w:pStyle w:val="Heading2"/>
        <w:rPr>
          <w:i w:val="0"/>
          <w:iCs w:val="0"/>
        </w:rPr>
      </w:pPr>
      <w:r w:rsidRPr="00E72A32">
        <w:rPr>
          <w:i w:val="0"/>
          <w:iCs w:val="0"/>
        </w:rPr>
        <w:t>Further information</w:t>
      </w:r>
    </w:p>
    <w:p w14:paraId="70B822BC" w14:textId="6A989792" w:rsidR="0009195D" w:rsidRPr="0009195D" w:rsidRDefault="0009195D" w:rsidP="0009195D">
      <w:pPr>
        <w:pStyle w:val="NICEnormal"/>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01B8" w14:textId="77777777" w:rsidR="00991AB6" w:rsidRDefault="00991AB6" w:rsidP="00446BEE">
      <w:r>
        <w:separator/>
      </w:r>
    </w:p>
  </w:endnote>
  <w:endnote w:type="continuationSeparator" w:id="0">
    <w:p w14:paraId="367E34A1" w14:textId="77777777" w:rsidR="00991AB6" w:rsidRDefault="00991AB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1361E" w14:textId="2EF608DF" w:rsidR="00665D15" w:rsidRPr="00EA7F52" w:rsidRDefault="00D141B1" w:rsidP="00D141B1">
    <w:pPr>
      <w:pStyle w:val="Footer"/>
    </w:pPr>
    <w:r>
      <w:t xml:space="preserve">NICE indicator guidance: </w:t>
    </w:r>
    <w:r w:rsidR="00665D15">
      <w:t>CCG01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50865" w14:textId="77777777" w:rsidR="00991AB6" w:rsidRDefault="00991AB6" w:rsidP="00446BEE">
      <w:r>
        <w:separator/>
      </w:r>
    </w:p>
  </w:footnote>
  <w:footnote w:type="continuationSeparator" w:id="0">
    <w:p w14:paraId="5362BE99" w14:textId="77777777" w:rsidR="00991AB6" w:rsidRDefault="00991AB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20E4"/>
    <w:rsid w:val="00004C89"/>
    <w:rsid w:val="000053F8"/>
    <w:rsid w:val="00006B0C"/>
    <w:rsid w:val="00010E88"/>
    <w:rsid w:val="00010FE2"/>
    <w:rsid w:val="00011273"/>
    <w:rsid w:val="00011320"/>
    <w:rsid w:val="00011BA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962FA"/>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1F38BE"/>
    <w:rsid w:val="00201EFB"/>
    <w:rsid w:val="00201FB8"/>
    <w:rsid w:val="002040A1"/>
    <w:rsid w:val="002042FC"/>
    <w:rsid w:val="00212D33"/>
    <w:rsid w:val="00216F31"/>
    <w:rsid w:val="0022030D"/>
    <w:rsid w:val="002224EE"/>
    <w:rsid w:val="00232A20"/>
    <w:rsid w:val="002408EA"/>
    <w:rsid w:val="00245B12"/>
    <w:rsid w:val="002607B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434EC"/>
    <w:rsid w:val="00350F6F"/>
    <w:rsid w:val="00352F88"/>
    <w:rsid w:val="0035406C"/>
    <w:rsid w:val="00355319"/>
    <w:rsid w:val="003554A3"/>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8E6"/>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65D15"/>
    <w:rsid w:val="006724CA"/>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E4781"/>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3A15"/>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1AB6"/>
    <w:rsid w:val="00993DD3"/>
    <w:rsid w:val="00994DDF"/>
    <w:rsid w:val="009C0BD9"/>
    <w:rsid w:val="009D037B"/>
    <w:rsid w:val="009D28EE"/>
    <w:rsid w:val="009D3369"/>
    <w:rsid w:val="009D3B02"/>
    <w:rsid w:val="009D400A"/>
    <w:rsid w:val="009D6C18"/>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97C28"/>
    <w:rsid w:val="00AA1A5B"/>
    <w:rsid w:val="00AA3B40"/>
    <w:rsid w:val="00AA4344"/>
    <w:rsid w:val="00AA4A2C"/>
    <w:rsid w:val="00AB2242"/>
    <w:rsid w:val="00AB3EE9"/>
    <w:rsid w:val="00AC1EC7"/>
    <w:rsid w:val="00AC39B9"/>
    <w:rsid w:val="00AC40E7"/>
    <w:rsid w:val="00AD2B6F"/>
    <w:rsid w:val="00AD4960"/>
    <w:rsid w:val="00AD75F4"/>
    <w:rsid w:val="00AE008D"/>
    <w:rsid w:val="00AE1B84"/>
    <w:rsid w:val="00AE46B3"/>
    <w:rsid w:val="00AE6DA6"/>
    <w:rsid w:val="00AE6E33"/>
    <w:rsid w:val="00AF083F"/>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B6FAA"/>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1C42"/>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2A32"/>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1E7E"/>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2" TargetMode="External"/><Relationship Id="rId3" Type="http://schemas.openxmlformats.org/officeDocument/2006/relationships/settings" Target="settings.xml"/><Relationship Id="rId7" Type="http://schemas.openxmlformats.org/officeDocument/2006/relationships/hyperlink" Target="http://www.ncin.org.uk/publications/routes_to_diagnos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2020-10-26T10:46:00Z</dcterms:created>
  <dcterms:modified xsi:type="dcterms:W3CDTF">2020-11-02T11:15:00Z</dcterms:modified>
</cp:coreProperties>
</file>