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07697E">
      <w:pPr>
        <w:pStyle w:val="Heading1"/>
        <w:jc w:val="center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07697E">
      <w:pPr>
        <w:pStyle w:val="Heading1"/>
      </w:pPr>
      <w:r w:rsidRPr="00697B97">
        <w:t xml:space="preserve">NICE </w:t>
      </w:r>
      <w:r w:rsidR="00126C3F">
        <w:t>indicator guidance</w:t>
      </w:r>
    </w:p>
    <w:p w14:paraId="47C90B13" w14:textId="6BC388F5" w:rsidR="00B8026E" w:rsidRDefault="00B8026E" w:rsidP="003170AC">
      <w:pPr>
        <w:pStyle w:val="Paragraph"/>
      </w:pPr>
      <w:r>
        <w:t>Date first published on NICE menu:</w:t>
      </w:r>
      <w:r w:rsidR="00DF637B">
        <w:t xml:space="preserve"> </w:t>
      </w:r>
      <w:r w:rsidR="00F141C6">
        <w:t>2013</w:t>
      </w:r>
    </w:p>
    <w:p w14:paraId="06BAB3FE" w14:textId="6DCA1EF0" w:rsidR="00B8026E" w:rsidRPr="00126C3F" w:rsidRDefault="00B8026E" w:rsidP="003170AC">
      <w:pPr>
        <w:pStyle w:val="Paragraph"/>
        <w:rPr>
          <w:b/>
        </w:rPr>
      </w:pPr>
      <w:r>
        <w:t>Last update</w:t>
      </w:r>
      <w:r w:rsidRPr="00B8026E">
        <w:t>:</w:t>
      </w:r>
      <w:r w:rsidR="00E22DCE" w:rsidRPr="00E22DCE">
        <w:t xml:space="preserve"> </w:t>
      </w:r>
      <w:r w:rsidR="000C0C47">
        <w:t>October</w:t>
      </w:r>
      <w:r w:rsidR="008C5824">
        <w:t xml:space="preserve"> </w:t>
      </w:r>
      <w:r w:rsidR="009512AB">
        <w:t>2020</w:t>
      </w:r>
    </w:p>
    <w:p w14:paraId="6107852F" w14:textId="4C5A34B9" w:rsidR="006F0A86" w:rsidRPr="0007697E" w:rsidRDefault="006F0A86" w:rsidP="0007697E">
      <w:pPr>
        <w:pStyle w:val="Heading2"/>
        <w:rPr>
          <w:i w:val="0"/>
          <w:iCs w:val="0"/>
        </w:rPr>
      </w:pPr>
      <w:r w:rsidRPr="0007697E">
        <w:rPr>
          <w:i w:val="0"/>
          <w:iCs w:val="0"/>
        </w:rPr>
        <w:t xml:space="preserve">Indicator </w:t>
      </w:r>
      <w:r w:rsidR="00364213" w:rsidRPr="0007697E">
        <w:rPr>
          <w:i w:val="0"/>
          <w:iCs w:val="0"/>
        </w:rPr>
        <w:t>CCG04</w:t>
      </w:r>
    </w:p>
    <w:p w14:paraId="25DA716B" w14:textId="77777777" w:rsidR="00364213" w:rsidRDefault="00364213" w:rsidP="0007697E">
      <w:pPr>
        <w:pStyle w:val="NICEnormal"/>
        <w:rPr>
          <w:b/>
          <w:bCs/>
        </w:rPr>
      </w:pPr>
      <w:r w:rsidRPr="00364213">
        <w:t>Breast cancer mortality rates.</w:t>
      </w:r>
    </w:p>
    <w:p w14:paraId="18778417" w14:textId="38DD88EB" w:rsidR="00806B97" w:rsidRPr="0007697E" w:rsidRDefault="00806B97" w:rsidP="0007697E">
      <w:pPr>
        <w:pStyle w:val="Heading2"/>
        <w:rPr>
          <w:i w:val="0"/>
          <w:iCs w:val="0"/>
        </w:rPr>
      </w:pPr>
      <w:r w:rsidRPr="0007697E">
        <w:rPr>
          <w:i w:val="0"/>
          <w:iCs w:val="0"/>
        </w:rPr>
        <w:t xml:space="preserve">Indicator type </w:t>
      </w:r>
    </w:p>
    <w:p w14:paraId="7C80C1AF" w14:textId="397F9347" w:rsidR="001C31E9" w:rsidRPr="00F6535D" w:rsidRDefault="001C31E9" w:rsidP="00F6535D">
      <w:pPr>
        <w:pStyle w:val="Paragraph"/>
      </w:pPr>
      <w:r w:rsidRPr="00364213">
        <w:t>Clinical commissioning group indicator</w:t>
      </w:r>
    </w:p>
    <w:p w14:paraId="5CBA37E8" w14:textId="6F58C6BE" w:rsidR="006F0A86" w:rsidRPr="0007697E" w:rsidRDefault="006F0A86" w:rsidP="0007697E">
      <w:pPr>
        <w:pStyle w:val="Heading2"/>
        <w:rPr>
          <w:i w:val="0"/>
          <w:iCs w:val="0"/>
        </w:rPr>
      </w:pPr>
      <w:r w:rsidRPr="0007697E">
        <w:rPr>
          <w:i w:val="0"/>
          <w:iCs w:val="0"/>
        </w:rPr>
        <w:t>Rationale</w:t>
      </w:r>
    </w:p>
    <w:p w14:paraId="7D971725" w14:textId="03091C59" w:rsidR="00364213" w:rsidRDefault="00364213" w:rsidP="003170AC">
      <w:pPr>
        <w:pStyle w:val="Paragraph"/>
      </w:pPr>
      <w:r w:rsidRPr="00364213">
        <w:t xml:space="preserve">The indicator can be influenced by CCGs in </w:t>
      </w:r>
      <w:proofErr w:type="gramStart"/>
      <w:r w:rsidRPr="00364213">
        <w:t>a number of</w:t>
      </w:r>
      <w:proofErr w:type="gramEnd"/>
      <w:r w:rsidRPr="00364213">
        <w:t xml:space="preserve"> ways including improved early detection. Improvements in the quality and availability of effective treatments are also reflected by lower mortality rates.</w:t>
      </w:r>
    </w:p>
    <w:p w14:paraId="69D4A75D" w14:textId="77777777" w:rsidR="00D141B1" w:rsidRPr="0007697E" w:rsidRDefault="00D141B1" w:rsidP="0007697E">
      <w:pPr>
        <w:pStyle w:val="Heading2"/>
        <w:rPr>
          <w:i w:val="0"/>
          <w:iCs w:val="0"/>
        </w:rPr>
      </w:pPr>
      <w:r w:rsidRPr="0007697E">
        <w:rPr>
          <w:i w:val="0"/>
          <w:iCs w:val="0"/>
        </w:rPr>
        <w:t xml:space="preserve">Source guidance </w:t>
      </w:r>
    </w:p>
    <w:p w14:paraId="1E259BBD" w14:textId="2D1D3761" w:rsidR="00D141B1" w:rsidRPr="00BD6253" w:rsidRDefault="00A308CB" w:rsidP="003170AC">
      <w:pPr>
        <w:pStyle w:val="Paragraph"/>
      </w:pPr>
      <w:hyperlink r:id="rId8" w:history="1">
        <w:r w:rsidR="008C5824">
          <w:rPr>
            <w:rStyle w:val="Hyperlink"/>
          </w:rPr>
          <w:t>Early and locally advanced breast cancer: diagnosis and management. NICE guideline NG101</w:t>
        </w:r>
      </w:hyperlink>
      <w:r w:rsidR="008C5824" w:rsidRPr="008C5824">
        <w:t xml:space="preserve"> </w:t>
      </w:r>
      <w:r w:rsidR="008C5824">
        <w:t xml:space="preserve">(2018) </w:t>
      </w:r>
      <w:r w:rsidR="008C5824" w:rsidRPr="00DF59B0">
        <w:rPr>
          <w:highlight w:val="lightGray"/>
        </w:rPr>
        <w:t xml:space="preserve"> </w:t>
      </w:r>
      <w:r w:rsidR="008C5824">
        <w:rPr>
          <w:highlight w:val="lightGray"/>
        </w:rPr>
        <w:t xml:space="preserve"> </w:t>
      </w:r>
    </w:p>
    <w:p w14:paraId="05AD89C4" w14:textId="77777777" w:rsidR="00D141B1" w:rsidRPr="0007697E" w:rsidRDefault="00D141B1" w:rsidP="0007697E">
      <w:pPr>
        <w:pStyle w:val="Heading2"/>
        <w:rPr>
          <w:i w:val="0"/>
          <w:iCs w:val="0"/>
        </w:rPr>
      </w:pPr>
      <w:r w:rsidRPr="0007697E">
        <w:rPr>
          <w:i w:val="0"/>
          <w:iCs w:val="0"/>
        </w:rPr>
        <w:t xml:space="preserve">Specification </w:t>
      </w:r>
    </w:p>
    <w:p w14:paraId="5EA8C342" w14:textId="0FCE85A0" w:rsidR="002D7E1B" w:rsidRDefault="00D141B1" w:rsidP="003170AC">
      <w:pPr>
        <w:pStyle w:val="Paragraph"/>
      </w:pPr>
      <w:r>
        <w:t xml:space="preserve">Numerator: </w:t>
      </w:r>
      <w:r w:rsidR="00364213" w:rsidRPr="00364213">
        <w:t>The number of registered deaths from breast cancer in the relevant year.</w:t>
      </w:r>
      <w:r w:rsidR="002D7E1B">
        <w:t xml:space="preserve"> </w:t>
      </w:r>
    </w:p>
    <w:p w14:paraId="06B62F8F" w14:textId="76624097" w:rsidR="00D141B1" w:rsidRDefault="00D141B1" w:rsidP="003170AC">
      <w:pPr>
        <w:pStyle w:val="Paragraph"/>
      </w:pPr>
      <w:r>
        <w:t xml:space="preserve">Denominator: </w:t>
      </w:r>
      <w:r w:rsidR="00364213" w:rsidRPr="00364213">
        <w:t>The number of people with breast cancer.</w:t>
      </w:r>
    </w:p>
    <w:p w14:paraId="04501E11" w14:textId="4E688288" w:rsidR="0009195D" w:rsidRDefault="0009195D" w:rsidP="003170AC">
      <w:pPr>
        <w:pStyle w:val="Paragraph"/>
      </w:pPr>
      <w:bookmarkStart w:id="0" w:name="_Hlk25331114"/>
      <w:r>
        <w:t xml:space="preserve">Calculation: </w:t>
      </w:r>
      <w:r w:rsidR="002D7E1B" w:rsidRPr="002D7E1B">
        <w:t>This indicator is calculated as a rate directly standardised by age and sex. Calculated per 100,000 registered patients.</w:t>
      </w:r>
    </w:p>
    <w:bookmarkEnd w:id="0"/>
    <w:p w14:paraId="200701E0" w14:textId="2071B620" w:rsidR="00D141B1" w:rsidRDefault="00D141B1" w:rsidP="003170AC">
      <w:pPr>
        <w:pStyle w:val="Paragraph"/>
      </w:pPr>
      <w:r>
        <w:t xml:space="preserve">Exclusions: </w:t>
      </w:r>
      <w:r w:rsidR="001F4153">
        <w:t>None</w:t>
      </w:r>
    </w:p>
    <w:p w14:paraId="0D2624A5" w14:textId="64CFC78A" w:rsidR="009607DA" w:rsidRDefault="009607DA" w:rsidP="003170AC">
      <w:pPr>
        <w:pStyle w:val="Paragraph"/>
      </w:pPr>
      <w:r>
        <w:t>Data</w:t>
      </w:r>
      <w:r w:rsidR="001624E0">
        <w:t xml:space="preserve"> </w:t>
      </w:r>
      <w:r>
        <w:t xml:space="preserve">source: </w:t>
      </w:r>
      <w:r w:rsidR="00364213" w:rsidRPr="00364213">
        <w:t>Primary Care Mortality Database.</w:t>
      </w:r>
    </w:p>
    <w:p w14:paraId="15239063" w14:textId="604F728A" w:rsidR="00706451" w:rsidRDefault="00706451" w:rsidP="003170AC">
      <w:pPr>
        <w:pStyle w:val="Paragraph"/>
      </w:pPr>
      <w:r>
        <w:lastRenderedPageBreak/>
        <w:t xml:space="preserve">Minimum population: </w:t>
      </w:r>
      <w:r w:rsidR="000D5395" w:rsidRPr="00364213">
        <w:t xml:space="preserve">The indicator </w:t>
      </w:r>
      <w:r w:rsidR="001F4153">
        <w:t xml:space="preserve">is </w:t>
      </w:r>
      <w:r w:rsidR="000D5395" w:rsidRPr="00364213">
        <w:t xml:space="preserve">appropriate </w:t>
      </w:r>
      <w:r w:rsidR="00391F4B" w:rsidRPr="00364213">
        <w:t>to assess performance of individual CCGs</w:t>
      </w:r>
      <w:r w:rsidR="000D5395" w:rsidRPr="00364213">
        <w:t>.</w:t>
      </w:r>
    </w:p>
    <w:p w14:paraId="129ECA00" w14:textId="65691789" w:rsidR="0009195D" w:rsidRPr="0007697E" w:rsidRDefault="0009195D" w:rsidP="0007697E">
      <w:pPr>
        <w:pStyle w:val="Heading2"/>
        <w:rPr>
          <w:i w:val="0"/>
          <w:iCs w:val="0"/>
        </w:rPr>
      </w:pPr>
      <w:r w:rsidRPr="0007697E">
        <w:rPr>
          <w:i w:val="0"/>
          <w:iCs w:val="0"/>
        </w:rPr>
        <w:t>Further information</w:t>
      </w:r>
    </w:p>
    <w:p w14:paraId="70B822BC" w14:textId="6A989792" w:rsidR="0009195D" w:rsidRPr="0009195D" w:rsidRDefault="0009195D" w:rsidP="003170AC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79F02" w14:textId="77777777" w:rsidR="00A308CB" w:rsidRDefault="00A308CB" w:rsidP="00446BEE">
      <w:r>
        <w:separator/>
      </w:r>
    </w:p>
  </w:endnote>
  <w:endnote w:type="continuationSeparator" w:id="0">
    <w:p w14:paraId="6E26610D" w14:textId="77777777" w:rsidR="00A308CB" w:rsidRDefault="00A308C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2260E20" w:rsidR="00245B12" w:rsidRPr="00EA7F52" w:rsidRDefault="00D141B1" w:rsidP="00D141B1">
    <w:pPr>
      <w:pStyle w:val="Footer"/>
    </w:pPr>
    <w:r>
      <w:t xml:space="preserve">NICE indicator guidance: </w:t>
    </w:r>
    <w:r w:rsidR="00364213">
      <w:t>CCG04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25479" w14:textId="77777777" w:rsidR="00A308CB" w:rsidRDefault="00A308CB" w:rsidP="00446BEE">
      <w:r>
        <w:separator/>
      </w:r>
    </w:p>
  </w:footnote>
  <w:footnote w:type="continuationSeparator" w:id="0">
    <w:p w14:paraId="2B6530DB" w14:textId="77777777" w:rsidR="00A308CB" w:rsidRDefault="00A308CB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54182"/>
    <w:rsid w:val="00062BB5"/>
    <w:rsid w:val="00064F98"/>
    <w:rsid w:val="00065C98"/>
    <w:rsid w:val="00070065"/>
    <w:rsid w:val="000745C9"/>
    <w:rsid w:val="0007697E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0C47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20B3"/>
    <w:rsid w:val="0015609C"/>
    <w:rsid w:val="0015655B"/>
    <w:rsid w:val="00156AF4"/>
    <w:rsid w:val="001624E0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1F4153"/>
    <w:rsid w:val="00201EFB"/>
    <w:rsid w:val="00201FB8"/>
    <w:rsid w:val="002040A1"/>
    <w:rsid w:val="002042FC"/>
    <w:rsid w:val="00212D33"/>
    <w:rsid w:val="00216F31"/>
    <w:rsid w:val="0022030D"/>
    <w:rsid w:val="002224EE"/>
    <w:rsid w:val="00223B9B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D7E1B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170AC"/>
    <w:rsid w:val="00336D76"/>
    <w:rsid w:val="00337052"/>
    <w:rsid w:val="00350F6F"/>
    <w:rsid w:val="00352750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213"/>
    <w:rsid w:val="003648C5"/>
    <w:rsid w:val="003667A5"/>
    <w:rsid w:val="00366E8E"/>
    <w:rsid w:val="00371D08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B65E4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4126F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1DCC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C5824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12A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08CB"/>
    <w:rsid w:val="00A319F2"/>
    <w:rsid w:val="00A3325A"/>
    <w:rsid w:val="00A36A8D"/>
    <w:rsid w:val="00A36C84"/>
    <w:rsid w:val="00A421A8"/>
    <w:rsid w:val="00A43013"/>
    <w:rsid w:val="00A45DEA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0873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59B0"/>
    <w:rsid w:val="00DF637B"/>
    <w:rsid w:val="00DF7DE7"/>
    <w:rsid w:val="00E02ADB"/>
    <w:rsid w:val="00E05591"/>
    <w:rsid w:val="00E06D6C"/>
    <w:rsid w:val="00E10F96"/>
    <w:rsid w:val="00E131B5"/>
    <w:rsid w:val="00E202F5"/>
    <w:rsid w:val="00E22DCE"/>
    <w:rsid w:val="00E22E21"/>
    <w:rsid w:val="00E24349"/>
    <w:rsid w:val="00E33001"/>
    <w:rsid w:val="00E338B1"/>
    <w:rsid w:val="00E37339"/>
    <w:rsid w:val="00E41AA3"/>
    <w:rsid w:val="00E51920"/>
    <w:rsid w:val="00E64120"/>
    <w:rsid w:val="00E65B84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141C6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A7ABE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38BCA-4E3D-4FBF-A5BB-19966E57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2020-10-26T10:51:00Z</dcterms:created>
  <dcterms:modified xsi:type="dcterms:W3CDTF">2020-11-02T12:01:00Z</dcterms:modified>
</cp:coreProperties>
</file>