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A9543" w14:textId="77777777" w:rsidR="00E202F5" w:rsidRPr="00402391" w:rsidRDefault="00E202F5" w:rsidP="001969E8">
      <w:pPr>
        <w:pStyle w:val="Heading1"/>
        <w:jc w:val="center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402391">
      <w:pPr>
        <w:pStyle w:val="Title"/>
      </w:pPr>
      <w:r w:rsidRPr="00697B97">
        <w:t xml:space="preserve">NICE </w:t>
      </w:r>
      <w:r w:rsidR="00126C3F">
        <w:t>indicator guidance</w:t>
      </w:r>
    </w:p>
    <w:p w14:paraId="47C90B13" w14:textId="1F2D0ABD" w:rsidR="00B8026E" w:rsidRDefault="00B8026E" w:rsidP="00EE354D">
      <w:pPr>
        <w:pStyle w:val="Paragraph"/>
      </w:pPr>
      <w:r>
        <w:t>Date first published on NICE menu:</w:t>
      </w:r>
      <w:r w:rsidR="00DF637B">
        <w:t xml:space="preserve"> </w:t>
      </w:r>
      <w:r w:rsidR="005776F0">
        <w:t>2013</w:t>
      </w:r>
    </w:p>
    <w:p w14:paraId="06BAB3FE" w14:textId="09BF5DBC" w:rsidR="00B8026E" w:rsidRPr="00126C3F" w:rsidRDefault="00B8026E" w:rsidP="00EE354D">
      <w:pPr>
        <w:pStyle w:val="Paragraph"/>
        <w:rPr>
          <w:b/>
        </w:rPr>
      </w:pPr>
      <w:r>
        <w:t>Last update</w:t>
      </w:r>
      <w:r w:rsidRPr="00B8026E">
        <w:t xml:space="preserve">: </w:t>
      </w:r>
      <w:r w:rsidR="00C05AC5">
        <w:t>October</w:t>
      </w:r>
      <w:r w:rsidR="00CF0C2E">
        <w:t xml:space="preserve"> 2020</w:t>
      </w:r>
    </w:p>
    <w:p w14:paraId="6107852F" w14:textId="561116E4" w:rsidR="006F0A86" w:rsidRPr="001969E8" w:rsidRDefault="006F0A86" w:rsidP="001969E8">
      <w:pPr>
        <w:pStyle w:val="Heading2"/>
        <w:rPr>
          <w:i w:val="0"/>
          <w:iCs w:val="0"/>
        </w:rPr>
      </w:pPr>
      <w:r w:rsidRPr="001969E8">
        <w:rPr>
          <w:i w:val="0"/>
          <w:iCs w:val="0"/>
        </w:rPr>
        <w:t xml:space="preserve">Indicator </w:t>
      </w:r>
      <w:r w:rsidR="00CF0C2E" w:rsidRPr="001969E8">
        <w:rPr>
          <w:i w:val="0"/>
          <w:iCs w:val="0"/>
        </w:rPr>
        <w:t>CCG11</w:t>
      </w:r>
    </w:p>
    <w:p w14:paraId="0A6C169D" w14:textId="40D86473" w:rsidR="00611A1D" w:rsidRPr="00611A1D" w:rsidRDefault="00B90811" w:rsidP="00CF0C2E">
      <w:pPr>
        <w:pStyle w:val="Paragraph"/>
      </w:pPr>
      <w:r>
        <w:t>All-cause</w:t>
      </w:r>
      <w:r w:rsidR="00CF0C2E">
        <w:t xml:space="preserve"> mortality - 12 months following </w:t>
      </w:r>
      <w:r>
        <w:t xml:space="preserve">a first emergency </w:t>
      </w:r>
      <w:r w:rsidR="00CF0C2E">
        <w:t>admission to hospital for heart failure</w:t>
      </w:r>
      <w:r w:rsidR="00D77154">
        <w:t>.</w:t>
      </w:r>
    </w:p>
    <w:p w14:paraId="18778417" w14:textId="333A8E39" w:rsidR="00806B97" w:rsidRPr="001969E8" w:rsidRDefault="00806B97" w:rsidP="001969E8">
      <w:pPr>
        <w:pStyle w:val="Heading2"/>
        <w:rPr>
          <w:i w:val="0"/>
          <w:iCs w:val="0"/>
        </w:rPr>
      </w:pPr>
      <w:r w:rsidRPr="001969E8">
        <w:rPr>
          <w:i w:val="0"/>
          <w:iCs w:val="0"/>
        </w:rPr>
        <w:t xml:space="preserve">Indicator type </w:t>
      </w:r>
    </w:p>
    <w:p w14:paraId="7C80C1AF" w14:textId="0CF44038" w:rsidR="001C31E9" w:rsidRPr="00F6535D" w:rsidRDefault="001C31E9" w:rsidP="00F6535D">
      <w:pPr>
        <w:pStyle w:val="Paragraph"/>
      </w:pPr>
      <w:r w:rsidRPr="00F4150B">
        <w:t>Clinical commissioning group indicator</w:t>
      </w:r>
      <w:r w:rsidR="00435C3B" w:rsidRPr="00F4150B">
        <w:t>.</w:t>
      </w:r>
    </w:p>
    <w:p w14:paraId="5CBA37E8" w14:textId="6F58C6BE" w:rsidR="006F0A86" w:rsidRPr="001969E8" w:rsidRDefault="006F0A86" w:rsidP="001969E8">
      <w:pPr>
        <w:pStyle w:val="Heading2"/>
        <w:rPr>
          <w:i w:val="0"/>
          <w:iCs w:val="0"/>
        </w:rPr>
      </w:pPr>
      <w:r w:rsidRPr="001969E8">
        <w:rPr>
          <w:i w:val="0"/>
          <w:iCs w:val="0"/>
        </w:rPr>
        <w:t>Rationale</w:t>
      </w:r>
    </w:p>
    <w:p w14:paraId="1734484D" w14:textId="4B770CC9" w:rsidR="00377A00" w:rsidRDefault="00377A00" w:rsidP="00377A00">
      <w:pPr>
        <w:pStyle w:val="Paragraph"/>
        <w:rPr>
          <w:highlight w:val="cyan"/>
        </w:rPr>
      </w:pPr>
      <w:r>
        <w:t xml:space="preserve">People with chronic heart failure often experience a poor quality of life, and the condition has a poor prognosis: 30–40% of people diagnosed with heart failure die within 1 year; thereafter, the mortality is less than 10% per year. This indicator will support local understanding of mortality related to chronic heart </w:t>
      </w:r>
      <w:r w:rsidR="00C35061">
        <w:t>failure and</w:t>
      </w:r>
      <w:r>
        <w:t xml:space="preserve"> should inform further analysis/action to improve outcomes including preventing people from dying prematurely.</w:t>
      </w:r>
    </w:p>
    <w:p w14:paraId="69D4A75D" w14:textId="00B0ED6D" w:rsidR="00D141B1" w:rsidRPr="001969E8" w:rsidRDefault="00D141B1" w:rsidP="001969E8">
      <w:pPr>
        <w:pStyle w:val="Heading2"/>
        <w:rPr>
          <w:i w:val="0"/>
          <w:iCs w:val="0"/>
        </w:rPr>
      </w:pPr>
      <w:r w:rsidRPr="001969E8">
        <w:rPr>
          <w:i w:val="0"/>
          <w:iCs w:val="0"/>
        </w:rPr>
        <w:t xml:space="preserve">Source guidance </w:t>
      </w:r>
    </w:p>
    <w:p w14:paraId="09866533" w14:textId="2193E69A" w:rsidR="00C35061" w:rsidRDefault="00C35061" w:rsidP="00EE354D">
      <w:pPr>
        <w:pStyle w:val="Paragraph"/>
        <w:rPr>
          <w:highlight w:val="lightGray"/>
        </w:rPr>
      </w:pPr>
      <w:r w:rsidRPr="00C35061">
        <w:t>This is an overarching outcome measure and is therefore attributable to a range of NICE guidance and quality standards</w:t>
      </w:r>
      <w:r w:rsidR="006840C1">
        <w:t>.</w:t>
      </w:r>
    </w:p>
    <w:p w14:paraId="05AD89C4" w14:textId="77777777" w:rsidR="00D141B1" w:rsidRPr="001969E8" w:rsidRDefault="00D141B1" w:rsidP="001969E8">
      <w:pPr>
        <w:pStyle w:val="Heading2"/>
        <w:rPr>
          <w:i w:val="0"/>
          <w:iCs w:val="0"/>
        </w:rPr>
      </w:pPr>
      <w:r w:rsidRPr="001969E8">
        <w:rPr>
          <w:i w:val="0"/>
          <w:iCs w:val="0"/>
        </w:rPr>
        <w:t xml:space="preserve">Specification </w:t>
      </w:r>
    </w:p>
    <w:p w14:paraId="4B62A813" w14:textId="5B915532" w:rsidR="0009195D" w:rsidRDefault="00D141B1" w:rsidP="00F557F7">
      <w:pPr>
        <w:pStyle w:val="Paragraph"/>
      </w:pPr>
      <w:r>
        <w:t xml:space="preserve">Numerator: </w:t>
      </w:r>
      <w:r w:rsidR="00F557F7">
        <w:t>Of the denominator, the number of recorded deaths from any cause in the 12 months following this first attendance.</w:t>
      </w:r>
    </w:p>
    <w:p w14:paraId="06B62F8F" w14:textId="3A914D8D" w:rsidR="00D141B1" w:rsidRDefault="00D141B1" w:rsidP="00F473A6">
      <w:pPr>
        <w:pStyle w:val="Paragraph"/>
      </w:pPr>
      <w:r>
        <w:t xml:space="preserve">Denominator: </w:t>
      </w:r>
      <w:r w:rsidR="00F473A6">
        <w:t>The number of first emergency admission episodes with a primary diagnosis of heart failure.</w:t>
      </w:r>
    </w:p>
    <w:p w14:paraId="04501E11" w14:textId="50107C98" w:rsidR="0009195D" w:rsidRDefault="0009195D" w:rsidP="00711CE2">
      <w:pPr>
        <w:pStyle w:val="Paragraph"/>
      </w:pPr>
      <w:r>
        <w:lastRenderedPageBreak/>
        <w:t xml:space="preserve">Calculation: </w:t>
      </w:r>
      <w:r w:rsidR="00711CE2">
        <w:t>This indicator is calculated as a ratio indirectly standardised by age and sex. England has a ratio of 100.</w:t>
      </w:r>
    </w:p>
    <w:p w14:paraId="200701E0" w14:textId="60112D5F" w:rsidR="00D141B1" w:rsidRDefault="00D141B1" w:rsidP="00EE354D">
      <w:pPr>
        <w:pStyle w:val="Paragraph"/>
      </w:pPr>
      <w:r w:rsidRPr="00C867A8">
        <w:t>Exclusions:</w:t>
      </w:r>
      <w:r w:rsidR="00C867A8" w:rsidRPr="00C867A8">
        <w:t xml:space="preserve"> </w:t>
      </w:r>
      <w:r w:rsidR="00AD1BA1" w:rsidRPr="00C867A8">
        <w:t>None</w:t>
      </w:r>
      <w:r w:rsidR="00DF45AD">
        <w:t xml:space="preserve"> </w:t>
      </w:r>
    </w:p>
    <w:p w14:paraId="0D2624A5" w14:textId="0A2C2650" w:rsidR="009607DA" w:rsidRDefault="009607DA" w:rsidP="00F557F7">
      <w:pPr>
        <w:pStyle w:val="Paragraph"/>
      </w:pPr>
      <w:r>
        <w:t>Data</w:t>
      </w:r>
      <w:r w:rsidR="00B10E3B">
        <w:t xml:space="preserve"> </w:t>
      </w:r>
      <w:r>
        <w:t xml:space="preserve">source: </w:t>
      </w:r>
      <w:hyperlink r:id="rId7" w:history="1">
        <w:r w:rsidR="00F557F7" w:rsidRPr="00C94F07">
          <w:rPr>
            <w:rStyle w:val="Hyperlink"/>
          </w:rPr>
          <w:t>Hospital Episode Statistics (HES)</w:t>
        </w:r>
      </w:hyperlink>
      <w:r w:rsidR="00F557F7">
        <w:t xml:space="preserve"> linked to </w:t>
      </w:r>
      <w:hyperlink r:id="rId8" w:history="1">
        <w:r w:rsidR="00F557F7" w:rsidRPr="00C94F07">
          <w:rPr>
            <w:rStyle w:val="Hyperlink"/>
          </w:rPr>
          <w:t>Office for National Statistics (ONS) mortality data</w:t>
        </w:r>
      </w:hyperlink>
      <w:r w:rsidR="00F557F7">
        <w:t>.</w:t>
      </w:r>
    </w:p>
    <w:p w14:paraId="15239063" w14:textId="43A7065F" w:rsidR="00706451" w:rsidRDefault="00706451" w:rsidP="00EE354D">
      <w:pPr>
        <w:pStyle w:val="Paragraph"/>
      </w:pPr>
      <w:r>
        <w:t xml:space="preserve">Minimum population: </w:t>
      </w:r>
      <w:r w:rsidR="000D5395" w:rsidRPr="006F2125">
        <w:t xml:space="preserve">The indicator would be appropriate </w:t>
      </w:r>
      <w:r w:rsidR="00391F4B" w:rsidRPr="006F2125">
        <w:t>to assess performance of individual CCGs</w:t>
      </w:r>
      <w:r w:rsidR="000D5395" w:rsidRPr="006F2125">
        <w:t>.</w:t>
      </w:r>
    </w:p>
    <w:p w14:paraId="129ECA00" w14:textId="65691789" w:rsidR="0009195D" w:rsidRPr="001969E8" w:rsidRDefault="0009195D" w:rsidP="001969E8">
      <w:pPr>
        <w:pStyle w:val="Heading2"/>
        <w:rPr>
          <w:i w:val="0"/>
          <w:iCs w:val="0"/>
        </w:rPr>
      </w:pPr>
      <w:r w:rsidRPr="001969E8">
        <w:rPr>
          <w:i w:val="0"/>
          <w:iCs w:val="0"/>
        </w:rPr>
        <w:t>Further information</w:t>
      </w:r>
    </w:p>
    <w:p w14:paraId="70B822BC" w14:textId="6A989792" w:rsidR="0009195D" w:rsidRPr="0009195D" w:rsidRDefault="0009195D" w:rsidP="00EE354D">
      <w:pPr>
        <w:pStyle w:val="Paragraph"/>
      </w:pPr>
      <w:bookmarkStart w:id="0" w:name="_Hlk14183092"/>
      <w:r w:rsidRPr="0009195D">
        <w:t xml:space="preserve">This is NICE indicator guidance, which is part of the </w:t>
      </w:r>
      <w:hyperlink r:id="rId9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0"/>
    </w:p>
    <w:sectPr w:rsidR="0009195D" w:rsidRPr="0009195D" w:rsidSect="003D61BE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FBEC49" w14:textId="77777777" w:rsidR="00F90576" w:rsidRDefault="00F90576" w:rsidP="00446BEE">
      <w:r>
        <w:separator/>
      </w:r>
    </w:p>
  </w:endnote>
  <w:endnote w:type="continuationSeparator" w:id="0">
    <w:p w14:paraId="4A00546B" w14:textId="77777777" w:rsidR="00F90576" w:rsidRDefault="00F90576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E7C94" w14:textId="2819F8FC" w:rsidR="00245B12" w:rsidRPr="00EA7F52" w:rsidRDefault="00D141B1" w:rsidP="00D141B1">
    <w:pPr>
      <w:pStyle w:val="Footer"/>
    </w:pPr>
    <w:r>
      <w:t xml:space="preserve">NICE indicator guidance: </w:t>
    </w:r>
    <w:r w:rsidR="00C867A8" w:rsidRPr="00C867A8">
      <w:t>CCG11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67A6ED" w14:textId="77777777" w:rsidR="00F90576" w:rsidRDefault="00F90576" w:rsidP="00446BEE">
      <w:r>
        <w:separator/>
      </w:r>
    </w:p>
  </w:footnote>
  <w:footnote w:type="continuationSeparator" w:id="0">
    <w:p w14:paraId="173B6D7F" w14:textId="77777777" w:rsidR="00F90576" w:rsidRDefault="00F90576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5"/>
    <w:lvlOverride w:ilvl="0">
      <w:startOverride w:val="1"/>
    </w:lvlOverride>
  </w:num>
  <w:num w:numId="4">
    <w:abstractNumId w:val="25"/>
    <w:lvlOverride w:ilvl="0">
      <w:startOverride w:val="1"/>
    </w:lvlOverride>
  </w:num>
  <w:num w:numId="5">
    <w:abstractNumId w:val="25"/>
    <w:lvlOverride w:ilvl="0">
      <w:startOverride w:val="1"/>
    </w:lvlOverride>
  </w:num>
  <w:num w:numId="6">
    <w:abstractNumId w:val="25"/>
    <w:lvlOverride w:ilvl="0">
      <w:startOverride w:val="1"/>
    </w:lvlOverride>
  </w:num>
  <w:num w:numId="7">
    <w:abstractNumId w:val="25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2"/>
  </w:num>
  <w:num w:numId="21">
    <w:abstractNumId w:val="13"/>
  </w:num>
  <w:num w:numId="22">
    <w:abstractNumId w:val="17"/>
  </w:num>
  <w:num w:numId="23">
    <w:abstractNumId w:val="18"/>
  </w:num>
  <w:num w:numId="24">
    <w:abstractNumId w:val="22"/>
  </w:num>
  <w:num w:numId="25">
    <w:abstractNumId w:val="20"/>
  </w:num>
  <w:num w:numId="26">
    <w:abstractNumId w:val="27"/>
  </w:num>
  <w:num w:numId="27">
    <w:abstractNumId w:val="26"/>
  </w:num>
  <w:num w:numId="28">
    <w:abstractNumId w:val="29"/>
  </w:num>
  <w:num w:numId="29">
    <w:abstractNumId w:val="14"/>
  </w:num>
  <w:num w:numId="30">
    <w:abstractNumId w:val="15"/>
  </w:num>
  <w:num w:numId="31">
    <w:abstractNumId w:val="11"/>
  </w:num>
  <w:num w:numId="32">
    <w:abstractNumId w:val="24"/>
  </w:num>
  <w:num w:numId="33">
    <w:abstractNumId w:val="28"/>
  </w:num>
  <w:num w:numId="34">
    <w:abstractNumId w:val="19"/>
  </w:num>
  <w:num w:numId="35">
    <w:abstractNumId w:val="10"/>
  </w:num>
  <w:num w:numId="36">
    <w:abstractNumId w:val="22"/>
  </w:num>
  <w:num w:numId="37">
    <w:abstractNumId w:val="23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4F98"/>
    <w:rsid w:val="00065BF1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C3F"/>
    <w:rsid w:val="00134509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969E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32A20"/>
    <w:rsid w:val="002408EA"/>
    <w:rsid w:val="002408EB"/>
    <w:rsid w:val="00245B12"/>
    <w:rsid w:val="00261E15"/>
    <w:rsid w:val="0026635F"/>
    <w:rsid w:val="00276273"/>
    <w:rsid w:val="002819D7"/>
    <w:rsid w:val="002826F0"/>
    <w:rsid w:val="00292F85"/>
    <w:rsid w:val="002A31EA"/>
    <w:rsid w:val="002A57DF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F25FC"/>
    <w:rsid w:val="002F6A33"/>
    <w:rsid w:val="00305DF6"/>
    <w:rsid w:val="00306A73"/>
    <w:rsid w:val="00311ED0"/>
    <w:rsid w:val="00312208"/>
    <w:rsid w:val="00312B41"/>
    <w:rsid w:val="00313297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77A00"/>
    <w:rsid w:val="00381A0E"/>
    <w:rsid w:val="00384D2A"/>
    <w:rsid w:val="00391208"/>
    <w:rsid w:val="00391CCC"/>
    <w:rsid w:val="00391F4B"/>
    <w:rsid w:val="0039208F"/>
    <w:rsid w:val="0039354B"/>
    <w:rsid w:val="003B53D0"/>
    <w:rsid w:val="003C7AAF"/>
    <w:rsid w:val="003D61BE"/>
    <w:rsid w:val="003D6D57"/>
    <w:rsid w:val="003E1C96"/>
    <w:rsid w:val="003E38A5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268D"/>
    <w:rsid w:val="00433AAB"/>
    <w:rsid w:val="00434024"/>
    <w:rsid w:val="00434E6A"/>
    <w:rsid w:val="00435C3B"/>
    <w:rsid w:val="00440900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834D6"/>
    <w:rsid w:val="004838C9"/>
    <w:rsid w:val="004963BB"/>
    <w:rsid w:val="00496A45"/>
    <w:rsid w:val="004A1A88"/>
    <w:rsid w:val="004A7B2D"/>
    <w:rsid w:val="004B7B45"/>
    <w:rsid w:val="004C4ABD"/>
    <w:rsid w:val="004C4C2D"/>
    <w:rsid w:val="004C6A5C"/>
    <w:rsid w:val="004D0D69"/>
    <w:rsid w:val="004E1F75"/>
    <w:rsid w:val="004E2A20"/>
    <w:rsid w:val="004E4974"/>
    <w:rsid w:val="004E68CA"/>
    <w:rsid w:val="004F27F5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9E5"/>
    <w:rsid w:val="005312F6"/>
    <w:rsid w:val="005444CE"/>
    <w:rsid w:val="00551A8A"/>
    <w:rsid w:val="00554F77"/>
    <w:rsid w:val="00556D18"/>
    <w:rsid w:val="005652AD"/>
    <w:rsid w:val="00575003"/>
    <w:rsid w:val="00576B75"/>
    <w:rsid w:val="005776F0"/>
    <w:rsid w:val="0058465D"/>
    <w:rsid w:val="0059615A"/>
    <w:rsid w:val="005A20A0"/>
    <w:rsid w:val="005A63EF"/>
    <w:rsid w:val="005A6544"/>
    <w:rsid w:val="005B27BA"/>
    <w:rsid w:val="005B2BDD"/>
    <w:rsid w:val="005B3063"/>
    <w:rsid w:val="005B5E36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41CC"/>
    <w:rsid w:val="00631D73"/>
    <w:rsid w:val="00633DB7"/>
    <w:rsid w:val="00640BC8"/>
    <w:rsid w:val="006628FD"/>
    <w:rsid w:val="00662ABE"/>
    <w:rsid w:val="0067112D"/>
    <w:rsid w:val="00677315"/>
    <w:rsid w:val="00683309"/>
    <w:rsid w:val="006839FB"/>
    <w:rsid w:val="006840C1"/>
    <w:rsid w:val="00684D78"/>
    <w:rsid w:val="00687C11"/>
    <w:rsid w:val="006921E1"/>
    <w:rsid w:val="00692255"/>
    <w:rsid w:val="00694765"/>
    <w:rsid w:val="00697B97"/>
    <w:rsid w:val="006A021F"/>
    <w:rsid w:val="006A4092"/>
    <w:rsid w:val="006A43D7"/>
    <w:rsid w:val="006B25F1"/>
    <w:rsid w:val="006B2B35"/>
    <w:rsid w:val="006B668C"/>
    <w:rsid w:val="006B7D26"/>
    <w:rsid w:val="006C3856"/>
    <w:rsid w:val="006C4C54"/>
    <w:rsid w:val="006D316E"/>
    <w:rsid w:val="006D43D7"/>
    <w:rsid w:val="006D71D4"/>
    <w:rsid w:val="006E3BEB"/>
    <w:rsid w:val="006F0A86"/>
    <w:rsid w:val="006F2125"/>
    <w:rsid w:val="006F3734"/>
    <w:rsid w:val="006F4B25"/>
    <w:rsid w:val="00704765"/>
    <w:rsid w:val="0070511A"/>
    <w:rsid w:val="0070521F"/>
    <w:rsid w:val="00706451"/>
    <w:rsid w:val="00707ABC"/>
    <w:rsid w:val="00711CE2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2F37"/>
    <w:rsid w:val="007B5B4D"/>
    <w:rsid w:val="007B5CC6"/>
    <w:rsid w:val="007C6EDB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29AB"/>
    <w:rsid w:val="008341C5"/>
    <w:rsid w:val="008342B1"/>
    <w:rsid w:val="008355CB"/>
    <w:rsid w:val="00836C23"/>
    <w:rsid w:val="00850ED2"/>
    <w:rsid w:val="008541A5"/>
    <w:rsid w:val="00857BAA"/>
    <w:rsid w:val="00861B92"/>
    <w:rsid w:val="00873A86"/>
    <w:rsid w:val="008771EE"/>
    <w:rsid w:val="00881213"/>
    <w:rsid w:val="008814FB"/>
    <w:rsid w:val="00884895"/>
    <w:rsid w:val="00891C26"/>
    <w:rsid w:val="00893BF2"/>
    <w:rsid w:val="008A50EC"/>
    <w:rsid w:val="008A6036"/>
    <w:rsid w:val="008B5FAE"/>
    <w:rsid w:val="008C1650"/>
    <w:rsid w:val="008D36D5"/>
    <w:rsid w:val="008E09B9"/>
    <w:rsid w:val="008E6DAD"/>
    <w:rsid w:val="008E7A29"/>
    <w:rsid w:val="008F5E30"/>
    <w:rsid w:val="009018F5"/>
    <w:rsid w:val="009027D5"/>
    <w:rsid w:val="0090299C"/>
    <w:rsid w:val="00914D7F"/>
    <w:rsid w:val="0091747A"/>
    <w:rsid w:val="00922271"/>
    <w:rsid w:val="009233EA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729A4"/>
    <w:rsid w:val="00975E10"/>
    <w:rsid w:val="0098788C"/>
    <w:rsid w:val="00993DD3"/>
    <w:rsid w:val="00994DDF"/>
    <w:rsid w:val="009A74EB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2242"/>
    <w:rsid w:val="00AB3EE9"/>
    <w:rsid w:val="00AC39B9"/>
    <w:rsid w:val="00AC40E7"/>
    <w:rsid w:val="00AD1BA1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0E3B"/>
    <w:rsid w:val="00B15469"/>
    <w:rsid w:val="00B17B0B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90811"/>
    <w:rsid w:val="00B940DC"/>
    <w:rsid w:val="00B968B4"/>
    <w:rsid w:val="00BA02F9"/>
    <w:rsid w:val="00BA0F05"/>
    <w:rsid w:val="00BA2026"/>
    <w:rsid w:val="00BA78E0"/>
    <w:rsid w:val="00BB637F"/>
    <w:rsid w:val="00BC05E2"/>
    <w:rsid w:val="00BC4FA5"/>
    <w:rsid w:val="00BC6478"/>
    <w:rsid w:val="00BC73AA"/>
    <w:rsid w:val="00BD08A8"/>
    <w:rsid w:val="00BD3C52"/>
    <w:rsid w:val="00BD6253"/>
    <w:rsid w:val="00BD6594"/>
    <w:rsid w:val="00BE0F18"/>
    <w:rsid w:val="00BE58AF"/>
    <w:rsid w:val="00BE645F"/>
    <w:rsid w:val="00BE69B6"/>
    <w:rsid w:val="00BF04C9"/>
    <w:rsid w:val="00BF2168"/>
    <w:rsid w:val="00BF4266"/>
    <w:rsid w:val="00BF50C4"/>
    <w:rsid w:val="00BF7FE0"/>
    <w:rsid w:val="00C00249"/>
    <w:rsid w:val="00C04B1E"/>
    <w:rsid w:val="00C04B88"/>
    <w:rsid w:val="00C05310"/>
    <w:rsid w:val="00C05AC5"/>
    <w:rsid w:val="00C07B21"/>
    <w:rsid w:val="00C125B9"/>
    <w:rsid w:val="00C127B2"/>
    <w:rsid w:val="00C206B2"/>
    <w:rsid w:val="00C25D8A"/>
    <w:rsid w:val="00C35061"/>
    <w:rsid w:val="00C35731"/>
    <w:rsid w:val="00C407E2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355F"/>
    <w:rsid w:val="00C867A8"/>
    <w:rsid w:val="00C8732C"/>
    <w:rsid w:val="00C94F07"/>
    <w:rsid w:val="00C952C7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F0C2E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0EBA"/>
    <w:rsid w:val="00D219AA"/>
    <w:rsid w:val="00D23D74"/>
    <w:rsid w:val="00D263CE"/>
    <w:rsid w:val="00D306D5"/>
    <w:rsid w:val="00D31042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77154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E1024"/>
    <w:rsid w:val="00DE4457"/>
    <w:rsid w:val="00DF45AD"/>
    <w:rsid w:val="00DF637B"/>
    <w:rsid w:val="00DF7DE7"/>
    <w:rsid w:val="00E00186"/>
    <w:rsid w:val="00E02ADB"/>
    <w:rsid w:val="00E05591"/>
    <w:rsid w:val="00E06D6C"/>
    <w:rsid w:val="00E10F96"/>
    <w:rsid w:val="00E131B5"/>
    <w:rsid w:val="00E155CE"/>
    <w:rsid w:val="00E202F5"/>
    <w:rsid w:val="00E22E21"/>
    <w:rsid w:val="00E24349"/>
    <w:rsid w:val="00E33001"/>
    <w:rsid w:val="00E338B1"/>
    <w:rsid w:val="00E37339"/>
    <w:rsid w:val="00E41AA3"/>
    <w:rsid w:val="00E51920"/>
    <w:rsid w:val="00E64120"/>
    <w:rsid w:val="00E660A1"/>
    <w:rsid w:val="00E74036"/>
    <w:rsid w:val="00E83609"/>
    <w:rsid w:val="00E84C88"/>
    <w:rsid w:val="00E86111"/>
    <w:rsid w:val="00E87113"/>
    <w:rsid w:val="00EA45ED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E0E05"/>
    <w:rsid w:val="00EE354D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5DD0"/>
    <w:rsid w:val="00F362B0"/>
    <w:rsid w:val="00F4150B"/>
    <w:rsid w:val="00F472B7"/>
    <w:rsid w:val="00F473A6"/>
    <w:rsid w:val="00F546AA"/>
    <w:rsid w:val="00F553DE"/>
    <w:rsid w:val="00F557F7"/>
    <w:rsid w:val="00F56D0B"/>
    <w:rsid w:val="00F610AF"/>
    <w:rsid w:val="00F6535D"/>
    <w:rsid w:val="00F829F3"/>
    <w:rsid w:val="00F85171"/>
    <w:rsid w:val="00F90576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C25A2"/>
    <w:rsid w:val="00FC2D11"/>
    <w:rsid w:val="00FC3A0E"/>
    <w:rsid w:val="00FC56C8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s.gov.uk/peoplepopulationandcommunity/birthsdeathsandmarriages/death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gital.nhs.uk/data-and-information/data-tools-and-services/data-services/hospital-episode-statistic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Standards-and-Indicators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2020-10-26T10:58:00Z</dcterms:created>
  <dcterms:modified xsi:type="dcterms:W3CDTF">2020-11-02T13:17:00Z</dcterms:modified>
</cp:coreProperties>
</file>