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7E3F281" w:rsidR="00B8026E" w:rsidRDefault="00B8026E" w:rsidP="00B8026E">
      <w:pPr>
        <w:pStyle w:val="NICEnormal"/>
      </w:pPr>
      <w:r w:rsidRPr="005253A5">
        <w:t>Date first published on NICE menu:</w:t>
      </w:r>
      <w:r w:rsidR="00DF637B" w:rsidRPr="005253A5">
        <w:t xml:space="preserve"> </w:t>
      </w:r>
      <w:r w:rsidR="005253A5" w:rsidRPr="005253A5">
        <w:t>J</w:t>
      </w:r>
      <w:r w:rsidR="00A81DC7">
        <w:t>anuary</w:t>
      </w:r>
      <w:r w:rsidR="005253A5" w:rsidRPr="005253A5">
        <w:t xml:space="preserve"> 2016</w:t>
      </w:r>
    </w:p>
    <w:p w14:paraId="06BAB3FE" w14:textId="549B0CC1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F601EA">
        <w:t>March</w:t>
      </w:r>
      <w:r w:rsidR="00BF3C07">
        <w:t xml:space="preserve"> </w:t>
      </w:r>
      <w:r w:rsidR="00A60F58">
        <w:t>202</w:t>
      </w:r>
      <w:r w:rsidR="00BF3C07">
        <w:t>2</w:t>
      </w:r>
    </w:p>
    <w:p w14:paraId="6107852F" w14:textId="2ED8C6EE" w:rsidR="006F0A86" w:rsidRDefault="006F0A86" w:rsidP="00126C3F">
      <w:pPr>
        <w:pStyle w:val="Heading1"/>
      </w:pPr>
      <w:r w:rsidRPr="00126C3F">
        <w:t xml:space="preserve">Indicator </w:t>
      </w:r>
      <w:r w:rsidR="00D602AD">
        <w:t>CCG13</w:t>
      </w:r>
    </w:p>
    <w:p w14:paraId="2F90F385" w14:textId="43EC3387" w:rsidR="00F04317" w:rsidRPr="00611A1D" w:rsidRDefault="00F04317" w:rsidP="00611A1D">
      <w:pPr>
        <w:pStyle w:val="Paragraph"/>
      </w:pPr>
      <w:r>
        <w:t xml:space="preserve">The </w:t>
      </w:r>
      <w:r w:rsidR="00296916">
        <w:t>proportion of adults with diabetes who have received all nine basic care processes.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67B1652E" w:rsidR="00F6535D" w:rsidRPr="005253A5" w:rsidRDefault="00516626" w:rsidP="00F6535D">
      <w:pPr>
        <w:pStyle w:val="Paragraph"/>
      </w:pPr>
      <w:r w:rsidRPr="005253A5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7E23C7A0" w14:textId="679E9521" w:rsidR="00263ED3" w:rsidRDefault="0086248A" w:rsidP="00263ED3">
      <w:pPr>
        <w:pStyle w:val="NICEnormal"/>
      </w:pPr>
      <w:r>
        <w:t>Key</w:t>
      </w:r>
      <w:r w:rsidR="00296916">
        <w:t xml:space="preserve"> </w:t>
      </w:r>
      <w:r>
        <w:t>care processes</w:t>
      </w:r>
      <w:r w:rsidR="00A60F58">
        <w:t xml:space="preserve"> </w:t>
      </w:r>
      <w:r w:rsidR="002656C1">
        <w:t>to monitor</w:t>
      </w:r>
      <w:r w:rsidR="00296916">
        <w:t xml:space="preserve"> and manage their condition can help </w:t>
      </w:r>
      <w:r>
        <w:t xml:space="preserve">people with diabetes to </w:t>
      </w:r>
      <w:r w:rsidR="00296916">
        <w:t>reduce the risk of complications.</w:t>
      </w:r>
      <w:r w:rsidR="00516626">
        <w:t xml:space="preserve"> These care processes are: HbA1c to test glucose control, blood pressure, serum cholesterol, body mass index (BMI) and smoking history </w:t>
      </w:r>
      <w:r w:rsidR="005253A5">
        <w:t>(</w:t>
      </w:r>
      <w:r w:rsidR="00516626">
        <w:t>as measurements of cardiovascular risk</w:t>
      </w:r>
      <w:r w:rsidR="005253A5">
        <w:t>)</w:t>
      </w:r>
      <w:r w:rsidR="00516626">
        <w:t>, serum creatinine and urine albumin/creatinine ratio to test renal function, examination of foot ulcer risk and digital retinal screening for early detection of eye disease.</w:t>
      </w:r>
    </w:p>
    <w:p w14:paraId="69D4A75D" w14:textId="695B454B" w:rsidR="00D141B1" w:rsidRDefault="00D141B1" w:rsidP="00F04317">
      <w:pPr>
        <w:pStyle w:val="Heading1"/>
        <w:rPr>
          <w:i/>
        </w:rPr>
      </w:pPr>
      <w:r w:rsidRPr="001F2B33">
        <w:t xml:space="preserve">Source guidance </w:t>
      </w:r>
    </w:p>
    <w:p w14:paraId="479B2156" w14:textId="01A5CD42" w:rsidR="00723826" w:rsidRDefault="00452DAD" w:rsidP="00723826">
      <w:pPr>
        <w:pStyle w:val="Paragraph"/>
      </w:pPr>
      <w:hyperlink r:id="rId8" w:history="1">
        <w:r w:rsidR="00723826">
          <w:rPr>
            <w:rStyle w:val="Hyperlink"/>
          </w:rPr>
          <w:t>Hypertension in adults: diagnosis and management. NICE guideline NG136</w:t>
        </w:r>
      </w:hyperlink>
      <w:r w:rsidR="00723826">
        <w:t xml:space="preserve"> (2019), recommendations 1.2.11 and 1.4.15.</w:t>
      </w:r>
    </w:p>
    <w:p w14:paraId="36204140" w14:textId="6544A698" w:rsidR="00A9124A" w:rsidRDefault="00452DAD" w:rsidP="00A9124A">
      <w:pPr>
        <w:pStyle w:val="NICEnormal"/>
      </w:pPr>
      <w:hyperlink r:id="rId9" w:history="1">
        <w:r w:rsidR="00E869E8">
          <w:rPr>
            <w:rStyle w:val="Hyperlink"/>
          </w:rPr>
          <w:t>Type 1 diabetes in adults: diagnosis and management. NICE guideline NG17</w:t>
        </w:r>
      </w:hyperlink>
      <w:r w:rsidR="00B14C14">
        <w:t xml:space="preserve"> (2015</w:t>
      </w:r>
      <w:r w:rsidR="00063FBD">
        <w:t>, updated 2022</w:t>
      </w:r>
      <w:r w:rsidR="00B14C14">
        <w:t xml:space="preserve">), recommendations </w:t>
      </w:r>
      <w:r w:rsidR="00723826">
        <w:t>1.13.2, 1.13.5</w:t>
      </w:r>
      <w:r w:rsidR="00597C43">
        <w:t xml:space="preserve"> </w:t>
      </w:r>
      <w:r w:rsidR="00296916">
        <w:t>and 1.15.</w:t>
      </w:r>
      <w:r w:rsidR="00FF44AD">
        <w:t>5</w:t>
      </w:r>
      <w:r w:rsidR="00296916">
        <w:t>.</w:t>
      </w:r>
    </w:p>
    <w:p w14:paraId="749FB5B2" w14:textId="44EEF47D" w:rsidR="00B14C14" w:rsidRDefault="00452DAD" w:rsidP="00A9124A">
      <w:pPr>
        <w:pStyle w:val="NICEnormal"/>
      </w:pPr>
      <w:hyperlink r:id="rId10" w:history="1">
        <w:r w:rsidR="00E869E8">
          <w:rPr>
            <w:rStyle w:val="Hyperlink"/>
          </w:rPr>
          <w:t>Type 2 diabetes in adults: management. NICE guideline NG28</w:t>
        </w:r>
      </w:hyperlink>
      <w:r w:rsidR="00873B22">
        <w:t xml:space="preserve"> (2015</w:t>
      </w:r>
      <w:r w:rsidR="00BF3C07">
        <w:t>, updated 2022</w:t>
      </w:r>
      <w:r w:rsidR="00873B22">
        <w:t>), recommendations</w:t>
      </w:r>
      <w:r w:rsidR="00597C43">
        <w:t xml:space="preserve"> </w:t>
      </w:r>
      <w:r w:rsidR="00296916">
        <w:t>1.6.1 and</w:t>
      </w:r>
      <w:r w:rsidR="00597C43">
        <w:t xml:space="preserve"> </w:t>
      </w:r>
      <w:r w:rsidR="00BF3C07">
        <w:t>1.8.</w:t>
      </w:r>
      <w:r w:rsidR="00DB6019">
        <w:t>25</w:t>
      </w:r>
      <w:r w:rsidR="00DB3053">
        <w:t>.</w:t>
      </w:r>
    </w:p>
    <w:p w14:paraId="63463E80" w14:textId="4821A5B8" w:rsidR="00296916" w:rsidRDefault="00452DAD" w:rsidP="00A9124A">
      <w:pPr>
        <w:pStyle w:val="NICEnormal"/>
      </w:pPr>
      <w:hyperlink r:id="rId11" w:history="1">
        <w:r w:rsidR="00E869E8">
          <w:rPr>
            <w:rStyle w:val="Hyperlink"/>
          </w:rPr>
          <w:t>Diabetic foot problems: prevention and management. NICE guideline NG19</w:t>
        </w:r>
      </w:hyperlink>
      <w:r w:rsidR="00296916">
        <w:t xml:space="preserve"> (2015), recommendations 1.3.3</w:t>
      </w:r>
      <w:r w:rsidR="0066696F">
        <w:t>,</w:t>
      </w:r>
      <w:r w:rsidR="00296916">
        <w:t xml:space="preserve"> </w:t>
      </w:r>
      <w:r w:rsidR="0066696F">
        <w:t xml:space="preserve">1.3.7 </w:t>
      </w:r>
      <w:r w:rsidR="00296916">
        <w:t>and 1.3.11.</w:t>
      </w:r>
    </w:p>
    <w:p w14:paraId="104C2F37" w14:textId="7F52D193" w:rsidR="00296916" w:rsidRPr="00BD6253" w:rsidRDefault="00452DAD" w:rsidP="00A9124A">
      <w:pPr>
        <w:pStyle w:val="NICEnormal"/>
      </w:pPr>
      <w:hyperlink r:id="rId12" w:history="1">
        <w:r w:rsidR="006C3CDE">
          <w:rPr>
            <w:rStyle w:val="Hyperlink"/>
          </w:rPr>
          <w:t>Chronic kidney disease in adults: assessment and management. NICE guideline NG203</w:t>
        </w:r>
      </w:hyperlink>
      <w:r w:rsidR="00296916">
        <w:t xml:space="preserve"> (20</w:t>
      </w:r>
      <w:r w:rsidR="006C3CDE">
        <w:t>21</w:t>
      </w:r>
      <w:r w:rsidR="00296916">
        <w:t>), recommendations 1.</w:t>
      </w:r>
      <w:r w:rsidR="00597C43">
        <w:t>1.14</w:t>
      </w:r>
      <w:r w:rsidR="00296916">
        <w:t xml:space="preserve"> and 1.1.</w:t>
      </w:r>
      <w:r w:rsidR="00597C43">
        <w:t>21</w:t>
      </w:r>
      <w:r w:rsidR="00D34F93">
        <w:t>.</w:t>
      </w:r>
    </w:p>
    <w:p w14:paraId="05AD89C4" w14:textId="77777777" w:rsidR="00D141B1" w:rsidRPr="005253A5" w:rsidRDefault="00D141B1" w:rsidP="00126C3F">
      <w:pPr>
        <w:pStyle w:val="Heading1"/>
      </w:pPr>
      <w:r w:rsidRPr="005253A5">
        <w:t xml:space="preserve">Specification </w:t>
      </w:r>
    </w:p>
    <w:p w14:paraId="4B62A813" w14:textId="33206676" w:rsidR="0009195D" w:rsidRPr="005253A5" w:rsidRDefault="00D141B1" w:rsidP="00D141B1">
      <w:pPr>
        <w:pStyle w:val="NICEnormal"/>
      </w:pPr>
      <w:r w:rsidRPr="005253A5">
        <w:t>Numerator:</w:t>
      </w:r>
      <w:r w:rsidR="00854653" w:rsidRPr="005253A5">
        <w:t xml:space="preserve"> </w:t>
      </w:r>
      <w:r w:rsidR="00B60277" w:rsidRPr="005253A5">
        <w:t xml:space="preserve">The number </w:t>
      </w:r>
      <w:r w:rsidR="00A9124A" w:rsidRPr="005253A5">
        <w:t xml:space="preserve">in the denominator </w:t>
      </w:r>
      <w:r w:rsidR="0081011E">
        <w:t>who receive</w:t>
      </w:r>
      <w:r w:rsidR="0081011E" w:rsidRPr="005253A5">
        <w:t xml:space="preserve"> </w:t>
      </w:r>
      <w:proofErr w:type="gramStart"/>
      <w:r w:rsidR="00516626" w:rsidRPr="005253A5">
        <w:t xml:space="preserve">all </w:t>
      </w:r>
      <w:r w:rsidR="0081011E">
        <w:t>of</w:t>
      </w:r>
      <w:proofErr w:type="gramEnd"/>
      <w:r w:rsidR="0081011E">
        <w:t xml:space="preserve"> the </w:t>
      </w:r>
      <w:r w:rsidR="00516626" w:rsidRPr="005253A5">
        <w:t>nine basic care processes in the preceding 12 months</w:t>
      </w:r>
      <w:r w:rsidR="005253A5" w:rsidRPr="005253A5">
        <w:t>:</w:t>
      </w:r>
    </w:p>
    <w:p w14:paraId="4F1DCB3F" w14:textId="5B8D0E04" w:rsidR="005253A5" w:rsidRPr="005253A5" w:rsidRDefault="005253A5" w:rsidP="00D141B1">
      <w:pPr>
        <w:pStyle w:val="NICEnormal"/>
      </w:pPr>
      <w:r w:rsidRPr="005253A5">
        <w:t>Risk factors</w:t>
      </w:r>
      <w:r w:rsidR="001C126C">
        <w:t>:</w:t>
      </w:r>
    </w:p>
    <w:p w14:paraId="543CBAE0" w14:textId="511BF079" w:rsidR="005253A5" w:rsidRPr="005253A5" w:rsidRDefault="001C126C" w:rsidP="0086248A">
      <w:pPr>
        <w:pStyle w:val="Bulletleft1"/>
      </w:pPr>
      <w:r>
        <w:t>b</w:t>
      </w:r>
      <w:r w:rsidR="005253A5" w:rsidRPr="005253A5">
        <w:t>lood pressure (systolic and diastolic</w:t>
      </w:r>
      <w:r w:rsidR="006E24EA">
        <w:t xml:space="preserve"> blood pressure)</w:t>
      </w:r>
    </w:p>
    <w:p w14:paraId="6A41604A" w14:textId="5DD180B1" w:rsidR="005253A5" w:rsidRPr="005253A5" w:rsidRDefault="006E24EA" w:rsidP="0086248A">
      <w:pPr>
        <w:pStyle w:val="Bulletleft1"/>
      </w:pPr>
      <w:r>
        <w:t>HbA1c</w:t>
      </w:r>
    </w:p>
    <w:p w14:paraId="56B3904D" w14:textId="050913E6" w:rsidR="005253A5" w:rsidRPr="005253A5" w:rsidRDefault="001C126C" w:rsidP="0086248A">
      <w:pPr>
        <w:pStyle w:val="Bulletleft1"/>
      </w:pPr>
      <w:r>
        <w:t>c</w:t>
      </w:r>
      <w:r w:rsidR="005253A5" w:rsidRPr="005253A5">
        <w:t>holesterol levels</w:t>
      </w:r>
    </w:p>
    <w:p w14:paraId="6D0C4789" w14:textId="15EC3237" w:rsidR="005253A5" w:rsidRPr="005253A5" w:rsidRDefault="005253A5" w:rsidP="0086248A">
      <w:pPr>
        <w:pStyle w:val="Bulletleft1"/>
      </w:pPr>
      <w:r w:rsidRPr="005253A5">
        <w:t>BMI and weight</w:t>
      </w:r>
    </w:p>
    <w:p w14:paraId="214F1B9C" w14:textId="5040A880" w:rsidR="005253A5" w:rsidRPr="005253A5" w:rsidRDefault="001C126C" w:rsidP="0086248A">
      <w:pPr>
        <w:pStyle w:val="Bulletleft1"/>
        <w:spacing w:after="240"/>
      </w:pPr>
      <w:r>
        <w:t>s</w:t>
      </w:r>
      <w:r w:rsidR="005253A5" w:rsidRPr="005253A5">
        <w:t>moking review</w:t>
      </w:r>
    </w:p>
    <w:p w14:paraId="27F74A06" w14:textId="4D5F8F49" w:rsidR="005253A5" w:rsidRPr="005253A5" w:rsidRDefault="005253A5" w:rsidP="005253A5">
      <w:pPr>
        <w:pStyle w:val="NICEnormal"/>
      </w:pPr>
      <w:r w:rsidRPr="005253A5">
        <w:t>Tests for early complications</w:t>
      </w:r>
      <w:r w:rsidR="001C126C">
        <w:t>:</w:t>
      </w:r>
    </w:p>
    <w:p w14:paraId="16D8EFA5" w14:textId="7A29CF03" w:rsidR="005253A5" w:rsidRPr="005253A5" w:rsidRDefault="001C126C" w:rsidP="0086248A">
      <w:pPr>
        <w:pStyle w:val="Bulletleft1"/>
      </w:pPr>
      <w:r>
        <w:t>f</w:t>
      </w:r>
      <w:r w:rsidR="005253A5" w:rsidRPr="005253A5">
        <w:t xml:space="preserve">oot exam </w:t>
      </w:r>
    </w:p>
    <w:p w14:paraId="090A8DDA" w14:textId="2012346C" w:rsidR="005253A5" w:rsidRPr="005253A5" w:rsidRDefault="001C126C" w:rsidP="0086248A">
      <w:pPr>
        <w:pStyle w:val="Bulletleft1"/>
      </w:pPr>
      <w:r>
        <w:t>e</w:t>
      </w:r>
      <w:r w:rsidR="005253A5" w:rsidRPr="005253A5">
        <w:t>ye screening (retinopathy screening)</w:t>
      </w:r>
    </w:p>
    <w:p w14:paraId="14A4D1B0" w14:textId="29B89C17" w:rsidR="005253A5" w:rsidRPr="005253A5" w:rsidRDefault="001C126C" w:rsidP="0086248A">
      <w:pPr>
        <w:pStyle w:val="Bulletleft1"/>
      </w:pPr>
      <w:r>
        <w:t>u</w:t>
      </w:r>
      <w:r w:rsidR="005253A5" w:rsidRPr="005253A5">
        <w:t>rinary albumin test (or protein test to measure renal function)</w:t>
      </w:r>
    </w:p>
    <w:p w14:paraId="3F54F5DD" w14:textId="7D0779EE" w:rsidR="005253A5" w:rsidRPr="005253A5" w:rsidRDefault="001C126C" w:rsidP="0086248A">
      <w:pPr>
        <w:pStyle w:val="Bulletleft1"/>
        <w:spacing w:after="240"/>
      </w:pPr>
      <w:r>
        <w:t>b</w:t>
      </w:r>
      <w:r w:rsidR="005253A5" w:rsidRPr="005253A5">
        <w:t>lood creatinine (</w:t>
      </w:r>
      <w:r w:rsidR="00844B31">
        <w:t>indicator for</w:t>
      </w:r>
      <w:r w:rsidR="00844B31" w:rsidRPr="005253A5">
        <w:t xml:space="preserve"> </w:t>
      </w:r>
      <w:r w:rsidR="005253A5" w:rsidRPr="005253A5">
        <w:t>renal function)</w:t>
      </w:r>
    </w:p>
    <w:p w14:paraId="06B62F8F" w14:textId="3E919387" w:rsidR="00D141B1" w:rsidRPr="005253A5" w:rsidRDefault="00D141B1" w:rsidP="00D141B1">
      <w:pPr>
        <w:pStyle w:val="NICEnormal"/>
      </w:pPr>
      <w:r w:rsidRPr="005253A5">
        <w:t xml:space="preserve">Denominator: </w:t>
      </w:r>
      <w:r w:rsidR="00A9124A" w:rsidRPr="005253A5">
        <w:t xml:space="preserve">The number of </w:t>
      </w:r>
      <w:r w:rsidR="005253A5" w:rsidRPr="005253A5">
        <w:t>people</w:t>
      </w:r>
      <w:r w:rsidR="006D323E" w:rsidRPr="005253A5">
        <w:t xml:space="preserve"> </w:t>
      </w:r>
      <w:r w:rsidR="00B14C14" w:rsidRPr="005253A5">
        <w:t>with diabetes</w:t>
      </w:r>
      <w:r w:rsidR="00516626" w:rsidRPr="005253A5">
        <w:t>.</w:t>
      </w:r>
    </w:p>
    <w:p w14:paraId="04501E11" w14:textId="02BF7C20" w:rsidR="0009195D" w:rsidRPr="005253A5" w:rsidRDefault="0009195D" w:rsidP="00D141B1">
      <w:pPr>
        <w:pStyle w:val="NICEnormal"/>
      </w:pPr>
      <w:r w:rsidRPr="005253A5">
        <w:t>Calculation:</w:t>
      </w:r>
      <w:r w:rsidR="00A9124A" w:rsidRPr="005253A5">
        <w:t xml:space="preserve"> </w:t>
      </w:r>
      <w:r w:rsidRPr="005253A5">
        <w:t>(Numerator/denominator)</w:t>
      </w:r>
      <w:r w:rsidR="00A9124A" w:rsidRPr="005253A5">
        <w:t xml:space="preserve"> </w:t>
      </w:r>
      <w:r w:rsidRPr="005253A5">
        <w:t>*100</w:t>
      </w:r>
    </w:p>
    <w:p w14:paraId="200701E0" w14:textId="6655EC0F" w:rsidR="00D141B1" w:rsidRDefault="00D141B1" w:rsidP="00D141B1">
      <w:pPr>
        <w:pStyle w:val="NICEnormal"/>
        <w:rPr>
          <w:highlight w:val="yellow"/>
        </w:rPr>
      </w:pPr>
      <w:r w:rsidRPr="00A60F58">
        <w:t>Exclusions</w:t>
      </w:r>
      <w:r w:rsidRPr="0086248A">
        <w:t xml:space="preserve">: </w:t>
      </w:r>
      <w:r w:rsidR="006E24EA" w:rsidRPr="0086248A">
        <w:t>N</w:t>
      </w:r>
      <w:r w:rsidR="0086248A" w:rsidRPr="0086248A">
        <w:t>one</w:t>
      </w:r>
    </w:p>
    <w:p w14:paraId="78E492A8" w14:textId="1E93CE02" w:rsidR="006773BF" w:rsidRPr="005253A5" w:rsidRDefault="006773BF" w:rsidP="00D141B1">
      <w:pPr>
        <w:pStyle w:val="NICEnormal"/>
      </w:pPr>
      <w:r w:rsidRPr="005253A5">
        <w:t xml:space="preserve">Data source: </w:t>
      </w:r>
      <w:hyperlink r:id="rId13" w:history="1">
        <w:r w:rsidR="009A02FC" w:rsidRPr="00C92D2A">
          <w:rPr>
            <w:rStyle w:val="Hyperlink"/>
          </w:rPr>
          <w:t>National Diabetes Audit</w:t>
        </w:r>
        <w:r w:rsidR="00C92D2A" w:rsidRPr="00C92D2A">
          <w:rPr>
            <w:rStyle w:val="Hyperlink"/>
          </w:rPr>
          <w:t xml:space="preserve"> (NDA)</w:t>
        </w:r>
        <w:r w:rsidR="00D34F93" w:rsidRPr="00C92D2A">
          <w:rPr>
            <w:rStyle w:val="Hyperlink"/>
          </w:rPr>
          <w:t>.</w:t>
        </w:r>
      </w:hyperlink>
    </w:p>
    <w:p w14:paraId="15239063" w14:textId="64FDC78A" w:rsidR="00706451" w:rsidRDefault="00706451" w:rsidP="00D141B1">
      <w:pPr>
        <w:pStyle w:val="NICEnormal"/>
      </w:pPr>
      <w:r w:rsidRPr="005253A5">
        <w:t xml:space="preserve">Minimum population: </w:t>
      </w:r>
      <w:r w:rsidR="000D5395" w:rsidRPr="005253A5">
        <w:t xml:space="preserve">The indicator would be appropriate </w:t>
      </w:r>
      <w:r w:rsidR="00391F4B" w:rsidRPr="005253A5">
        <w:t xml:space="preserve">to assess performance </w:t>
      </w:r>
      <w:r w:rsidR="005253A5" w:rsidRPr="005253A5">
        <w:t>of individual CCGs</w:t>
      </w:r>
      <w:r w:rsidR="00D34F93">
        <w:t>.</w:t>
      </w:r>
      <w:r w:rsidR="000D5395" w:rsidRPr="00A9124A">
        <w:t xml:space="preserve">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lastRenderedPageBreak/>
        <w:t>Further information</w:t>
      </w:r>
    </w:p>
    <w:p w14:paraId="70B822BC" w14:textId="6A989792" w:rsidR="0009195D" w:rsidRPr="0009195D" w:rsidRDefault="0009195D" w:rsidP="0009195D">
      <w:pPr>
        <w:pStyle w:val="NICEnormal"/>
      </w:pPr>
      <w:bookmarkStart w:id="0" w:name="_Hlk14183092"/>
      <w:r w:rsidRPr="0009195D">
        <w:t xml:space="preserve">This is NICE indicator guidance, which is part of the </w:t>
      </w:r>
      <w:hyperlink r:id="rId14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1829FC6" w:rsidR="00245B12" w:rsidRPr="00EA7F52" w:rsidRDefault="00D141B1" w:rsidP="00D141B1">
    <w:pPr>
      <w:pStyle w:val="Footer"/>
    </w:pPr>
    <w:r>
      <w:t xml:space="preserve">NICE indicator guidance: </w:t>
    </w:r>
    <w:r w:rsidR="00FB5B79">
      <w:t>CCG</w:t>
    </w:r>
    <w:r w:rsidR="00FF4F89"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6E70FF"/>
    <w:multiLevelType w:val="hybridMultilevel"/>
    <w:tmpl w:val="5D06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B5D63"/>
    <w:multiLevelType w:val="hybridMultilevel"/>
    <w:tmpl w:val="ADB2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7875699">
    <w:abstractNumId w:val="23"/>
  </w:num>
  <w:num w:numId="2" w16cid:durableId="776943468">
    <w:abstractNumId w:val="27"/>
  </w:num>
  <w:num w:numId="3" w16cid:durableId="912155531">
    <w:abstractNumId w:val="27"/>
    <w:lvlOverride w:ilvl="0">
      <w:startOverride w:val="1"/>
    </w:lvlOverride>
  </w:num>
  <w:num w:numId="4" w16cid:durableId="1126239073">
    <w:abstractNumId w:val="27"/>
    <w:lvlOverride w:ilvl="0">
      <w:startOverride w:val="1"/>
    </w:lvlOverride>
  </w:num>
  <w:num w:numId="5" w16cid:durableId="1639796207">
    <w:abstractNumId w:val="27"/>
    <w:lvlOverride w:ilvl="0">
      <w:startOverride w:val="1"/>
    </w:lvlOverride>
  </w:num>
  <w:num w:numId="6" w16cid:durableId="1683967239">
    <w:abstractNumId w:val="27"/>
    <w:lvlOverride w:ilvl="0">
      <w:startOverride w:val="1"/>
    </w:lvlOverride>
  </w:num>
  <w:num w:numId="7" w16cid:durableId="629214349">
    <w:abstractNumId w:val="27"/>
    <w:lvlOverride w:ilvl="0">
      <w:startOverride w:val="1"/>
    </w:lvlOverride>
  </w:num>
  <w:num w:numId="8" w16cid:durableId="1260018388">
    <w:abstractNumId w:val="9"/>
  </w:num>
  <w:num w:numId="9" w16cid:durableId="838690701">
    <w:abstractNumId w:val="7"/>
  </w:num>
  <w:num w:numId="10" w16cid:durableId="115297440">
    <w:abstractNumId w:val="6"/>
  </w:num>
  <w:num w:numId="11" w16cid:durableId="382215556">
    <w:abstractNumId w:val="5"/>
  </w:num>
  <w:num w:numId="12" w16cid:durableId="1946425200">
    <w:abstractNumId w:val="4"/>
  </w:num>
  <w:num w:numId="13" w16cid:durableId="948197702">
    <w:abstractNumId w:val="8"/>
  </w:num>
  <w:num w:numId="14" w16cid:durableId="2046783317">
    <w:abstractNumId w:val="3"/>
  </w:num>
  <w:num w:numId="15" w16cid:durableId="659501309">
    <w:abstractNumId w:val="2"/>
  </w:num>
  <w:num w:numId="16" w16cid:durableId="234823848">
    <w:abstractNumId w:val="1"/>
  </w:num>
  <w:num w:numId="17" w16cid:durableId="69890584">
    <w:abstractNumId w:val="0"/>
  </w:num>
  <w:num w:numId="18" w16cid:durableId="1994403451">
    <w:abstractNumId w:val="17"/>
  </w:num>
  <w:num w:numId="19" w16cid:durableId="1448767565">
    <w:abstractNumId w:val="17"/>
    <w:lvlOverride w:ilvl="0">
      <w:startOverride w:val="1"/>
    </w:lvlOverride>
  </w:num>
  <w:num w:numId="20" w16cid:durableId="1301495274">
    <w:abstractNumId w:val="12"/>
  </w:num>
  <w:num w:numId="21" w16cid:durableId="625696125">
    <w:abstractNumId w:val="13"/>
  </w:num>
  <w:num w:numId="22" w16cid:durableId="1113480774">
    <w:abstractNumId w:val="18"/>
  </w:num>
  <w:num w:numId="23" w16cid:durableId="960720210">
    <w:abstractNumId w:val="19"/>
  </w:num>
  <w:num w:numId="24" w16cid:durableId="453252883">
    <w:abstractNumId w:val="23"/>
  </w:num>
  <w:num w:numId="25" w16cid:durableId="171845326">
    <w:abstractNumId w:val="21"/>
  </w:num>
  <w:num w:numId="26" w16cid:durableId="1762338997">
    <w:abstractNumId w:val="29"/>
  </w:num>
  <w:num w:numId="27" w16cid:durableId="1530023113">
    <w:abstractNumId w:val="28"/>
  </w:num>
  <w:num w:numId="28" w16cid:durableId="80370321">
    <w:abstractNumId w:val="31"/>
  </w:num>
  <w:num w:numId="29" w16cid:durableId="1204749656">
    <w:abstractNumId w:val="14"/>
  </w:num>
  <w:num w:numId="30" w16cid:durableId="1333098288">
    <w:abstractNumId w:val="15"/>
  </w:num>
  <w:num w:numId="31" w16cid:durableId="2109041919">
    <w:abstractNumId w:val="11"/>
  </w:num>
  <w:num w:numId="32" w16cid:durableId="548300516">
    <w:abstractNumId w:val="26"/>
  </w:num>
  <w:num w:numId="33" w16cid:durableId="516652264">
    <w:abstractNumId w:val="30"/>
  </w:num>
  <w:num w:numId="34" w16cid:durableId="244265246">
    <w:abstractNumId w:val="20"/>
  </w:num>
  <w:num w:numId="35" w16cid:durableId="752317320">
    <w:abstractNumId w:val="10"/>
  </w:num>
  <w:num w:numId="36" w16cid:durableId="696349263">
    <w:abstractNumId w:val="23"/>
  </w:num>
  <w:num w:numId="37" w16cid:durableId="979575465">
    <w:abstractNumId w:val="24"/>
  </w:num>
  <w:num w:numId="38" w16cid:durableId="358241363">
    <w:abstractNumId w:val="22"/>
  </w:num>
  <w:num w:numId="39" w16cid:durableId="1961254264">
    <w:abstractNumId w:val="25"/>
  </w:num>
  <w:num w:numId="40" w16cid:durableId="14973037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3BC8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3FBD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81A"/>
    <w:rsid w:val="000C2B7B"/>
    <w:rsid w:val="000C3267"/>
    <w:rsid w:val="000C47C4"/>
    <w:rsid w:val="000C751D"/>
    <w:rsid w:val="000D1DDA"/>
    <w:rsid w:val="000D2996"/>
    <w:rsid w:val="000D5395"/>
    <w:rsid w:val="000E0D4A"/>
    <w:rsid w:val="000E63E5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2C9D"/>
    <w:rsid w:val="001630B3"/>
    <w:rsid w:val="0017169E"/>
    <w:rsid w:val="00172282"/>
    <w:rsid w:val="00176A01"/>
    <w:rsid w:val="00181BEC"/>
    <w:rsid w:val="00182E8E"/>
    <w:rsid w:val="001849F3"/>
    <w:rsid w:val="00191328"/>
    <w:rsid w:val="00193F45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126C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07F01"/>
    <w:rsid w:val="00212D33"/>
    <w:rsid w:val="00216F31"/>
    <w:rsid w:val="0022030D"/>
    <w:rsid w:val="002224EE"/>
    <w:rsid w:val="00232A20"/>
    <w:rsid w:val="002408EA"/>
    <w:rsid w:val="00245B12"/>
    <w:rsid w:val="00261E15"/>
    <w:rsid w:val="00263ED3"/>
    <w:rsid w:val="002656C1"/>
    <w:rsid w:val="0026635F"/>
    <w:rsid w:val="00276273"/>
    <w:rsid w:val="002819D7"/>
    <w:rsid w:val="002826F0"/>
    <w:rsid w:val="00292F85"/>
    <w:rsid w:val="00296916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2349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4F7B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2DAD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16626"/>
    <w:rsid w:val="00521BB3"/>
    <w:rsid w:val="005224A9"/>
    <w:rsid w:val="005253A5"/>
    <w:rsid w:val="005309E5"/>
    <w:rsid w:val="005312F6"/>
    <w:rsid w:val="005444CE"/>
    <w:rsid w:val="00546857"/>
    <w:rsid w:val="00551A8A"/>
    <w:rsid w:val="00554F77"/>
    <w:rsid w:val="00556D18"/>
    <w:rsid w:val="005652AD"/>
    <w:rsid w:val="00575003"/>
    <w:rsid w:val="00576B75"/>
    <w:rsid w:val="0058465D"/>
    <w:rsid w:val="0059615A"/>
    <w:rsid w:val="00597C43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6696F"/>
    <w:rsid w:val="00677315"/>
    <w:rsid w:val="006773BF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3CDE"/>
    <w:rsid w:val="006C4C54"/>
    <w:rsid w:val="006D316E"/>
    <w:rsid w:val="006D323E"/>
    <w:rsid w:val="006D43D7"/>
    <w:rsid w:val="006D71D4"/>
    <w:rsid w:val="006E24EA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3826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011E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44B31"/>
    <w:rsid w:val="00850ED2"/>
    <w:rsid w:val="008541A5"/>
    <w:rsid w:val="0085464D"/>
    <w:rsid w:val="00854653"/>
    <w:rsid w:val="00857BAA"/>
    <w:rsid w:val="00861B92"/>
    <w:rsid w:val="0086248A"/>
    <w:rsid w:val="00870EAC"/>
    <w:rsid w:val="00873A86"/>
    <w:rsid w:val="00873B22"/>
    <w:rsid w:val="008771EE"/>
    <w:rsid w:val="008814FB"/>
    <w:rsid w:val="00884895"/>
    <w:rsid w:val="00891C26"/>
    <w:rsid w:val="00893BF2"/>
    <w:rsid w:val="008A226F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02FC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07B3"/>
    <w:rsid w:val="00A52C72"/>
    <w:rsid w:val="00A547C9"/>
    <w:rsid w:val="00A57046"/>
    <w:rsid w:val="00A60F58"/>
    <w:rsid w:val="00A67C50"/>
    <w:rsid w:val="00A73F95"/>
    <w:rsid w:val="00A75A10"/>
    <w:rsid w:val="00A81422"/>
    <w:rsid w:val="00A81DC7"/>
    <w:rsid w:val="00A841FC"/>
    <w:rsid w:val="00A90F05"/>
    <w:rsid w:val="00A9124A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4C14"/>
    <w:rsid w:val="00B15469"/>
    <w:rsid w:val="00B17B0B"/>
    <w:rsid w:val="00B22F24"/>
    <w:rsid w:val="00B236FF"/>
    <w:rsid w:val="00B2706C"/>
    <w:rsid w:val="00B30421"/>
    <w:rsid w:val="00B4245E"/>
    <w:rsid w:val="00B46591"/>
    <w:rsid w:val="00B5431F"/>
    <w:rsid w:val="00B54674"/>
    <w:rsid w:val="00B54C74"/>
    <w:rsid w:val="00B55000"/>
    <w:rsid w:val="00B5550A"/>
    <w:rsid w:val="00B6011C"/>
    <w:rsid w:val="00B60277"/>
    <w:rsid w:val="00B61BE4"/>
    <w:rsid w:val="00B747F1"/>
    <w:rsid w:val="00B77578"/>
    <w:rsid w:val="00B8026E"/>
    <w:rsid w:val="00B82775"/>
    <w:rsid w:val="00B82792"/>
    <w:rsid w:val="00B940DC"/>
    <w:rsid w:val="00B968B4"/>
    <w:rsid w:val="00BA02F9"/>
    <w:rsid w:val="00BA0F05"/>
    <w:rsid w:val="00BA2026"/>
    <w:rsid w:val="00BA78E0"/>
    <w:rsid w:val="00BB3D2F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3C07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133EC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2D2A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0C8"/>
    <w:rsid w:val="00D12497"/>
    <w:rsid w:val="00D141B1"/>
    <w:rsid w:val="00D15E0F"/>
    <w:rsid w:val="00D16170"/>
    <w:rsid w:val="00D17456"/>
    <w:rsid w:val="00D2036D"/>
    <w:rsid w:val="00D219AA"/>
    <w:rsid w:val="00D23D74"/>
    <w:rsid w:val="00D263CE"/>
    <w:rsid w:val="00D306D5"/>
    <w:rsid w:val="00D323B8"/>
    <w:rsid w:val="00D32648"/>
    <w:rsid w:val="00D33FFF"/>
    <w:rsid w:val="00D34F49"/>
    <w:rsid w:val="00D34F93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2AD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B3053"/>
    <w:rsid w:val="00DB601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36B4"/>
    <w:rsid w:val="00E05591"/>
    <w:rsid w:val="00E06D6C"/>
    <w:rsid w:val="00E10F96"/>
    <w:rsid w:val="00E131B5"/>
    <w:rsid w:val="00E202F5"/>
    <w:rsid w:val="00E22E21"/>
    <w:rsid w:val="00E2361D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69E8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4317"/>
    <w:rsid w:val="00F050A1"/>
    <w:rsid w:val="00F055F1"/>
    <w:rsid w:val="00F07B2C"/>
    <w:rsid w:val="00F13F5B"/>
    <w:rsid w:val="00F35DD0"/>
    <w:rsid w:val="00F362B0"/>
    <w:rsid w:val="00F367CA"/>
    <w:rsid w:val="00F472B7"/>
    <w:rsid w:val="00F546AA"/>
    <w:rsid w:val="00F553DE"/>
    <w:rsid w:val="00F56D0B"/>
    <w:rsid w:val="00F601EA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B5B79"/>
    <w:rsid w:val="00FC25A2"/>
    <w:rsid w:val="00FC2D11"/>
    <w:rsid w:val="00FC3A0E"/>
    <w:rsid w:val="00FC60A0"/>
    <w:rsid w:val="00FC6230"/>
    <w:rsid w:val="00FE5504"/>
    <w:rsid w:val="00FE57F6"/>
    <w:rsid w:val="00FF44AD"/>
    <w:rsid w:val="00FF4F89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36" TargetMode="External"/><Relationship Id="rId13" Type="http://schemas.openxmlformats.org/officeDocument/2006/relationships/hyperlink" Target="https://digital.nhs.uk/data-and-information/clinical-audits-and-registries/national-diabetes-au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ng2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ng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7" TargetMode="External"/><Relationship Id="rId14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5682-40C2-4918-8FF8-FD810581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2022-06-10T10:56:00Z</dcterms:created>
  <dcterms:modified xsi:type="dcterms:W3CDTF">2022-06-23T08:46:00Z</dcterms:modified>
</cp:coreProperties>
</file>