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3D0BB979" w:rsidR="00B8026E" w:rsidRDefault="00B8026E" w:rsidP="0086736C">
      <w:pPr>
        <w:pStyle w:val="Paragraph"/>
      </w:pPr>
      <w:r>
        <w:t>Date first published on NICE menu:</w:t>
      </w:r>
      <w:r w:rsidR="00BF480E">
        <w:t xml:space="preserve"> </w:t>
      </w:r>
      <w:r w:rsidR="00BB6113">
        <w:t>2013</w:t>
      </w:r>
    </w:p>
    <w:p w14:paraId="06BAB3FE" w14:textId="518818DB" w:rsidR="00B8026E" w:rsidRPr="00126C3F" w:rsidRDefault="00B8026E" w:rsidP="0086736C">
      <w:pPr>
        <w:pStyle w:val="Paragraph"/>
        <w:rPr>
          <w:b/>
        </w:rPr>
      </w:pPr>
      <w:r>
        <w:t>Last update</w:t>
      </w:r>
      <w:r w:rsidRPr="00B8026E">
        <w:t xml:space="preserve">: </w:t>
      </w:r>
      <w:r w:rsidR="00EC473B">
        <w:t xml:space="preserve">January </w:t>
      </w:r>
      <w:r w:rsidR="00A00AA3">
        <w:t>202</w:t>
      </w:r>
      <w:r w:rsidR="00EC473B">
        <w:t>3</w:t>
      </w:r>
    </w:p>
    <w:p w14:paraId="6107852F" w14:textId="48309C0D" w:rsidR="006F0A86" w:rsidRDefault="006F0A86" w:rsidP="00126C3F">
      <w:pPr>
        <w:pStyle w:val="Heading1"/>
      </w:pPr>
      <w:r w:rsidRPr="00126C3F">
        <w:t xml:space="preserve">Indicator </w:t>
      </w:r>
      <w:r w:rsidR="0034741D">
        <w:t>CCG2</w:t>
      </w:r>
      <w:r w:rsidR="00174610">
        <w:t>4</w:t>
      </w:r>
    </w:p>
    <w:p w14:paraId="0A6C169D" w14:textId="2DDF695A" w:rsidR="00611A1D" w:rsidRPr="00611A1D" w:rsidRDefault="00843208" w:rsidP="00611A1D">
      <w:pPr>
        <w:pStyle w:val="Paragraph"/>
      </w:pPr>
      <w:r w:rsidRPr="00843208">
        <w:t>The rate of people admitted with a primary diagnosis of hip fracture per 100,000 CCG population</w:t>
      </w:r>
      <w:r>
        <w:t>.</w:t>
      </w:r>
    </w:p>
    <w:p w14:paraId="18778417" w14:textId="333A8E39" w:rsidR="00806B97" w:rsidRDefault="00806B97" w:rsidP="00806B97">
      <w:pPr>
        <w:pStyle w:val="Heading1"/>
      </w:pPr>
      <w:r w:rsidRPr="00806B97">
        <w:t xml:space="preserve">Indicator type </w:t>
      </w:r>
    </w:p>
    <w:p w14:paraId="20705D2C" w14:textId="018AEC07" w:rsidR="00E202F5" w:rsidRPr="008B7580" w:rsidRDefault="001C31E9" w:rsidP="008B7580">
      <w:pPr>
        <w:pStyle w:val="Paragraph"/>
      </w:pPr>
      <w:r w:rsidRPr="0034741D">
        <w:t>Clinical commissioning group indicator</w:t>
      </w:r>
    </w:p>
    <w:p w14:paraId="7A444F2C" w14:textId="63361159" w:rsidR="00BD6253" w:rsidRPr="0034741D" w:rsidRDefault="006F0A86" w:rsidP="0034741D">
      <w:pPr>
        <w:pStyle w:val="Heading1"/>
        <w:rPr>
          <w:i/>
        </w:rPr>
      </w:pPr>
      <w:r w:rsidRPr="00011273">
        <w:t>Rationale</w:t>
      </w:r>
    </w:p>
    <w:p w14:paraId="6022187F" w14:textId="3B36395C" w:rsidR="00BF480E" w:rsidRDefault="00422CAD" w:rsidP="0086736C">
      <w:pPr>
        <w:pStyle w:val="Paragraph"/>
      </w:pPr>
      <w:r w:rsidRPr="00422CAD">
        <w:t>Hip fracture is a major public health issue due to an increasing ageing population. About 65,000 hip fractures occur each year and the annual cost (not including the considerable cost of social care) for all UK hip fracture cases is about £1 billion. About 10</w:t>
      </w:r>
      <w:r w:rsidR="007E53E7">
        <w:t xml:space="preserve"> per cent</w:t>
      </w:r>
      <w:r w:rsidRPr="00422CAD">
        <w:t xml:space="preserve"> of people with a hip fracture die within 1 month and about one-third within 12 months.</w:t>
      </w:r>
      <w:r w:rsidR="00EF0166">
        <w:t xml:space="preserve"> </w:t>
      </w:r>
      <w:r>
        <w:t>This indicator</w:t>
      </w:r>
      <w:r w:rsidR="002C758D">
        <w:t xml:space="preserve"> allow</w:t>
      </w:r>
      <w:r>
        <w:t>s</w:t>
      </w:r>
      <w:r w:rsidR="002C758D">
        <w:t xml:space="preserve"> for monitoring prevalence of hip fracture within the population and </w:t>
      </w:r>
      <w:r w:rsidR="00CA6773">
        <w:t xml:space="preserve">planning services that meet the needs of local population. </w:t>
      </w:r>
      <w:r w:rsidR="002C758D">
        <w:t xml:space="preserve">  </w:t>
      </w:r>
    </w:p>
    <w:p w14:paraId="69D4A75D" w14:textId="77777777" w:rsidR="00D141B1" w:rsidRDefault="00D141B1" w:rsidP="00D141B1">
      <w:pPr>
        <w:pStyle w:val="Heading1"/>
        <w:rPr>
          <w:i/>
        </w:rPr>
      </w:pPr>
      <w:r w:rsidRPr="001F2B33">
        <w:t xml:space="preserve">Source guidance </w:t>
      </w:r>
    </w:p>
    <w:p w14:paraId="1E259BBD" w14:textId="0BF72D9B" w:rsidR="00D141B1" w:rsidRPr="00BD6253" w:rsidRDefault="007E53E7" w:rsidP="0086736C">
      <w:pPr>
        <w:pStyle w:val="Paragraph"/>
      </w:pPr>
      <w:hyperlink r:id="rId7" w:history="1">
        <w:r w:rsidR="00811998">
          <w:rPr>
            <w:rStyle w:val="Hyperlink"/>
          </w:rPr>
          <w:t>Hip fracture: management. NICE guideline CG124</w:t>
        </w:r>
      </w:hyperlink>
      <w:r w:rsidR="0034741D" w:rsidRPr="0034741D">
        <w:t xml:space="preserve"> (2011</w:t>
      </w:r>
      <w:r w:rsidR="00EC473B">
        <w:t>, last updated January 2023</w:t>
      </w:r>
      <w:r w:rsidR="0034741D" w:rsidRPr="0034741D">
        <w:t xml:space="preserve">) </w:t>
      </w:r>
    </w:p>
    <w:p w14:paraId="05AD89C4" w14:textId="77777777" w:rsidR="00D141B1" w:rsidRDefault="00D141B1" w:rsidP="00126C3F">
      <w:pPr>
        <w:pStyle w:val="Heading1"/>
      </w:pPr>
      <w:r>
        <w:t xml:space="preserve">Specification </w:t>
      </w:r>
    </w:p>
    <w:p w14:paraId="161D7C1F" w14:textId="4DA77DF7" w:rsidR="008060C3" w:rsidRDefault="00D141B1" w:rsidP="0086736C">
      <w:pPr>
        <w:pStyle w:val="Paragraph"/>
      </w:pPr>
      <w:r>
        <w:t xml:space="preserve">Numerator: </w:t>
      </w:r>
      <w:r w:rsidR="00843208">
        <w:t>T</w:t>
      </w:r>
      <w:r w:rsidR="00843208" w:rsidRPr="00843208">
        <w:t>he number of admission spell records where the first episode contains a primary diagnosis of hip fracture.</w:t>
      </w:r>
    </w:p>
    <w:p w14:paraId="06B62F8F" w14:textId="7775EC5B" w:rsidR="00D141B1" w:rsidRDefault="00D141B1" w:rsidP="0086736C">
      <w:pPr>
        <w:pStyle w:val="Paragraph"/>
      </w:pPr>
      <w:r>
        <w:t xml:space="preserve">Denominator: </w:t>
      </w:r>
      <w:r w:rsidR="00843208" w:rsidRPr="00843208">
        <w:t>CCG level population registered with the constituent GP practices.</w:t>
      </w:r>
    </w:p>
    <w:p w14:paraId="04501E11" w14:textId="47B0861E" w:rsidR="0009195D" w:rsidRDefault="0009195D" w:rsidP="0086736C">
      <w:pPr>
        <w:pStyle w:val="Paragraph"/>
      </w:pPr>
      <w:r>
        <w:lastRenderedPageBreak/>
        <w:t xml:space="preserve">Calculation: </w:t>
      </w:r>
      <w:r w:rsidR="009E3431">
        <w:t>D</w:t>
      </w:r>
      <w:r w:rsidR="00174610" w:rsidRPr="00174610">
        <w:t>irectly age and sex standardised emergency admission rate for hip fracture, per 100,000 registered patients.</w:t>
      </w:r>
    </w:p>
    <w:p w14:paraId="200701E0" w14:textId="4997739C" w:rsidR="00D141B1" w:rsidRDefault="00D141B1" w:rsidP="0086736C">
      <w:pPr>
        <w:pStyle w:val="Paragraph"/>
      </w:pPr>
      <w:r>
        <w:t xml:space="preserve">Exclusions: </w:t>
      </w:r>
      <w:r w:rsidR="00905753">
        <w:t>P</w:t>
      </w:r>
      <w:r w:rsidR="009A323A">
        <w:t>eople aged</w:t>
      </w:r>
      <w:r w:rsidR="00905753">
        <w:t xml:space="preserve"> 60</w:t>
      </w:r>
      <w:r w:rsidR="009A323A">
        <w:t xml:space="preserve"> years and under</w:t>
      </w:r>
      <w:r w:rsidR="00811998">
        <w:t>.</w:t>
      </w:r>
      <w:r w:rsidR="00DF45AD">
        <w:t xml:space="preserve"> </w:t>
      </w:r>
    </w:p>
    <w:p w14:paraId="0D2624A5" w14:textId="73FC6360" w:rsidR="009607DA" w:rsidRDefault="009607DA" w:rsidP="0086736C">
      <w:pPr>
        <w:pStyle w:val="Paragraph"/>
      </w:pPr>
      <w:r>
        <w:t>Data</w:t>
      </w:r>
      <w:r w:rsidR="009E3431">
        <w:t xml:space="preserve"> </w:t>
      </w:r>
      <w:r>
        <w:t xml:space="preserve">source: </w:t>
      </w:r>
      <w:r w:rsidR="00843208" w:rsidRPr="00843208">
        <w:t>Hospital Episode Statistics (HES), GP registered populatio</w:t>
      </w:r>
      <w:r w:rsidR="00E42870">
        <w:t>n</w:t>
      </w:r>
      <w:r w:rsidR="00811998">
        <w:t>.</w:t>
      </w:r>
    </w:p>
    <w:p w14:paraId="15239063" w14:textId="03962A23" w:rsidR="00706451" w:rsidRDefault="00706451" w:rsidP="0086736C">
      <w:pPr>
        <w:pStyle w:val="Paragraph"/>
      </w:pPr>
      <w:r>
        <w:t xml:space="preserve">Minimum population: </w:t>
      </w:r>
      <w:r w:rsidR="000D5395" w:rsidRPr="0034741D">
        <w:t xml:space="preserve">The indicator </w:t>
      </w:r>
      <w:r w:rsidR="00905753">
        <w:t>is</w:t>
      </w:r>
      <w:r w:rsidR="000D5395" w:rsidRPr="0034741D">
        <w:t xml:space="preserve"> appropriate </w:t>
      </w:r>
      <w:r w:rsidR="00391F4B" w:rsidRPr="0034741D">
        <w:t>to assess performance of individual CCGs</w:t>
      </w:r>
      <w:r w:rsidR="000D5395" w:rsidRPr="0034741D">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86736C">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4351EB8A" w:rsidR="00245B12" w:rsidRPr="00EA7F52" w:rsidRDefault="00D141B1" w:rsidP="00D141B1">
    <w:pPr>
      <w:pStyle w:val="Footer"/>
    </w:pPr>
    <w:r>
      <w:t>NICE indicator guidance:</w:t>
    </w:r>
    <w:r w:rsidR="0034741D">
      <w:t xml:space="preserve"> CCG2</w:t>
    </w:r>
    <w:r w:rsidR="0084320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277412">
    <w:abstractNumId w:val="22"/>
  </w:num>
  <w:num w:numId="2" w16cid:durableId="1778980756">
    <w:abstractNumId w:val="25"/>
  </w:num>
  <w:num w:numId="3" w16cid:durableId="1697808015">
    <w:abstractNumId w:val="25"/>
    <w:lvlOverride w:ilvl="0">
      <w:startOverride w:val="1"/>
    </w:lvlOverride>
  </w:num>
  <w:num w:numId="4" w16cid:durableId="1300916181">
    <w:abstractNumId w:val="25"/>
    <w:lvlOverride w:ilvl="0">
      <w:startOverride w:val="1"/>
    </w:lvlOverride>
  </w:num>
  <w:num w:numId="5" w16cid:durableId="1803619050">
    <w:abstractNumId w:val="25"/>
    <w:lvlOverride w:ilvl="0">
      <w:startOverride w:val="1"/>
    </w:lvlOverride>
  </w:num>
  <w:num w:numId="6" w16cid:durableId="785739312">
    <w:abstractNumId w:val="25"/>
    <w:lvlOverride w:ilvl="0">
      <w:startOverride w:val="1"/>
    </w:lvlOverride>
  </w:num>
  <w:num w:numId="7" w16cid:durableId="775757413">
    <w:abstractNumId w:val="25"/>
    <w:lvlOverride w:ilvl="0">
      <w:startOverride w:val="1"/>
    </w:lvlOverride>
  </w:num>
  <w:num w:numId="8" w16cid:durableId="1550342998">
    <w:abstractNumId w:val="9"/>
  </w:num>
  <w:num w:numId="9" w16cid:durableId="2128112659">
    <w:abstractNumId w:val="7"/>
  </w:num>
  <w:num w:numId="10" w16cid:durableId="1374648737">
    <w:abstractNumId w:val="6"/>
  </w:num>
  <w:num w:numId="11" w16cid:durableId="82071021">
    <w:abstractNumId w:val="5"/>
  </w:num>
  <w:num w:numId="12" w16cid:durableId="1428306934">
    <w:abstractNumId w:val="4"/>
  </w:num>
  <w:num w:numId="13" w16cid:durableId="1937446559">
    <w:abstractNumId w:val="8"/>
  </w:num>
  <w:num w:numId="14" w16cid:durableId="762914890">
    <w:abstractNumId w:val="3"/>
  </w:num>
  <w:num w:numId="15" w16cid:durableId="2080783016">
    <w:abstractNumId w:val="2"/>
  </w:num>
  <w:num w:numId="16" w16cid:durableId="804857576">
    <w:abstractNumId w:val="1"/>
  </w:num>
  <w:num w:numId="17" w16cid:durableId="906692126">
    <w:abstractNumId w:val="0"/>
  </w:num>
  <w:num w:numId="18" w16cid:durableId="1771317549">
    <w:abstractNumId w:val="16"/>
  </w:num>
  <w:num w:numId="19" w16cid:durableId="465201821">
    <w:abstractNumId w:val="16"/>
    <w:lvlOverride w:ilvl="0">
      <w:startOverride w:val="1"/>
    </w:lvlOverride>
  </w:num>
  <w:num w:numId="20" w16cid:durableId="1342194802">
    <w:abstractNumId w:val="12"/>
  </w:num>
  <w:num w:numId="21" w16cid:durableId="278998246">
    <w:abstractNumId w:val="13"/>
  </w:num>
  <w:num w:numId="22" w16cid:durableId="1590385906">
    <w:abstractNumId w:val="17"/>
  </w:num>
  <w:num w:numId="23" w16cid:durableId="746611771">
    <w:abstractNumId w:val="18"/>
  </w:num>
  <w:num w:numId="24" w16cid:durableId="200940164">
    <w:abstractNumId w:val="22"/>
  </w:num>
  <w:num w:numId="25" w16cid:durableId="1909922488">
    <w:abstractNumId w:val="20"/>
  </w:num>
  <w:num w:numId="26" w16cid:durableId="228270508">
    <w:abstractNumId w:val="27"/>
  </w:num>
  <w:num w:numId="27" w16cid:durableId="1488085277">
    <w:abstractNumId w:val="26"/>
  </w:num>
  <w:num w:numId="28" w16cid:durableId="1581602376">
    <w:abstractNumId w:val="29"/>
  </w:num>
  <w:num w:numId="29" w16cid:durableId="139007480">
    <w:abstractNumId w:val="14"/>
  </w:num>
  <w:num w:numId="30" w16cid:durableId="1124349155">
    <w:abstractNumId w:val="15"/>
  </w:num>
  <w:num w:numId="31" w16cid:durableId="1055280626">
    <w:abstractNumId w:val="11"/>
  </w:num>
  <w:num w:numId="32" w16cid:durableId="84615294">
    <w:abstractNumId w:val="24"/>
  </w:num>
  <w:num w:numId="33" w16cid:durableId="1148404868">
    <w:abstractNumId w:val="28"/>
  </w:num>
  <w:num w:numId="34" w16cid:durableId="1783567826">
    <w:abstractNumId w:val="19"/>
  </w:num>
  <w:num w:numId="35" w16cid:durableId="966859904">
    <w:abstractNumId w:val="10"/>
  </w:num>
  <w:num w:numId="36" w16cid:durableId="1391153409">
    <w:abstractNumId w:val="22"/>
  </w:num>
  <w:num w:numId="37" w16cid:durableId="309478259">
    <w:abstractNumId w:val="23"/>
  </w:num>
  <w:num w:numId="38" w16cid:durableId="2078935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3F5F"/>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4182"/>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76E0"/>
    <w:rsid w:val="0015609C"/>
    <w:rsid w:val="0015655B"/>
    <w:rsid w:val="00156AF4"/>
    <w:rsid w:val="001630B3"/>
    <w:rsid w:val="0017169E"/>
    <w:rsid w:val="00172282"/>
    <w:rsid w:val="00174610"/>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D2270"/>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C758D"/>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741D"/>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E4EA3"/>
    <w:rsid w:val="00402391"/>
    <w:rsid w:val="00402436"/>
    <w:rsid w:val="004070CA"/>
    <w:rsid w:val="004075B6"/>
    <w:rsid w:val="00412C67"/>
    <w:rsid w:val="00417A17"/>
    <w:rsid w:val="00420952"/>
    <w:rsid w:val="00422CAD"/>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0EFB"/>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442E"/>
    <w:rsid w:val="007D5B33"/>
    <w:rsid w:val="007E53E7"/>
    <w:rsid w:val="007E5A42"/>
    <w:rsid w:val="007E7021"/>
    <w:rsid w:val="007E7F51"/>
    <w:rsid w:val="007F5B50"/>
    <w:rsid w:val="007F6A12"/>
    <w:rsid w:val="007F7022"/>
    <w:rsid w:val="007F7863"/>
    <w:rsid w:val="00801B8E"/>
    <w:rsid w:val="00803961"/>
    <w:rsid w:val="00804009"/>
    <w:rsid w:val="00804B03"/>
    <w:rsid w:val="008060C3"/>
    <w:rsid w:val="00806B97"/>
    <w:rsid w:val="00811998"/>
    <w:rsid w:val="008152E3"/>
    <w:rsid w:val="008216E2"/>
    <w:rsid w:val="00825E9B"/>
    <w:rsid w:val="00826160"/>
    <w:rsid w:val="00831CA2"/>
    <w:rsid w:val="008341C5"/>
    <w:rsid w:val="008342B1"/>
    <w:rsid w:val="008355CB"/>
    <w:rsid w:val="00836C23"/>
    <w:rsid w:val="00843208"/>
    <w:rsid w:val="00850ED2"/>
    <w:rsid w:val="008541A5"/>
    <w:rsid w:val="00857BAA"/>
    <w:rsid w:val="00861B92"/>
    <w:rsid w:val="0086736C"/>
    <w:rsid w:val="00873A86"/>
    <w:rsid w:val="008771EE"/>
    <w:rsid w:val="008814FB"/>
    <w:rsid w:val="00884895"/>
    <w:rsid w:val="00887E95"/>
    <w:rsid w:val="00891C26"/>
    <w:rsid w:val="00893BF2"/>
    <w:rsid w:val="008A50EC"/>
    <w:rsid w:val="008A6036"/>
    <w:rsid w:val="008B5FAE"/>
    <w:rsid w:val="008B7580"/>
    <w:rsid w:val="008C1650"/>
    <w:rsid w:val="008D36D5"/>
    <w:rsid w:val="008E09B9"/>
    <w:rsid w:val="008E6DAD"/>
    <w:rsid w:val="008F5E30"/>
    <w:rsid w:val="009018F5"/>
    <w:rsid w:val="009027D5"/>
    <w:rsid w:val="0090299C"/>
    <w:rsid w:val="00905753"/>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96C6E"/>
    <w:rsid w:val="009A323A"/>
    <w:rsid w:val="009C0BD9"/>
    <w:rsid w:val="009D037B"/>
    <w:rsid w:val="009D1FB7"/>
    <w:rsid w:val="009D28EE"/>
    <w:rsid w:val="009D3369"/>
    <w:rsid w:val="009D400A"/>
    <w:rsid w:val="009D717F"/>
    <w:rsid w:val="009E3431"/>
    <w:rsid w:val="009E680B"/>
    <w:rsid w:val="009F02A8"/>
    <w:rsid w:val="009F0C5C"/>
    <w:rsid w:val="009F1968"/>
    <w:rsid w:val="009F1B55"/>
    <w:rsid w:val="009F2995"/>
    <w:rsid w:val="00A00AA3"/>
    <w:rsid w:val="00A053BA"/>
    <w:rsid w:val="00A064FB"/>
    <w:rsid w:val="00A07CED"/>
    <w:rsid w:val="00A132A2"/>
    <w:rsid w:val="00A132E3"/>
    <w:rsid w:val="00A134B1"/>
    <w:rsid w:val="00A15A1F"/>
    <w:rsid w:val="00A26634"/>
    <w:rsid w:val="00A273A6"/>
    <w:rsid w:val="00A319F2"/>
    <w:rsid w:val="00A3325A"/>
    <w:rsid w:val="00A3505C"/>
    <w:rsid w:val="00A36A8D"/>
    <w:rsid w:val="00A36C84"/>
    <w:rsid w:val="00A421A8"/>
    <w:rsid w:val="00A43013"/>
    <w:rsid w:val="00A47556"/>
    <w:rsid w:val="00A52C72"/>
    <w:rsid w:val="00A547C9"/>
    <w:rsid w:val="00A57046"/>
    <w:rsid w:val="00A623F8"/>
    <w:rsid w:val="00A6418C"/>
    <w:rsid w:val="00A73F95"/>
    <w:rsid w:val="00A75A10"/>
    <w:rsid w:val="00A81422"/>
    <w:rsid w:val="00A841FC"/>
    <w:rsid w:val="00A90F05"/>
    <w:rsid w:val="00A965A3"/>
    <w:rsid w:val="00AA1A5B"/>
    <w:rsid w:val="00AA3B40"/>
    <w:rsid w:val="00AA4344"/>
    <w:rsid w:val="00AA4A2C"/>
    <w:rsid w:val="00AB2242"/>
    <w:rsid w:val="00AB3EE9"/>
    <w:rsid w:val="00AB5FB5"/>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01AC"/>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B6113"/>
    <w:rsid w:val="00BC05E2"/>
    <w:rsid w:val="00BC4FA5"/>
    <w:rsid w:val="00BC6478"/>
    <w:rsid w:val="00BD08A8"/>
    <w:rsid w:val="00BD3C52"/>
    <w:rsid w:val="00BD6253"/>
    <w:rsid w:val="00BD6594"/>
    <w:rsid w:val="00BE0F18"/>
    <w:rsid w:val="00BE58AF"/>
    <w:rsid w:val="00BE645F"/>
    <w:rsid w:val="00BE69B6"/>
    <w:rsid w:val="00BF04C9"/>
    <w:rsid w:val="00BF4266"/>
    <w:rsid w:val="00BF480E"/>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2461"/>
    <w:rsid w:val="00C8355F"/>
    <w:rsid w:val="00C8732C"/>
    <w:rsid w:val="00C952C7"/>
    <w:rsid w:val="00C96411"/>
    <w:rsid w:val="00CA2F61"/>
    <w:rsid w:val="00CA6773"/>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42870"/>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473B"/>
    <w:rsid w:val="00EC6C08"/>
    <w:rsid w:val="00EC76D6"/>
    <w:rsid w:val="00ED3673"/>
    <w:rsid w:val="00EE0E05"/>
    <w:rsid w:val="00EE36E0"/>
    <w:rsid w:val="00EE4BF3"/>
    <w:rsid w:val="00EE50CE"/>
    <w:rsid w:val="00EF0166"/>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cg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2020-10-26T13:29:00Z</dcterms:created>
  <dcterms:modified xsi:type="dcterms:W3CDTF">2022-12-19T14:15:00Z</dcterms:modified>
</cp:coreProperties>
</file>