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6E2DEB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3A2B919A" w:rsidR="00B8026E" w:rsidRDefault="00B8026E" w:rsidP="00B8026E">
      <w:pPr>
        <w:pStyle w:val="NICEnormal"/>
      </w:pPr>
      <w:r w:rsidRPr="00D47E4F">
        <w:t>Date first published on NICE menu:</w:t>
      </w:r>
      <w:r w:rsidR="00DF637B" w:rsidRPr="00D47E4F">
        <w:t xml:space="preserve"> </w:t>
      </w:r>
      <w:r w:rsidR="00D47E4F" w:rsidRPr="00D47E4F">
        <w:t>J</w:t>
      </w:r>
      <w:r w:rsidR="00CC0151">
        <w:t>anuary</w:t>
      </w:r>
      <w:r w:rsidR="00D47E4F" w:rsidRPr="00D47E4F">
        <w:t xml:space="preserve"> 2016</w:t>
      </w:r>
    </w:p>
    <w:p w14:paraId="06BAB3FE" w14:textId="09F94E06" w:rsidR="00B8026E" w:rsidRPr="00126C3F" w:rsidRDefault="00B8026E" w:rsidP="00B8026E">
      <w:pPr>
        <w:pStyle w:val="NICEnormal"/>
        <w:rPr>
          <w:b/>
        </w:rPr>
      </w:pPr>
      <w:r>
        <w:t>Last update</w:t>
      </w:r>
      <w:r w:rsidRPr="00B8026E">
        <w:t xml:space="preserve">: </w:t>
      </w:r>
      <w:r w:rsidR="008E7166">
        <w:t>October</w:t>
      </w:r>
      <w:r w:rsidR="00E84EDE">
        <w:t xml:space="preserve"> 2020</w:t>
      </w:r>
    </w:p>
    <w:p w14:paraId="6107852F" w14:textId="172F0D49" w:rsidR="006F0A86" w:rsidRPr="006E2DEB" w:rsidRDefault="006F0A86" w:rsidP="006E2DEB">
      <w:pPr>
        <w:pStyle w:val="Heading2"/>
      </w:pPr>
      <w:r w:rsidRPr="006E2DEB">
        <w:t xml:space="preserve">Indicator </w:t>
      </w:r>
      <w:r w:rsidR="00D602AD" w:rsidRPr="006E2DEB">
        <w:t>CCG</w:t>
      </w:r>
      <w:r w:rsidR="00884ECB" w:rsidRPr="006E2DEB">
        <w:t>36</w:t>
      </w:r>
    </w:p>
    <w:p w14:paraId="2F90F385" w14:textId="11654CD9" w:rsidR="00F04317" w:rsidRPr="00611A1D" w:rsidRDefault="00F04317" w:rsidP="00611A1D">
      <w:pPr>
        <w:pStyle w:val="Paragraph"/>
      </w:pPr>
      <w:r>
        <w:t xml:space="preserve">The </w:t>
      </w:r>
      <w:r w:rsidR="00296916">
        <w:t xml:space="preserve">proportion of </w:t>
      </w:r>
      <w:r w:rsidR="00884ECB">
        <w:t>births resulting in a neonatal unit admission.</w:t>
      </w:r>
    </w:p>
    <w:p w14:paraId="18778417" w14:textId="333A8E39" w:rsidR="00806B97" w:rsidRDefault="00806B97" w:rsidP="006E2DEB">
      <w:pPr>
        <w:pStyle w:val="Heading2"/>
      </w:pPr>
      <w:r w:rsidRPr="00806B97">
        <w:t xml:space="preserve">Indicator type </w:t>
      </w:r>
    </w:p>
    <w:p w14:paraId="1F16E37E" w14:textId="67B1652E" w:rsidR="00F6535D" w:rsidRPr="00D47E4F" w:rsidRDefault="00516626" w:rsidP="00F6535D">
      <w:pPr>
        <w:pStyle w:val="Paragraph"/>
      </w:pPr>
      <w:r w:rsidRPr="00D47E4F">
        <w:t>Clinical commissioning group indicator</w:t>
      </w:r>
    </w:p>
    <w:p w14:paraId="5CBA37E8" w14:textId="709D7BC1" w:rsidR="006F0A86" w:rsidRDefault="006F0A86" w:rsidP="006E2DEB">
      <w:pPr>
        <w:pStyle w:val="Heading2"/>
      </w:pPr>
      <w:r w:rsidRPr="00011273">
        <w:t>Rationale</w:t>
      </w:r>
    </w:p>
    <w:p w14:paraId="64A19339" w14:textId="201FCDDD" w:rsidR="00D21E01" w:rsidRPr="00D21E01" w:rsidRDefault="00A75D53" w:rsidP="00D21E01">
      <w:pPr>
        <w:pStyle w:val="Paragraph"/>
      </w:pPr>
      <w:r>
        <w:t xml:space="preserve">Babies are admitted to neonatal care for </w:t>
      </w:r>
      <w:proofErr w:type="gramStart"/>
      <w:r>
        <w:t>a number of</w:t>
      </w:r>
      <w:proofErr w:type="gramEnd"/>
      <w:r>
        <w:t xml:space="preserve"> reasons. Often this may be unavoidable and necessary, but high admission rates compared to average levels may reflect issues concerning antenatal and intrapartum care.</w:t>
      </w:r>
      <w:r w:rsidR="00D21E01">
        <w:t xml:space="preserve"> This indicator</w:t>
      </w:r>
      <w:r w:rsidR="000810DE">
        <w:t xml:space="preserve"> aims to reduce the number of full-term babies admitted to neonatal units and improve</w:t>
      </w:r>
      <w:r w:rsidR="002D17E3">
        <w:t xml:space="preserve"> the safety of maternity services.</w:t>
      </w:r>
    </w:p>
    <w:p w14:paraId="69D4A75D" w14:textId="695B454B" w:rsidR="00D141B1" w:rsidRDefault="00D141B1" w:rsidP="006E2DEB">
      <w:pPr>
        <w:pStyle w:val="Heading2"/>
        <w:rPr>
          <w:i/>
        </w:rPr>
      </w:pPr>
      <w:r w:rsidRPr="001F2B33">
        <w:t xml:space="preserve">Source guidance </w:t>
      </w:r>
    </w:p>
    <w:p w14:paraId="104C2F37" w14:textId="348C2DCF" w:rsidR="00296916" w:rsidRDefault="00ED59B4" w:rsidP="00A9124A">
      <w:pPr>
        <w:pStyle w:val="NICEnormal"/>
      </w:pPr>
      <w:hyperlink r:id="rId8" w:history="1">
        <w:r w:rsidR="00C37936">
          <w:rPr>
            <w:rStyle w:val="Hyperlink"/>
          </w:rPr>
          <w:t>Intrapartum care for healthy women and babies. NICE guideline CG190</w:t>
        </w:r>
      </w:hyperlink>
      <w:r w:rsidR="00031991">
        <w:t xml:space="preserve"> (2014) </w:t>
      </w:r>
    </w:p>
    <w:p w14:paraId="06E98356" w14:textId="00100839" w:rsidR="00031991" w:rsidRDefault="00ED59B4" w:rsidP="00A9124A">
      <w:pPr>
        <w:pStyle w:val="NICEnormal"/>
      </w:pPr>
      <w:hyperlink r:id="rId9" w:history="1">
        <w:r w:rsidR="00C37936">
          <w:rPr>
            <w:rStyle w:val="Hyperlink"/>
          </w:rPr>
          <w:t>Intrapartum care for women with existing medical conditions or obstetric complications and their babies. NICE guideline NG121</w:t>
        </w:r>
      </w:hyperlink>
      <w:r w:rsidR="00031991">
        <w:t xml:space="preserve"> (2019) </w:t>
      </w:r>
    </w:p>
    <w:p w14:paraId="6D088427" w14:textId="56A2B601" w:rsidR="00031991" w:rsidRDefault="00ED59B4" w:rsidP="00A9124A">
      <w:pPr>
        <w:pStyle w:val="NICEnormal"/>
      </w:pPr>
      <w:hyperlink r:id="rId10" w:history="1">
        <w:r w:rsidR="00C37936">
          <w:rPr>
            <w:rStyle w:val="Hyperlink"/>
          </w:rPr>
          <w:t>Postnatal care for up to 8 weeks after birth. NICE guideline CG37</w:t>
        </w:r>
      </w:hyperlink>
      <w:r w:rsidR="00031991">
        <w:t xml:space="preserve"> (2006) </w:t>
      </w:r>
    </w:p>
    <w:p w14:paraId="351A4DC6" w14:textId="7C91F922" w:rsidR="00031991" w:rsidRDefault="00ED59B4" w:rsidP="00A9124A">
      <w:pPr>
        <w:pStyle w:val="NICEnormal"/>
      </w:pPr>
      <w:hyperlink r:id="rId11" w:history="1">
        <w:r w:rsidR="00C37936">
          <w:rPr>
            <w:rStyle w:val="Hyperlink"/>
          </w:rPr>
          <w:t>Neonatal infection (early onset): antibiotics for prevention and treatment. NICE guideline CG149</w:t>
        </w:r>
      </w:hyperlink>
      <w:r w:rsidR="00031991">
        <w:t xml:space="preserve"> (2012) </w:t>
      </w:r>
    </w:p>
    <w:p w14:paraId="23C5FCE2" w14:textId="087F90C6" w:rsidR="00031991" w:rsidRPr="00BD6253" w:rsidRDefault="00ED59B4" w:rsidP="00A9124A">
      <w:pPr>
        <w:pStyle w:val="NICEnormal"/>
      </w:pPr>
      <w:hyperlink r:id="rId12" w:history="1">
        <w:r w:rsidR="00C37936">
          <w:rPr>
            <w:rStyle w:val="Hyperlink"/>
          </w:rPr>
          <w:t>Jaundice in newborn babies under 28 days. NICE guideline CG98</w:t>
        </w:r>
      </w:hyperlink>
      <w:r w:rsidR="00031991">
        <w:t xml:space="preserve"> (2010) </w:t>
      </w:r>
    </w:p>
    <w:p w14:paraId="05AD89C4" w14:textId="77777777" w:rsidR="00D141B1" w:rsidRPr="00D47E4F" w:rsidRDefault="00D141B1" w:rsidP="006E2DEB">
      <w:pPr>
        <w:pStyle w:val="Heading2"/>
      </w:pPr>
      <w:r w:rsidRPr="00D47E4F">
        <w:lastRenderedPageBreak/>
        <w:t xml:space="preserve">Specification </w:t>
      </w:r>
    </w:p>
    <w:p w14:paraId="4B62A813" w14:textId="47FF5C22" w:rsidR="0009195D" w:rsidRPr="00D47E4F" w:rsidRDefault="00D141B1" w:rsidP="00D141B1">
      <w:pPr>
        <w:pStyle w:val="NICEnormal"/>
      </w:pPr>
      <w:r w:rsidRPr="00D47E4F">
        <w:t>Numerator:</w:t>
      </w:r>
      <w:r w:rsidR="00854653" w:rsidRPr="00D47E4F">
        <w:t xml:space="preserve"> </w:t>
      </w:r>
      <w:r w:rsidR="005962D7">
        <w:t>The n</w:t>
      </w:r>
      <w:r w:rsidR="00D47E4F" w:rsidRPr="00D47E4F">
        <w:t xml:space="preserve">umber of </w:t>
      </w:r>
      <w:r w:rsidR="005962D7">
        <w:t xml:space="preserve">babies in the denominator </w:t>
      </w:r>
      <w:r w:rsidR="00E84EDE">
        <w:t xml:space="preserve">who are </w:t>
      </w:r>
      <w:r w:rsidR="00D47E4F" w:rsidRPr="00D47E4F">
        <w:t xml:space="preserve">admitted </w:t>
      </w:r>
      <w:r w:rsidR="005962D7">
        <w:t xml:space="preserve">to neonatal units </w:t>
      </w:r>
      <w:r w:rsidR="00D47E4F" w:rsidRPr="00D47E4F">
        <w:t>within 28 days of birth.</w:t>
      </w:r>
    </w:p>
    <w:p w14:paraId="06B62F8F" w14:textId="07A792B3" w:rsidR="00D141B1" w:rsidRPr="00D47E4F" w:rsidRDefault="00D141B1" w:rsidP="00D141B1">
      <w:pPr>
        <w:pStyle w:val="NICEnormal"/>
      </w:pPr>
      <w:r w:rsidRPr="00D47E4F">
        <w:t xml:space="preserve">Denominator: </w:t>
      </w:r>
      <w:r w:rsidR="00A9124A" w:rsidRPr="00D47E4F">
        <w:t xml:space="preserve">The number of </w:t>
      </w:r>
      <w:r w:rsidR="00D21E01" w:rsidRPr="00D47E4F">
        <w:t xml:space="preserve">full-term </w:t>
      </w:r>
      <w:r w:rsidR="00A56465">
        <w:t xml:space="preserve">live </w:t>
      </w:r>
      <w:r w:rsidR="00D47E4F" w:rsidRPr="00D47E4F">
        <w:t xml:space="preserve">births </w:t>
      </w:r>
      <w:r w:rsidR="00EE133B">
        <w:t xml:space="preserve">in England. </w:t>
      </w:r>
    </w:p>
    <w:p w14:paraId="04501E11" w14:textId="6EE7CF20" w:rsidR="0009195D" w:rsidRPr="00D47E4F" w:rsidRDefault="0009195D" w:rsidP="00D141B1">
      <w:pPr>
        <w:pStyle w:val="NICEnormal"/>
      </w:pPr>
      <w:r w:rsidRPr="00D47E4F">
        <w:t>Calculation:</w:t>
      </w:r>
      <w:r w:rsidR="00A9124A" w:rsidRPr="00D47E4F">
        <w:t xml:space="preserve"> </w:t>
      </w:r>
      <w:r w:rsidRPr="00D47E4F">
        <w:t>(Numerator/</w:t>
      </w:r>
      <w:proofErr w:type="gramStart"/>
      <w:r w:rsidRPr="00D47E4F">
        <w:t>denominator)*</w:t>
      </w:r>
      <w:proofErr w:type="gramEnd"/>
      <w:r w:rsidRPr="00D47E4F">
        <w:t>100</w:t>
      </w:r>
    </w:p>
    <w:p w14:paraId="200701E0" w14:textId="7D905879" w:rsidR="00D141B1" w:rsidRPr="00103D12" w:rsidRDefault="00D141B1" w:rsidP="00D141B1">
      <w:pPr>
        <w:pStyle w:val="NICEnormal"/>
      </w:pPr>
      <w:r w:rsidRPr="00103D12">
        <w:t xml:space="preserve">Exclusions: </w:t>
      </w:r>
      <w:r w:rsidR="00EE133B">
        <w:t>Babies less than 3</w:t>
      </w:r>
      <w:r w:rsidR="00CF0430">
        <w:t>7</w:t>
      </w:r>
      <w:r w:rsidR="00EE133B">
        <w:t xml:space="preserve"> weeks gestation.</w:t>
      </w:r>
    </w:p>
    <w:p w14:paraId="46D16308" w14:textId="44DF21D1" w:rsidR="002D17E3" w:rsidRPr="00103D12" w:rsidRDefault="002D17E3" w:rsidP="00D141B1">
      <w:pPr>
        <w:pStyle w:val="NICEnormal"/>
      </w:pPr>
      <w:r w:rsidRPr="00103D12">
        <w:t xml:space="preserve">Data source: </w:t>
      </w:r>
      <w:r w:rsidR="00A75D53" w:rsidRPr="00D62D98">
        <w:t xml:space="preserve">Office of National Statistics </w:t>
      </w:r>
      <w:r w:rsidR="00CC0151" w:rsidRPr="00D62D98">
        <w:t>birth and weight data</w:t>
      </w:r>
      <w:r w:rsidR="00E84EDE">
        <w:t xml:space="preserve"> and </w:t>
      </w:r>
      <w:r w:rsidR="00E84EDE" w:rsidRPr="00D62D98">
        <w:t>National Neonatal Research Database</w:t>
      </w:r>
      <w:r w:rsidR="00CC0151" w:rsidRPr="00D62D98">
        <w:t>.</w:t>
      </w:r>
    </w:p>
    <w:p w14:paraId="15239063" w14:textId="3F2133C8" w:rsidR="00706451" w:rsidRDefault="00706451" w:rsidP="00D141B1">
      <w:pPr>
        <w:pStyle w:val="NICEnormal"/>
      </w:pPr>
      <w:r w:rsidRPr="00103D12">
        <w:t xml:space="preserve">Minimum population: </w:t>
      </w:r>
      <w:r w:rsidR="00103D12" w:rsidRPr="00103D12">
        <w:t>The indicator would be appropriate to assess performance of individual CCGs</w:t>
      </w:r>
      <w:r w:rsidR="00D62D98">
        <w:t>.</w:t>
      </w:r>
    </w:p>
    <w:p w14:paraId="129ECA00" w14:textId="65691789" w:rsidR="0009195D" w:rsidRPr="0009195D" w:rsidRDefault="0009195D" w:rsidP="006E2DEB">
      <w:pPr>
        <w:pStyle w:val="Heading2"/>
      </w:pPr>
      <w:r w:rsidRPr="0009195D">
        <w:t>Further information</w:t>
      </w:r>
    </w:p>
    <w:p w14:paraId="70B822BC" w14:textId="6A989792" w:rsidR="0009195D" w:rsidRPr="0009195D" w:rsidRDefault="0009195D" w:rsidP="0009195D">
      <w:pPr>
        <w:pStyle w:val="NICEnormal"/>
      </w:pPr>
      <w:bookmarkStart w:id="0" w:name="_Hlk14183092"/>
      <w:r w:rsidRPr="0009195D">
        <w:t xml:space="preserve">This is NICE indicator guidance, which is part of the </w:t>
      </w:r>
      <w:hyperlink r:id="rId13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BA57F" w14:textId="77777777" w:rsidR="00ED59B4" w:rsidRDefault="00ED59B4" w:rsidP="00446BEE">
      <w:r>
        <w:separator/>
      </w:r>
    </w:p>
  </w:endnote>
  <w:endnote w:type="continuationSeparator" w:id="0">
    <w:p w14:paraId="7D538F93" w14:textId="77777777" w:rsidR="00ED59B4" w:rsidRDefault="00ED59B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15A639E3" w:rsidR="00245B12" w:rsidRPr="00EA7F52" w:rsidRDefault="00D141B1" w:rsidP="00D141B1">
    <w:pPr>
      <w:pStyle w:val="Footer"/>
    </w:pPr>
    <w:r>
      <w:t xml:space="preserve">NICE indicator guidance: </w:t>
    </w:r>
    <w:r w:rsidR="00103D12">
      <w:t>CCG36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63707" w14:textId="77777777" w:rsidR="00ED59B4" w:rsidRDefault="00ED59B4" w:rsidP="00446BEE">
      <w:r>
        <w:separator/>
      </w:r>
    </w:p>
  </w:footnote>
  <w:footnote w:type="continuationSeparator" w:id="0">
    <w:p w14:paraId="20FA1AFC" w14:textId="77777777" w:rsidR="00ED59B4" w:rsidRDefault="00ED59B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3BC8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1991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45C9"/>
    <w:rsid w:val="00077897"/>
    <w:rsid w:val="00077F5F"/>
    <w:rsid w:val="000810DE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81A"/>
    <w:rsid w:val="000C2B7B"/>
    <w:rsid w:val="000C3267"/>
    <w:rsid w:val="000C47C4"/>
    <w:rsid w:val="000C639A"/>
    <w:rsid w:val="000C751D"/>
    <w:rsid w:val="000D1DDA"/>
    <w:rsid w:val="000D2996"/>
    <w:rsid w:val="000D5395"/>
    <w:rsid w:val="000E0D4A"/>
    <w:rsid w:val="000E63E5"/>
    <w:rsid w:val="000E7E9F"/>
    <w:rsid w:val="000F1E49"/>
    <w:rsid w:val="000F1F98"/>
    <w:rsid w:val="000F2A39"/>
    <w:rsid w:val="000F62E9"/>
    <w:rsid w:val="00100706"/>
    <w:rsid w:val="00103D12"/>
    <w:rsid w:val="00104C5A"/>
    <w:rsid w:val="00106C72"/>
    <w:rsid w:val="00107EDC"/>
    <w:rsid w:val="00110085"/>
    <w:rsid w:val="00111CCE"/>
    <w:rsid w:val="001134E7"/>
    <w:rsid w:val="00126C3F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3ED3"/>
    <w:rsid w:val="0026635F"/>
    <w:rsid w:val="00276273"/>
    <w:rsid w:val="002819D7"/>
    <w:rsid w:val="002826F0"/>
    <w:rsid w:val="00292F85"/>
    <w:rsid w:val="00296916"/>
    <w:rsid w:val="002A31EA"/>
    <w:rsid w:val="002B0BA6"/>
    <w:rsid w:val="002B30C6"/>
    <w:rsid w:val="002B69F1"/>
    <w:rsid w:val="002C06F1"/>
    <w:rsid w:val="002C1A7E"/>
    <w:rsid w:val="002C2CA8"/>
    <w:rsid w:val="002C5F59"/>
    <w:rsid w:val="002D17E3"/>
    <w:rsid w:val="002D2875"/>
    <w:rsid w:val="002D3376"/>
    <w:rsid w:val="002D691E"/>
    <w:rsid w:val="002D74C0"/>
    <w:rsid w:val="002E2349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75A4A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7505A"/>
    <w:rsid w:val="004834D6"/>
    <w:rsid w:val="004838C9"/>
    <w:rsid w:val="004963BB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16626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962D7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5329"/>
    <w:rsid w:val="00677315"/>
    <w:rsid w:val="00683309"/>
    <w:rsid w:val="006839FB"/>
    <w:rsid w:val="0068481A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4C54"/>
    <w:rsid w:val="006D316E"/>
    <w:rsid w:val="006D323E"/>
    <w:rsid w:val="006D43D7"/>
    <w:rsid w:val="006D71D4"/>
    <w:rsid w:val="006E2DEB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474D4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41A5"/>
    <w:rsid w:val="00854653"/>
    <w:rsid w:val="00857BAA"/>
    <w:rsid w:val="00861B92"/>
    <w:rsid w:val="00873A86"/>
    <w:rsid w:val="00873B22"/>
    <w:rsid w:val="008771EE"/>
    <w:rsid w:val="008814FB"/>
    <w:rsid w:val="00884895"/>
    <w:rsid w:val="00884ECB"/>
    <w:rsid w:val="00891C26"/>
    <w:rsid w:val="00893BF2"/>
    <w:rsid w:val="008A226F"/>
    <w:rsid w:val="008A50EC"/>
    <w:rsid w:val="008A6036"/>
    <w:rsid w:val="008B5FAE"/>
    <w:rsid w:val="008C1650"/>
    <w:rsid w:val="008D36D5"/>
    <w:rsid w:val="008E09B9"/>
    <w:rsid w:val="008E6DAD"/>
    <w:rsid w:val="008E7166"/>
    <w:rsid w:val="008F5E30"/>
    <w:rsid w:val="009018F5"/>
    <w:rsid w:val="009027D5"/>
    <w:rsid w:val="0090299C"/>
    <w:rsid w:val="00914D7F"/>
    <w:rsid w:val="00915A42"/>
    <w:rsid w:val="0091747A"/>
    <w:rsid w:val="00922271"/>
    <w:rsid w:val="009233EA"/>
    <w:rsid w:val="00926564"/>
    <w:rsid w:val="00926B7A"/>
    <w:rsid w:val="00933BF9"/>
    <w:rsid w:val="00943077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6465"/>
    <w:rsid w:val="00A57046"/>
    <w:rsid w:val="00A73F95"/>
    <w:rsid w:val="00A75A10"/>
    <w:rsid w:val="00A75D53"/>
    <w:rsid w:val="00A81422"/>
    <w:rsid w:val="00A841FC"/>
    <w:rsid w:val="00A90F05"/>
    <w:rsid w:val="00A9124A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4C14"/>
    <w:rsid w:val="00B15469"/>
    <w:rsid w:val="00B17B0B"/>
    <w:rsid w:val="00B22F24"/>
    <w:rsid w:val="00B236FF"/>
    <w:rsid w:val="00B2706C"/>
    <w:rsid w:val="00B30421"/>
    <w:rsid w:val="00B4245E"/>
    <w:rsid w:val="00B504AA"/>
    <w:rsid w:val="00B5431F"/>
    <w:rsid w:val="00B54674"/>
    <w:rsid w:val="00B54C74"/>
    <w:rsid w:val="00B55000"/>
    <w:rsid w:val="00B5550A"/>
    <w:rsid w:val="00B6011C"/>
    <w:rsid w:val="00B60277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133EC"/>
    <w:rsid w:val="00C206B2"/>
    <w:rsid w:val="00C25D8A"/>
    <w:rsid w:val="00C35731"/>
    <w:rsid w:val="00C37936"/>
    <w:rsid w:val="00C42C69"/>
    <w:rsid w:val="00C46D9D"/>
    <w:rsid w:val="00C4726C"/>
    <w:rsid w:val="00C478C4"/>
    <w:rsid w:val="00C625B6"/>
    <w:rsid w:val="00C64D04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0151"/>
    <w:rsid w:val="00CC2B2E"/>
    <w:rsid w:val="00CD5E73"/>
    <w:rsid w:val="00CD78CA"/>
    <w:rsid w:val="00CF0430"/>
    <w:rsid w:val="00CF58B7"/>
    <w:rsid w:val="00D00C6A"/>
    <w:rsid w:val="00D035AB"/>
    <w:rsid w:val="00D03BAC"/>
    <w:rsid w:val="00D05D63"/>
    <w:rsid w:val="00D10A48"/>
    <w:rsid w:val="00D1189B"/>
    <w:rsid w:val="00D120C8"/>
    <w:rsid w:val="00D12497"/>
    <w:rsid w:val="00D141B1"/>
    <w:rsid w:val="00D15E0F"/>
    <w:rsid w:val="00D16170"/>
    <w:rsid w:val="00D17456"/>
    <w:rsid w:val="00D219AA"/>
    <w:rsid w:val="00D21E01"/>
    <w:rsid w:val="00D23D74"/>
    <w:rsid w:val="00D263CE"/>
    <w:rsid w:val="00D306D5"/>
    <w:rsid w:val="00D30B4A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47E4F"/>
    <w:rsid w:val="00D504B3"/>
    <w:rsid w:val="00D50C58"/>
    <w:rsid w:val="00D50EB4"/>
    <w:rsid w:val="00D602AD"/>
    <w:rsid w:val="00D60775"/>
    <w:rsid w:val="00D62598"/>
    <w:rsid w:val="00D626A6"/>
    <w:rsid w:val="00D62D98"/>
    <w:rsid w:val="00D65433"/>
    <w:rsid w:val="00D70963"/>
    <w:rsid w:val="00D81F38"/>
    <w:rsid w:val="00D81F78"/>
    <w:rsid w:val="00D86BF0"/>
    <w:rsid w:val="00D8732A"/>
    <w:rsid w:val="00D92D94"/>
    <w:rsid w:val="00D94AAE"/>
    <w:rsid w:val="00D979DF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36B4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4EDE"/>
    <w:rsid w:val="00E86111"/>
    <w:rsid w:val="00E87113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D59B4"/>
    <w:rsid w:val="00EE0E05"/>
    <w:rsid w:val="00EE133B"/>
    <w:rsid w:val="00EE36E0"/>
    <w:rsid w:val="00EE4BF3"/>
    <w:rsid w:val="00EE50CE"/>
    <w:rsid w:val="00EF0440"/>
    <w:rsid w:val="00F014C2"/>
    <w:rsid w:val="00F025CE"/>
    <w:rsid w:val="00F04317"/>
    <w:rsid w:val="00F050A1"/>
    <w:rsid w:val="00F055F1"/>
    <w:rsid w:val="00F07B2C"/>
    <w:rsid w:val="00F13F5B"/>
    <w:rsid w:val="00F35DD0"/>
    <w:rsid w:val="00F362B0"/>
    <w:rsid w:val="00F367CA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6E2DEB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6E2DEB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cg190" TargetMode="External"/><Relationship Id="rId13" Type="http://schemas.openxmlformats.org/officeDocument/2006/relationships/hyperlink" Target="https://www.nice.org.uk/Standards-and-Indicators/inde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cg9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cg14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ice.org.uk/guidance/cg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ng12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35E3E-6FAF-42A0-A4A4-FAB630A81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2020-10-26T13:40:00Z</dcterms:created>
  <dcterms:modified xsi:type="dcterms:W3CDTF">2020-11-02T13:29:00Z</dcterms:modified>
</cp:coreProperties>
</file>