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5B9A2562" w:rsidR="00B8026E" w:rsidRDefault="00B8026E" w:rsidP="009E0500">
      <w:pPr>
        <w:pStyle w:val="Paragraphnonumbers"/>
      </w:pPr>
      <w:r>
        <w:t>Date first published on NICE menu:</w:t>
      </w:r>
      <w:r w:rsidR="008A3AC5">
        <w:t xml:space="preserve"> August 2016</w:t>
      </w:r>
    </w:p>
    <w:p w14:paraId="06BAB3FE" w14:textId="1D24507D" w:rsidR="00B8026E" w:rsidRPr="008A3AC5" w:rsidRDefault="00B8026E" w:rsidP="009E0500">
      <w:pPr>
        <w:pStyle w:val="Paragraphnonumbers"/>
        <w:rPr>
          <w:b/>
        </w:rPr>
      </w:pPr>
      <w:r>
        <w:t xml:space="preserve">Last </w:t>
      </w:r>
      <w:r w:rsidRPr="008A3AC5">
        <w:t xml:space="preserve">update: </w:t>
      </w:r>
      <w:r w:rsidR="007A1B5F">
        <w:t>March</w:t>
      </w:r>
      <w:r w:rsidR="005F5325">
        <w:t xml:space="preserve"> 202</w:t>
      </w:r>
      <w:r w:rsidR="00FA3484">
        <w:t>2</w:t>
      </w:r>
    </w:p>
    <w:p w14:paraId="6107852F" w14:textId="3F1C5D66" w:rsidR="006F0A86" w:rsidRPr="008A3AC5" w:rsidRDefault="006F0A86" w:rsidP="00126C3F">
      <w:pPr>
        <w:pStyle w:val="Heading1"/>
      </w:pPr>
      <w:r w:rsidRPr="008A3AC5">
        <w:t xml:space="preserve">Indicator </w:t>
      </w:r>
      <w:r w:rsidR="008A3AC5" w:rsidRPr="008A3AC5">
        <w:t>CCG63</w:t>
      </w:r>
    </w:p>
    <w:p w14:paraId="0A6C169D" w14:textId="1DF5C8B9" w:rsidR="00611A1D" w:rsidRPr="008A3AC5" w:rsidRDefault="008A3AC5" w:rsidP="00611A1D">
      <w:pPr>
        <w:pStyle w:val="Paragraph"/>
      </w:pPr>
      <w:r w:rsidRPr="008A3AC5">
        <w:t>Admission rates for renal replacement therapy in people with diabetes</w:t>
      </w:r>
      <w:r w:rsidR="00813BB8">
        <w:t>.</w:t>
      </w:r>
    </w:p>
    <w:p w14:paraId="18778417" w14:textId="333A8E39" w:rsidR="00806B97" w:rsidRPr="008A3AC5" w:rsidRDefault="00806B97" w:rsidP="00806B97">
      <w:pPr>
        <w:pStyle w:val="Heading1"/>
      </w:pPr>
      <w:r w:rsidRPr="008A3AC5">
        <w:t xml:space="preserve">Indicator type </w:t>
      </w:r>
    </w:p>
    <w:p w14:paraId="6F7B8935" w14:textId="5CC8A56E" w:rsidR="004A1A88" w:rsidRDefault="001C31E9" w:rsidP="009E0500">
      <w:pPr>
        <w:pStyle w:val="Paragraph"/>
      </w:pPr>
      <w:r w:rsidRPr="008A3AC5">
        <w:t>Clinical commissioning group indicator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24893F6B" w:rsidR="006F0A86" w:rsidRDefault="008A3AC5" w:rsidP="004835E1">
      <w:pPr>
        <w:pStyle w:val="Paragraphnonumbers"/>
      </w:pPr>
      <w:r>
        <w:t>Sub optimal diabetes management can lead to a number of short- and long-term health complications, including renal failure. Admission rates for renal replacement therapy in people with diabetes are therefore used as a proxy for outcomes of care.</w:t>
      </w:r>
      <w:r w:rsidR="0036372C">
        <w:t xml:space="preserve"> 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0803AEA7" w14:textId="0063DD6F" w:rsidR="008A3AC5" w:rsidRDefault="007A1B5F" w:rsidP="004835E1">
      <w:pPr>
        <w:pStyle w:val="Paragraphnonumbers"/>
      </w:pPr>
      <w:hyperlink r:id="rId7" w:history="1">
        <w:r w:rsidR="00813BB8">
          <w:rPr>
            <w:rStyle w:val="Hyperlink"/>
          </w:rPr>
          <w:t>Type 1 diabetes in adults: diagnosis and management. NICE guideline NG17</w:t>
        </w:r>
      </w:hyperlink>
      <w:r w:rsidR="008A3AC5">
        <w:t xml:space="preserve"> (2015</w:t>
      </w:r>
      <w:r w:rsidR="005F5325">
        <w:t>, updated 202</w:t>
      </w:r>
      <w:r>
        <w:t>2</w:t>
      </w:r>
      <w:r w:rsidR="008A3AC5">
        <w:t xml:space="preserve">) </w:t>
      </w:r>
    </w:p>
    <w:p w14:paraId="1FDBCC2C" w14:textId="32D1E1DC" w:rsidR="008A3AC5" w:rsidRDefault="007A1B5F" w:rsidP="004835E1">
      <w:pPr>
        <w:pStyle w:val="Paragraphnonumbers"/>
      </w:pPr>
      <w:hyperlink r:id="rId8" w:history="1">
        <w:r w:rsidR="00813BB8">
          <w:rPr>
            <w:rStyle w:val="Hyperlink"/>
          </w:rPr>
          <w:t>Type 2 diabetes in adults: management. NICE guideline NG28</w:t>
        </w:r>
      </w:hyperlink>
      <w:r w:rsidR="008A3AC5">
        <w:t xml:space="preserve"> (2015</w:t>
      </w:r>
      <w:r w:rsidR="00FA3484">
        <w:t>, updated 2022</w:t>
      </w:r>
      <w:r w:rsidR="008A3AC5">
        <w:t xml:space="preserve">) </w:t>
      </w:r>
    </w:p>
    <w:p w14:paraId="6518DC72" w14:textId="426467E6" w:rsidR="00175365" w:rsidRDefault="007A1B5F" w:rsidP="004835E1">
      <w:pPr>
        <w:pStyle w:val="Paragraphnonumbers"/>
      </w:pPr>
      <w:hyperlink r:id="rId9" w:history="1">
        <w:r w:rsidR="00600A74">
          <w:rPr>
            <w:rStyle w:val="Hyperlink"/>
          </w:rPr>
          <w:t>Chronic kidney disease: assessment and management. NICE guideline NG203</w:t>
        </w:r>
      </w:hyperlink>
      <w:r w:rsidR="00175365" w:rsidRPr="00E707C7">
        <w:t xml:space="preserve"> </w:t>
      </w:r>
      <w:r w:rsidR="00175365" w:rsidRPr="00175365">
        <w:t>(2021)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5ACE6F6A" w:rsidR="0009195D" w:rsidRDefault="00D141B1" w:rsidP="004835E1">
      <w:pPr>
        <w:pStyle w:val="Paragraphnonumbers"/>
      </w:pPr>
      <w:r>
        <w:t xml:space="preserve">Numerator: </w:t>
      </w:r>
      <w:r w:rsidR="008A3AC5">
        <w:t xml:space="preserve">The number of people </w:t>
      </w:r>
      <w:r w:rsidR="00231F4F">
        <w:t>in the denominator</w:t>
      </w:r>
      <w:r w:rsidR="008A3AC5">
        <w:t xml:space="preserve"> that have been admitted to hospital for renal replacement therapy.</w:t>
      </w:r>
      <w:r w:rsidR="0009195D" w:rsidRPr="0009195D">
        <w:t xml:space="preserve"> </w:t>
      </w:r>
    </w:p>
    <w:p w14:paraId="06B62F8F" w14:textId="08DB8312" w:rsidR="00D141B1" w:rsidRDefault="00D141B1" w:rsidP="004835E1">
      <w:pPr>
        <w:pStyle w:val="Paragraphnonumbers"/>
      </w:pPr>
      <w:r>
        <w:t xml:space="preserve">Denominator: </w:t>
      </w:r>
      <w:r w:rsidR="008A3AC5">
        <w:t>The number of people with diabetes.</w:t>
      </w:r>
    </w:p>
    <w:p w14:paraId="04501E11" w14:textId="0DD5086B" w:rsidR="0009195D" w:rsidRDefault="0009195D" w:rsidP="004835E1">
      <w:pPr>
        <w:pStyle w:val="Paragraphnonumbers"/>
      </w:pPr>
      <w:r>
        <w:lastRenderedPageBreak/>
        <w:t>Calculation</w:t>
      </w:r>
      <w:r w:rsidRPr="008A3AC5">
        <w:t xml:space="preserve">: </w:t>
      </w:r>
      <w:r w:rsidR="0038436B">
        <w:t>Indirectly age and sex standardised ratio.</w:t>
      </w:r>
    </w:p>
    <w:p w14:paraId="7AA98075" w14:textId="06D0F719" w:rsidR="008A3AC5" w:rsidRDefault="008A3AC5" w:rsidP="004835E1">
      <w:pPr>
        <w:pStyle w:val="Paragraphnonumbers"/>
      </w:pPr>
      <w:r>
        <w:t>Exclusions: None</w:t>
      </w:r>
    </w:p>
    <w:p w14:paraId="53B1F287" w14:textId="378323EF" w:rsidR="008A3AC5" w:rsidRPr="00C858D2" w:rsidRDefault="008A3AC5" w:rsidP="004835E1">
      <w:pPr>
        <w:pStyle w:val="Paragraphnonumbers"/>
      </w:pPr>
      <w:r>
        <w:t xml:space="preserve">Data source: </w:t>
      </w:r>
      <w:hyperlink r:id="rId10" w:history="1">
        <w:r w:rsidRPr="00600A74">
          <w:rPr>
            <w:rStyle w:val="Hyperlink"/>
          </w:rPr>
          <w:t>National Diabetes Audit (NDA)</w:t>
        </w:r>
      </w:hyperlink>
      <w:r>
        <w:t xml:space="preserve"> and </w:t>
      </w:r>
      <w:hyperlink r:id="rId11" w:history="1">
        <w:r w:rsidRPr="00600A74">
          <w:rPr>
            <w:rStyle w:val="Hyperlink"/>
          </w:rPr>
          <w:t>Hospital episodes statistics (HES)</w:t>
        </w:r>
      </w:hyperlink>
      <w:r>
        <w:t xml:space="preserve">: Admitted </w:t>
      </w:r>
      <w:r w:rsidRPr="00C858D2">
        <w:t>Patient Care (APC)</w:t>
      </w:r>
      <w:r w:rsidR="00813BB8">
        <w:t>.</w:t>
      </w:r>
      <w:r w:rsidRPr="00C858D2">
        <w:t xml:space="preserve"> </w:t>
      </w:r>
    </w:p>
    <w:p w14:paraId="15239063" w14:textId="6CB1FFC7" w:rsidR="00706451" w:rsidRDefault="008A3AC5" w:rsidP="004835E1">
      <w:pPr>
        <w:pStyle w:val="Paragraphnonumbers"/>
      </w:pPr>
      <w:r w:rsidRPr="00C858D2">
        <w:t>Minimum population: The indicator would be appropriate to assess performance of individual CCGs.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4835E1">
      <w:pPr>
        <w:pStyle w:val="Paragraphnonumbers"/>
      </w:pPr>
      <w:bookmarkStart w:id="0" w:name="_Hlk14183092"/>
      <w:r w:rsidRPr="0009195D">
        <w:t xml:space="preserve">This is NICE indicator guidance, which is part of the </w:t>
      </w:r>
      <w:hyperlink r:id="rId12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62A37C0A" w:rsidR="00245B12" w:rsidRPr="00EA7F52" w:rsidRDefault="00D141B1" w:rsidP="00D141B1">
    <w:pPr>
      <w:pStyle w:val="Footer"/>
    </w:pPr>
    <w:r>
      <w:t xml:space="preserve">NICE indicator guidance: </w:t>
    </w:r>
    <w:r w:rsidR="00BC2A04">
      <w:t>CCG63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E952757"/>
    <w:multiLevelType w:val="hybridMultilevel"/>
    <w:tmpl w:val="CCC4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5365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1F4F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36B"/>
    <w:rsid w:val="00384D2A"/>
    <w:rsid w:val="003903F0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5E1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325"/>
    <w:rsid w:val="005F57CE"/>
    <w:rsid w:val="005F59EC"/>
    <w:rsid w:val="005F5E00"/>
    <w:rsid w:val="005F65A3"/>
    <w:rsid w:val="005F7A02"/>
    <w:rsid w:val="00600A74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29D0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1B5F"/>
    <w:rsid w:val="007A473F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3BB8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3AC5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AC4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0500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0DDC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A8A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46E9"/>
    <w:rsid w:val="00BC05E2"/>
    <w:rsid w:val="00BC2A04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769F6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361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5D62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C7F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7C7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3484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hyperlink" Target="https://www.nice.org.uk/Standards-and-Indicator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cic.gov.uk/h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igital.nhs.uk/data-and-information/clinical-audits-and-registries/national-diabetes-au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2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2021-08-24T11:06:00Z</dcterms:created>
  <dcterms:modified xsi:type="dcterms:W3CDTF">2022-03-10T09:48:00Z</dcterms:modified>
</cp:coreProperties>
</file>