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3A77E0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6A16F6">
        <w:t>July 2016</w:t>
      </w:r>
    </w:p>
    <w:p w14:paraId="06BAB3FE" w14:textId="6CAAFB17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316418">
        <w:t xml:space="preserve">December </w:t>
      </w:r>
      <w:r w:rsidR="006A16F6">
        <w:t>2020</w:t>
      </w:r>
    </w:p>
    <w:p w14:paraId="6107852F" w14:textId="6A2C20A4" w:rsidR="006F0A86" w:rsidRDefault="006F0A86" w:rsidP="00126C3F">
      <w:pPr>
        <w:pStyle w:val="Heading1"/>
      </w:pPr>
      <w:r w:rsidRPr="00126C3F">
        <w:t xml:space="preserve">Indicator </w:t>
      </w:r>
      <w:r w:rsidR="006A16F6">
        <w:t>CCG6</w:t>
      </w:r>
      <w:r w:rsidR="008E1F75">
        <w:t>6</w:t>
      </w:r>
    </w:p>
    <w:p w14:paraId="5A94D30D" w14:textId="77777777" w:rsidR="008E1F75" w:rsidRPr="008E1F75" w:rsidRDefault="008E1F75" w:rsidP="008E1F75">
      <w:p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 xml:space="preserve">Proportion of children and young people with diabetes who receive the following individual care processes in the past 12 months: </w:t>
      </w:r>
    </w:p>
    <w:p w14:paraId="1A718EEA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Glycated Haemoglobin A1c (HbA1c) monitoring</w:t>
      </w:r>
    </w:p>
    <w:p w14:paraId="11845DC9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Body Mass Index (BMI)</w:t>
      </w:r>
    </w:p>
    <w:p w14:paraId="1E0E9308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Blood pressure</w:t>
      </w:r>
    </w:p>
    <w:p w14:paraId="302B576C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Urinary Albumin</w:t>
      </w:r>
    </w:p>
    <w:p w14:paraId="09C5A8F3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Eye screening</w:t>
      </w:r>
    </w:p>
    <w:p w14:paraId="7EEF162A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Foot examination</w:t>
      </w:r>
    </w:p>
    <w:p w14:paraId="353249B0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Smoking</w:t>
      </w:r>
    </w:p>
    <w:p w14:paraId="6541A54D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Screening for thyroid disease</w:t>
      </w:r>
    </w:p>
    <w:p w14:paraId="226F55F0" w14:textId="77777777" w:rsidR="008E1F75" w:rsidRPr="008E1F75" w:rsidRDefault="008E1F75" w:rsidP="008E1F75">
      <w:pPr>
        <w:numPr>
          <w:ilvl w:val="0"/>
          <w:numId w:val="39"/>
        </w:numPr>
        <w:spacing w:after="240" w:line="276" w:lineRule="auto"/>
        <w:rPr>
          <w:rFonts w:ascii="Arial" w:hAnsi="Arial"/>
          <w:lang w:val="en-US"/>
        </w:rPr>
      </w:pPr>
      <w:r w:rsidRPr="008E1F75">
        <w:rPr>
          <w:rFonts w:ascii="Arial" w:hAnsi="Arial"/>
          <w:lang w:val="en-US"/>
        </w:rPr>
        <w:t>Psychological assessment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6A16F6">
        <w:t>Clinical commissioning group indicator</w:t>
      </w:r>
      <w:r w:rsidR="00435C3B" w:rsidRPr="006A16F6">
        <w:t>.</w:t>
      </w:r>
    </w:p>
    <w:p w14:paraId="7A444F2C" w14:textId="1D03EF24" w:rsidR="00BD6253" w:rsidRPr="006A16F6" w:rsidRDefault="006F0A86" w:rsidP="006A16F6">
      <w:pPr>
        <w:pStyle w:val="Heading1"/>
        <w:rPr>
          <w:i/>
        </w:rPr>
      </w:pPr>
      <w:r w:rsidRPr="00011273">
        <w:t>Rationale</w:t>
      </w:r>
      <w:r w:rsidR="000B15A4">
        <w:t xml:space="preserve"> </w:t>
      </w:r>
    </w:p>
    <w:p w14:paraId="6EFFAA47" w14:textId="389FDCBE" w:rsidR="006F0A86" w:rsidRPr="006A16F6" w:rsidRDefault="008E1F75" w:rsidP="00EE354D">
      <w:pPr>
        <w:pStyle w:val="Paragraph"/>
        <w:rPr>
          <w:highlight w:val="lightGray"/>
        </w:rPr>
      </w:pPr>
      <w:r>
        <w:t>This indicator aims to reduce</w:t>
      </w:r>
      <w:r w:rsidRPr="008E1F75">
        <w:t xml:space="preserve"> risk of complications associated with diabetes in children and young people by monitoring </w:t>
      </w:r>
      <w:r>
        <w:t xml:space="preserve">9 </w:t>
      </w:r>
      <w:r w:rsidRPr="008E1F75">
        <w:t>care processes.</w:t>
      </w:r>
    </w:p>
    <w:p w14:paraId="1E259BBD" w14:textId="084542EA" w:rsidR="00D141B1" w:rsidRPr="006A16F6" w:rsidRDefault="00D141B1" w:rsidP="006A16F6">
      <w:pPr>
        <w:pStyle w:val="Heading1"/>
        <w:rPr>
          <w:i/>
        </w:rPr>
      </w:pPr>
      <w:r w:rsidRPr="001F2B33">
        <w:t xml:space="preserve">Source guidance </w:t>
      </w:r>
    </w:p>
    <w:p w14:paraId="6AF2D1B1" w14:textId="41E0876B" w:rsidR="004C4ABD" w:rsidRDefault="00316418" w:rsidP="00EE354D">
      <w:pPr>
        <w:pStyle w:val="Paragraph"/>
      </w:pPr>
      <w:hyperlink r:id="rId7" w:history="1">
        <w:r w:rsidR="008E1F75">
          <w:rPr>
            <w:rStyle w:val="Hyperlink"/>
          </w:rPr>
          <w:t>Diabetes (type 1 and type 2) in children and young people: diagnosis and management. NICE guideline NG18</w:t>
        </w:r>
      </w:hyperlink>
      <w:r w:rsidR="004C4ABD" w:rsidRPr="00BD6253">
        <w:t xml:space="preserve"> (</w:t>
      </w:r>
      <w:r w:rsidR="006A16F6">
        <w:t>2015</w:t>
      </w:r>
      <w:r w:rsidR="00940F6C">
        <w:t>, updated 2020</w:t>
      </w:r>
      <w:r w:rsidR="004C4ABD" w:rsidRPr="00BD6253">
        <w:t>).</w:t>
      </w:r>
      <w:r w:rsidR="008E1F75">
        <w:t xml:space="preserve"> </w:t>
      </w:r>
      <w:r w:rsidR="008E1F75">
        <w:lastRenderedPageBreak/>
        <w:t>Recommendations 1.2.4, 1.2.12, 1.2.13, 1.2.14, 1.2.4</w:t>
      </w:r>
      <w:r>
        <w:t>6</w:t>
      </w:r>
      <w:r w:rsidR="008E1F75">
        <w:t>, 1.2.7</w:t>
      </w:r>
      <w:r>
        <w:t>2</w:t>
      </w:r>
      <w:r w:rsidR="008E1F75">
        <w:t>, 1.2.9</w:t>
      </w:r>
      <w:r>
        <w:t>6</w:t>
      </w:r>
      <w:r w:rsidR="008E1F75">
        <w:t>, 1.2.9</w:t>
      </w:r>
      <w:r>
        <w:t>9</w:t>
      </w:r>
      <w:r w:rsidR="008E1F75">
        <w:t>, 1.2.11</w:t>
      </w:r>
      <w:r>
        <w:t>1</w:t>
      </w:r>
      <w:r w:rsidR="008E1F75">
        <w:t>,</w:t>
      </w:r>
      <w:r>
        <w:t xml:space="preserve"> 1.1.112,</w:t>
      </w:r>
      <w:r w:rsidR="008E1F75">
        <w:t xml:space="preserve"> 1.3.2, 1.3.3, 1.3.8, 1.3.9, 1.3.10, 1.3.11, 1.3.</w:t>
      </w:r>
      <w:r>
        <w:t>19</w:t>
      </w:r>
      <w:r w:rsidR="008E1F75">
        <w:t>, 1.3.2</w:t>
      </w:r>
      <w:r>
        <w:t>7</w:t>
      </w:r>
      <w:r w:rsidR="008E1F75">
        <w:t>, 1.3.3</w:t>
      </w:r>
      <w:r>
        <w:t>3</w:t>
      </w:r>
      <w:r w:rsidR="008E1F75">
        <w:t>, 1.3.3</w:t>
      </w:r>
      <w:r>
        <w:t>6</w:t>
      </w:r>
      <w:r w:rsidR="008E1F75">
        <w:t>,</w:t>
      </w:r>
      <w:r>
        <w:t xml:space="preserve"> 1.3.42,</w:t>
      </w:r>
      <w:r w:rsidR="008E1F75">
        <w:t xml:space="preserve"> 1.3.43.</w:t>
      </w:r>
    </w:p>
    <w:p w14:paraId="32AB5406" w14:textId="7115E51B" w:rsidR="00F9741E" w:rsidRPr="006A16F6" w:rsidRDefault="00D141B1" w:rsidP="006A16F6">
      <w:pPr>
        <w:pStyle w:val="Heading1"/>
      </w:pPr>
      <w:r>
        <w:t xml:space="preserve">Specification </w:t>
      </w:r>
    </w:p>
    <w:p w14:paraId="38D98736" w14:textId="01A1D61E" w:rsidR="00FD53C2" w:rsidRDefault="00D141B1" w:rsidP="00FD53C2">
      <w:pPr>
        <w:pStyle w:val="Paragraph"/>
      </w:pPr>
      <w:r>
        <w:t xml:space="preserve">Numerator: </w:t>
      </w:r>
      <w:r w:rsidR="00CD12CC" w:rsidRPr="00CD12CC">
        <w:t xml:space="preserve">The number of people </w:t>
      </w:r>
      <w:r w:rsidR="008E1F75">
        <w:t>in the denominator</w:t>
      </w:r>
      <w:r w:rsidR="00CD12CC" w:rsidRPr="00CD12CC">
        <w:t xml:space="preserve"> </w:t>
      </w:r>
      <w:r w:rsidR="008E1F75" w:rsidRPr="008E1F75">
        <w:t xml:space="preserve">who received </w:t>
      </w:r>
      <w:r w:rsidR="00FD53C2">
        <w:t xml:space="preserve">the following individual care processes in the past 12 months: </w:t>
      </w:r>
    </w:p>
    <w:p w14:paraId="0C24F857" w14:textId="77777777" w:rsidR="00FD53C2" w:rsidRDefault="00FD53C2" w:rsidP="00FD53C2">
      <w:pPr>
        <w:pStyle w:val="Paragraph"/>
      </w:pPr>
      <w:r>
        <w:t>•</w:t>
      </w:r>
      <w:r>
        <w:tab/>
        <w:t>Glycated Haemoglobin A1c (HbA1c) monitoring</w:t>
      </w:r>
    </w:p>
    <w:p w14:paraId="0157CD4B" w14:textId="77777777" w:rsidR="00FD53C2" w:rsidRDefault="00FD53C2" w:rsidP="00FD53C2">
      <w:pPr>
        <w:pStyle w:val="Paragraph"/>
      </w:pPr>
      <w:r>
        <w:t>•</w:t>
      </w:r>
      <w:r>
        <w:tab/>
        <w:t>Body Mass Index (BMI)</w:t>
      </w:r>
    </w:p>
    <w:p w14:paraId="206B65C1" w14:textId="77777777" w:rsidR="00FD53C2" w:rsidRDefault="00FD53C2" w:rsidP="00FD53C2">
      <w:pPr>
        <w:pStyle w:val="Paragraph"/>
      </w:pPr>
      <w:r>
        <w:t>•</w:t>
      </w:r>
      <w:r>
        <w:tab/>
        <w:t>Blood pressure</w:t>
      </w:r>
    </w:p>
    <w:p w14:paraId="532B56BC" w14:textId="77777777" w:rsidR="00FD53C2" w:rsidRDefault="00FD53C2" w:rsidP="00FD53C2">
      <w:pPr>
        <w:pStyle w:val="Paragraph"/>
      </w:pPr>
      <w:r>
        <w:t>•</w:t>
      </w:r>
      <w:r>
        <w:tab/>
        <w:t>Urinary Albumin</w:t>
      </w:r>
    </w:p>
    <w:p w14:paraId="40AB436D" w14:textId="77777777" w:rsidR="00FD53C2" w:rsidRDefault="00FD53C2" w:rsidP="00FD53C2">
      <w:pPr>
        <w:pStyle w:val="Paragraph"/>
      </w:pPr>
      <w:r>
        <w:t>•</w:t>
      </w:r>
      <w:r>
        <w:tab/>
        <w:t>Eye screening</w:t>
      </w:r>
    </w:p>
    <w:p w14:paraId="05467595" w14:textId="77777777" w:rsidR="00FD53C2" w:rsidRDefault="00FD53C2" w:rsidP="00FD53C2">
      <w:pPr>
        <w:pStyle w:val="Paragraph"/>
      </w:pPr>
      <w:r>
        <w:t>•</w:t>
      </w:r>
      <w:r>
        <w:tab/>
        <w:t>Foot examination</w:t>
      </w:r>
    </w:p>
    <w:p w14:paraId="7B198574" w14:textId="77777777" w:rsidR="00FD53C2" w:rsidRDefault="00FD53C2" w:rsidP="00FD53C2">
      <w:pPr>
        <w:pStyle w:val="Paragraph"/>
      </w:pPr>
      <w:r>
        <w:t>•</w:t>
      </w:r>
      <w:r>
        <w:tab/>
        <w:t>Smoking</w:t>
      </w:r>
    </w:p>
    <w:p w14:paraId="1D21B96A" w14:textId="77777777" w:rsidR="00FD53C2" w:rsidRDefault="00FD53C2" w:rsidP="00FD53C2">
      <w:pPr>
        <w:pStyle w:val="Paragraph"/>
      </w:pPr>
      <w:r>
        <w:t>•</w:t>
      </w:r>
      <w:r>
        <w:tab/>
        <w:t>Screening for thyroid disease</w:t>
      </w:r>
    </w:p>
    <w:p w14:paraId="4B62A813" w14:textId="31D2DE2B" w:rsidR="0009195D" w:rsidRDefault="00FD53C2" w:rsidP="00FD53C2">
      <w:pPr>
        <w:pStyle w:val="Paragraph"/>
      </w:pPr>
      <w:r>
        <w:t>•</w:t>
      </w:r>
      <w:r>
        <w:tab/>
        <w:t>Psychological assessment</w:t>
      </w:r>
      <w:r w:rsidR="0009195D">
        <w:t>.</w:t>
      </w:r>
      <w:r w:rsidR="0009195D" w:rsidRPr="0009195D">
        <w:t xml:space="preserve"> </w:t>
      </w:r>
    </w:p>
    <w:p w14:paraId="06B62F8F" w14:textId="5EB37669" w:rsidR="00D141B1" w:rsidRDefault="00D141B1" w:rsidP="00EE354D">
      <w:pPr>
        <w:pStyle w:val="Paragraph"/>
      </w:pPr>
      <w:r>
        <w:t xml:space="preserve">Denominator: </w:t>
      </w:r>
      <w:r w:rsidR="00CD12CC" w:rsidRPr="00CD12CC">
        <w:t xml:space="preserve">The number of </w:t>
      </w:r>
      <w:r w:rsidR="008E1F75" w:rsidRPr="008E1F75">
        <w:t>children and young people with diabetes aged under 18.</w:t>
      </w:r>
    </w:p>
    <w:p w14:paraId="04501E11" w14:textId="321C4F7F" w:rsidR="0009195D" w:rsidRDefault="0009195D" w:rsidP="00EE354D">
      <w:pPr>
        <w:pStyle w:val="Paragraph"/>
      </w:pPr>
      <w:r>
        <w:t>Calculation</w:t>
      </w:r>
      <w:r w:rsidRPr="00CD12CC">
        <w:t>: (Numerator/denominator)*100</w:t>
      </w:r>
    </w:p>
    <w:p w14:paraId="200701E0" w14:textId="05FEC444" w:rsidR="00D141B1" w:rsidRDefault="00D141B1" w:rsidP="00EE354D">
      <w:pPr>
        <w:pStyle w:val="Paragraph"/>
      </w:pPr>
      <w:r>
        <w:t xml:space="preserve">Exclusions: </w:t>
      </w:r>
      <w:r w:rsidR="00CD12CC">
        <w:t>None</w:t>
      </w:r>
      <w:r w:rsidR="00DF45AD">
        <w:t xml:space="preserve"> </w:t>
      </w:r>
    </w:p>
    <w:p w14:paraId="0D2624A5" w14:textId="1F51646D" w:rsidR="009607DA" w:rsidRPr="008E1F75" w:rsidRDefault="009607DA" w:rsidP="00EE354D">
      <w:pPr>
        <w:pStyle w:val="Paragraph"/>
        <w:rPr>
          <w:lang w:val="en-US"/>
        </w:rPr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8E1F75" w:rsidRPr="008E1F75">
          <w:rPr>
            <w:rStyle w:val="Hyperlink"/>
            <w:lang w:val="en-US"/>
          </w:rPr>
          <w:t>National Paediatric Diabetes Audit (NPDA)</w:t>
        </w:r>
      </w:hyperlink>
    </w:p>
    <w:p w14:paraId="15239063" w14:textId="53FE1063" w:rsidR="00706451" w:rsidRDefault="00706451" w:rsidP="00EE354D">
      <w:pPr>
        <w:pStyle w:val="Paragraph"/>
      </w:pPr>
      <w:r>
        <w:t xml:space="preserve">Minimum </w:t>
      </w:r>
      <w:r w:rsidRPr="00CD12CC">
        <w:t xml:space="preserve">population: </w:t>
      </w:r>
      <w:r w:rsidR="000D5395" w:rsidRPr="00CD12CC">
        <w:t xml:space="preserve">The indicator would be appropriate </w:t>
      </w:r>
      <w:r w:rsidR="00391F4B" w:rsidRPr="00CD12CC">
        <w:t>to assess performance of individual CCGs</w:t>
      </w:r>
      <w:r w:rsidR="000D5395" w:rsidRPr="00CD12CC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lastRenderedPageBreak/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336B556" w:rsidR="00245B12" w:rsidRPr="00EA7F52" w:rsidRDefault="00D141B1" w:rsidP="00D141B1">
    <w:pPr>
      <w:pStyle w:val="Footer"/>
    </w:pPr>
    <w:r>
      <w:t xml:space="preserve">NICE indicator guidance: </w:t>
    </w:r>
    <w:r w:rsidR="00B32ECE">
      <w:t>CCG6</w:t>
    </w:r>
    <w:r w:rsidR="008E1F7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BB2006"/>
    <w:multiLevelType w:val="hybridMultilevel"/>
    <w:tmpl w:val="5A0E3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8"/>
  </w:num>
  <w:num w:numId="27">
    <w:abstractNumId w:val="26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86B2A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35AC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6418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4659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16F6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1F75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0F6C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32ECE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12CC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2E95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D53C2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2020-11-27T13:44:00Z</dcterms:created>
  <dcterms:modified xsi:type="dcterms:W3CDTF">2020-12-15T15:16:00Z</dcterms:modified>
</cp:coreProperties>
</file>