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B7207" w14:textId="48004715" w:rsidR="00E44C53" w:rsidRPr="0027670F" w:rsidRDefault="00042A78" w:rsidP="00E44C53">
      <w:pPr>
        <w:pStyle w:val="Heading1"/>
      </w:pPr>
      <w:bookmarkStart w:id="0" w:name="_Toc54272578"/>
      <w:bookmarkStart w:id="1" w:name="_Toc78205168"/>
      <w:r>
        <w:t>CCG90</w:t>
      </w:r>
      <w:r w:rsidR="00E44C53" w:rsidRPr="0027670F">
        <w:t xml:space="preserve">: </w:t>
      </w:r>
      <w:r w:rsidR="00E44C53">
        <w:t>Excluded</w:t>
      </w:r>
      <w:bookmarkEnd w:id="0"/>
      <w:r w:rsidR="00DE22E2">
        <w:t xml:space="preserve"> from diabetic eye screening</w:t>
      </w:r>
      <w:bookmarkEnd w:id="1"/>
    </w:p>
    <w:p w14:paraId="42D24C30" w14:textId="77777777" w:rsidR="00E44C53" w:rsidRDefault="00E44C53" w:rsidP="00E44C53">
      <w:pPr>
        <w:spacing w:before="240" w:after="240" w:line="276" w:lineRule="auto"/>
        <w:rPr>
          <w:rFonts w:ascii="Arial" w:hAnsi="Arial"/>
          <w:i/>
        </w:rPr>
      </w:pPr>
      <w:r w:rsidRPr="002E277B">
        <w:rPr>
          <w:rFonts w:ascii="Arial" w:hAnsi="Arial"/>
          <w:i/>
        </w:rPr>
        <w:t xml:space="preserve">The proportion of eligible people </w:t>
      </w:r>
      <w:r>
        <w:rPr>
          <w:rFonts w:ascii="Arial" w:hAnsi="Arial"/>
          <w:i/>
        </w:rPr>
        <w:t xml:space="preserve">with diabetes </w:t>
      </w:r>
      <w:bookmarkStart w:id="2" w:name="_Hlk80181535"/>
      <w:r>
        <w:rPr>
          <w:rFonts w:ascii="Arial" w:hAnsi="Arial"/>
          <w:i/>
        </w:rPr>
        <w:t>who are excluded from</w:t>
      </w:r>
      <w:r w:rsidRPr="009303F0">
        <w:rPr>
          <w:rFonts w:ascii="Arial" w:hAnsi="Arial"/>
          <w:i/>
        </w:rPr>
        <w:t xml:space="preserve"> </w:t>
      </w:r>
      <w:r>
        <w:rPr>
          <w:rFonts w:ascii="Arial" w:hAnsi="Arial"/>
          <w:i/>
        </w:rPr>
        <w:t xml:space="preserve">diabetic eye </w:t>
      </w:r>
      <w:r w:rsidRPr="009303F0">
        <w:rPr>
          <w:rFonts w:ascii="Arial" w:hAnsi="Arial"/>
          <w:i/>
        </w:rPr>
        <w:t>screening as they have opted out or are classed as medically unfit</w:t>
      </w:r>
      <w:bookmarkEnd w:id="2"/>
      <w:r w:rsidRPr="002E277B">
        <w:rPr>
          <w:rFonts w:ascii="Arial" w:hAnsi="Arial"/>
          <w:i/>
        </w:rPr>
        <w:t>.</w:t>
      </w:r>
    </w:p>
    <w:p w14:paraId="18C19885" w14:textId="77777777" w:rsidR="00E44C53" w:rsidRPr="003361D2" w:rsidRDefault="00E44C53" w:rsidP="00E44C53">
      <w:pPr>
        <w:pStyle w:val="Paragraph"/>
        <w:rPr>
          <w:iCs/>
        </w:rPr>
      </w:pPr>
      <w:r>
        <w:rPr>
          <w:iCs/>
        </w:rPr>
        <w:t>Data currently collected by screening provider and CCG. This p</w:t>
      </w:r>
      <w:r w:rsidRPr="00F53982">
        <w:rPr>
          <w:iCs/>
        </w:rPr>
        <w:t>ropos</w:t>
      </w:r>
      <w:r>
        <w:rPr>
          <w:iCs/>
        </w:rPr>
        <w:t xml:space="preserve">al assesses the potential </w:t>
      </w:r>
      <w:r w:rsidRPr="00F53982">
        <w:rPr>
          <w:iCs/>
        </w:rPr>
        <w:t xml:space="preserve">as a </w:t>
      </w:r>
      <w:r>
        <w:rPr>
          <w:iCs/>
        </w:rPr>
        <w:t>NICE CCG</w:t>
      </w:r>
      <w:r w:rsidRPr="00F53982">
        <w:rPr>
          <w:iCs/>
        </w:rPr>
        <w:t xml:space="preserve"> level indicator</w:t>
      </w:r>
      <w:r>
        <w:rPr>
          <w:iCs/>
        </w:rPr>
        <w:t>.</w:t>
      </w:r>
    </w:p>
    <w:p w14:paraId="5604D9F1" w14:textId="77777777" w:rsidR="00E44C53" w:rsidRPr="0027670F" w:rsidRDefault="00E44C53" w:rsidP="00E44C53">
      <w:pPr>
        <w:pStyle w:val="Heading3"/>
        <w:rPr>
          <w:b w:val="0"/>
          <w:bCs w:val="0"/>
        </w:rPr>
      </w:pPr>
      <w:bookmarkStart w:id="3" w:name="_Toc54272579"/>
      <w:r w:rsidRPr="0027670F">
        <w:t>Importance</w:t>
      </w:r>
      <w:bookmarkEnd w:id="3"/>
      <w:r w:rsidRPr="0027670F">
        <w:t xml:space="preserve"> </w:t>
      </w:r>
    </w:p>
    <w:tbl>
      <w:tblPr>
        <w:tblStyle w:val="TableGrid"/>
        <w:tblW w:w="9067" w:type="dxa"/>
        <w:tblLook w:val="04A0" w:firstRow="1" w:lastRow="0" w:firstColumn="1" w:lastColumn="0" w:noHBand="0" w:noVBand="1"/>
      </w:tblPr>
      <w:tblGrid>
        <w:gridCol w:w="5949"/>
        <w:gridCol w:w="3118"/>
      </w:tblGrid>
      <w:tr w:rsidR="00E44C53" w:rsidRPr="0027670F" w14:paraId="5B55B4F8" w14:textId="77777777" w:rsidTr="00E44C53">
        <w:tc>
          <w:tcPr>
            <w:tcW w:w="5949" w:type="dxa"/>
          </w:tcPr>
          <w:p w14:paraId="1329D22A"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4670400B"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Assessment</w:t>
            </w:r>
          </w:p>
        </w:tc>
      </w:tr>
      <w:tr w:rsidR="00E44C53" w:rsidRPr="0027670F" w14:paraId="6FCF305B" w14:textId="77777777" w:rsidTr="00E44C53">
        <w:tc>
          <w:tcPr>
            <w:tcW w:w="5949" w:type="dxa"/>
          </w:tcPr>
          <w:p w14:paraId="020C792C" w14:textId="77777777" w:rsidR="00E44C53" w:rsidRDefault="00E44C53" w:rsidP="00E44C53">
            <w:pPr>
              <w:pStyle w:val="Paragraph"/>
              <w:spacing w:before="120" w:after="120"/>
              <w:rPr>
                <w:rFonts w:cs="Arial"/>
                <w:sz w:val="22"/>
                <w:szCs w:val="22"/>
              </w:rPr>
            </w:pPr>
            <w:r>
              <w:rPr>
                <w:rFonts w:cs="Arial"/>
                <w:sz w:val="22"/>
                <w:szCs w:val="22"/>
              </w:rPr>
              <w:t xml:space="preserve">Priority identified by Public Health England. </w:t>
            </w:r>
          </w:p>
          <w:p w14:paraId="33912FC1" w14:textId="77777777" w:rsidR="00E44C53" w:rsidRDefault="0010421C" w:rsidP="00E44C53">
            <w:pPr>
              <w:pStyle w:val="Paragraph"/>
              <w:spacing w:before="120" w:after="120" w:line="240" w:lineRule="auto"/>
              <w:rPr>
                <w:rFonts w:cs="Arial"/>
                <w:sz w:val="22"/>
                <w:szCs w:val="22"/>
              </w:rPr>
            </w:pPr>
            <w:hyperlink r:id="rId8" w:history="1">
              <w:r w:rsidR="00E44C53" w:rsidRPr="00E9376F">
                <w:rPr>
                  <w:rStyle w:val="Hyperlink"/>
                  <w:rFonts w:cs="Arial"/>
                  <w:sz w:val="22"/>
                  <w:szCs w:val="22"/>
                </w:rPr>
                <w:t>Diabetic eye screening</w:t>
              </w:r>
            </w:hyperlink>
            <w:r w:rsidR="00E44C53" w:rsidRPr="00E9376F">
              <w:rPr>
                <w:rFonts w:cs="Arial"/>
                <w:sz w:val="22"/>
                <w:szCs w:val="22"/>
              </w:rPr>
              <w:t xml:space="preserve"> is one of 11 </w:t>
            </w:r>
            <w:hyperlink r:id="rId9" w:history="1">
              <w:r w:rsidR="00E44C53" w:rsidRPr="00E9376F">
                <w:rPr>
                  <w:rStyle w:val="Hyperlink"/>
                  <w:rFonts w:cs="Arial"/>
                  <w:sz w:val="22"/>
                  <w:szCs w:val="22"/>
                </w:rPr>
                <w:t>NHS national population screening programmes</w:t>
              </w:r>
            </w:hyperlink>
            <w:r w:rsidR="00E44C53" w:rsidRPr="00E9376F">
              <w:rPr>
                <w:rFonts w:cs="Arial"/>
                <w:sz w:val="22"/>
                <w:szCs w:val="22"/>
              </w:rPr>
              <w:t xml:space="preserve"> available in England.</w:t>
            </w:r>
            <w:r w:rsidR="00E44C53">
              <w:rPr>
                <w:rFonts w:cs="Arial"/>
                <w:sz w:val="22"/>
                <w:szCs w:val="22"/>
              </w:rPr>
              <w:t xml:space="preserve"> </w:t>
            </w:r>
          </w:p>
          <w:p w14:paraId="63E1BD61" w14:textId="77777777" w:rsidR="00E44C53" w:rsidRDefault="00E44C53" w:rsidP="00E44C53">
            <w:pPr>
              <w:spacing w:before="120" w:after="120"/>
              <w:rPr>
                <w:rFonts w:ascii="Arial" w:hAnsi="Arial" w:cs="Arial"/>
                <w:sz w:val="22"/>
                <w:szCs w:val="22"/>
              </w:rPr>
            </w:pPr>
            <w:r w:rsidRPr="001D5ED2">
              <w:rPr>
                <w:rFonts w:ascii="Arial" w:hAnsi="Arial" w:cs="Arial"/>
                <w:sz w:val="22"/>
                <w:szCs w:val="22"/>
              </w:rPr>
              <w:t>To maximise the impact of the screening programme</w:t>
            </w:r>
            <w:r>
              <w:rPr>
                <w:rFonts w:ascii="Arial" w:hAnsi="Arial" w:cs="Arial"/>
                <w:sz w:val="22"/>
                <w:szCs w:val="22"/>
              </w:rPr>
              <w:t>,</w:t>
            </w:r>
            <w:r w:rsidRPr="001D5ED2">
              <w:rPr>
                <w:rFonts w:ascii="Arial" w:hAnsi="Arial" w:cs="Arial"/>
                <w:sz w:val="22"/>
                <w:szCs w:val="22"/>
              </w:rPr>
              <w:t xml:space="preserve"> all eligible people should be offered an appointment for routine digital screening, unless they are suspended or excluded.</w:t>
            </w:r>
          </w:p>
          <w:p w14:paraId="662B20E8" w14:textId="77777777" w:rsidR="00E44C53" w:rsidRPr="0027670F" w:rsidRDefault="00E44C53" w:rsidP="00E44C53">
            <w:pPr>
              <w:spacing w:before="120" w:after="120"/>
              <w:rPr>
                <w:rFonts w:ascii="Arial" w:hAnsi="Arial"/>
                <w:highlight w:val="lightGray"/>
              </w:rPr>
            </w:pPr>
            <w:r w:rsidRPr="005A2136">
              <w:rPr>
                <w:rFonts w:ascii="Arial" w:hAnsi="Arial"/>
                <w:sz w:val="22"/>
                <w:szCs w:val="22"/>
              </w:rPr>
              <w:t>Monitoring the proportion of suspended and excluded people in the eligible population should help ensure that people are not being suspended or excluded unnecessarily.</w:t>
            </w:r>
          </w:p>
        </w:tc>
        <w:tc>
          <w:tcPr>
            <w:tcW w:w="3118" w:type="dxa"/>
          </w:tcPr>
          <w:p w14:paraId="1F9A48FD" w14:textId="77777777" w:rsidR="00E44C53" w:rsidRPr="003B53C7" w:rsidRDefault="00E44C53" w:rsidP="00E44C53">
            <w:pPr>
              <w:spacing w:before="120" w:after="120"/>
              <w:rPr>
                <w:rFonts w:ascii="Arial" w:hAnsi="Arial" w:cs="Arial"/>
                <w:color w:val="000000"/>
                <w:kern w:val="24"/>
                <w:sz w:val="22"/>
                <w:szCs w:val="22"/>
                <w:lang w:val="en-US"/>
              </w:rPr>
            </w:pPr>
            <w:r w:rsidRPr="003B53C7">
              <w:rPr>
                <w:rFonts w:ascii="Arial" w:hAnsi="Arial" w:cs="Arial"/>
                <w:color w:val="000000"/>
                <w:kern w:val="24"/>
                <w:sz w:val="22"/>
                <w:szCs w:val="22"/>
                <w:lang w:val="en-US"/>
              </w:rPr>
              <w:t xml:space="preserve">The indicator reflects a specific priority area identified by </w:t>
            </w:r>
            <w:r>
              <w:rPr>
                <w:rFonts w:ascii="Arial" w:hAnsi="Arial" w:cs="Arial"/>
                <w:color w:val="000000"/>
                <w:kern w:val="24"/>
                <w:sz w:val="22"/>
                <w:szCs w:val="22"/>
                <w:lang w:val="en-US"/>
              </w:rPr>
              <w:t>Public Health</w:t>
            </w:r>
            <w:r w:rsidRPr="003B53C7">
              <w:rPr>
                <w:rFonts w:ascii="Arial" w:hAnsi="Arial" w:cs="Arial"/>
                <w:color w:val="000000"/>
                <w:kern w:val="24"/>
                <w:sz w:val="22"/>
                <w:szCs w:val="22"/>
                <w:lang w:val="en-US"/>
              </w:rPr>
              <w:t xml:space="preserve"> England.</w:t>
            </w:r>
          </w:p>
          <w:p w14:paraId="7CEECA2E" w14:textId="77777777" w:rsidR="00E44C53" w:rsidRPr="0027670F" w:rsidRDefault="00E44C53" w:rsidP="00E44C53">
            <w:pPr>
              <w:spacing w:before="120" w:after="120"/>
              <w:rPr>
                <w:rFonts w:ascii="Arial" w:hAnsi="Arial"/>
                <w:highlight w:val="lightGray"/>
              </w:rPr>
            </w:pPr>
          </w:p>
        </w:tc>
      </w:tr>
      <w:tr w:rsidR="007651CE" w:rsidRPr="0027670F" w14:paraId="7B72E406" w14:textId="77777777" w:rsidTr="00E44C53">
        <w:tc>
          <w:tcPr>
            <w:tcW w:w="5949" w:type="dxa"/>
          </w:tcPr>
          <w:p w14:paraId="40EC174C" w14:textId="0DF06964" w:rsidR="007651CE" w:rsidRDefault="007651CE" w:rsidP="007651CE">
            <w:pPr>
              <w:pStyle w:val="Paragraph"/>
              <w:spacing w:before="120" w:after="120"/>
              <w:rPr>
                <w:rFonts w:cs="Arial"/>
                <w:sz w:val="22"/>
                <w:szCs w:val="22"/>
              </w:rPr>
            </w:pPr>
            <w:r>
              <w:rPr>
                <w:rFonts w:cs="Arial"/>
                <w:sz w:val="22"/>
                <w:szCs w:val="22"/>
              </w:rPr>
              <w:t xml:space="preserve">The </w:t>
            </w:r>
            <w:hyperlink r:id="rId10" w:history="1">
              <w:r w:rsidRPr="008F4ED3">
                <w:rPr>
                  <w:rStyle w:val="Hyperlink"/>
                  <w:rFonts w:cs="Arial"/>
                  <w:sz w:val="22"/>
                  <w:szCs w:val="22"/>
                </w:rPr>
                <w:t>NHS Long Term Plan</w:t>
              </w:r>
            </w:hyperlink>
            <w:r>
              <w:rPr>
                <w:rFonts w:cs="Arial"/>
                <w:sz w:val="22"/>
                <w:szCs w:val="22"/>
              </w:rPr>
              <w:t xml:space="preserve"> identifies diabetes as a clinical priority </w:t>
            </w:r>
            <w:r w:rsidRPr="007651CE">
              <w:rPr>
                <w:rFonts w:cs="Arial"/>
                <w:sz w:val="22"/>
                <w:szCs w:val="22"/>
              </w:rPr>
              <w:t>for care quality and outcomes improvement</w:t>
            </w:r>
            <w:r>
              <w:rPr>
                <w:rFonts w:cs="Arial"/>
                <w:sz w:val="22"/>
                <w:szCs w:val="22"/>
              </w:rPr>
              <w:t xml:space="preserve">. </w:t>
            </w:r>
          </w:p>
        </w:tc>
        <w:tc>
          <w:tcPr>
            <w:tcW w:w="3118" w:type="dxa"/>
          </w:tcPr>
          <w:p w14:paraId="3C469946" w14:textId="688129ED" w:rsidR="007651CE" w:rsidRPr="003B53C7" w:rsidRDefault="007651CE" w:rsidP="00042A78">
            <w:pPr>
              <w:pStyle w:val="NICEnormal"/>
              <w:spacing w:before="120" w:after="120" w:line="240" w:lineRule="auto"/>
              <w:rPr>
                <w:rFonts w:cs="Arial"/>
                <w:color w:val="000000"/>
                <w:kern w:val="24"/>
                <w:sz w:val="22"/>
                <w:szCs w:val="22"/>
              </w:rPr>
            </w:pPr>
            <w:r w:rsidRPr="0073113B">
              <w:rPr>
                <w:rFonts w:eastAsiaTheme="minorEastAsia" w:cs="Arial"/>
                <w:color w:val="000000" w:themeColor="dark1"/>
                <w:kern w:val="24"/>
                <w:sz w:val="22"/>
                <w:szCs w:val="22"/>
              </w:rPr>
              <w:t>The indicator reflects a specific priority area identified by NHS England.</w:t>
            </w:r>
          </w:p>
        </w:tc>
      </w:tr>
      <w:tr w:rsidR="00E44C53" w:rsidRPr="0027670F" w14:paraId="13FB1181" w14:textId="77777777" w:rsidTr="00E44C53">
        <w:tc>
          <w:tcPr>
            <w:tcW w:w="5949" w:type="dxa"/>
          </w:tcPr>
          <w:p w14:paraId="7A7F17C1" w14:textId="77777777" w:rsidR="00E44C53" w:rsidRDefault="00E44C53" w:rsidP="00E44C53">
            <w:pPr>
              <w:pStyle w:val="Paragraph"/>
              <w:spacing w:before="120" w:after="120" w:line="240" w:lineRule="auto"/>
              <w:rPr>
                <w:rFonts w:cs="Arial"/>
                <w:sz w:val="22"/>
                <w:szCs w:val="22"/>
              </w:rPr>
            </w:pPr>
            <w:r w:rsidRPr="00FE1B85">
              <w:rPr>
                <w:rFonts w:cs="Arial"/>
                <w:sz w:val="22"/>
                <w:szCs w:val="22"/>
              </w:rPr>
              <w:t xml:space="preserve">Data is not published on eligible people categorised as </w:t>
            </w:r>
            <w:r>
              <w:rPr>
                <w:rFonts w:cs="Arial"/>
                <w:sz w:val="22"/>
                <w:szCs w:val="22"/>
              </w:rPr>
              <w:t>excluded</w:t>
            </w:r>
            <w:r w:rsidRPr="00FE1B85">
              <w:rPr>
                <w:rFonts w:cs="Arial"/>
                <w:sz w:val="22"/>
                <w:szCs w:val="22"/>
              </w:rPr>
              <w:t>.</w:t>
            </w:r>
          </w:p>
          <w:p w14:paraId="78BF3B53" w14:textId="77777777" w:rsidR="00E44C53" w:rsidRPr="0027670F" w:rsidRDefault="00E44C53" w:rsidP="00E44C53">
            <w:pPr>
              <w:spacing w:before="120" w:after="120"/>
              <w:rPr>
                <w:rFonts w:ascii="Arial" w:hAnsi="Arial"/>
                <w:highlight w:val="lightGray"/>
              </w:rPr>
            </w:pPr>
          </w:p>
        </w:tc>
        <w:tc>
          <w:tcPr>
            <w:tcW w:w="3118" w:type="dxa"/>
          </w:tcPr>
          <w:p w14:paraId="3A1A09E9" w14:textId="2580BF1E" w:rsidR="00E44C53" w:rsidRPr="0027670F" w:rsidRDefault="00E44C53" w:rsidP="00042A78">
            <w:pPr>
              <w:spacing w:before="120" w:after="120"/>
              <w:rPr>
                <w:rFonts w:ascii="Arial" w:hAnsi="Arial"/>
                <w:highlight w:val="lightGray"/>
              </w:rPr>
            </w:pPr>
            <w:r w:rsidRPr="00BB1615">
              <w:rPr>
                <w:rFonts w:ascii="Arial" w:hAnsi="Arial" w:cs="Arial"/>
                <w:color w:val="000000"/>
                <w:kern w:val="24"/>
                <w:sz w:val="22"/>
                <w:szCs w:val="22"/>
                <w:lang w:val="en-US"/>
              </w:rPr>
              <w:t>Data is not available to determine whether the indicator relates to an area where there is known variation in practice.</w:t>
            </w:r>
          </w:p>
        </w:tc>
      </w:tr>
      <w:tr w:rsidR="00E44C53" w:rsidRPr="0027670F" w14:paraId="43D1F57D" w14:textId="77777777" w:rsidTr="00E44C53">
        <w:tc>
          <w:tcPr>
            <w:tcW w:w="5949" w:type="dxa"/>
          </w:tcPr>
          <w:p w14:paraId="21DB3DE2" w14:textId="77777777" w:rsidR="00E44C53" w:rsidRPr="0027670F" w:rsidRDefault="00E44C53" w:rsidP="00E44C53">
            <w:pPr>
              <w:spacing w:before="120" w:after="120"/>
              <w:rPr>
                <w:rFonts w:ascii="Arial" w:hAnsi="Arial" w:cs="Arial"/>
                <w:sz w:val="22"/>
                <w:szCs w:val="22"/>
                <w:highlight w:val="cyan"/>
              </w:rPr>
            </w:pPr>
            <w:r w:rsidRPr="00742B7E">
              <w:rPr>
                <w:rFonts w:ascii="Arial" w:hAnsi="Arial" w:cs="Arial"/>
                <w:sz w:val="22"/>
                <w:szCs w:val="22"/>
              </w:rPr>
              <w:t>A range of eye problems can affect people with diabetes. One of these conditions is diabetic retinopathy, caused by high blood sugar levels damaging the back of the eye (retina). Diabetic retinopathy can cause blindness if it is left undiagnosed and untreated</w:t>
            </w:r>
            <w:r>
              <w:rPr>
                <w:rFonts w:ascii="Arial" w:hAnsi="Arial" w:cs="Arial"/>
                <w:sz w:val="22"/>
                <w:szCs w:val="22"/>
              </w:rPr>
              <w:t xml:space="preserve">, however </w:t>
            </w:r>
            <w:r w:rsidRPr="00742B7E">
              <w:rPr>
                <w:rFonts w:ascii="Arial" w:hAnsi="Arial" w:cs="Arial"/>
                <w:sz w:val="22"/>
                <w:szCs w:val="22"/>
              </w:rPr>
              <w:t>if problems are caught early, treatment can help prevent or reduce vision loss</w:t>
            </w:r>
            <w:r>
              <w:rPr>
                <w:rFonts w:ascii="Arial" w:hAnsi="Arial" w:cs="Arial"/>
                <w:sz w:val="22"/>
                <w:szCs w:val="22"/>
              </w:rPr>
              <w:t>.</w:t>
            </w:r>
          </w:p>
        </w:tc>
        <w:tc>
          <w:tcPr>
            <w:tcW w:w="3118" w:type="dxa"/>
          </w:tcPr>
          <w:p w14:paraId="72E1CD88" w14:textId="77777777" w:rsidR="00E44C53" w:rsidRPr="001D5ED2" w:rsidRDefault="00E44C53" w:rsidP="00E44C53">
            <w:pPr>
              <w:spacing w:before="120" w:after="120"/>
              <w:rPr>
                <w:rFonts w:ascii="Arial" w:hAnsi="Arial" w:cs="Arial"/>
                <w:color w:val="000000"/>
                <w:kern w:val="24"/>
                <w:sz w:val="22"/>
                <w:szCs w:val="22"/>
                <w:lang w:val="en-US"/>
              </w:rPr>
            </w:pPr>
            <w:r w:rsidRPr="001D5ED2">
              <w:rPr>
                <w:rFonts w:ascii="Arial" w:hAnsi="Arial" w:cs="Arial"/>
                <w:color w:val="000000"/>
                <w:kern w:val="24"/>
                <w:sz w:val="22"/>
                <w:szCs w:val="22"/>
                <w:lang w:val="en-US"/>
              </w:rPr>
              <w:t>The indicator will lead to a meaningful improvement in patient outcomes.</w:t>
            </w:r>
          </w:p>
          <w:p w14:paraId="5B96D0B7" w14:textId="77777777" w:rsidR="00E44C53" w:rsidRPr="0027670F" w:rsidRDefault="00E44C53" w:rsidP="00E44C53">
            <w:pPr>
              <w:spacing w:before="120" w:after="120"/>
              <w:rPr>
                <w:rFonts w:ascii="Arial" w:hAnsi="Arial" w:cs="Arial"/>
                <w:color w:val="000000"/>
                <w:kern w:val="24"/>
                <w:sz w:val="22"/>
                <w:szCs w:val="22"/>
                <w:highlight w:val="lightGray"/>
                <w:lang w:val="en-US"/>
              </w:rPr>
            </w:pPr>
          </w:p>
        </w:tc>
      </w:tr>
    </w:tbl>
    <w:p w14:paraId="68C3A3A9" w14:textId="1C58F523" w:rsidR="00E44C53" w:rsidRDefault="00E44C53" w:rsidP="00E44C53">
      <w:pPr>
        <w:spacing w:before="240" w:after="240" w:line="276" w:lineRule="auto"/>
        <w:rPr>
          <w:rFonts w:ascii="Arial" w:hAnsi="Arial"/>
        </w:rPr>
      </w:pPr>
    </w:p>
    <w:p w14:paraId="1BC0EFD2" w14:textId="77777777" w:rsidR="0010421C" w:rsidRPr="0027670F" w:rsidRDefault="0010421C" w:rsidP="00E44C53">
      <w:pPr>
        <w:spacing w:before="240" w:after="240" w:line="276" w:lineRule="auto"/>
        <w:rPr>
          <w:rFonts w:ascii="Arial" w:hAnsi="Arial"/>
        </w:rPr>
      </w:pPr>
    </w:p>
    <w:p w14:paraId="346A6FC6" w14:textId="77777777" w:rsidR="00E44C53" w:rsidRPr="0027670F" w:rsidRDefault="00E44C53" w:rsidP="00E44C53">
      <w:pPr>
        <w:pStyle w:val="Heading3"/>
        <w:rPr>
          <w:b w:val="0"/>
          <w:bCs w:val="0"/>
        </w:rPr>
      </w:pPr>
      <w:bookmarkStart w:id="4" w:name="_Toc54272580"/>
      <w:r w:rsidRPr="0027670F">
        <w:lastRenderedPageBreak/>
        <w:t>Evidence base</w:t>
      </w:r>
      <w:bookmarkEnd w:id="4"/>
      <w:r w:rsidRPr="0027670F">
        <w:t xml:space="preserve"> </w:t>
      </w:r>
    </w:p>
    <w:tbl>
      <w:tblPr>
        <w:tblStyle w:val="TableGrid"/>
        <w:tblW w:w="9067" w:type="dxa"/>
        <w:tblLook w:val="04A0" w:firstRow="1" w:lastRow="0" w:firstColumn="1" w:lastColumn="0" w:noHBand="0" w:noVBand="1"/>
      </w:tblPr>
      <w:tblGrid>
        <w:gridCol w:w="5949"/>
        <w:gridCol w:w="3118"/>
      </w:tblGrid>
      <w:tr w:rsidR="00E44C53" w:rsidRPr="0027670F" w14:paraId="63EC5012" w14:textId="77777777" w:rsidTr="00E44C53">
        <w:tc>
          <w:tcPr>
            <w:tcW w:w="5949" w:type="dxa"/>
          </w:tcPr>
          <w:p w14:paraId="724ECF8D" w14:textId="77777777" w:rsidR="00E44C53" w:rsidRPr="0027670F" w:rsidRDefault="00E44C53" w:rsidP="00E44C53">
            <w:pPr>
              <w:keepNext/>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547D3F25" w14:textId="77777777" w:rsidR="00E44C53" w:rsidRPr="0027670F" w:rsidRDefault="00E44C53" w:rsidP="00E44C53">
            <w:pPr>
              <w:keepNext/>
              <w:spacing w:before="120" w:after="120"/>
              <w:rPr>
                <w:rFonts w:ascii="Arial" w:hAnsi="Arial"/>
                <w:b/>
                <w:bCs/>
                <w:sz w:val="22"/>
                <w:szCs w:val="22"/>
              </w:rPr>
            </w:pPr>
            <w:r w:rsidRPr="0027670F">
              <w:rPr>
                <w:rFonts w:ascii="Arial" w:hAnsi="Arial"/>
                <w:b/>
                <w:bCs/>
                <w:sz w:val="22"/>
                <w:szCs w:val="22"/>
              </w:rPr>
              <w:t>Assessment</w:t>
            </w:r>
          </w:p>
        </w:tc>
      </w:tr>
      <w:tr w:rsidR="00E44C53" w:rsidRPr="0027670F" w14:paraId="29CC9796" w14:textId="77777777" w:rsidTr="00E44C53">
        <w:tc>
          <w:tcPr>
            <w:tcW w:w="5949" w:type="dxa"/>
          </w:tcPr>
          <w:p w14:paraId="7BC8B660" w14:textId="77777777" w:rsidR="00E44C53" w:rsidRDefault="00E44C53" w:rsidP="00E44C53">
            <w:pPr>
              <w:spacing w:before="120" w:after="120"/>
              <w:rPr>
                <w:rFonts w:ascii="Arial" w:hAnsi="Arial" w:cs="Arial"/>
                <w:sz w:val="22"/>
                <w:szCs w:val="22"/>
              </w:rPr>
            </w:pPr>
            <w:r>
              <w:rPr>
                <w:rFonts w:ascii="Arial" w:hAnsi="Arial" w:cs="Arial"/>
                <w:sz w:val="22"/>
                <w:szCs w:val="22"/>
              </w:rPr>
              <w:t xml:space="preserve">Repeat annual eye screening is supported by: </w:t>
            </w:r>
          </w:p>
          <w:p w14:paraId="5E097A08" w14:textId="77777777" w:rsidR="00E44C53" w:rsidRDefault="0010421C" w:rsidP="00E44C53">
            <w:pPr>
              <w:spacing w:before="120" w:after="120"/>
              <w:rPr>
                <w:rFonts w:ascii="Arial" w:hAnsi="Arial" w:cs="Arial"/>
                <w:color w:val="000000"/>
                <w:kern w:val="24"/>
                <w:sz w:val="22"/>
                <w:szCs w:val="22"/>
              </w:rPr>
            </w:pPr>
            <w:hyperlink r:id="rId11" w:history="1">
              <w:r w:rsidR="00E44C53" w:rsidRPr="00BA5548">
                <w:rPr>
                  <w:rStyle w:val="Hyperlink"/>
                  <w:rFonts w:ascii="Arial" w:hAnsi="Arial" w:cs="Arial"/>
                  <w:kern w:val="24"/>
                  <w:sz w:val="22"/>
                  <w:szCs w:val="22"/>
                </w:rPr>
                <w:t>NICE’s guideline on type 1 diabetes in adults</w:t>
              </w:r>
            </w:hyperlink>
            <w:r w:rsidR="00E44C53">
              <w:rPr>
                <w:rFonts w:ascii="Arial" w:hAnsi="Arial" w:cs="Arial"/>
                <w:color w:val="000000"/>
                <w:kern w:val="24"/>
                <w:sz w:val="22"/>
                <w:szCs w:val="22"/>
              </w:rPr>
              <w:t xml:space="preserve"> recommendation 1.15.1</w:t>
            </w:r>
          </w:p>
          <w:p w14:paraId="2C9B7A2C" w14:textId="05646DB0" w:rsidR="00E44C53" w:rsidRDefault="0010421C" w:rsidP="00E44C53">
            <w:pPr>
              <w:spacing w:before="120" w:after="120"/>
              <w:rPr>
                <w:rFonts w:ascii="Arial" w:hAnsi="Arial" w:cs="Arial"/>
                <w:color w:val="000000"/>
                <w:kern w:val="24"/>
                <w:sz w:val="22"/>
                <w:szCs w:val="22"/>
              </w:rPr>
            </w:pPr>
            <w:hyperlink r:id="rId12" w:history="1">
              <w:r w:rsidR="00E44C53" w:rsidRPr="00BA5548">
                <w:rPr>
                  <w:rStyle w:val="Hyperlink"/>
                  <w:rFonts w:ascii="Arial" w:hAnsi="Arial" w:cs="Arial"/>
                  <w:kern w:val="24"/>
                  <w:sz w:val="22"/>
                  <w:szCs w:val="22"/>
                </w:rPr>
                <w:t>NICE’s guideline on type 2 diabetes in adults</w:t>
              </w:r>
            </w:hyperlink>
            <w:r w:rsidR="00E44C53">
              <w:rPr>
                <w:rFonts w:ascii="Arial" w:hAnsi="Arial" w:cs="Arial"/>
                <w:color w:val="000000"/>
                <w:kern w:val="24"/>
                <w:sz w:val="22"/>
                <w:szCs w:val="22"/>
              </w:rPr>
              <w:t xml:space="preserve"> recommendation 1.7.1</w:t>
            </w:r>
            <w:r w:rsidR="00DA744D">
              <w:rPr>
                <w:rFonts w:ascii="Arial" w:hAnsi="Arial" w:cs="Arial"/>
                <w:color w:val="000000"/>
                <w:kern w:val="24"/>
                <w:sz w:val="22"/>
                <w:szCs w:val="22"/>
              </w:rPr>
              <w:t>7</w:t>
            </w:r>
          </w:p>
          <w:p w14:paraId="24F157D3" w14:textId="5730B91D" w:rsidR="00E44C53" w:rsidRPr="0027670F" w:rsidRDefault="0010421C" w:rsidP="00042A78">
            <w:pPr>
              <w:spacing w:before="120" w:after="120"/>
              <w:rPr>
                <w:rFonts w:ascii="Arial" w:hAnsi="Arial"/>
                <w:highlight w:val="lightGray"/>
              </w:rPr>
            </w:pPr>
            <w:hyperlink r:id="rId13" w:history="1">
              <w:r w:rsidR="00E44C53" w:rsidRPr="009D465F">
                <w:rPr>
                  <w:rStyle w:val="Hyperlink"/>
                  <w:rFonts w:ascii="Arial" w:hAnsi="Arial" w:cs="Arial"/>
                  <w:kern w:val="24"/>
                  <w:sz w:val="22"/>
                  <w:szCs w:val="22"/>
                </w:rPr>
                <w:t>NICE’s guideline on diabetes (type 1 and 2) in children and young people</w:t>
              </w:r>
            </w:hyperlink>
            <w:r w:rsidR="00E44C53">
              <w:rPr>
                <w:rFonts w:ascii="Arial" w:hAnsi="Arial" w:cs="Arial"/>
                <w:color w:val="000000"/>
                <w:kern w:val="24"/>
                <w:sz w:val="22"/>
                <w:szCs w:val="22"/>
              </w:rPr>
              <w:t xml:space="preserve"> recommendation</w:t>
            </w:r>
            <w:r w:rsidR="00DA744D">
              <w:rPr>
                <w:rFonts w:ascii="Arial" w:hAnsi="Arial" w:cs="Arial"/>
                <w:color w:val="000000"/>
                <w:kern w:val="24"/>
                <w:sz w:val="22"/>
                <w:szCs w:val="22"/>
              </w:rPr>
              <w:t>s 1.2.117 and</w:t>
            </w:r>
            <w:r w:rsidR="00E44C53">
              <w:rPr>
                <w:rFonts w:ascii="Arial" w:hAnsi="Arial" w:cs="Arial"/>
                <w:color w:val="000000"/>
                <w:kern w:val="24"/>
                <w:sz w:val="22"/>
                <w:szCs w:val="22"/>
              </w:rPr>
              <w:t xml:space="preserve"> 1.3.52</w:t>
            </w:r>
          </w:p>
        </w:tc>
        <w:tc>
          <w:tcPr>
            <w:tcW w:w="3118" w:type="dxa"/>
          </w:tcPr>
          <w:p w14:paraId="59C2F78B" w14:textId="77777777" w:rsidR="00E44C53" w:rsidRPr="00BA5548" w:rsidRDefault="00E44C53" w:rsidP="00E44C53">
            <w:pPr>
              <w:spacing w:before="120" w:after="120"/>
              <w:rPr>
                <w:rFonts w:ascii="Arial" w:hAnsi="Arial" w:cs="Arial"/>
                <w:color w:val="000000"/>
                <w:kern w:val="24"/>
                <w:sz w:val="22"/>
                <w:szCs w:val="22"/>
                <w:lang w:val="en-US"/>
              </w:rPr>
            </w:pPr>
            <w:r w:rsidRPr="00BA5548">
              <w:rPr>
                <w:rFonts w:ascii="Arial" w:hAnsi="Arial" w:cs="Arial"/>
                <w:color w:val="000000"/>
                <w:kern w:val="24"/>
                <w:sz w:val="22"/>
                <w:szCs w:val="22"/>
                <w:lang w:val="en-US"/>
              </w:rPr>
              <w:t xml:space="preserve">The indicator is derived from a high-quality evidence base. </w:t>
            </w:r>
          </w:p>
          <w:p w14:paraId="279F6AB0" w14:textId="77777777" w:rsidR="00E44C53" w:rsidRPr="00916B78" w:rsidRDefault="00E44C53" w:rsidP="00E44C53">
            <w:pPr>
              <w:spacing w:before="120" w:after="120"/>
              <w:rPr>
                <w:rFonts w:ascii="Arial" w:hAnsi="Arial" w:cs="Arial"/>
                <w:highlight w:val="lightGray"/>
              </w:rPr>
            </w:pPr>
            <w:r w:rsidRPr="00916B78">
              <w:rPr>
                <w:rFonts w:ascii="Arial" w:hAnsi="Arial" w:cs="Arial"/>
                <w:color w:val="000000"/>
                <w:kern w:val="24"/>
                <w:sz w:val="22"/>
                <w:szCs w:val="22"/>
                <w:lang w:val="en-US"/>
              </w:rPr>
              <w:t>The indicator aligns with the evidence base.</w:t>
            </w:r>
          </w:p>
        </w:tc>
      </w:tr>
    </w:tbl>
    <w:p w14:paraId="28E0316E" w14:textId="77777777" w:rsidR="00E44C53" w:rsidRPr="0027670F" w:rsidRDefault="00E44C53" w:rsidP="00E44C53">
      <w:pPr>
        <w:spacing w:before="240" w:after="240" w:line="276" w:lineRule="auto"/>
        <w:rPr>
          <w:rFonts w:ascii="Arial" w:hAnsi="Arial"/>
        </w:rPr>
      </w:pPr>
    </w:p>
    <w:p w14:paraId="3BD51DEE" w14:textId="77777777" w:rsidR="00E44C53" w:rsidRPr="0027670F" w:rsidRDefault="00E44C53" w:rsidP="00E44C53">
      <w:pPr>
        <w:pStyle w:val="Heading3"/>
        <w:rPr>
          <w:b w:val="0"/>
          <w:bCs w:val="0"/>
        </w:rPr>
      </w:pPr>
      <w:bookmarkStart w:id="5" w:name="_Toc54272581"/>
      <w:r w:rsidRPr="0027670F">
        <w:t>Specification</w:t>
      </w:r>
      <w:bookmarkEnd w:id="5"/>
      <w:r w:rsidRPr="0027670F">
        <w:t xml:space="preserve"> </w:t>
      </w:r>
    </w:p>
    <w:tbl>
      <w:tblPr>
        <w:tblStyle w:val="TableGrid"/>
        <w:tblW w:w="9067" w:type="dxa"/>
        <w:tblLook w:val="04A0" w:firstRow="1" w:lastRow="0" w:firstColumn="1" w:lastColumn="0" w:noHBand="0" w:noVBand="1"/>
      </w:tblPr>
      <w:tblGrid>
        <w:gridCol w:w="5949"/>
        <w:gridCol w:w="3118"/>
      </w:tblGrid>
      <w:tr w:rsidR="00E44C53" w:rsidRPr="0027670F" w14:paraId="791DB46C" w14:textId="77777777" w:rsidTr="00E44C53">
        <w:tc>
          <w:tcPr>
            <w:tcW w:w="5949" w:type="dxa"/>
          </w:tcPr>
          <w:p w14:paraId="79EA0C8C"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22F055F1"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Assessment</w:t>
            </w:r>
          </w:p>
        </w:tc>
      </w:tr>
      <w:tr w:rsidR="00E44C53" w:rsidRPr="0027670F" w14:paraId="04E27681" w14:textId="77777777" w:rsidTr="00E44C53">
        <w:tc>
          <w:tcPr>
            <w:tcW w:w="5949" w:type="dxa"/>
          </w:tcPr>
          <w:p w14:paraId="039F8415" w14:textId="23E66EA6" w:rsidR="00E44C53" w:rsidRPr="001D5ED2" w:rsidRDefault="00E44C53" w:rsidP="00E44C53">
            <w:pPr>
              <w:rPr>
                <w:rFonts w:ascii="Arial" w:hAnsi="Arial" w:cs="Arial"/>
                <w:color w:val="000000"/>
                <w:kern w:val="24"/>
                <w:sz w:val="22"/>
                <w:szCs w:val="22"/>
                <w:lang w:eastAsia="en-GB"/>
              </w:rPr>
            </w:pPr>
            <w:r w:rsidRPr="001D5ED2">
              <w:rPr>
                <w:rFonts w:ascii="Arial" w:hAnsi="Arial" w:cs="Arial"/>
                <w:color w:val="000000"/>
                <w:kern w:val="24"/>
                <w:sz w:val="22"/>
                <w:szCs w:val="22"/>
                <w:lang w:eastAsia="en-GB"/>
              </w:rPr>
              <w:t>Numerator: number people</w:t>
            </w:r>
            <w:r>
              <w:rPr>
                <w:rFonts w:ascii="Arial" w:hAnsi="Arial" w:cs="Arial"/>
                <w:color w:val="000000"/>
                <w:kern w:val="24"/>
                <w:sz w:val="22"/>
                <w:szCs w:val="22"/>
                <w:lang w:eastAsia="en-GB"/>
              </w:rPr>
              <w:t xml:space="preserve"> </w:t>
            </w:r>
            <w:r w:rsidR="00DA744D">
              <w:rPr>
                <w:rFonts w:ascii="Arial" w:hAnsi="Arial" w:cs="Arial"/>
                <w:color w:val="000000"/>
                <w:kern w:val="24"/>
                <w:sz w:val="22"/>
                <w:szCs w:val="22"/>
                <w:lang w:eastAsia="en-GB"/>
              </w:rPr>
              <w:t>in the denominator</w:t>
            </w:r>
            <w:r w:rsidRPr="001D5ED2">
              <w:rPr>
                <w:rFonts w:ascii="Arial" w:hAnsi="Arial" w:cs="Arial"/>
                <w:color w:val="000000"/>
                <w:kern w:val="24"/>
                <w:sz w:val="22"/>
                <w:szCs w:val="22"/>
                <w:lang w:eastAsia="en-GB"/>
              </w:rPr>
              <w:t xml:space="preserve"> </w:t>
            </w:r>
            <w:r>
              <w:rPr>
                <w:rFonts w:ascii="Arial" w:hAnsi="Arial" w:cs="Arial"/>
                <w:color w:val="000000"/>
                <w:kern w:val="24"/>
                <w:sz w:val="22"/>
                <w:szCs w:val="22"/>
                <w:lang w:eastAsia="en-GB"/>
              </w:rPr>
              <w:t>who</w:t>
            </w:r>
            <w:r w:rsidRPr="001D5ED2">
              <w:rPr>
                <w:rFonts w:ascii="Arial" w:hAnsi="Arial" w:cs="Arial"/>
                <w:color w:val="000000"/>
                <w:kern w:val="24"/>
                <w:sz w:val="22"/>
                <w:szCs w:val="22"/>
                <w:lang w:eastAsia="en-GB"/>
              </w:rPr>
              <w:t xml:space="preserve"> are </w:t>
            </w:r>
            <w:bookmarkStart w:id="6" w:name="_Hlk80181669"/>
            <w:r w:rsidRPr="001D5ED2">
              <w:rPr>
                <w:rFonts w:ascii="Arial" w:hAnsi="Arial" w:cs="Arial"/>
                <w:color w:val="000000"/>
                <w:kern w:val="24"/>
                <w:sz w:val="22"/>
                <w:szCs w:val="22"/>
                <w:lang w:eastAsia="en-GB"/>
              </w:rPr>
              <w:t xml:space="preserve">excluded </w:t>
            </w:r>
            <w:r w:rsidR="00A162F8" w:rsidRPr="00A162F8">
              <w:rPr>
                <w:rFonts w:ascii="Arial" w:hAnsi="Arial" w:cs="Arial"/>
                <w:color w:val="000000"/>
                <w:kern w:val="24"/>
                <w:sz w:val="22"/>
                <w:szCs w:val="22"/>
                <w:lang w:eastAsia="en-GB"/>
              </w:rPr>
              <w:t xml:space="preserve">from diabetic eye screening </w:t>
            </w:r>
            <w:r w:rsidRPr="00E939AB">
              <w:rPr>
                <w:rFonts w:ascii="Arial" w:hAnsi="Arial" w:cs="Arial"/>
                <w:color w:val="000000"/>
                <w:kern w:val="24"/>
                <w:sz w:val="22"/>
                <w:szCs w:val="22"/>
                <w:lang w:eastAsia="en-GB"/>
              </w:rPr>
              <w:t xml:space="preserve">as they have opted out or are classed as medically unfit </w:t>
            </w:r>
            <w:r w:rsidRPr="001D5ED2">
              <w:rPr>
                <w:rFonts w:ascii="Arial" w:hAnsi="Arial" w:cs="Arial"/>
                <w:color w:val="000000"/>
                <w:kern w:val="24"/>
                <w:sz w:val="22"/>
                <w:szCs w:val="22"/>
                <w:lang w:eastAsia="en-GB"/>
              </w:rPr>
              <w:t xml:space="preserve">on the final day of the reporting period </w:t>
            </w:r>
            <w:bookmarkEnd w:id="6"/>
            <w:r w:rsidRPr="001D5ED2">
              <w:rPr>
                <w:rFonts w:ascii="Arial" w:hAnsi="Arial" w:cs="Arial"/>
                <w:color w:val="000000"/>
                <w:kern w:val="24"/>
                <w:sz w:val="22"/>
                <w:szCs w:val="22"/>
                <w:lang w:eastAsia="en-GB"/>
              </w:rPr>
              <w:t>(PPR field 3.1.3a).</w:t>
            </w:r>
          </w:p>
          <w:p w14:paraId="199ABC06" w14:textId="77777777" w:rsidR="00E44C53" w:rsidRPr="001D5ED2" w:rsidRDefault="00E44C53" w:rsidP="00E44C53">
            <w:pPr>
              <w:rPr>
                <w:rFonts w:ascii="Arial" w:hAnsi="Arial" w:cs="Arial"/>
                <w:color w:val="000000"/>
                <w:kern w:val="24"/>
                <w:sz w:val="22"/>
                <w:szCs w:val="22"/>
                <w:lang w:eastAsia="en-GB"/>
              </w:rPr>
            </w:pPr>
          </w:p>
          <w:p w14:paraId="602BF3F7" w14:textId="5A2FA1E8" w:rsidR="00E44C53" w:rsidRDefault="00E44C53" w:rsidP="00E44C53">
            <w:pPr>
              <w:rPr>
                <w:rFonts w:ascii="Arial" w:hAnsi="Arial" w:cs="Arial"/>
                <w:color w:val="000000"/>
                <w:kern w:val="24"/>
                <w:sz w:val="22"/>
                <w:szCs w:val="22"/>
                <w:lang w:eastAsia="en-GB"/>
              </w:rPr>
            </w:pPr>
            <w:r w:rsidRPr="001D5ED2">
              <w:rPr>
                <w:rFonts w:ascii="Arial" w:hAnsi="Arial" w:cs="Arial"/>
                <w:color w:val="000000"/>
                <w:kern w:val="24"/>
                <w:sz w:val="22"/>
                <w:szCs w:val="22"/>
                <w:lang w:eastAsia="en-GB"/>
              </w:rPr>
              <w:t xml:space="preserve">Denominator: number of eligible people </w:t>
            </w:r>
            <w:r>
              <w:rPr>
                <w:rFonts w:ascii="Arial" w:hAnsi="Arial" w:cs="Arial"/>
                <w:color w:val="000000"/>
                <w:kern w:val="24"/>
                <w:sz w:val="22"/>
                <w:szCs w:val="22"/>
                <w:lang w:eastAsia="en-GB"/>
              </w:rPr>
              <w:t>with diabetes</w:t>
            </w:r>
            <w:r w:rsidR="00042A78">
              <w:rPr>
                <w:rFonts w:ascii="Arial" w:hAnsi="Arial" w:cs="Arial"/>
                <w:color w:val="000000"/>
                <w:kern w:val="24"/>
                <w:sz w:val="22"/>
                <w:szCs w:val="22"/>
                <w:lang w:eastAsia="en-GB"/>
              </w:rPr>
              <w:t>,</w:t>
            </w:r>
            <w:r w:rsidRPr="001D5ED2">
              <w:rPr>
                <w:rFonts w:ascii="Arial" w:hAnsi="Arial" w:cs="Arial"/>
                <w:color w:val="000000"/>
                <w:kern w:val="24"/>
                <w:sz w:val="22"/>
                <w:szCs w:val="22"/>
                <w:lang w:eastAsia="en-GB"/>
              </w:rPr>
              <w:t xml:space="preserve"> on the final day of the reporting period (PPR field 3.1.1).</w:t>
            </w:r>
          </w:p>
          <w:p w14:paraId="113B3701" w14:textId="77777777" w:rsidR="00E44C53" w:rsidRDefault="00E44C53" w:rsidP="00E44C53">
            <w:pPr>
              <w:rPr>
                <w:rFonts w:ascii="Arial" w:hAnsi="Arial" w:cs="Arial"/>
                <w:color w:val="000000"/>
                <w:kern w:val="24"/>
                <w:sz w:val="22"/>
                <w:szCs w:val="22"/>
                <w:lang w:eastAsia="en-GB"/>
              </w:rPr>
            </w:pPr>
          </w:p>
          <w:p w14:paraId="27B9E6E6" w14:textId="77777777" w:rsidR="00E44C53" w:rsidRDefault="00E44C53" w:rsidP="00E44C53">
            <w:pPr>
              <w:rPr>
                <w:rFonts w:ascii="Arial" w:hAnsi="Arial" w:cs="Arial"/>
                <w:color w:val="000000"/>
                <w:kern w:val="24"/>
                <w:sz w:val="22"/>
                <w:szCs w:val="22"/>
              </w:rPr>
            </w:pPr>
            <w:r>
              <w:rPr>
                <w:rFonts w:ascii="Arial" w:hAnsi="Arial" w:cs="Arial"/>
                <w:color w:val="000000"/>
                <w:kern w:val="24"/>
                <w:sz w:val="22"/>
                <w:szCs w:val="22"/>
              </w:rPr>
              <w:t>P</w:t>
            </w:r>
            <w:r w:rsidRPr="00F53982">
              <w:rPr>
                <w:rFonts w:ascii="Arial" w:hAnsi="Arial" w:cs="Arial"/>
                <w:color w:val="000000"/>
                <w:kern w:val="24"/>
                <w:sz w:val="22"/>
                <w:szCs w:val="22"/>
              </w:rPr>
              <w:t xml:space="preserve">erformance </w:t>
            </w:r>
            <w:r>
              <w:rPr>
                <w:rFonts w:ascii="Arial" w:hAnsi="Arial" w:cs="Arial"/>
                <w:color w:val="000000"/>
                <w:kern w:val="24"/>
                <w:sz w:val="22"/>
                <w:szCs w:val="22"/>
              </w:rPr>
              <w:t xml:space="preserve">calculated </w:t>
            </w:r>
            <w:r w:rsidRPr="00F53982">
              <w:rPr>
                <w:rFonts w:ascii="Arial" w:hAnsi="Arial" w:cs="Arial"/>
                <w:color w:val="000000"/>
                <w:kern w:val="24"/>
                <w:sz w:val="22"/>
                <w:szCs w:val="22"/>
              </w:rPr>
              <w:t>by dividing numerator by denominator and multiplying by 100 to give a percentage.</w:t>
            </w:r>
          </w:p>
          <w:p w14:paraId="21DBCE9D" w14:textId="77777777" w:rsidR="00E44C53" w:rsidRPr="00F53982" w:rsidRDefault="00E44C53" w:rsidP="00E44C53">
            <w:pPr>
              <w:rPr>
                <w:rFonts w:ascii="Arial" w:hAnsi="Arial" w:cs="Arial"/>
                <w:color w:val="000000"/>
                <w:kern w:val="24"/>
                <w:sz w:val="22"/>
                <w:szCs w:val="22"/>
              </w:rPr>
            </w:pPr>
          </w:p>
          <w:p w14:paraId="08921456" w14:textId="77777777" w:rsidR="00E44C53" w:rsidRDefault="00E44C53" w:rsidP="00E44C53">
            <w:pPr>
              <w:rPr>
                <w:rFonts w:ascii="Arial" w:hAnsi="Arial" w:cs="Arial"/>
                <w:color w:val="000000"/>
                <w:kern w:val="24"/>
                <w:sz w:val="22"/>
                <w:szCs w:val="22"/>
              </w:rPr>
            </w:pPr>
            <w:r w:rsidRPr="00F53982">
              <w:rPr>
                <w:rFonts w:ascii="Arial" w:hAnsi="Arial" w:cs="Arial"/>
                <w:color w:val="000000"/>
                <w:kern w:val="24"/>
                <w:sz w:val="22"/>
                <w:szCs w:val="22"/>
              </w:rPr>
              <w:t>Rolling 12-month data</w:t>
            </w:r>
            <w:r>
              <w:rPr>
                <w:rFonts w:ascii="Arial" w:hAnsi="Arial" w:cs="Arial"/>
                <w:color w:val="000000"/>
                <w:kern w:val="24"/>
                <w:sz w:val="22"/>
                <w:szCs w:val="22"/>
              </w:rPr>
              <w:t>.</w:t>
            </w:r>
          </w:p>
          <w:p w14:paraId="6722DCAA" w14:textId="77777777" w:rsidR="00E44C53" w:rsidRDefault="00E44C53" w:rsidP="00E44C53">
            <w:pPr>
              <w:rPr>
                <w:color w:val="000000"/>
                <w:kern w:val="24"/>
              </w:rPr>
            </w:pPr>
          </w:p>
          <w:p w14:paraId="3F785327" w14:textId="77777777" w:rsidR="00E44C53" w:rsidRPr="00002182" w:rsidRDefault="0010421C" w:rsidP="00E44C53">
            <w:pPr>
              <w:rPr>
                <w:rFonts w:ascii="Arial" w:hAnsi="Arial" w:cs="Arial"/>
                <w:sz w:val="22"/>
                <w:szCs w:val="22"/>
              </w:rPr>
            </w:pPr>
            <w:hyperlink r:id="rId14" w:history="1">
              <w:r w:rsidR="00E44C53" w:rsidRPr="00002182">
                <w:rPr>
                  <w:rStyle w:val="Hyperlink"/>
                  <w:rFonts w:ascii="Arial" w:hAnsi="Arial" w:cs="Arial"/>
                  <w:sz w:val="22"/>
                  <w:szCs w:val="22"/>
                </w:rPr>
                <w:t>Definition of “excluded”:</w:t>
              </w:r>
            </w:hyperlink>
            <w:r w:rsidR="00E44C53" w:rsidRPr="00002182">
              <w:rPr>
                <w:rFonts w:ascii="Arial" w:hAnsi="Arial" w:cs="Arial"/>
                <w:sz w:val="22"/>
                <w:szCs w:val="22"/>
              </w:rPr>
              <w:t xml:space="preserve"> eligible population on the programme list who are not invited for routine digital screening and do not have their retinae checked for DR in another part of the screening pathway. This includes:</w:t>
            </w:r>
          </w:p>
          <w:p w14:paraId="061AE081" w14:textId="77777777" w:rsidR="00E44C53" w:rsidRPr="00002182" w:rsidRDefault="00E44C53" w:rsidP="00E44C53">
            <w:pPr>
              <w:rPr>
                <w:rFonts w:ascii="Arial" w:hAnsi="Arial" w:cs="Arial"/>
                <w:sz w:val="22"/>
                <w:szCs w:val="22"/>
              </w:rPr>
            </w:pPr>
          </w:p>
          <w:p w14:paraId="50236677" w14:textId="77777777" w:rsidR="00E44C53" w:rsidRPr="00002182" w:rsidRDefault="00E44C53" w:rsidP="00E44C53">
            <w:pPr>
              <w:pStyle w:val="ListParagraph"/>
              <w:numPr>
                <w:ilvl w:val="0"/>
                <w:numId w:val="43"/>
              </w:numPr>
              <w:rPr>
                <w:rFonts w:ascii="Arial" w:hAnsi="Arial" w:cs="Arial"/>
                <w:sz w:val="22"/>
                <w:szCs w:val="22"/>
              </w:rPr>
            </w:pPr>
            <w:r w:rsidRPr="00002182">
              <w:rPr>
                <w:rFonts w:ascii="Arial" w:hAnsi="Arial" w:cs="Arial"/>
                <w:sz w:val="22"/>
                <w:szCs w:val="22"/>
              </w:rPr>
              <w:t>those who have made a written informed choice to opt out of NDESP - referred to as ‘opt outs’</w:t>
            </w:r>
          </w:p>
          <w:p w14:paraId="791EC682" w14:textId="77777777" w:rsidR="00E44C53" w:rsidRPr="001D5ED2" w:rsidRDefault="00E44C53" w:rsidP="00E44C53">
            <w:pPr>
              <w:pStyle w:val="ListParagraph"/>
              <w:numPr>
                <w:ilvl w:val="0"/>
                <w:numId w:val="43"/>
              </w:numPr>
            </w:pPr>
            <w:r w:rsidRPr="00002182">
              <w:rPr>
                <w:rFonts w:ascii="Arial" w:hAnsi="Arial" w:cs="Arial"/>
                <w:sz w:val="22"/>
                <w:szCs w:val="22"/>
              </w:rPr>
              <w:t>those who could never be able to receive and/or benefit from treatment due to another existing condition - referred to as ‘medically unfit’</w:t>
            </w:r>
          </w:p>
        </w:tc>
        <w:tc>
          <w:tcPr>
            <w:tcW w:w="3118" w:type="dxa"/>
          </w:tcPr>
          <w:p w14:paraId="2CB25CEB" w14:textId="77777777" w:rsidR="00E44C53" w:rsidRPr="001D5ED2" w:rsidRDefault="00E44C53" w:rsidP="00E44C53">
            <w:pPr>
              <w:spacing w:before="120" w:after="120"/>
              <w:rPr>
                <w:rFonts w:ascii="Arial" w:hAnsi="Arial" w:cs="Arial"/>
                <w:color w:val="000000"/>
                <w:kern w:val="24"/>
                <w:sz w:val="22"/>
                <w:szCs w:val="22"/>
              </w:rPr>
            </w:pPr>
            <w:r w:rsidRPr="001D5ED2">
              <w:rPr>
                <w:rFonts w:ascii="Arial" w:hAnsi="Arial" w:cs="Arial"/>
                <w:color w:val="000000"/>
                <w:kern w:val="24"/>
                <w:sz w:val="22"/>
                <w:szCs w:val="22"/>
              </w:rPr>
              <w:t>The indicator has defined components necessary to construct the indicator, including numerator, denominator and exclusions.</w:t>
            </w:r>
          </w:p>
          <w:p w14:paraId="51A3683B" w14:textId="77777777" w:rsidR="00E44C53" w:rsidRPr="0027670F" w:rsidRDefault="00E44C53" w:rsidP="00E44C53">
            <w:pPr>
              <w:spacing w:before="120" w:after="120"/>
              <w:rPr>
                <w:rFonts w:ascii="Arial" w:hAnsi="Arial"/>
                <w:highlight w:val="lightGray"/>
              </w:rPr>
            </w:pPr>
          </w:p>
        </w:tc>
      </w:tr>
      <w:tr w:rsidR="00E44C53" w:rsidRPr="0027670F" w14:paraId="2002B278" w14:textId="77777777" w:rsidTr="00E44C53">
        <w:tc>
          <w:tcPr>
            <w:tcW w:w="5949" w:type="dxa"/>
          </w:tcPr>
          <w:p w14:paraId="7EE8E8E2" w14:textId="77777777" w:rsidR="00E44C53" w:rsidRPr="0027670F" w:rsidRDefault="00E44C53" w:rsidP="00E44C53">
            <w:pPr>
              <w:spacing w:before="120" w:after="120"/>
              <w:rPr>
                <w:rFonts w:ascii="Arial" w:hAnsi="Arial"/>
                <w:highlight w:val="lightGray"/>
              </w:rPr>
            </w:pPr>
            <w:r w:rsidRPr="005A2136">
              <w:rPr>
                <w:rFonts w:ascii="Arial" w:hAnsi="Arial" w:cs="Arial"/>
                <w:color w:val="000000"/>
                <w:kern w:val="24"/>
                <w:sz w:val="22"/>
                <w:szCs w:val="22"/>
              </w:rPr>
              <w:t>Data currently presented by PHE at national, regional and provider level on screening uptake.</w:t>
            </w:r>
            <w:r w:rsidRPr="00FE1B85">
              <w:rPr>
                <w:rFonts w:ascii="Arial" w:hAnsi="Arial" w:cs="Arial"/>
                <w:color w:val="000000"/>
                <w:kern w:val="24"/>
                <w:sz w:val="22"/>
                <w:szCs w:val="22"/>
              </w:rPr>
              <w:t xml:space="preserve"> </w:t>
            </w:r>
            <w:r w:rsidRPr="00FE1B85">
              <w:rPr>
                <w:rFonts w:ascii="Arial" w:hAnsi="Arial" w:cs="Arial"/>
                <w:sz w:val="22"/>
                <w:szCs w:val="22"/>
              </w:rPr>
              <w:t>NICE CCG level indicators are intended for use where there is an average of 50 patients or more per CCG.</w:t>
            </w:r>
            <w:r w:rsidRPr="00FE1B85">
              <w:rPr>
                <w:rFonts w:ascii="Arial" w:hAnsi="Arial" w:cs="Arial"/>
              </w:rPr>
              <w:t xml:space="preserve"> </w:t>
            </w:r>
            <w:r w:rsidRPr="00FE1B85">
              <w:rPr>
                <w:rFonts w:ascii="Arial" w:hAnsi="Arial" w:cs="Arial"/>
                <w:sz w:val="22"/>
                <w:szCs w:val="22"/>
              </w:rPr>
              <w:t xml:space="preserve">Data presented by PHE as part of the </w:t>
            </w:r>
            <w:hyperlink r:id="rId15" w:history="1">
              <w:r w:rsidRPr="00FE1B85">
                <w:rPr>
                  <w:rStyle w:val="Hyperlink"/>
                  <w:rFonts w:ascii="Arial" w:hAnsi="Arial" w:cs="Arial"/>
                  <w:sz w:val="22"/>
                  <w:szCs w:val="22"/>
                </w:rPr>
                <w:t>Diabetic eye screening 2016 to 2017 data</w:t>
              </w:r>
            </w:hyperlink>
            <w:r w:rsidRPr="00FE1B85">
              <w:rPr>
                <w:rStyle w:val="Hyperlink"/>
                <w:rFonts w:ascii="Arial" w:hAnsi="Arial" w:cs="Arial"/>
                <w:sz w:val="22"/>
                <w:szCs w:val="22"/>
              </w:rPr>
              <w:t xml:space="preserve"> </w:t>
            </w:r>
            <w:r w:rsidRPr="00FE1B85">
              <w:rPr>
                <w:rFonts w:ascii="Arial" w:hAnsi="Arial" w:cs="Arial"/>
                <w:sz w:val="22"/>
                <w:szCs w:val="22"/>
              </w:rPr>
              <w:t xml:space="preserve">indicate an average number of </w:t>
            </w:r>
            <w:r w:rsidRPr="005B4770">
              <w:rPr>
                <w:rFonts w:ascii="Arial" w:hAnsi="Arial" w:cs="Arial"/>
                <w:sz w:val="22"/>
                <w:szCs w:val="22"/>
              </w:rPr>
              <w:t>15,339 patients per CCG</w:t>
            </w:r>
            <w:r>
              <w:rPr>
                <w:rStyle w:val="FootnoteReference"/>
                <w:rFonts w:cs="Arial"/>
                <w:color w:val="000000"/>
                <w:kern w:val="24"/>
                <w:sz w:val="22"/>
                <w:szCs w:val="22"/>
              </w:rPr>
              <w:footnoteReference w:id="1"/>
            </w:r>
            <w:r w:rsidRPr="005A2136">
              <w:rPr>
                <w:rFonts w:ascii="Arial" w:hAnsi="Arial" w:cs="Arial"/>
                <w:color w:val="000000"/>
                <w:kern w:val="24"/>
                <w:sz w:val="22"/>
                <w:szCs w:val="22"/>
              </w:rPr>
              <w:t xml:space="preserve">. </w:t>
            </w:r>
          </w:p>
        </w:tc>
        <w:tc>
          <w:tcPr>
            <w:tcW w:w="3118" w:type="dxa"/>
          </w:tcPr>
          <w:p w14:paraId="483B24E1" w14:textId="77777777" w:rsidR="00E44C53" w:rsidRPr="0027670F" w:rsidRDefault="00E44C53" w:rsidP="00E44C53">
            <w:pPr>
              <w:spacing w:before="120" w:after="120"/>
              <w:rPr>
                <w:rFonts w:ascii="Arial" w:hAnsi="Arial"/>
                <w:highlight w:val="lightGray"/>
              </w:rPr>
            </w:pPr>
            <w:r w:rsidRPr="005A2136">
              <w:rPr>
                <w:rFonts w:ascii="Arial" w:hAnsi="Arial" w:cs="Arial"/>
                <w:color w:val="000000"/>
                <w:kern w:val="24"/>
                <w:sz w:val="22"/>
                <w:szCs w:val="22"/>
              </w:rPr>
              <w:t>The indicator outlines minimum numbers of patients needed to be confident in the assessment of variation.</w:t>
            </w:r>
          </w:p>
        </w:tc>
      </w:tr>
    </w:tbl>
    <w:p w14:paraId="70E1F745" w14:textId="77777777" w:rsidR="00E44C53" w:rsidRPr="0027670F" w:rsidRDefault="00E44C53" w:rsidP="00E44C53">
      <w:pPr>
        <w:pStyle w:val="Heading3"/>
        <w:rPr>
          <w:b w:val="0"/>
          <w:bCs w:val="0"/>
        </w:rPr>
      </w:pPr>
      <w:bookmarkStart w:id="7" w:name="_Toc54272582"/>
      <w:r w:rsidRPr="0027670F">
        <w:lastRenderedPageBreak/>
        <w:t>Feasibility</w:t>
      </w:r>
      <w:bookmarkEnd w:id="7"/>
      <w:r w:rsidRPr="0027670F">
        <w:t xml:space="preserve"> </w:t>
      </w:r>
    </w:p>
    <w:tbl>
      <w:tblPr>
        <w:tblStyle w:val="TableGrid"/>
        <w:tblW w:w="9067" w:type="dxa"/>
        <w:tblLook w:val="04A0" w:firstRow="1" w:lastRow="0" w:firstColumn="1" w:lastColumn="0" w:noHBand="0" w:noVBand="1"/>
      </w:tblPr>
      <w:tblGrid>
        <w:gridCol w:w="5949"/>
        <w:gridCol w:w="3118"/>
      </w:tblGrid>
      <w:tr w:rsidR="00E44C53" w:rsidRPr="0027670F" w14:paraId="34B4E2EE" w14:textId="77777777" w:rsidTr="00E44C53">
        <w:tc>
          <w:tcPr>
            <w:tcW w:w="5949" w:type="dxa"/>
          </w:tcPr>
          <w:p w14:paraId="27D7FA5E"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23ACBBFF"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Assessment</w:t>
            </w:r>
          </w:p>
        </w:tc>
      </w:tr>
      <w:tr w:rsidR="00E44C53" w:rsidRPr="0027670F" w14:paraId="39C26FB6" w14:textId="77777777" w:rsidTr="00E44C53">
        <w:tc>
          <w:tcPr>
            <w:tcW w:w="5949" w:type="dxa"/>
          </w:tcPr>
          <w:p w14:paraId="1A728E45" w14:textId="77777777" w:rsidR="00E44C53" w:rsidRPr="00550C38" w:rsidRDefault="00E44C53" w:rsidP="00E44C53">
            <w:pPr>
              <w:spacing w:before="120" w:after="120"/>
              <w:rPr>
                <w:rFonts w:ascii="Arial" w:hAnsi="Arial" w:cs="Arial"/>
                <w:highlight w:val="lightGray"/>
              </w:rPr>
            </w:pPr>
            <w:r w:rsidRPr="00550C38">
              <w:rPr>
                <w:rFonts w:ascii="Arial" w:hAnsi="Arial" w:cs="Arial"/>
                <w:sz w:val="22"/>
                <w:szCs w:val="22"/>
              </w:rPr>
              <w:t xml:space="preserve">Data is collected as part of the </w:t>
            </w:r>
            <w:hyperlink r:id="rId16" w:history="1">
              <w:r w:rsidRPr="00550C38">
                <w:rPr>
                  <w:rStyle w:val="Hyperlink"/>
                  <w:rFonts w:ascii="Arial" w:hAnsi="Arial" w:cs="Arial"/>
                  <w:sz w:val="22"/>
                  <w:szCs w:val="22"/>
                </w:rPr>
                <w:t>NHS Diabetic Eye Screening programme</w:t>
              </w:r>
            </w:hyperlink>
            <w:r w:rsidRPr="00550C38">
              <w:rPr>
                <w:rFonts w:ascii="Arial" w:hAnsi="Arial" w:cs="Arial"/>
                <w:sz w:val="22"/>
                <w:szCs w:val="22"/>
              </w:rPr>
              <w:t xml:space="preserve">.  </w:t>
            </w:r>
          </w:p>
        </w:tc>
        <w:tc>
          <w:tcPr>
            <w:tcW w:w="3118" w:type="dxa"/>
          </w:tcPr>
          <w:p w14:paraId="26482BBB" w14:textId="5A5146C4" w:rsidR="00E44C53" w:rsidRPr="0027670F" w:rsidRDefault="00E44C53" w:rsidP="00F75046">
            <w:pPr>
              <w:spacing w:before="120" w:after="120"/>
              <w:rPr>
                <w:rFonts w:ascii="Arial" w:hAnsi="Arial"/>
                <w:highlight w:val="lightGray"/>
              </w:rPr>
            </w:pPr>
            <w:r w:rsidRPr="00993B14">
              <w:rPr>
                <w:rFonts w:ascii="Arial" w:hAnsi="Arial" w:cs="Arial"/>
                <w:color w:val="000000"/>
                <w:kern w:val="24"/>
                <w:sz w:val="22"/>
                <w:szCs w:val="22"/>
              </w:rPr>
              <w:t>The indicator is repeatable.</w:t>
            </w:r>
          </w:p>
        </w:tc>
      </w:tr>
      <w:tr w:rsidR="00E44C53" w:rsidRPr="0027670F" w14:paraId="20965F2E" w14:textId="77777777" w:rsidTr="00E44C53">
        <w:tc>
          <w:tcPr>
            <w:tcW w:w="5949" w:type="dxa"/>
          </w:tcPr>
          <w:p w14:paraId="73447D98" w14:textId="77777777" w:rsidR="00E44C53" w:rsidRPr="0027670F" w:rsidRDefault="00E44C53" w:rsidP="00E44C53">
            <w:pPr>
              <w:spacing w:before="120" w:after="120"/>
              <w:contextualSpacing/>
              <w:rPr>
                <w:rFonts w:ascii="Arial" w:hAnsi="Arial" w:cs="Arial"/>
                <w:sz w:val="22"/>
                <w:szCs w:val="22"/>
                <w:highlight w:val="lightGray"/>
              </w:rPr>
            </w:pPr>
            <w:r w:rsidRPr="00993B14">
              <w:rPr>
                <w:rFonts w:ascii="Arial" w:hAnsi="Arial" w:cs="Arial"/>
                <w:sz w:val="22"/>
                <w:szCs w:val="22"/>
              </w:rPr>
              <w:t xml:space="preserve">Details of </w:t>
            </w:r>
            <w:hyperlink r:id="rId17" w:history="1">
              <w:r w:rsidRPr="00993B14">
                <w:rPr>
                  <w:rStyle w:val="Hyperlink"/>
                  <w:rFonts w:ascii="Arial" w:hAnsi="Arial" w:cs="Arial"/>
                  <w:sz w:val="22"/>
                  <w:szCs w:val="22"/>
                </w:rPr>
                <w:t>data to be submitted</w:t>
              </w:r>
            </w:hyperlink>
            <w:r>
              <w:rPr>
                <w:rFonts w:ascii="Arial" w:hAnsi="Arial" w:cs="Arial"/>
                <w:sz w:val="22"/>
                <w:szCs w:val="22"/>
              </w:rPr>
              <w:t xml:space="preserve"> </w:t>
            </w:r>
            <w:r w:rsidRPr="00993B14">
              <w:rPr>
                <w:rFonts w:ascii="Arial" w:hAnsi="Arial" w:cs="Arial"/>
                <w:sz w:val="22"/>
                <w:szCs w:val="22"/>
              </w:rPr>
              <w:t xml:space="preserve">are available from </w:t>
            </w:r>
            <w:r>
              <w:rPr>
                <w:rFonts w:ascii="Arial" w:hAnsi="Arial" w:cs="Arial"/>
                <w:sz w:val="22"/>
                <w:szCs w:val="22"/>
              </w:rPr>
              <w:t xml:space="preserve">gov.uk. </w:t>
            </w:r>
          </w:p>
        </w:tc>
        <w:tc>
          <w:tcPr>
            <w:tcW w:w="3118" w:type="dxa"/>
          </w:tcPr>
          <w:p w14:paraId="25932050" w14:textId="77777777" w:rsidR="00E44C53" w:rsidRPr="00993B14" w:rsidRDefault="00E44C53" w:rsidP="00E44C53">
            <w:pPr>
              <w:spacing w:before="120" w:after="120"/>
              <w:rPr>
                <w:rFonts w:ascii="Arial" w:hAnsi="Arial" w:cs="Arial"/>
                <w:color w:val="000000"/>
                <w:kern w:val="24"/>
                <w:sz w:val="22"/>
                <w:szCs w:val="22"/>
              </w:rPr>
            </w:pPr>
            <w:r w:rsidRPr="00993B14">
              <w:rPr>
                <w:rFonts w:ascii="Arial" w:hAnsi="Arial" w:cs="Arial"/>
                <w:color w:val="000000"/>
                <w:kern w:val="24"/>
                <w:sz w:val="22"/>
                <w:szCs w:val="22"/>
              </w:rPr>
              <w:t xml:space="preserve">The indicator is measuring what it is designed to measure. </w:t>
            </w:r>
          </w:p>
          <w:p w14:paraId="184B6CB7" w14:textId="77777777" w:rsidR="00E44C53" w:rsidRPr="0027670F" w:rsidRDefault="00E44C53" w:rsidP="00E44C53">
            <w:pPr>
              <w:spacing w:before="120" w:after="120"/>
              <w:rPr>
                <w:rFonts w:ascii="Arial" w:hAnsi="Arial" w:cs="Arial"/>
                <w:color w:val="000000"/>
                <w:kern w:val="24"/>
                <w:sz w:val="22"/>
                <w:szCs w:val="22"/>
                <w:highlight w:val="lightGray"/>
              </w:rPr>
            </w:pPr>
            <w:r w:rsidRPr="00993B14">
              <w:rPr>
                <w:rFonts w:ascii="Arial" w:hAnsi="Arial" w:cs="Arial"/>
                <w:color w:val="000000"/>
                <w:kern w:val="24"/>
                <w:sz w:val="22"/>
                <w:szCs w:val="22"/>
              </w:rPr>
              <w:t>The indicator uses existing data fields.</w:t>
            </w:r>
          </w:p>
        </w:tc>
      </w:tr>
    </w:tbl>
    <w:p w14:paraId="43CE321D" w14:textId="77777777" w:rsidR="00E44C53" w:rsidRPr="0027670F" w:rsidRDefault="00E44C53" w:rsidP="00E44C53">
      <w:pPr>
        <w:spacing w:before="240" w:after="240" w:line="276" w:lineRule="auto"/>
        <w:rPr>
          <w:rFonts w:ascii="Arial" w:hAnsi="Arial"/>
        </w:rPr>
      </w:pPr>
    </w:p>
    <w:p w14:paraId="58656A89" w14:textId="77777777" w:rsidR="00E44C53" w:rsidRPr="0027670F" w:rsidRDefault="00E44C53" w:rsidP="00E44C53">
      <w:pPr>
        <w:pStyle w:val="Heading3"/>
        <w:rPr>
          <w:b w:val="0"/>
          <w:bCs w:val="0"/>
        </w:rPr>
      </w:pPr>
      <w:bookmarkStart w:id="8" w:name="_Toc54272583"/>
      <w:r w:rsidRPr="0027670F">
        <w:t>Acceptability</w:t>
      </w:r>
      <w:bookmarkEnd w:id="8"/>
      <w:r w:rsidRPr="0027670F">
        <w:t xml:space="preserve"> </w:t>
      </w:r>
    </w:p>
    <w:tbl>
      <w:tblPr>
        <w:tblStyle w:val="TableGrid"/>
        <w:tblW w:w="9067" w:type="dxa"/>
        <w:tblLook w:val="04A0" w:firstRow="1" w:lastRow="0" w:firstColumn="1" w:lastColumn="0" w:noHBand="0" w:noVBand="1"/>
      </w:tblPr>
      <w:tblGrid>
        <w:gridCol w:w="5949"/>
        <w:gridCol w:w="3118"/>
      </w:tblGrid>
      <w:tr w:rsidR="00E44C53" w:rsidRPr="0027670F" w14:paraId="52CA3FCC" w14:textId="77777777" w:rsidTr="00E44C53">
        <w:tc>
          <w:tcPr>
            <w:tcW w:w="5949" w:type="dxa"/>
          </w:tcPr>
          <w:p w14:paraId="45B4E81B"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48392196"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Assessment</w:t>
            </w:r>
          </w:p>
        </w:tc>
      </w:tr>
      <w:tr w:rsidR="00E44C53" w:rsidRPr="0027670F" w14:paraId="45B08497" w14:textId="77777777" w:rsidTr="00E44C53">
        <w:tc>
          <w:tcPr>
            <w:tcW w:w="5949" w:type="dxa"/>
          </w:tcPr>
          <w:p w14:paraId="33FE59D0" w14:textId="77777777" w:rsidR="00E44C53" w:rsidRPr="009912BB" w:rsidRDefault="00E44C53" w:rsidP="00E44C53">
            <w:pPr>
              <w:rPr>
                <w:rFonts w:ascii="Arial" w:hAnsi="Arial" w:cs="Arial"/>
                <w:sz w:val="22"/>
                <w:szCs w:val="22"/>
              </w:rPr>
            </w:pPr>
            <w:r w:rsidRPr="009912BB">
              <w:rPr>
                <w:rFonts w:ascii="Arial" w:hAnsi="Arial" w:cs="Arial"/>
                <w:sz w:val="22"/>
                <w:szCs w:val="22"/>
              </w:rPr>
              <w:t>The commissioning of the NDESP pathway involves commissioning at different levels which includes NHS England and CCGs.</w:t>
            </w:r>
          </w:p>
          <w:p w14:paraId="3FC85F33" w14:textId="77777777" w:rsidR="00E44C53" w:rsidRPr="009912BB" w:rsidRDefault="00E44C53" w:rsidP="00E44C53">
            <w:pPr>
              <w:pStyle w:val="Paragraph"/>
              <w:spacing w:before="0" w:after="0" w:line="240" w:lineRule="auto"/>
              <w:rPr>
                <w:rFonts w:cs="Arial"/>
                <w:highlight w:val="lightGray"/>
              </w:rPr>
            </w:pPr>
          </w:p>
          <w:p w14:paraId="04F8EAD1" w14:textId="77777777" w:rsidR="00E44C53" w:rsidRPr="0027670F" w:rsidRDefault="00E44C53" w:rsidP="00E44C53">
            <w:pPr>
              <w:spacing w:before="120" w:after="120"/>
              <w:rPr>
                <w:rFonts w:ascii="Arial" w:hAnsi="Arial"/>
                <w:highlight w:val="lightGray"/>
              </w:rPr>
            </w:pPr>
            <w:r w:rsidRPr="009912BB">
              <w:rPr>
                <w:rFonts w:ascii="Arial" w:hAnsi="Arial" w:cs="Arial"/>
                <w:sz w:val="22"/>
                <w:szCs w:val="22"/>
              </w:rPr>
              <w:t>Providers are responsible for manag</w:t>
            </w:r>
            <w:r>
              <w:rPr>
                <w:rFonts w:ascii="Arial" w:hAnsi="Arial" w:cs="Arial"/>
                <w:sz w:val="22"/>
                <w:szCs w:val="22"/>
              </w:rPr>
              <w:t>ing</w:t>
            </w:r>
            <w:r w:rsidRPr="009912BB">
              <w:rPr>
                <w:rFonts w:ascii="Arial" w:hAnsi="Arial" w:cs="Arial"/>
                <w:sz w:val="22"/>
                <w:szCs w:val="22"/>
              </w:rPr>
              <w:t xml:space="preserve"> people with diabetes excluded or suspended from the</w:t>
            </w:r>
            <w:r>
              <w:rPr>
                <w:rFonts w:ascii="Arial" w:hAnsi="Arial" w:cs="Arial"/>
                <w:sz w:val="22"/>
                <w:szCs w:val="22"/>
              </w:rPr>
              <w:t xml:space="preserve"> </w:t>
            </w:r>
            <w:r w:rsidRPr="009912BB">
              <w:rPr>
                <w:rFonts w:ascii="Arial" w:hAnsi="Arial" w:cs="Arial"/>
                <w:sz w:val="22"/>
                <w:szCs w:val="22"/>
              </w:rPr>
              <w:t>programme in accordance with the NDESP Guidance</w:t>
            </w:r>
            <w:r>
              <w:rPr>
                <w:rFonts w:ascii="Arial" w:hAnsi="Arial" w:cs="Arial"/>
                <w:sz w:val="22"/>
                <w:szCs w:val="22"/>
              </w:rPr>
              <w:t>.</w:t>
            </w:r>
          </w:p>
        </w:tc>
        <w:tc>
          <w:tcPr>
            <w:tcW w:w="3118" w:type="dxa"/>
          </w:tcPr>
          <w:p w14:paraId="5C550BBF" w14:textId="77777777" w:rsidR="00E44C53" w:rsidRPr="0027670F" w:rsidRDefault="00E44C53" w:rsidP="00E44C53">
            <w:pPr>
              <w:spacing w:before="120" w:after="120"/>
              <w:rPr>
                <w:rFonts w:ascii="Arial" w:hAnsi="Arial"/>
                <w:highlight w:val="lightGray"/>
              </w:rPr>
            </w:pPr>
            <w:r w:rsidRPr="009912BB">
              <w:rPr>
                <w:rFonts w:ascii="Arial" w:hAnsi="Arial" w:cs="Arial"/>
                <w:color w:val="000000"/>
                <w:kern w:val="24"/>
                <w:sz w:val="22"/>
                <w:szCs w:val="22"/>
              </w:rPr>
              <w:t>The indicator assesses performance that is attributable to or within the control of the audience</w:t>
            </w:r>
            <w:r>
              <w:rPr>
                <w:rFonts w:ascii="Arial" w:hAnsi="Arial" w:cs="Arial"/>
                <w:color w:val="000000"/>
                <w:kern w:val="24"/>
                <w:sz w:val="22"/>
                <w:szCs w:val="22"/>
              </w:rPr>
              <w:t>.</w:t>
            </w:r>
          </w:p>
        </w:tc>
      </w:tr>
      <w:tr w:rsidR="00E44C53" w:rsidRPr="0027670F" w14:paraId="008A9632" w14:textId="77777777" w:rsidTr="00E44C53">
        <w:tc>
          <w:tcPr>
            <w:tcW w:w="5949" w:type="dxa"/>
          </w:tcPr>
          <w:p w14:paraId="1FDB6568" w14:textId="77777777" w:rsidR="00E44C53" w:rsidRPr="0027670F" w:rsidRDefault="00E44C53" w:rsidP="00E44C53">
            <w:pPr>
              <w:spacing w:before="120" w:after="120"/>
              <w:rPr>
                <w:rFonts w:ascii="Arial" w:hAnsi="Arial"/>
                <w:highlight w:val="lightGray"/>
              </w:rPr>
            </w:pPr>
            <w:r w:rsidRPr="00550C38">
              <w:rPr>
                <w:rFonts w:ascii="Arial" w:hAnsi="Arial" w:cs="Arial"/>
                <w:sz w:val="22"/>
                <w:szCs w:val="22"/>
              </w:rPr>
              <w:t xml:space="preserve">Data on diabetic eye screening is published at regional, national and screening provider level as part of </w:t>
            </w:r>
            <w:hyperlink r:id="rId18" w:history="1">
              <w:r w:rsidRPr="00550C38">
                <w:rPr>
                  <w:rStyle w:val="Hyperlink"/>
                  <w:rFonts w:ascii="Arial" w:hAnsi="Arial" w:cs="Arial"/>
                  <w:sz w:val="22"/>
                  <w:szCs w:val="22"/>
                </w:rPr>
                <w:t>NHS Screening programme KPI reports</w:t>
              </w:r>
            </w:hyperlink>
            <w:r w:rsidRPr="00550C38">
              <w:rPr>
                <w:rFonts w:ascii="Arial" w:hAnsi="Arial" w:cs="Arial"/>
                <w:sz w:val="22"/>
                <w:szCs w:val="22"/>
              </w:rPr>
              <w:t>. Data is not published relating to the eligible population</w:t>
            </w:r>
            <w:r>
              <w:rPr>
                <w:rFonts w:ascii="Arial" w:hAnsi="Arial" w:cs="Arial"/>
                <w:sz w:val="22"/>
                <w:szCs w:val="22"/>
              </w:rPr>
              <w:t xml:space="preserve"> categorised as excluded</w:t>
            </w:r>
            <w:r w:rsidRPr="00550C38">
              <w:rPr>
                <w:rFonts w:ascii="Arial" w:hAnsi="Arial" w:cs="Arial"/>
                <w:sz w:val="22"/>
                <w:szCs w:val="22"/>
              </w:rPr>
              <w:t xml:space="preserve">, but this could be included to compare practice and assist in </w:t>
            </w:r>
            <w:hyperlink r:id="rId19" w:history="1">
              <w:r w:rsidRPr="00550C38">
                <w:rPr>
                  <w:rStyle w:val="Hyperlink"/>
                  <w:rFonts w:ascii="Arial" w:hAnsi="Arial" w:cs="Arial"/>
                  <w:sz w:val="22"/>
                  <w:szCs w:val="22"/>
                </w:rPr>
                <w:t>quality assurance procedures</w:t>
              </w:r>
            </w:hyperlink>
            <w:r w:rsidRPr="00550C38">
              <w:rPr>
                <w:rFonts w:ascii="Arial" w:hAnsi="Arial" w:cs="Arial"/>
                <w:sz w:val="22"/>
                <w:szCs w:val="22"/>
              </w:rPr>
              <w:t>.</w:t>
            </w:r>
          </w:p>
        </w:tc>
        <w:tc>
          <w:tcPr>
            <w:tcW w:w="3118" w:type="dxa"/>
          </w:tcPr>
          <w:p w14:paraId="3ECE045F" w14:textId="77777777" w:rsidR="00E44C53" w:rsidRPr="0027670F" w:rsidRDefault="00E44C53" w:rsidP="00E44C53">
            <w:pPr>
              <w:spacing w:before="120" w:after="120"/>
              <w:rPr>
                <w:rFonts w:ascii="Arial" w:hAnsi="Arial"/>
                <w:highlight w:val="lightGray"/>
              </w:rPr>
            </w:pPr>
            <w:r w:rsidRPr="00550C38">
              <w:rPr>
                <w:rFonts w:ascii="Arial" w:hAnsi="Arial" w:cs="Arial"/>
                <w:color w:val="000000"/>
                <w:kern w:val="24"/>
                <w:sz w:val="22"/>
                <w:szCs w:val="22"/>
              </w:rPr>
              <w:t>The results of the indicator can be used to improve practice</w:t>
            </w:r>
          </w:p>
        </w:tc>
      </w:tr>
    </w:tbl>
    <w:p w14:paraId="5FB09BEF" w14:textId="77777777" w:rsidR="00E44C53" w:rsidRPr="0027670F" w:rsidRDefault="00E44C53" w:rsidP="00E44C53">
      <w:pPr>
        <w:spacing w:before="240" w:after="240" w:line="276" w:lineRule="auto"/>
        <w:rPr>
          <w:rFonts w:ascii="Arial" w:hAnsi="Arial"/>
        </w:rPr>
      </w:pPr>
    </w:p>
    <w:p w14:paraId="155AFA44" w14:textId="77777777" w:rsidR="00E44C53" w:rsidRPr="0027670F" w:rsidRDefault="00E44C53" w:rsidP="00E44C53">
      <w:pPr>
        <w:pStyle w:val="Heading3"/>
        <w:rPr>
          <w:b w:val="0"/>
          <w:bCs w:val="0"/>
        </w:rPr>
      </w:pPr>
      <w:bookmarkStart w:id="9" w:name="_Toc54272584"/>
      <w:r w:rsidRPr="0027670F">
        <w:t>Risk</w:t>
      </w:r>
      <w:bookmarkEnd w:id="9"/>
    </w:p>
    <w:tbl>
      <w:tblPr>
        <w:tblStyle w:val="TableGrid"/>
        <w:tblW w:w="9067" w:type="dxa"/>
        <w:tblLook w:val="04A0" w:firstRow="1" w:lastRow="0" w:firstColumn="1" w:lastColumn="0" w:noHBand="0" w:noVBand="1"/>
      </w:tblPr>
      <w:tblGrid>
        <w:gridCol w:w="5949"/>
        <w:gridCol w:w="3118"/>
      </w:tblGrid>
      <w:tr w:rsidR="00E44C53" w:rsidRPr="0027670F" w14:paraId="1596B6D1" w14:textId="77777777" w:rsidTr="00E44C53">
        <w:tc>
          <w:tcPr>
            <w:tcW w:w="5949" w:type="dxa"/>
          </w:tcPr>
          <w:p w14:paraId="5E3FCADC"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 xml:space="preserve">Considerations </w:t>
            </w:r>
          </w:p>
        </w:tc>
        <w:tc>
          <w:tcPr>
            <w:tcW w:w="3118" w:type="dxa"/>
          </w:tcPr>
          <w:p w14:paraId="505630B0" w14:textId="77777777" w:rsidR="00E44C53" w:rsidRPr="0027670F" w:rsidRDefault="00E44C53" w:rsidP="00E44C53">
            <w:pPr>
              <w:spacing w:before="120" w:after="120"/>
              <w:rPr>
                <w:rFonts w:ascii="Arial" w:hAnsi="Arial"/>
                <w:b/>
                <w:bCs/>
                <w:sz w:val="22"/>
                <w:szCs w:val="22"/>
              </w:rPr>
            </w:pPr>
            <w:r w:rsidRPr="0027670F">
              <w:rPr>
                <w:rFonts w:ascii="Arial" w:hAnsi="Arial"/>
                <w:b/>
                <w:bCs/>
                <w:sz w:val="22"/>
                <w:szCs w:val="22"/>
              </w:rPr>
              <w:t>Assessment</w:t>
            </w:r>
          </w:p>
        </w:tc>
      </w:tr>
      <w:tr w:rsidR="00E44C53" w:rsidRPr="0027670F" w14:paraId="77A587C4" w14:textId="77777777" w:rsidTr="00E44C53">
        <w:tc>
          <w:tcPr>
            <w:tcW w:w="5949" w:type="dxa"/>
          </w:tcPr>
          <w:p w14:paraId="51F03276" w14:textId="77777777" w:rsidR="00E44C53" w:rsidRPr="00B95644" w:rsidRDefault="00E44C53" w:rsidP="00E44C53">
            <w:pPr>
              <w:spacing w:before="120" w:after="120"/>
              <w:rPr>
                <w:rFonts w:ascii="Arial" w:hAnsi="Arial" w:cs="Arial"/>
                <w:highlight w:val="lightGray"/>
              </w:rPr>
            </w:pPr>
            <w:r w:rsidRPr="00B95644">
              <w:rPr>
                <w:rFonts w:ascii="Arial" w:hAnsi="Arial" w:cs="Arial"/>
                <w:color w:val="000000"/>
                <w:kern w:val="24"/>
                <w:sz w:val="22"/>
                <w:szCs w:val="22"/>
              </w:rPr>
              <w:t xml:space="preserve">The NHS Diabetic Eye Screening programme operated under </w:t>
            </w:r>
            <w:hyperlink r:id="rId20" w:anchor="des-s08-uptake-repeat-non-attenders" w:history="1">
              <w:r w:rsidRPr="00B95644">
                <w:rPr>
                  <w:rStyle w:val="Hyperlink"/>
                  <w:rFonts w:ascii="Arial" w:hAnsi="Arial" w:cs="Arial"/>
                  <w:kern w:val="24"/>
                  <w:sz w:val="22"/>
                  <w:szCs w:val="22"/>
                </w:rPr>
                <w:t>published standards</w:t>
              </w:r>
            </w:hyperlink>
            <w:r w:rsidRPr="00B95644">
              <w:rPr>
                <w:rFonts w:ascii="Arial" w:hAnsi="Arial" w:cs="Arial"/>
                <w:color w:val="000000"/>
                <w:kern w:val="24"/>
                <w:sz w:val="22"/>
                <w:szCs w:val="22"/>
              </w:rPr>
              <w:t xml:space="preserve"> and </w:t>
            </w:r>
            <w:hyperlink r:id="rId21" w:anchor="local-provider-quality-assurance" w:history="1">
              <w:r w:rsidRPr="00B95644">
                <w:rPr>
                  <w:rStyle w:val="Hyperlink"/>
                  <w:rFonts w:ascii="Arial" w:hAnsi="Arial" w:cs="Arial"/>
                  <w:kern w:val="24"/>
                  <w:sz w:val="22"/>
                  <w:szCs w:val="22"/>
                </w:rPr>
                <w:t>quality assurance frameworks</w:t>
              </w:r>
            </w:hyperlink>
            <w:r w:rsidRPr="00B95644">
              <w:rPr>
                <w:rFonts w:ascii="Arial" w:hAnsi="Arial" w:cs="Arial"/>
                <w:color w:val="000000"/>
                <w:kern w:val="24"/>
                <w:sz w:val="22"/>
                <w:szCs w:val="22"/>
              </w:rPr>
              <w:t xml:space="preserve">. </w:t>
            </w:r>
          </w:p>
        </w:tc>
        <w:tc>
          <w:tcPr>
            <w:tcW w:w="3118" w:type="dxa"/>
          </w:tcPr>
          <w:p w14:paraId="06CCBE19" w14:textId="77777777" w:rsidR="00E44C53" w:rsidRPr="00B95644" w:rsidRDefault="00E44C53" w:rsidP="00E44C53">
            <w:pPr>
              <w:spacing w:before="120" w:after="120"/>
              <w:rPr>
                <w:rFonts w:ascii="Arial" w:hAnsi="Arial" w:cs="Arial"/>
                <w:highlight w:val="lightGray"/>
              </w:rPr>
            </w:pPr>
            <w:r w:rsidRPr="00B95644">
              <w:rPr>
                <w:rFonts w:ascii="Arial" w:hAnsi="Arial" w:cs="Arial"/>
                <w:color w:val="000000"/>
                <w:kern w:val="24"/>
                <w:sz w:val="22"/>
                <w:szCs w:val="22"/>
              </w:rPr>
              <w:t>The indicator has an acceptable risk of unintended consequences.</w:t>
            </w:r>
          </w:p>
        </w:tc>
      </w:tr>
    </w:tbl>
    <w:p w14:paraId="5ECF58CD" w14:textId="7A1400D4" w:rsidR="009A3F68" w:rsidRDefault="009A3F68">
      <w:pPr>
        <w:rPr>
          <w:rFonts w:ascii="Arial" w:hAnsi="Arial"/>
          <w:b/>
          <w:bCs/>
          <w:sz w:val="28"/>
          <w:szCs w:val="28"/>
        </w:rPr>
      </w:pPr>
    </w:p>
    <w:sectPr w:rsidR="009A3F68" w:rsidSect="00192B09">
      <w:footerReference w:type="default" r:id="rId2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8549D8" w:rsidRDefault="008549D8" w:rsidP="00446BEE">
      <w:r>
        <w:separator/>
      </w:r>
    </w:p>
  </w:endnote>
  <w:endnote w:type="continuationSeparator" w:id="0">
    <w:p w14:paraId="22EB9B1D" w14:textId="77777777" w:rsidR="008549D8" w:rsidRDefault="008549D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8B8B756" w:rsidR="008549D8" w:rsidRPr="008C1C95" w:rsidRDefault="001929AB" w:rsidP="008C1C95">
    <w:pPr>
      <w:pStyle w:val="Footer"/>
      <w:jc w:val="right"/>
    </w:pPr>
    <w:r>
      <w:tab/>
    </w:r>
    <w:r w:rsidR="003406AB">
      <w:fldChar w:fldCharType="begin"/>
    </w:r>
    <w:r w:rsidR="003406AB">
      <w:instrText xml:space="preserve"> PAGE </w:instrText>
    </w:r>
    <w:r w:rsidR="003406AB">
      <w:fldChar w:fldCharType="separate"/>
    </w:r>
    <w:r w:rsidR="003406AB">
      <w:t>1</w:t>
    </w:r>
    <w:r w:rsidR="003406AB">
      <w:fldChar w:fldCharType="end"/>
    </w:r>
    <w:r w:rsidR="003406AB">
      <w:t xml:space="preserve"> of </w:t>
    </w:r>
    <w:r w:rsidR="003406AB">
      <w:rPr>
        <w:noProof/>
      </w:rPr>
      <w:fldChar w:fldCharType="begin"/>
    </w:r>
    <w:r w:rsidR="003406AB">
      <w:rPr>
        <w:noProof/>
      </w:rPr>
      <w:instrText xml:space="preserve"> NUMPAGES  </w:instrText>
    </w:r>
    <w:r w:rsidR="003406AB">
      <w:rPr>
        <w:noProof/>
      </w:rPr>
      <w:fldChar w:fldCharType="separate"/>
    </w:r>
    <w:r w:rsidR="003406AB">
      <w:rPr>
        <w:noProof/>
      </w:rPr>
      <w:t>10</w:t>
    </w:r>
    <w:r w:rsidR="003406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8549D8" w:rsidRDefault="008549D8" w:rsidP="00446BEE">
      <w:r>
        <w:separator/>
      </w:r>
    </w:p>
  </w:footnote>
  <w:footnote w:type="continuationSeparator" w:id="0">
    <w:p w14:paraId="1B316AC4" w14:textId="77777777" w:rsidR="008549D8" w:rsidRDefault="008549D8" w:rsidP="00446BEE">
      <w:r>
        <w:continuationSeparator/>
      </w:r>
    </w:p>
  </w:footnote>
  <w:footnote w:id="1">
    <w:p w14:paraId="370B946F" w14:textId="77777777" w:rsidR="008549D8" w:rsidRPr="00B15EE7" w:rsidRDefault="008549D8" w:rsidP="00E44C53">
      <w:pPr>
        <w:pStyle w:val="FootnoteText"/>
        <w:rPr>
          <w:rFonts w:ascii="Arial" w:hAnsi="Arial" w:cs="Arial"/>
        </w:rPr>
      </w:pPr>
      <w:r w:rsidRPr="00B15EE7">
        <w:rPr>
          <w:rStyle w:val="FootnoteReference"/>
          <w:rFonts w:ascii="Arial" w:hAnsi="Arial" w:cs="Arial"/>
        </w:rPr>
        <w:footnoteRef/>
      </w:r>
      <w:r w:rsidRPr="00B15EE7">
        <w:rPr>
          <w:rFonts w:ascii="Arial" w:hAnsi="Arial" w:cs="Arial"/>
        </w:rPr>
        <w:t xml:space="preserve"> </w:t>
      </w:r>
      <w:r>
        <w:rPr>
          <w:rFonts w:ascii="Arial" w:hAnsi="Arial" w:cs="Arial"/>
        </w:rPr>
        <w:t xml:space="preserve">The </w:t>
      </w:r>
      <w:r w:rsidRPr="005B4770">
        <w:rPr>
          <w:rFonts w:ascii="Arial" w:hAnsi="Arial" w:cs="Arial"/>
        </w:rPr>
        <w:t xml:space="preserve">Diabetic eye screening 2016 to 2017 data </w:t>
      </w:r>
      <w:r>
        <w:rPr>
          <w:rFonts w:ascii="Arial" w:hAnsi="Arial" w:cs="Arial"/>
        </w:rPr>
        <w:t xml:space="preserve">reports the eligible population for England as </w:t>
      </w:r>
      <w:r w:rsidRPr="005B4770">
        <w:rPr>
          <w:rFonts w:ascii="Arial" w:hAnsi="Arial" w:cs="Arial"/>
        </w:rPr>
        <w:t>3,175,121</w:t>
      </w:r>
      <w:r>
        <w:rPr>
          <w:rFonts w:ascii="Arial" w:hAnsi="Arial" w:cs="Arial"/>
        </w:rPr>
        <w:t xml:space="preserve">. </w:t>
      </w:r>
      <w:r w:rsidRPr="00B15EE7">
        <w:rPr>
          <w:rFonts w:ascii="Arial" w:hAnsi="Arial" w:cs="Arial"/>
        </w:rPr>
        <w:t>QOF data 201</w:t>
      </w:r>
      <w:r>
        <w:rPr>
          <w:rFonts w:ascii="Arial" w:hAnsi="Arial" w:cs="Arial"/>
        </w:rPr>
        <w:t>6/17</w:t>
      </w:r>
      <w:r w:rsidRPr="00B15EE7">
        <w:rPr>
          <w:rFonts w:ascii="Arial" w:hAnsi="Arial" w:cs="Arial"/>
        </w:rPr>
        <w:t xml:space="preserve"> shows </w:t>
      </w:r>
      <w:r>
        <w:rPr>
          <w:rFonts w:ascii="Arial" w:hAnsi="Arial" w:cs="Arial"/>
        </w:rPr>
        <w:t>207</w:t>
      </w:r>
      <w:r w:rsidRPr="00B15EE7">
        <w:rPr>
          <w:rFonts w:ascii="Arial" w:hAnsi="Arial" w:cs="Arial"/>
        </w:rPr>
        <w:t xml:space="preserve"> participating </w:t>
      </w:r>
      <w:r>
        <w:rPr>
          <w:rFonts w:ascii="Arial" w:hAnsi="Arial" w:cs="Arial"/>
        </w:rPr>
        <w:t xml:space="preserve">CCGs: </w:t>
      </w:r>
      <w:r w:rsidRPr="005B4770">
        <w:rPr>
          <w:rFonts w:ascii="Arial" w:hAnsi="Arial" w:cs="Arial"/>
        </w:rPr>
        <w:t>3,175,121/20</w:t>
      </w:r>
      <w:r>
        <w:rPr>
          <w:rFonts w:ascii="Arial" w:hAnsi="Arial" w:cs="Arial"/>
        </w:rPr>
        <w:t>7=15,339</w:t>
      </w:r>
      <w:r w:rsidRPr="00B15EE7">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8B4252"/>
    <w:multiLevelType w:val="hybridMultilevel"/>
    <w:tmpl w:val="0AD0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DFE"/>
    <w:multiLevelType w:val="hybridMultilevel"/>
    <w:tmpl w:val="3BE6561A"/>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148A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F670EE"/>
    <w:multiLevelType w:val="hybridMultilevel"/>
    <w:tmpl w:val="62D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DE0AEF"/>
    <w:multiLevelType w:val="hybridMultilevel"/>
    <w:tmpl w:val="3AD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23752B"/>
    <w:multiLevelType w:val="hybridMultilevel"/>
    <w:tmpl w:val="ECFE927E"/>
    <w:lvl w:ilvl="0" w:tplc="AD5C50D0">
      <w:start w:val="5"/>
      <w:numFmt w:val="decimal"/>
      <w:lvlText w:val="%1."/>
      <w:lvlJc w:val="left"/>
      <w:pPr>
        <w:ind w:left="1162" w:hanging="45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E3331"/>
    <w:multiLevelType w:val="hybridMultilevel"/>
    <w:tmpl w:val="27D4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1"/>
  </w:num>
  <w:num w:numId="4">
    <w:abstractNumId w:val="13"/>
  </w:num>
  <w:num w:numId="5">
    <w:abstractNumId w:val="26"/>
  </w:num>
  <w:num w:numId="6">
    <w:abstractNumId w:val="1"/>
  </w:num>
  <w:num w:numId="7">
    <w:abstractNumId w:val="11"/>
  </w:num>
  <w:num w:numId="8">
    <w:abstractNumId w:val="23"/>
  </w:num>
  <w:num w:numId="9">
    <w:abstractNumId w:val="24"/>
  </w:num>
  <w:num w:numId="10">
    <w:abstractNumId w:val="6"/>
  </w:num>
  <w:num w:numId="11">
    <w:abstractNumId w:val="8"/>
  </w:num>
  <w:num w:numId="12">
    <w:abstractNumId w:val="4"/>
  </w:num>
  <w:num w:numId="13">
    <w:abstractNumId w:val="35"/>
  </w:num>
  <w:num w:numId="14">
    <w:abstractNumId w:val="15"/>
  </w:num>
  <w:num w:numId="15">
    <w:abstractNumId w:val="10"/>
  </w:num>
  <w:num w:numId="16">
    <w:abstractNumId w:val="20"/>
  </w:num>
  <w:num w:numId="17">
    <w:abstractNumId w:val="17"/>
  </w:num>
  <w:num w:numId="18">
    <w:abstractNumId w:val="22"/>
  </w:num>
  <w:num w:numId="19">
    <w:abstractNumId w:val="28"/>
  </w:num>
  <w:num w:numId="20">
    <w:abstractNumId w:val="7"/>
  </w:num>
  <w:num w:numId="21">
    <w:abstractNumId w:val="33"/>
  </w:num>
  <w:num w:numId="22">
    <w:abstractNumId w:val="0"/>
  </w:num>
  <w:num w:numId="23">
    <w:abstractNumId w:val="5"/>
  </w:num>
  <w:num w:numId="24">
    <w:abstractNumId w:val="30"/>
  </w:num>
  <w:num w:numId="25">
    <w:abstractNumId w:val="19"/>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4"/>
  </w:num>
  <w:num w:numId="31">
    <w:abstractNumId w:val="6"/>
  </w:num>
  <w:num w:numId="32">
    <w:abstractNumId w:val="6"/>
  </w:num>
  <w:num w:numId="33">
    <w:abstractNumId w:val="6"/>
  </w:num>
  <w:num w:numId="3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6"/>
  </w:num>
  <w:num w:numId="38">
    <w:abstractNumId w:val="34"/>
  </w:num>
  <w:num w:numId="39">
    <w:abstractNumId w:val="21"/>
  </w:num>
  <w:num w:numId="40">
    <w:abstractNumId w:val="3"/>
  </w:num>
  <w:num w:numId="41">
    <w:abstractNumId w:val="2"/>
  </w:num>
  <w:num w:numId="42">
    <w:abstractNumId w:val="32"/>
  </w:num>
  <w:num w:numId="43">
    <w:abstractNumId w:val="27"/>
  </w:num>
  <w:num w:numId="44">
    <w:abstractNumId w:val="25"/>
  </w:num>
  <w:num w:numId="4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6514"/>
    <w:rsid w:val="00011FC6"/>
    <w:rsid w:val="0001222B"/>
    <w:rsid w:val="00015441"/>
    <w:rsid w:val="000161C8"/>
    <w:rsid w:val="00016234"/>
    <w:rsid w:val="00017F45"/>
    <w:rsid w:val="000200AB"/>
    <w:rsid w:val="00020637"/>
    <w:rsid w:val="0002076F"/>
    <w:rsid w:val="0002231A"/>
    <w:rsid w:val="00022F5E"/>
    <w:rsid w:val="00023CA5"/>
    <w:rsid w:val="00024D0A"/>
    <w:rsid w:val="00025A5C"/>
    <w:rsid w:val="0002655B"/>
    <w:rsid w:val="00027B76"/>
    <w:rsid w:val="000300AE"/>
    <w:rsid w:val="00030385"/>
    <w:rsid w:val="00030BEB"/>
    <w:rsid w:val="0003213D"/>
    <w:rsid w:val="00035D96"/>
    <w:rsid w:val="00036EE4"/>
    <w:rsid w:val="00037552"/>
    <w:rsid w:val="000414CD"/>
    <w:rsid w:val="00042A78"/>
    <w:rsid w:val="0004485C"/>
    <w:rsid w:val="000453F8"/>
    <w:rsid w:val="00050710"/>
    <w:rsid w:val="000523A6"/>
    <w:rsid w:val="000524FA"/>
    <w:rsid w:val="00052A67"/>
    <w:rsid w:val="00052B85"/>
    <w:rsid w:val="00053145"/>
    <w:rsid w:val="00057A05"/>
    <w:rsid w:val="00060DA1"/>
    <w:rsid w:val="0006231E"/>
    <w:rsid w:val="00062405"/>
    <w:rsid w:val="00063213"/>
    <w:rsid w:val="00063573"/>
    <w:rsid w:val="00063B7C"/>
    <w:rsid w:val="00065B8F"/>
    <w:rsid w:val="000660D6"/>
    <w:rsid w:val="000661F4"/>
    <w:rsid w:val="000675B4"/>
    <w:rsid w:val="00070065"/>
    <w:rsid w:val="0007042D"/>
    <w:rsid w:val="000710A1"/>
    <w:rsid w:val="00071292"/>
    <w:rsid w:val="00071806"/>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A75A2"/>
    <w:rsid w:val="000B1301"/>
    <w:rsid w:val="000B1CBF"/>
    <w:rsid w:val="000B34B8"/>
    <w:rsid w:val="000B5939"/>
    <w:rsid w:val="000B5EBE"/>
    <w:rsid w:val="000C22B9"/>
    <w:rsid w:val="000C4D57"/>
    <w:rsid w:val="000C4EE8"/>
    <w:rsid w:val="000C7A5D"/>
    <w:rsid w:val="000D04B0"/>
    <w:rsid w:val="000D1487"/>
    <w:rsid w:val="000D3776"/>
    <w:rsid w:val="000D66AA"/>
    <w:rsid w:val="000E0E0D"/>
    <w:rsid w:val="000E4899"/>
    <w:rsid w:val="000E7E3C"/>
    <w:rsid w:val="000F3B49"/>
    <w:rsid w:val="000F6502"/>
    <w:rsid w:val="001011BF"/>
    <w:rsid w:val="001018E4"/>
    <w:rsid w:val="0010421C"/>
    <w:rsid w:val="001043B0"/>
    <w:rsid w:val="00107E9E"/>
    <w:rsid w:val="00110A94"/>
    <w:rsid w:val="00110AD8"/>
    <w:rsid w:val="00112FAE"/>
    <w:rsid w:val="001131E2"/>
    <w:rsid w:val="001134E7"/>
    <w:rsid w:val="00121C0F"/>
    <w:rsid w:val="0012485A"/>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65ED"/>
    <w:rsid w:val="001579DA"/>
    <w:rsid w:val="00161EBC"/>
    <w:rsid w:val="00163134"/>
    <w:rsid w:val="00165770"/>
    <w:rsid w:val="00165B01"/>
    <w:rsid w:val="00166C1A"/>
    <w:rsid w:val="0017169E"/>
    <w:rsid w:val="0017396B"/>
    <w:rsid w:val="00175BE8"/>
    <w:rsid w:val="00175F5D"/>
    <w:rsid w:val="00177200"/>
    <w:rsid w:val="001779E5"/>
    <w:rsid w:val="00182263"/>
    <w:rsid w:val="00182567"/>
    <w:rsid w:val="0018281C"/>
    <w:rsid w:val="00185F6B"/>
    <w:rsid w:val="00187570"/>
    <w:rsid w:val="00192188"/>
    <w:rsid w:val="001929AB"/>
    <w:rsid w:val="00192B09"/>
    <w:rsid w:val="001936A7"/>
    <w:rsid w:val="00193D4B"/>
    <w:rsid w:val="00194E6C"/>
    <w:rsid w:val="00195769"/>
    <w:rsid w:val="00196653"/>
    <w:rsid w:val="00196E29"/>
    <w:rsid w:val="001976DA"/>
    <w:rsid w:val="001A056C"/>
    <w:rsid w:val="001A06BD"/>
    <w:rsid w:val="001A23E4"/>
    <w:rsid w:val="001A281B"/>
    <w:rsid w:val="001A3011"/>
    <w:rsid w:val="001A48E7"/>
    <w:rsid w:val="001A73CD"/>
    <w:rsid w:val="001B06E1"/>
    <w:rsid w:val="001B1619"/>
    <w:rsid w:val="001B187B"/>
    <w:rsid w:val="001B3C11"/>
    <w:rsid w:val="001B3DA1"/>
    <w:rsid w:val="001B3FEC"/>
    <w:rsid w:val="001B49A0"/>
    <w:rsid w:val="001B5300"/>
    <w:rsid w:val="001B65B3"/>
    <w:rsid w:val="001B6878"/>
    <w:rsid w:val="001B6DC2"/>
    <w:rsid w:val="001C0AB8"/>
    <w:rsid w:val="001C187F"/>
    <w:rsid w:val="001C27F3"/>
    <w:rsid w:val="001C3567"/>
    <w:rsid w:val="001C360A"/>
    <w:rsid w:val="001C4522"/>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7CF"/>
    <w:rsid w:val="002229AD"/>
    <w:rsid w:val="00224258"/>
    <w:rsid w:val="00224AEE"/>
    <w:rsid w:val="00225FF4"/>
    <w:rsid w:val="00230A13"/>
    <w:rsid w:val="002331C6"/>
    <w:rsid w:val="00234155"/>
    <w:rsid w:val="00236B76"/>
    <w:rsid w:val="002408EA"/>
    <w:rsid w:val="00241410"/>
    <w:rsid w:val="002549B2"/>
    <w:rsid w:val="002563DF"/>
    <w:rsid w:val="0026014A"/>
    <w:rsid w:val="0026108E"/>
    <w:rsid w:val="002614ED"/>
    <w:rsid w:val="00265142"/>
    <w:rsid w:val="00266AA6"/>
    <w:rsid w:val="00266B50"/>
    <w:rsid w:val="002673F6"/>
    <w:rsid w:val="00270605"/>
    <w:rsid w:val="00270A7E"/>
    <w:rsid w:val="00271804"/>
    <w:rsid w:val="00271857"/>
    <w:rsid w:val="00276AC9"/>
    <w:rsid w:val="00277ED2"/>
    <w:rsid w:val="00280F8A"/>
    <w:rsid w:val="00286537"/>
    <w:rsid w:val="00286C3A"/>
    <w:rsid w:val="00287467"/>
    <w:rsid w:val="00291A5B"/>
    <w:rsid w:val="00292B2C"/>
    <w:rsid w:val="0029330E"/>
    <w:rsid w:val="00296E2E"/>
    <w:rsid w:val="00297DD2"/>
    <w:rsid w:val="002A5503"/>
    <w:rsid w:val="002A6812"/>
    <w:rsid w:val="002A7339"/>
    <w:rsid w:val="002A7A24"/>
    <w:rsid w:val="002B565A"/>
    <w:rsid w:val="002B6B94"/>
    <w:rsid w:val="002B71D2"/>
    <w:rsid w:val="002C1A7E"/>
    <w:rsid w:val="002C2893"/>
    <w:rsid w:val="002C292E"/>
    <w:rsid w:val="002C3718"/>
    <w:rsid w:val="002C3E1B"/>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2C3"/>
    <w:rsid w:val="002E13A4"/>
    <w:rsid w:val="002E16BA"/>
    <w:rsid w:val="002E74F1"/>
    <w:rsid w:val="002F09C1"/>
    <w:rsid w:val="002F13B0"/>
    <w:rsid w:val="002F2EEF"/>
    <w:rsid w:val="002F3E31"/>
    <w:rsid w:val="002F4114"/>
    <w:rsid w:val="002F58D0"/>
    <w:rsid w:val="002F67D9"/>
    <w:rsid w:val="002F69F1"/>
    <w:rsid w:val="002F70E7"/>
    <w:rsid w:val="003015B5"/>
    <w:rsid w:val="0030244C"/>
    <w:rsid w:val="003030A7"/>
    <w:rsid w:val="003034B4"/>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AE2"/>
    <w:rsid w:val="00330EED"/>
    <w:rsid w:val="00331B26"/>
    <w:rsid w:val="003351B7"/>
    <w:rsid w:val="0033631A"/>
    <w:rsid w:val="00336946"/>
    <w:rsid w:val="003406AB"/>
    <w:rsid w:val="00340D15"/>
    <w:rsid w:val="00341BA8"/>
    <w:rsid w:val="00342B4A"/>
    <w:rsid w:val="00343A77"/>
    <w:rsid w:val="00344166"/>
    <w:rsid w:val="00346B57"/>
    <w:rsid w:val="00347EDE"/>
    <w:rsid w:val="00351FA4"/>
    <w:rsid w:val="00351FDE"/>
    <w:rsid w:val="003524BA"/>
    <w:rsid w:val="00352FD0"/>
    <w:rsid w:val="00354D09"/>
    <w:rsid w:val="00355BED"/>
    <w:rsid w:val="00355D1D"/>
    <w:rsid w:val="0035645A"/>
    <w:rsid w:val="00357C1E"/>
    <w:rsid w:val="003604C3"/>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F61"/>
    <w:rsid w:val="003A66EC"/>
    <w:rsid w:val="003A7F51"/>
    <w:rsid w:val="003B0286"/>
    <w:rsid w:val="003B091A"/>
    <w:rsid w:val="003B1213"/>
    <w:rsid w:val="003B18D0"/>
    <w:rsid w:val="003B1C33"/>
    <w:rsid w:val="003B254D"/>
    <w:rsid w:val="003B298F"/>
    <w:rsid w:val="003B69AA"/>
    <w:rsid w:val="003C0832"/>
    <w:rsid w:val="003C3023"/>
    <w:rsid w:val="003C39D1"/>
    <w:rsid w:val="003C7AAF"/>
    <w:rsid w:val="003C7B7D"/>
    <w:rsid w:val="003D0656"/>
    <w:rsid w:val="003D2D5E"/>
    <w:rsid w:val="003D497C"/>
    <w:rsid w:val="003D52EA"/>
    <w:rsid w:val="003D566D"/>
    <w:rsid w:val="003D58F7"/>
    <w:rsid w:val="003D5BF8"/>
    <w:rsid w:val="003D5D5A"/>
    <w:rsid w:val="003D6018"/>
    <w:rsid w:val="003E0602"/>
    <w:rsid w:val="003E0BD4"/>
    <w:rsid w:val="003E12B1"/>
    <w:rsid w:val="003E1787"/>
    <w:rsid w:val="003E22FC"/>
    <w:rsid w:val="003E56E9"/>
    <w:rsid w:val="003E63B2"/>
    <w:rsid w:val="003F0EB9"/>
    <w:rsid w:val="003F17B1"/>
    <w:rsid w:val="003F2EC0"/>
    <w:rsid w:val="003F40D1"/>
    <w:rsid w:val="003F42F7"/>
    <w:rsid w:val="003F4970"/>
    <w:rsid w:val="003F540E"/>
    <w:rsid w:val="003F694A"/>
    <w:rsid w:val="003F7CE6"/>
    <w:rsid w:val="003F7D78"/>
    <w:rsid w:val="00405B03"/>
    <w:rsid w:val="00405FDF"/>
    <w:rsid w:val="0040687B"/>
    <w:rsid w:val="004068EA"/>
    <w:rsid w:val="004075B6"/>
    <w:rsid w:val="00410E4D"/>
    <w:rsid w:val="00411C38"/>
    <w:rsid w:val="0041238E"/>
    <w:rsid w:val="0041453C"/>
    <w:rsid w:val="00414A37"/>
    <w:rsid w:val="004150FB"/>
    <w:rsid w:val="00420952"/>
    <w:rsid w:val="00421F5C"/>
    <w:rsid w:val="00422E2D"/>
    <w:rsid w:val="004231E3"/>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2E86"/>
    <w:rsid w:val="00496B1E"/>
    <w:rsid w:val="00497AD3"/>
    <w:rsid w:val="004A00C4"/>
    <w:rsid w:val="004A13E2"/>
    <w:rsid w:val="004A1FB6"/>
    <w:rsid w:val="004A237B"/>
    <w:rsid w:val="004A517E"/>
    <w:rsid w:val="004A664D"/>
    <w:rsid w:val="004B03F9"/>
    <w:rsid w:val="004B1325"/>
    <w:rsid w:val="004B4360"/>
    <w:rsid w:val="004B5F89"/>
    <w:rsid w:val="004B686A"/>
    <w:rsid w:val="004B688D"/>
    <w:rsid w:val="004B7792"/>
    <w:rsid w:val="004C101D"/>
    <w:rsid w:val="004C3670"/>
    <w:rsid w:val="004C3BFD"/>
    <w:rsid w:val="004C4427"/>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27C91"/>
    <w:rsid w:val="0053197A"/>
    <w:rsid w:val="00533AF9"/>
    <w:rsid w:val="005343E1"/>
    <w:rsid w:val="005353CB"/>
    <w:rsid w:val="00535CCD"/>
    <w:rsid w:val="00541952"/>
    <w:rsid w:val="00545970"/>
    <w:rsid w:val="00550783"/>
    <w:rsid w:val="005508EE"/>
    <w:rsid w:val="005536FB"/>
    <w:rsid w:val="00555784"/>
    <w:rsid w:val="00555CC8"/>
    <w:rsid w:val="00556B58"/>
    <w:rsid w:val="005577FA"/>
    <w:rsid w:val="0056425E"/>
    <w:rsid w:val="00565745"/>
    <w:rsid w:val="00566FFF"/>
    <w:rsid w:val="0056705D"/>
    <w:rsid w:val="00570D51"/>
    <w:rsid w:val="00571370"/>
    <w:rsid w:val="00574D9B"/>
    <w:rsid w:val="00575207"/>
    <w:rsid w:val="00577C83"/>
    <w:rsid w:val="00580FF4"/>
    <w:rsid w:val="00583913"/>
    <w:rsid w:val="005842A7"/>
    <w:rsid w:val="00584C95"/>
    <w:rsid w:val="00584CC9"/>
    <w:rsid w:val="00585C10"/>
    <w:rsid w:val="00585FCF"/>
    <w:rsid w:val="005860B1"/>
    <w:rsid w:val="00586210"/>
    <w:rsid w:val="00586316"/>
    <w:rsid w:val="00590E29"/>
    <w:rsid w:val="005935C0"/>
    <w:rsid w:val="0059377C"/>
    <w:rsid w:val="00596607"/>
    <w:rsid w:val="005A014D"/>
    <w:rsid w:val="005A188D"/>
    <w:rsid w:val="005A1A5C"/>
    <w:rsid w:val="005A4AD8"/>
    <w:rsid w:val="005A50D3"/>
    <w:rsid w:val="005A576F"/>
    <w:rsid w:val="005A64F3"/>
    <w:rsid w:val="005A6AB3"/>
    <w:rsid w:val="005B0095"/>
    <w:rsid w:val="005B11C4"/>
    <w:rsid w:val="005B5C8B"/>
    <w:rsid w:val="005B6D38"/>
    <w:rsid w:val="005B73E7"/>
    <w:rsid w:val="005C05E1"/>
    <w:rsid w:val="005C3893"/>
    <w:rsid w:val="005C5E41"/>
    <w:rsid w:val="005C7982"/>
    <w:rsid w:val="005C79D9"/>
    <w:rsid w:val="005C7BF2"/>
    <w:rsid w:val="005C7DB5"/>
    <w:rsid w:val="005D15B9"/>
    <w:rsid w:val="005D1E0A"/>
    <w:rsid w:val="005D352A"/>
    <w:rsid w:val="005D4C95"/>
    <w:rsid w:val="005E0AC1"/>
    <w:rsid w:val="005E437F"/>
    <w:rsid w:val="005E58ED"/>
    <w:rsid w:val="005E62A7"/>
    <w:rsid w:val="005E6B30"/>
    <w:rsid w:val="005F25FD"/>
    <w:rsid w:val="005F3989"/>
    <w:rsid w:val="005F3C5C"/>
    <w:rsid w:val="005F50DD"/>
    <w:rsid w:val="005F5AFD"/>
    <w:rsid w:val="005F6BB8"/>
    <w:rsid w:val="005F6F0A"/>
    <w:rsid w:val="005F7681"/>
    <w:rsid w:val="00601291"/>
    <w:rsid w:val="0060351B"/>
    <w:rsid w:val="00607959"/>
    <w:rsid w:val="0061221F"/>
    <w:rsid w:val="0061325F"/>
    <w:rsid w:val="00614078"/>
    <w:rsid w:val="00614D70"/>
    <w:rsid w:val="006150A0"/>
    <w:rsid w:val="0062228B"/>
    <w:rsid w:val="00624430"/>
    <w:rsid w:val="00625979"/>
    <w:rsid w:val="00625AEE"/>
    <w:rsid w:val="00627687"/>
    <w:rsid w:val="006276D1"/>
    <w:rsid w:val="006279C2"/>
    <w:rsid w:val="00637F2A"/>
    <w:rsid w:val="00642C45"/>
    <w:rsid w:val="0064313B"/>
    <w:rsid w:val="006434DF"/>
    <w:rsid w:val="0064604F"/>
    <w:rsid w:val="00650B2E"/>
    <w:rsid w:val="00651D20"/>
    <w:rsid w:val="006523CB"/>
    <w:rsid w:val="0065348A"/>
    <w:rsid w:val="006557A6"/>
    <w:rsid w:val="00657C65"/>
    <w:rsid w:val="00662036"/>
    <w:rsid w:val="006635D1"/>
    <w:rsid w:val="006639FD"/>
    <w:rsid w:val="00664F8F"/>
    <w:rsid w:val="00666A4E"/>
    <w:rsid w:val="00667C21"/>
    <w:rsid w:val="00667CFA"/>
    <w:rsid w:val="00670FFB"/>
    <w:rsid w:val="006775AB"/>
    <w:rsid w:val="006802CA"/>
    <w:rsid w:val="006802D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96B94"/>
    <w:rsid w:val="006A2C36"/>
    <w:rsid w:val="006A5C8E"/>
    <w:rsid w:val="006A5E06"/>
    <w:rsid w:val="006B17FD"/>
    <w:rsid w:val="006B44E2"/>
    <w:rsid w:val="006B5282"/>
    <w:rsid w:val="006C0C61"/>
    <w:rsid w:val="006C4E95"/>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4829"/>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6348"/>
    <w:rsid w:val="00736448"/>
    <w:rsid w:val="00736D41"/>
    <w:rsid w:val="00736E0A"/>
    <w:rsid w:val="00736FAC"/>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1CE"/>
    <w:rsid w:val="0076595B"/>
    <w:rsid w:val="007662E4"/>
    <w:rsid w:val="0076743A"/>
    <w:rsid w:val="00770B9A"/>
    <w:rsid w:val="007718E7"/>
    <w:rsid w:val="00777805"/>
    <w:rsid w:val="007813D2"/>
    <w:rsid w:val="007825BE"/>
    <w:rsid w:val="007831FB"/>
    <w:rsid w:val="007839C3"/>
    <w:rsid w:val="00783E53"/>
    <w:rsid w:val="00785266"/>
    <w:rsid w:val="00785616"/>
    <w:rsid w:val="00787BB6"/>
    <w:rsid w:val="007910D0"/>
    <w:rsid w:val="00791BB8"/>
    <w:rsid w:val="00792D69"/>
    <w:rsid w:val="007969DF"/>
    <w:rsid w:val="00796B64"/>
    <w:rsid w:val="0079772A"/>
    <w:rsid w:val="007977F2"/>
    <w:rsid w:val="007A67D6"/>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38C4"/>
    <w:rsid w:val="007E4F40"/>
    <w:rsid w:val="007E6A87"/>
    <w:rsid w:val="007E78BD"/>
    <w:rsid w:val="007F14A6"/>
    <w:rsid w:val="007F2358"/>
    <w:rsid w:val="007F71A5"/>
    <w:rsid w:val="007F744E"/>
    <w:rsid w:val="007F7F72"/>
    <w:rsid w:val="008010D5"/>
    <w:rsid w:val="0080217C"/>
    <w:rsid w:val="00802828"/>
    <w:rsid w:val="0080288C"/>
    <w:rsid w:val="00803C23"/>
    <w:rsid w:val="0080417F"/>
    <w:rsid w:val="00804466"/>
    <w:rsid w:val="00806468"/>
    <w:rsid w:val="0080696B"/>
    <w:rsid w:val="00806DBE"/>
    <w:rsid w:val="00807FF1"/>
    <w:rsid w:val="008100D4"/>
    <w:rsid w:val="00810C89"/>
    <w:rsid w:val="008137AD"/>
    <w:rsid w:val="008138B2"/>
    <w:rsid w:val="00813C4A"/>
    <w:rsid w:val="00815862"/>
    <w:rsid w:val="00817C3D"/>
    <w:rsid w:val="00820118"/>
    <w:rsid w:val="00821660"/>
    <w:rsid w:val="00822301"/>
    <w:rsid w:val="00822F81"/>
    <w:rsid w:val="008258F6"/>
    <w:rsid w:val="00826926"/>
    <w:rsid w:val="008274B0"/>
    <w:rsid w:val="0082752E"/>
    <w:rsid w:val="00827654"/>
    <w:rsid w:val="008318F6"/>
    <w:rsid w:val="0083313E"/>
    <w:rsid w:val="008331BB"/>
    <w:rsid w:val="008338B5"/>
    <w:rsid w:val="00833D43"/>
    <w:rsid w:val="00836EDE"/>
    <w:rsid w:val="00837C4E"/>
    <w:rsid w:val="00840FF7"/>
    <w:rsid w:val="00841169"/>
    <w:rsid w:val="00842A2C"/>
    <w:rsid w:val="00844032"/>
    <w:rsid w:val="008443D8"/>
    <w:rsid w:val="008445E7"/>
    <w:rsid w:val="0084718F"/>
    <w:rsid w:val="00847D3A"/>
    <w:rsid w:val="008549D8"/>
    <w:rsid w:val="00855549"/>
    <w:rsid w:val="0086032D"/>
    <w:rsid w:val="00861B3D"/>
    <w:rsid w:val="00862425"/>
    <w:rsid w:val="00862879"/>
    <w:rsid w:val="00865CE7"/>
    <w:rsid w:val="0086701C"/>
    <w:rsid w:val="00867262"/>
    <w:rsid w:val="00870BDD"/>
    <w:rsid w:val="00871785"/>
    <w:rsid w:val="008717F1"/>
    <w:rsid w:val="00871D7E"/>
    <w:rsid w:val="008741E9"/>
    <w:rsid w:val="00876D05"/>
    <w:rsid w:val="00876F5C"/>
    <w:rsid w:val="00880A23"/>
    <w:rsid w:val="00880ED3"/>
    <w:rsid w:val="00883721"/>
    <w:rsid w:val="00890137"/>
    <w:rsid w:val="008904D0"/>
    <w:rsid w:val="008924E3"/>
    <w:rsid w:val="0089270D"/>
    <w:rsid w:val="008A1DAE"/>
    <w:rsid w:val="008A247E"/>
    <w:rsid w:val="008A2C2A"/>
    <w:rsid w:val="008A35A2"/>
    <w:rsid w:val="008A3D62"/>
    <w:rsid w:val="008A6605"/>
    <w:rsid w:val="008A6A0C"/>
    <w:rsid w:val="008B05F7"/>
    <w:rsid w:val="008B183A"/>
    <w:rsid w:val="008B4B98"/>
    <w:rsid w:val="008C183F"/>
    <w:rsid w:val="008C1C95"/>
    <w:rsid w:val="008C34AD"/>
    <w:rsid w:val="008C3D9F"/>
    <w:rsid w:val="008C4122"/>
    <w:rsid w:val="008C669E"/>
    <w:rsid w:val="008C7562"/>
    <w:rsid w:val="008D2A77"/>
    <w:rsid w:val="008D2EC9"/>
    <w:rsid w:val="008D4098"/>
    <w:rsid w:val="008D62F8"/>
    <w:rsid w:val="008D652E"/>
    <w:rsid w:val="008D6A3E"/>
    <w:rsid w:val="008E1B3C"/>
    <w:rsid w:val="008E4419"/>
    <w:rsid w:val="008E53F9"/>
    <w:rsid w:val="008E56A4"/>
    <w:rsid w:val="008E5BA8"/>
    <w:rsid w:val="008E664D"/>
    <w:rsid w:val="008E6FCA"/>
    <w:rsid w:val="008F2FAE"/>
    <w:rsid w:val="008F4B70"/>
    <w:rsid w:val="008F4E22"/>
    <w:rsid w:val="008F4ED3"/>
    <w:rsid w:val="008F61C4"/>
    <w:rsid w:val="009019A9"/>
    <w:rsid w:val="009024D7"/>
    <w:rsid w:val="00904368"/>
    <w:rsid w:val="00904953"/>
    <w:rsid w:val="009052F5"/>
    <w:rsid w:val="009072F7"/>
    <w:rsid w:val="00907BFE"/>
    <w:rsid w:val="00907C13"/>
    <w:rsid w:val="00907DF5"/>
    <w:rsid w:val="00910C1F"/>
    <w:rsid w:val="00911263"/>
    <w:rsid w:val="0091321D"/>
    <w:rsid w:val="0091391C"/>
    <w:rsid w:val="00913E52"/>
    <w:rsid w:val="00916CED"/>
    <w:rsid w:val="00917909"/>
    <w:rsid w:val="00917D07"/>
    <w:rsid w:val="0092006B"/>
    <w:rsid w:val="0092122F"/>
    <w:rsid w:val="009225D9"/>
    <w:rsid w:val="0092393F"/>
    <w:rsid w:val="0092431B"/>
    <w:rsid w:val="00925F15"/>
    <w:rsid w:val="0092757A"/>
    <w:rsid w:val="00930715"/>
    <w:rsid w:val="0093101C"/>
    <w:rsid w:val="0093543E"/>
    <w:rsid w:val="00935C42"/>
    <w:rsid w:val="00937E8B"/>
    <w:rsid w:val="00940156"/>
    <w:rsid w:val="009460E7"/>
    <w:rsid w:val="00947FDB"/>
    <w:rsid w:val="00952219"/>
    <w:rsid w:val="009539B0"/>
    <w:rsid w:val="009543A4"/>
    <w:rsid w:val="00955F17"/>
    <w:rsid w:val="009562D0"/>
    <w:rsid w:val="00957124"/>
    <w:rsid w:val="00960B9B"/>
    <w:rsid w:val="00960CC3"/>
    <w:rsid w:val="00961685"/>
    <w:rsid w:val="0096180D"/>
    <w:rsid w:val="00961E3B"/>
    <w:rsid w:val="00962360"/>
    <w:rsid w:val="009669AD"/>
    <w:rsid w:val="00966EB0"/>
    <w:rsid w:val="00970115"/>
    <w:rsid w:val="00972945"/>
    <w:rsid w:val="00973C64"/>
    <w:rsid w:val="00974384"/>
    <w:rsid w:val="00974D81"/>
    <w:rsid w:val="00976903"/>
    <w:rsid w:val="00977F9C"/>
    <w:rsid w:val="00980802"/>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68"/>
    <w:rsid w:val="009A3F7F"/>
    <w:rsid w:val="009A4775"/>
    <w:rsid w:val="009A4811"/>
    <w:rsid w:val="009A618A"/>
    <w:rsid w:val="009A75C4"/>
    <w:rsid w:val="009B0897"/>
    <w:rsid w:val="009B276A"/>
    <w:rsid w:val="009B3223"/>
    <w:rsid w:val="009B4063"/>
    <w:rsid w:val="009B52E5"/>
    <w:rsid w:val="009B5C5F"/>
    <w:rsid w:val="009B6FBD"/>
    <w:rsid w:val="009C0968"/>
    <w:rsid w:val="009C1354"/>
    <w:rsid w:val="009C3C0C"/>
    <w:rsid w:val="009C3CDC"/>
    <w:rsid w:val="009C5ADA"/>
    <w:rsid w:val="009C6214"/>
    <w:rsid w:val="009C77BF"/>
    <w:rsid w:val="009D01D8"/>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69AB"/>
    <w:rsid w:val="00A07644"/>
    <w:rsid w:val="00A11761"/>
    <w:rsid w:val="00A11ECD"/>
    <w:rsid w:val="00A12BE0"/>
    <w:rsid w:val="00A137EF"/>
    <w:rsid w:val="00A144F8"/>
    <w:rsid w:val="00A1592C"/>
    <w:rsid w:val="00A15A1F"/>
    <w:rsid w:val="00A162F8"/>
    <w:rsid w:val="00A16F4B"/>
    <w:rsid w:val="00A17B57"/>
    <w:rsid w:val="00A240EE"/>
    <w:rsid w:val="00A25B7F"/>
    <w:rsid w:val="00A26129"/>
    <w:rsid w:val="00A264CE"/>
    <w:rsid w:val="00A3050E"/>
    <w:rsid w:val="00A305B3"/>
    <w:rsid w:val="00A32C40"/>
    <w:rsid w:val="00A3325A"/>
    <w:rsid w:val="00A356D3"/>
    <w:rsid w:val="00A4094A"/>
    <w:rsid w:val="00A426BE"/>
    <w:rsid w:val="00A526EF"/>
    <w:rsid w:val="00A53E97"/>
    <w:rsid w:val="00A54F81"/>
    <w:rsid w:val="00A60794"/>
    <w:rsid w:val="00A60EF8"/>
    <w:rsid w:val="00A611CE"/>
    <w:rsid w:val="00A614C6"/>
    <w:rsid w:val="00A7018B"/>
    <w:rsid w:val="00A70A7A"/>
    <w:rsid w:val="00A71410"/>
    <w:rsid w:val="00A74AE2"/>
    <w:rsid w:val="00A756BB"/>
    <w:rsid w:val="00A77B63"/>
    <w:rsid w:val="00A80975"/>
    <w:rsid w:val="00A80F87"/>
    <w:rsid w:val="00A8249A"/>
    <w:rsid w:val="00A85968"/>
    <w:rsid w:val="00A866E2"/>
    <w:rsid w:val="00A8707E"/>
    <w:rsid w:val="00A879B5"/>
    <w:rsid w:val="00A90FB2"/>
    <w:rsid w:val="00A922F5"/>
    <w:rsid w:val="00A9270F"/>
    <w:rsid w:val="00A96317"/>
    <w:rsid w:val="00A9690E"/>
    <w:rsid w:val="00A9779D"/>
    <w:rsid w:val="00A977CC"/>
    <w:rsid w:val="00AA12E4"/>
    <w:rsid w:val="00AA23FC"/>
    <w:rsid w:val="00AA276F"/>
    <w:rsid w:val="00AA32D3"/>
    <w:rsid w:val="00AA38F8"/>
    <w:rsid w:val="00AA4327"/>
    <w:rsid w:val="00AA5CBC"/>
    <w:rsid w:val="00AA74EB"/>
    <w:rsid w:val="00AA7A0F"/>
    <w:rsid w:val="00AB09A9"/>
    <w:rsid w:val="00AB1172"/>
    <w:rsid w:val="00AB1BBA"/>
    <w:rsid w:val="00AB3D08"/>
    <w:rsid w:val="00AB487A"/>
    <w:rsid w:val="00AB5614"/>
    <w:rsid w:val="00AB744E"/>
    <w:rsid w:val="00AC2019"/>
    <w:rsid w:val="00AC2382"/>
    <w:rsid w:val="00AC63A6"/>
    <w:rsid w:val="00AC6BCC"/>
    <w:rsid w:val="00AC7C93"/>
    <w:rsid w:val="00AD09F8"/>
    <w:rsid w:val="00AD23FF"/>
    <w:rsid w:val="00AD3BCE"/>
    <w:rsid w:val="00AD56B1"/>
    <w:rsid w:val="00AD7CB3"/>
    <w:rsid w:val="00AE0661"/>
    <w:rsid w:val="00AE22A6"/>
    <w:rsid w:val="00AE38DB"/>
    <w:rsid w:val="00AE495F"/>
    <w:rsid w:val="00AE537D"/>
    <w:rsid w:val="00AE5576"/>
    <w:rsid w:val="00AE5854"/>
    <w:rsid w:val="00AE76CB"/>
    <w:rsid w:val="00AF108A"/>
    <w:rsid w:val="00AF10F5"/>
    <w:rsid w:val="00AF1393"/>
    <w:rsid w:val="00AF27B4"/>
    <w:rsid w:val="00AF3244"/>
    <w:rsid w:val="00AF325C"/>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0293"/>
    <w:rsid w:val="00B22A36"/>
    <w:rsid w:val="00B26240"/>
    <w:rsid w:val="00B265EB"/>
    <w:rsid w:val="00B27031"/>
    <w:rsid w:val="00B3062B"/>
    <w:rsid w:val="00B307EC"/>
    <w:rsid w:val="00B32429"/>
    <w:rsid w:val="00B32F72"/>
    <w:rsid w:val="00B341DA"/>
    <w:rsid w:val="00B411F6"/>
    <w:rsid w:val="00B44CE2"/>
    <w:rsid w:val="00B453BB"/>
    <w:rsid w:val="00B50B39"/>
    <w:rsid w:val="00B53A23"/>
    <w:rsid w:val="00B54BE5"/>
    <w:rsid w:val="00B55D4E"/>
    <w:rsid w:val="00B570F4"/>
    <w:rsid w:val="00B57BE4"/>
    <w:rsid w:val="00B61C0F"/>
    <w:rsid w:val="00B67460"/>
    <w:rsid w:val="00B67A85"/>
    <w:rsid w:val="00B70575"/>
    <w:rsid w:val="00B70FFB"/>
    <w:rsid w:val="00B712E5"/>
    <w:rsid w:val="00B72513"/>
    <w:rsid w:val="00B73B73"/>
    <w:rsid w:val="00B77084"/>
    <w:rsid w:val="00B80DC7"/>
    <w:rsid w:val="00B8205D"/>
    <w:rsid w:val="00B8239B"/>
    <w:rsid w:val="00B82774"/>
    <w:rsid w:val="00B82F65"/>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1615"/>
    <w:rsid w:val="00BB4718"/>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117C"/>
    <w:rsid w:val="00BE2BC8"/>
    <w:rsid w:val="00BE387B"/>
    <w:rsid w:val="00BE3EE2"/>
    <w:rsid w:val="00BE5835"/>
    <w:rsid w:val="00BE5D71"/>
    <w:rsid w:val="00BE7D2D"/>
    <w:rsid w:val="00BF0116"/>
    <w:rsid w:val="00BF1474"/>
    <w:rsid w:val="00BF24FE"/>
    <w:rsid w:val="00BF28F7"/>
    <w:rsid w:val="00BF3372"/>
    <w:rsid w:val="00BF3B0A"/>
    <w:rsid w:val="00BF4B06"/>
    <w:rsid w:val="00BF4D18"/>
    <w:rsid w:val="00BF4F57"/>
    <w:rsid w:val="00BF54C1"/>
    <w:rsid w:val="00BF5BDB"/>
    <w:rsid w:val="00BF6528"/>
    <w:rsid w:val="00BF7FE0"/>
    <w:rsid w:val="00C0050E"/>
    <w:rsid w:val="00C026AC"/>
    <w:rsid w:val="00C030B2"/>
    <w:rsid w:val="00C039C9"/>
    <w:rsid w:val="00C0570D"/>
    <w:rsid w:val="00C130C8"/>
    <w:rsid w:val="00C13168"/>
    <w:rsid w:val="00C139D6"/>
    <w:rsid w:val="00C13F60"/>
    <w:rsid w:val="00C14404"/>
    <w:rsid w:val="00C15AA5"/>
    <w:rsid w:val="00C17D6A"/>
    <w:rsid w:val="00C203C9"/>
    <w:rsid w:val="00C21BA1"/>
    <w:rsid w:val="00C22E43"/>
    <w:rsid w:val="00C23238"/>
    <w:rsid w:val="00C235DF"/>
    <w:rsid w:val="00C2539E"/>
    <w:rsid w:val="00C278DE"/>
    <w:rsid w:val="00C2796B"/>
    <w:rsid w:val="00C3004B"/>
    <w:rsid w:val="00C31F4C"/>
    <w:rsid w:val="00C3209A"/>
    <w:rsid w:val="00C321A1"/>
    <w:rsid w:val="00C32ADC"/>
    <w:rsid w:val="00C35755"/>
    <w:rsid w:val="00C42E13"/>
    <w:rsid w:val="00C4427F"/>
    <w:rsid w:val="00C47DDE"/>
    <w:rsid w:val="00C50912"/>
    <w:rsid w:val="00C50FF0"/>
    <w:rsid w:val="00C53EA1"/>
    <w:rsid w:val="00C56073"/>
    <w:rsid w:val="00C578C1"/>
    <w:rsid w:val="00C57E04"/>
    <w:rsid w:val="00C623D7"/>
    <w:rsid w:val="00C63347"/>
    <w:rsid w:val="00C64D23"/>
    <w:rsid w:val="00C67B74"/>
    <w:rsid w:val="00C7123A"/>
    <w:rsid w:val="00C7128F"/>
    <w:rsid w:val="00C71666"/>
    <w:rsid w:val="00C71D8A"/>
    <w:rsid w:val="00C7331B"/>
    <w:rsid w:val="00C74667"/>
    <w:rsid w:val="00C74D07"/>
    <w:rsid w:val="00C803FD"/>
    <w:rsid w:val="00C80EB4"/>
    <w:rsid w:val="00C8156F"/>
    <w:rsid w:val="00C842FD"/>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39BF"/>
    <w:rsid w:val="00CD5502"/>
    <w:rsid w:val="00CE0526"/>
    <w:rsid w:val="00CE0DBB"/>
    <w:rsid w:val="00CE1ED9"/>
    <w:rsid w:val="00CE3665"/>
    <w:rsid w:val="00CE4F42"/>
    <w:rsid w:val="00CF0BB4"/>
    <w:rsid w:val="00CF1333"/>
    <w:rsid w:val="00CF1BB4"/>
    <w:rsid w:val="00CF2345"/>
    <w:rsid w:val="00CF2FF8"/>
    <w:rsid w:val="00CF3F6B"/>
    <w:rsid w:val="00CF4851"/>
    <w:rsid w:val="00CF58B7"/>
    <w:rsid w:val="00CF5DD6"/>
    <w:rsid w:val="00D0069F"/>
    <w:rsid w:val="00D007C0"/>
    <w:rsid w:val="00D05493"/>
    <w:rsid w:val="00D10C49"/>
    <w:rsid w:val="00D11C27"/>
    <w:rsid w:val="00D13EFE"/>
    <w:rsid w:val="00D148D5"/>
    <w:rsid w:val="00D16E6A"/>
    <w:rsid w:val="00D172EA"/>
    <w:rsid w:val="00D1792B"/>
    <w:rsid w:val="00D224A1"/>
    <w:rsid w:val="00D2279D"/>
    <w:rsid w:val="00D26D78"/>
    <w:rsid w:val="00D2772A"/>
    <w:rsid w:val="00D33FC2"/>
    <w:rsid w:val="00D349ED"/>
    <w:rsid w:val="00D351C1"/>
    <w:rsid w:val="00D35E64"/>
    <w:rsid w:val="00D36CA3"/>
    <w:rsid w:val="00D41537"/>
    <w:rsid w:val="00D4249C"/>
    <w:rsid w:val="00D428BC"/>
    <w:rsid w:val="00D44776"/>
    <w:rsid w:val="00D44CE7"/>
    <w:rsid w:val="00D45804"/>
    <w:rsid w:val="00D4637E"/>
    <w:rsid w:val="00D46BC7"/>
    <w:rsid w:val="00D46C37"/>
    <w:rsid w:val="00D47082"/>
    <w:rsid w:val="00D474AA"/>
    <w:rsid w:val="00D51245"/>
    <w:rsid w:val="00D532B8"/>
    <w:rsid w:val="00D54B6F"/>
    <w:rsid w:val="00D54E73"/>
    <w:rsid w:val="00D575A3"/>
    <w:rsid w:val="00D613A6"/>
    <w:rsid w:val="00D617A6"/>
    <w:rsid w:val="00D650EA"/>
    <w:rsid w:val="00D72C40"/>
    <w:rsid w:val="00D737C5"/>
    <w:rsid w:val="00D73835"/>
    <w:rsid w:val="00D74DD6"/>
    <w:rsid w:val="00D76F5A"/>
    <w:rsid w:val="00D7722A"/>
    <w:rsid w:val="00D80B1B"/>
    <w:rsid w:val="00D82293"/>
    <w:rsid w:val="00D8405B"/>
    <w:rsid w:val="00D84B5B"/>
    <w:rsid w:val="00D84E7D"/>
    <w:rsid w:val="00D86BF0"/>
    <w:rsid w:val="00D86DCB"/>
    <w:rsid w:val="00D91BA1"/>
    <w:rsid w:val="00D939B7"/>
    <w:rsid w:val="00D950D8"/>
    <w:rsid w:val="00D95477"/>
    <w:rsid w:val="00D961B8"/>
    <w:rsid w:val="00D9743E"/>
    <w:rsid w:val="00DA1511"/>
    <w:rsid w:val="00DA6FB8"/>
    <w:rsid w:val="00DA744D"/>
    <w:rsid w:val="00DA777A"/>
    <w:rsid w:val="00DB0188"/>
    <w:rsid w:val="00DB26A8"/>
    <w:rsid w:val="00DB3C58"/>
    <w:rsid w:val="00DB4F9F"/>
    <w:rsid w:val="00DB5586"/>
    <w:rsid w:val="00DB5728"/>
    <w:rsid w:val="00DB5AE0"/>
    <w:rsid w:val="00DB5CA4"/>
    <w:rsid w:val="00DB6161"/>
    <w:rsid w:val="00DB65B9"/>
    <w:rsid w:val="00DB70FB"/>
    <w:rsid w:val="00DC0CD5"/>
    <w:rsid w:val="00DC2220"/>
    <w:rsid w:val="00DC334D"/>
    <w:rsid w:val="00DC6AAD"/>
    <w:rsid w:val="00DE165D"/>
    <w:rsid w:val="00DE22E2"/>
    <w:rsid w:val="00DE2FD7"/>
    <w:rsid w:val="00DE4558"/>
    <w:rsid w:val="00DE45A3"/>
    <w:rsid w:val="00DE466D"/>
    <w:rsid w:val="00DE53B8"/>
    <w:rsid w:val="00DE5EE7"/>
    <w:rsid w:val="00DF1EC1"/>
    <w:rsid w:val="00DF343E"/>
    <w:rsid w:val="00DF67C3"/>
    <w:rsid w:val="00DF6CEB"/>
    <w:rsid w:val="00E0098A"/>
    <w:rsid w:val="00E009D9"/>
    <w:rsid w:val="00E020CD"/>
    <w:rsid w:val="00E031A5"/>
    <w:rsid w:val="00E03F71"/>
    <w:rsid w:val="00E045EE"/>
    <w:rsid w:val="00E06ED0"/>
    <w:rsid w:val="00E1082D"/>
    <w:rsid w:val="00E130CB"/>
    <w:rsid w:val="00E14934"/>
    <w:rsid w:val="00E172BE"/>
    <w:rsid w:val="00E1774C"/>
    <w:rsid w:val="00E2160E"/>
    <w:rsid w:val="00E24E02"/>
    <w:rsid w:val="00E25895"/>
    <w:rsid w:val="00E30CA9"/>
    <w:rsid w:val="00E3368A"/>
    <w:rsid w:val="00E34A3D"/>
    <w:rsid w:val="00E34A54"/>
    <w:rsid w:val="00E405E1"/>
    <w:rsid w:val="00E408AB"/>
    <w:rsid w:val="00E41E68"/>
    <w:rsid w:val="00E43B2D"/>
    <w:rsid w:val="00E44C53"/>
    <w:rsid w:val="00E460A6"/>
    <w:rsid w:val="00E50CB6"/>
    <w:rsid w:val="00E51920"/>
    <w:rsid w:val="00E53A58"/>
    <w:rsid w:val="00E542FA"/>
    <w:rsid w:val="00E54D26"/>
    <w:rsid w:val="00E620CC"/>
    <w:rsid w:val="00E63ADD"/>
    <w:rsid w:val="00E63C13"/>
    <w:rsid w:val="00E64120"/>
    <w:rsid w:val="00E65FA3"/>
    <w:rsid w:val="00E678CB"/>
    <w:rsid w:val="00E67D1E"/>
    <w:rsid w:val="00E67D7F"/>
    <w:rsid w:val="00E707FD"/>
    <w:rsid w:val="00E70901"/>
    <w:rsid w:val="00E710D7"/>
    <w:rsid w:val="00E71348"/>
    <w:rsid w:val="00E71657"/>
    <w:rsid w:val="00E72103"/>
    <w:rsid w:val="00E745BB"/>
    <w:rsid w:val="00E8010A"/>
    <w:rsid w:val="00E8229C"/>
    <w:rsid w:val="00E836E5"/>
    <w:rsid w:val="00E838B8"/>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098F"/>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1F0D"/>
    <w:rsid w:val="00F75046"/>
    <w:rsid w:val="00F7531F"/>
    <w:rsid w:val="00F762D8"/>
    <w:rsid w:val="00F7721E"/>
    <w:rsid w:val="00F77823"/>
    <w:rsid w:val="00F77FD4"/>
    <w:rsid w:val="00F81C15"/>
    <w:rsid w:val="00F82391"/>
    <w:rsid w:val="00F8333E"/>
    <w:rsid w:val="00F858CA"/>
    <w:rsid w:val="00F87E9D"/>
    <w:rsid w:val="00F9034E"/>
    <w:rsid w:val="00F90CBA"/>
    <w:rsid w:val="00F916DC"/>
    <w:rsid w:val="00F94BD6"/>
    <w:rsid w:val="00F958CC"/>
    <w:rsid w:val="00FA464E"/>
    <w:rsid w:val="00FA60EE"/>
    <w:rsid w:val="00FB2379"/>
    <w:rsid w:val="00FB25E5"/>
    <w:rsid w:val="00FB3848"/>
    <w:rsid w:val="00FB5293"/>
    <w:rsid w:val="00FB5446"/>
    <w:rsid w:val="00FC0D46"/>
    <w:rsid w:val="00FC10ED"/>
    <w:rsid w:val="00FC1841"/>
    <w:rsid w:val="00FC2271"/>
    <w:rsid w:val="00FC2D11"/>
    <w:rsid w:val="00FC2F95"/>
    <w:rsid w:val="00FC373B"/>
    <w:rsid w:val="00FC3BC3"/>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807">
      <w:bodyDiv w:val="1"/>
      <w:marLeft w:val="0"/>
      <w:marRight w:val="0"/>
      <w:marTop w:val="0"/>
      <w:marBottom w:val="0"/>
      <w:divBdr>
        <w:top w:val="none" w:sz="0" w:space="0" w:color="auto"/>
        <w:left w:val="none" w:sz="0" w:space="0" w:color="auto"/>
        <w:bottom w:val="none" w:sz="0" w:space="0" w:color="auto"/>
        <w:right w:val="none" w:sz="0" w:space="0" w:color="auto"/>
      </w:divBdr>
    </w:div>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45188021">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37385404">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493300188">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46573498">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50363525">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360084984">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35165886">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diabetic-eye" TargetMode="External"/><Relationship Id="rId13" Type="http://schemas.openxmlformats.org/officeDocument/2006/relationships/hyperlink" Target="https://www.nice.org.uk/guidance/ng18" TargetMode="External"/><Relationship Id="rId18" Type="http://schemas.openxmlformats.org/officeDocument/2006/relationships/hyperlink" Target="https://www.gov.uk/government/publications/nhs-screening-programmes-kpi-reports-2019-to-2020" TargetMode="External"/><Relationship Id="rId3" Type="http://schemas.openxmlformats.org/officeDocument/2006/relationships/styles" Target="styles.xml"/><Relationship Id="rId21" Type="http://schemas.openxmlformats.org/officeDocument/2006/relationships/hyperlink" Target="https://www.gov.uk/government/collections/diabetic-eye-screening-commission-and-provide" TargetMode="External"/><Relationship Id="rId7" Type="http://schemas.openxmlformats.org/officeDocument/2006/relationships/endnotes" Target="endnotes.xml"/><Relationship Id="rId12" Type="http://schemas.openxmlformats.org/officeDocument/2006/relationships/hyperlink" Target="https://www.nice.org.uk/guidance/ng28" TargetMode="External"/><Relationship Id="rId17" Type="http://schemas.openxmlformats.org/officeDocument/2006/relationships/hyperlink" Target="https://www.gov.uk/government/publications/diabetic-eye-screening-submit-key-performance-indicator-data" TargetMode="External"/><Relationship Id="rId2" Type="http://schemas.openxmlformats.org/officeDocument/2006/relationships/numbering" Target="numbering.xml"/><Relationship Id="rId16" Type="http://schemas.openxmlformats.org/officeDocument/2006/relationships/hyperlink" Target="https://www.gov.uk/topic/population-screening-programmes/diabetic-eye" TargetMode="External"/><Relationship Id="rId20" Type="http://schemas.openxmlformats.org/officeDocument/2006/relationships/hyperlink" Target="https://www.gov.uk/government/publications/diabetic-eye-screening-programme-standards/diabetic-eye-screening-standards-valid-for-data-collected-from-1-april-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diabetic-eye-screening-2016-to-2017-data" TargetMode="External"/><Relationship Id="rId23" Type="http://schemas.openxmlformats.org/officeDocument/2006/relationships/fontTable" Target="fontTable.xml"/><Relationship Id="rId10" Type="http://schemas.openxmlformats.org/officeDocument/2006/relationships/hyperlink" Target="https://www.longtermplan.nhs.uk/" TargetMode="External"/><Relationship Id="rId19" Type="http://schemas.openxmlformats.org/officeDocument/2006/relationships/hyperlink" Target="https://assets.publishing.service.gov.uk/government/uploads/system/uploads/attachment_data/file/653733/ANNB_PSOM.pdf" TargetMode="External"/><Relationship Id="rId4" Type="http://schemas.openxmlformats.org/officeDocument/2006/relationships/settings" Target="settings.xml"/><Relationship Id="rId9" Type="http://schemas.openxmlformats.org/officeDocument/2006/relationships/hyperlink" Target="https://www.gov.uk/guidance/nhs-population-screening-explained" TargetMode="External"/><Relationship Id="rId14" Type="http://schemas.openxmlformats.org/officeDocument/2006/relationships/hyperlink" Target="https://www.gov.uk/government/publications/diabetic-eye-screening-screening-exclusions-and-suspensions-and-managing-ungradable-imag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A8B5-3809-4B73-ABE9-63C052CD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5682</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2021-08-18T11:12:00Z</dcterms:created>
  <dcterms:modified xsi:type="dcterms:W3CDTF">2021-08-25T13:44:00Z</dcterms:modified>
</cp:coreProperties>
</file>