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9543" w14:textId="77777777" w:rsidR="00E202F5" w:rsidRPr="006E3D8B" w:rsidRDefault="00E202F5" w:rsidP="006E3D8B">
      <w:pPr>
        <w:pStyle w:val="Title"/>
      </w:pPr>
      <w:r w:rsidRPr="006E3D8B">
        <w:t xml:space="preserve">NATIONAL INSTITUTE FOR HEALTH AND </w:t>
      </w:r>
      <w:r w:rsidR="00A547C9" w:rsidRPr="006E3D8B">
        <w:t>CARE</w:t>
      </w:r>
      <w:r w:rsidRPr="006E3D8B">
        <w:t xml:space="preserve"> EXCELLENCE</w:t>
      </w:r>
    </w:p>
    <w:p w14:paraId="139CFF1D" w14:textId="3F22FA78" w:rsidR="00E202F5" w:rsidRPr="00794DA0" w:rsidRDefault="00697B97" w:rsidP="00AB1EE7">
      <w:pPr>
        <w:pStyle w:val="Heading1"/>
        <w:jc w:val="center"/>
      </w:pPr>
      <w:r w:rsidRPr="00697B97">
        <w:t xml:space="preserve">NICE </w:t>
      </w:r>
      <w:r w:rsidR="00126C3F">
        <w:t>indicator guidance</w:t>
      </w:r>
    </w:p>
    <w:p w14:paraId="47C90B13" w14:textId="78063700" w:rsidR="00B8026E" w:rsidRDefault="00B8026E" w:rsidP="00EE354D">
      <w:pPr>
        <w:pStyle w:val="Paragraph"/>
      </w:pPr>
      <w:r>
        <w:t>Date first published on NICE menu:</w:t>
      </w:r>
      <w:r w:rsidR="00DF637B">
        <w:t xml:space="preserve"> </w:t>
      </w:r>
      <w:r w:rsidR="0099220F">
        <w:t>August 2021</w:t>
      </w:r>
    </w:p>
    <w:p w14:paraId="06BAB3FE" w14:textId="497EB8DD" w:rsidR="00B8026E" w:rsidRPr="00126C3F" w:rsidRDefault="00B8026E" w:rsidP="00EE354D">
      <w:pPr>
        <w:pStyle w:val="Paragraph"/>
        <w:rPr>
          <w:b/>
        </w:rPr>
      </w:pPr>
      <w:r>
        <w:t>Last update</w:t>
      </w:r>
      <w:r w:rsidRPr="00FC2E03">
        <w:t xml:space="preserve">: </w:t>
      </w:r>
      <w:r w:rsidR="00DF637B" w:rsidRPr="00FC2E03">
        <w:t xml:space="preserve">N/A </w:t>
      </w:r>
    </w:p>
    <w:p w14:paraId="6107852F" w14:textId="40D3B137" w:rsidR="006F0A86" w:rsidRPr="006E3D8B" w:rsidRDefault="006F0A86" w:rsidP="00AB1EE7">
      <w:pPr>
        <w:pStyle w:val="Heading2"/>
        <w:rPr>
          <w:iCs w:val="0"/>
        </w:rPr>
      </w:pPr>
      <w:r w:rsidRPr="006E3D8B">
        <w:rPr>
          <w:iCs w:val="0"/>
        </w:rPr>
        <w:t xml:space="preserve">Indicator </w:t>
      </w:r>
      <w:r w:rsidR="0099220F" w:rsidRPr="006E3D8B">
        <w:rPr>
          <w:iCs w:val="0"/>
        </w:rPr>
        <w:t>CCG92</w:t>
      </w:r>
    </w:p>
    <w:p w14:paraId="0A6C169D" w14:textId="54F7AB6E" w:rsidR="00611A1D" w:rsidRPr="00611A1D" w:rsidRDefault="00D054E4" w:rsidP="00611A1D">
      <w:pPr>
        <w:pStyle w:val="Paragraph"/>
      </w:pPr>
      <w:r>
        <w:t xml:space="preserve">The proportion of patients with ST-segment elevation myocardial infarction (STEMI) </w:t>
      </w:r>
      <w:r w:rsidR="00243B9E">
        <w:t xml:space="preserve">who had </w:t>
      </w:r>
      <w:r w:rsidR="009240AF">
        <w:t>balloon inflation</w:t>
      </w:r>
      <w:r w:rsidR="00243B9E">
        <w:t xml:space="preserve"> for primary </w:t>
      </w:r>
      <w:r w:rsidR="00723B07">
        <w:t>percutaneous coronary intervention (PCI)</w:t>
      </w:r>
      <w:r w:rsidR="00243B9E">
        <w:t xml:space="preserve"> in </w:t>
      </w:r>
      <w:r w:rsidR="009240AF">
        <w:t xml:space="preserve">less than </w:t>
      </w:r>
      <w:r w:rsidR="00243B9E">
        <w:t xml:space="preserve">60 minutes from time of </w:t>
      </w:r>
      <w:r w:rsidR="009240AF">
        <w:t>admission</w:t>
      </w:r>
      <w:r w:rsidR="00243B9E">
        <w:t xml:space="preserve"> at a centre with </w:t>
      </w:r>
      <w:r w:rsidR="00723B07">
        <w:t>primary PCI</w:t>
      </w:r>
      <w:r w:rsidR="00243B9E">
        <w:t xml:space="preserve"> facilities.</w:t>
      </w:r>
    </w:p>
    <w:p w14:paraId="18778417" w14:textId="333A8E39" w:rsidR="00806B97" w:rsidRDefault="00806B97" w:rsidP="00AB1EE7">
      <w:pPr>
        <w:pStyle w:val="Heading2"/>
      </w:pPr>
      <w:r w:rsidRPr="00806B97">
        <w:t xml:space="preserve">Indicator type </w:t>
      </w:r>
    </w:p>
    <w:p w14:paraId="7C80C1AF" w14:textId="0CF44038" w:rsidR="001C31E9" w:rsidRPr="00F6535D" w:rsidRDefault="001C31E9" w:rsidP="00F6535D">
      <w:pPr>
        <w:pStyle w:val="Paragraph"/>
      </w:pPr>
      <w:r w:rsidRPr="00D054E4">
        <w:t>Clinical commissioning group indicator</w:t>
      </w:r>
      <w:r w:rsidR="00435C3B" w:rsidRPr="00D054E4">
        <w:t>.</w:t>
      </w:r>
    </w:p>
    <w:p w14:paraId="5CBA37E8" w14:textId="6F58C6BE" w:rsidR="006F0A86" w:rsidRDefault="006F0A86" w:rsidP="00AB1EE7">
      <w:pPr>
        <w:pStyle w:val="Heading2"/>
        <w:rPr>
          <w:i/>
        </w:rPr>
      </w:pPr>
      <w:r w:rsidRPr="00011273">
        <w:t>Rationale</w:t>
      </w:r>
    </w:p>
    <w:p w14:paraId="43B05D7A" w14:textId="781ED853" w:rsidR="009240AF" w:rsidRDefault="009240AF" w:rsidP="009240AF">
      <w:pPr>
        <w:pStyle w:val="Paragraph"/>
      </w:pPr>
      <w:r w:rsidRPr="009240AF">
        <w:t xml:space="preserve">All patients with ST-segment elevation myocardial infarction (STEMI) presenting 12 hours or less after onset of symptoms should undergo coronary reperfusion therapy. </w:t>
      </w:r>
      <w:bookmarkStart w:id="0" w:name="_Hlk80273691"/>
      <w:r w:rsidR="007F661A">
        <w:t xml:space="preserve">Heart muscle starts to be lost once a coronary artery is blocked and the sooner reperfusion therapy is delivered the better the outcome for the patient. </w:t>
      </w:r>
      <w:bookmarkEnd w:id="0"/>
      <w:r w:rsidRPr="009240AF">
        <w:t>Coronary angiography with follow-on p</w:t>
      </w:r>
      <w:r w:rsidR="00723B07">
        <w:t xml:space="preserve">rimary </w:t>
      </w:r>
      <w:r w:rsidRPr="009240AF">
        <w:t>PCI is the preferred reperfusion strategy for people with STEMI if it can be delivered within 120 minutes of the time when fibrinolysis could have been given.</w:t>
      </w:r>
      <w:r w:rsidR="00706E2B">
        <w:t xml:space="preserve"> The </w:t>
      </w:r>
      <w:hyperlink r:id="rId7" w:history="1">
        <w:r w:rsidR="007C5B68" w:rsidRPr="007C5B68">
          <w:rPr>
            <w:rStyle w:val="Hyperlink"/>
          </w:rPr>
          <w:t>National</w:t>
        </w:r>
        <w:r w:rsidR="00706E2B" w:rsidRPr="007C5B68">
          <w:rPr>
            <w:rStyle w:val="Hyperlink"/>
          </w:rPr>
          <w:t xml:space="preserve"> Audit of </w:t>
        </w:r>
        <w:r w:rsidR="007C5B68" w:rsidRPr="007C5B68">
          <w:rPr>
            <w:rStyle w:val="Hyperlink"/>
          </w:rPr>
          <w:t>P</w:t>
        </w:r>
        <w:r w:rsidR="00706E2B" w:rsidRPr="007C5B68">
          <w:rPr>
            <w:rStyle w:val="Hyperlink"/>
          </w:rPr>
          <w:t xml:space="preserve">ercutaneous </w:t>
        </w:r>
        <w:r w:rsidR="007C5B68" w:rsidRPr="007C5B68">
          <w:rPr>
            <w:rStyle w:val="Hyperlink"/>
          </w:rPr>
          <w:t>C</w:t>
        </w:r>
        <w:r w:rsidR="00706E2B" w:rsidRPr="007C5B68">
          <w:rPr>
            <w:rStyle w:val="Hyperlink"/>
          </w:rPr>
          <w:t xml:space="preserve">oronary </w:t>
        </w:r>
        <w:r w:rsidR="007C5B68" w:rsidRPr="007C5B68">
          <w:rPr>
            <w:rStyle w:val="Hyperlink"/>
          </w:rPr>
          <w:t>I</w:t>
        </w:r>
        <w:r w:rsidR="00706E2B" w:rsidRPr="007C5B68">
          <w:rPr>
            <w:rStyle w:val="Hyperlink"/>
          </w:rPr>
          <w:t>ntervention</w:t>
        </w:r>
      </w:hyperlink>
      <w:r w:rsidR="00706E2B">
        <w:t xml:space="preserve"> </w:t>
      </w:r>
      <w:r w:rsidR="007C5B68">
        <w:t>(2020) references the</w:t>
      </w:r>
      <w:r w:rsidR="00706E2B">
        <w:t xml:space="preserve"> British Cardiovascular Intervention Society position statement </w:t>
      </w:r>
      <w:r w:rsidR="007C5B68">
        <w:t>that</w:t>
      </w:r>
      <w:r w:rsidR="00706E2B">
        <w:t xml:space="preserve"> at least 75% of all patients should have a door to balloon time of less than 60 minutes.</w:t>
      </w:r>
    </w:p>
    <w:p w14:paraId="69D4A75D" w14:textId="1F1354FE" w:rsidR="00D141B1" w:rsidRPr="00AB1EE7" w:rsidRDefault="00D141B1" w:rsidP="00AB1EE7">
      <w:pPr>
        <w:pStyle w:val="Heading2"/>
      </w:pPr>
      <w:r w:rsidRPr="006E3D8B">
        <w:rPr>
          <w:rStyle w:val="Heading1Char"/>
          <w:b/>
          <w:bCs/>
          <w:kern w:val="0"/>
          <w:szCs w:val="28"/>
        </w:rPr>
        <w:t>Source guidance</w:t>
      </w:r>
      <w:r w:rsidRPr="006E3D8B">
        <w:t xml:space="preserve"> </w:t>
      </w:r>
    </w:p>
    <w:p w14:paraId="3575616B" w14:textId="35568113" w:rsidR="00D054E4" w:rsidRDefault="00AB1EE7" w:rsidP="00EE354D">
      <w:pPr>
        <w:pStyle w:val="Paragraph"/>
      </w:pPr>
      <w:hyperlink r:id="rId8" w:history="1">
        <w:r w:rsidR="00D054E4" w:rsidRPr="00D054E4">
          <w:rPr>
            <w:rStyle w:val="Hyperlink"/>
          </w:rPr>
          <w:t>Acute coronary syndromes. NICE guideline NG185</w:t>
        </w:r>
      </w:hyperlink>
      <w:r w:rsidR="00D054E4">
        <w:t xml:space="preserve"> (2020), recommendation 1.1.3.</w:t>
      </w:r>
    </w:p>
    <w:bookmarkStart w:id="1" w:name="_Hlk77249391"/>
    <w:p w14:paraId="52A292F6" w14:textId="40F54803" w:rsidR="006F6CFF" w:rsidRPr="006F6CFF" w:rsidRDefault="006F6CFF" w:rsidP="006F6CFF">
      <w:pPr>
        <w:pStyle w:val="Paragraph"/>
      </w:pPr>
      <w:r w:rsidRPr="006F6CFF">
        <w:rPr>
          <w:rStyle w:val="Hyperlink"/>
        </w:rPr>
        <w:lastRenderedPageBreak/>
        <w:fldChar w:fldCharType="begin"/>
      </w:r>
      <w:r w:rsidRPr="006F6CFF">
        <w:rPr>
          <w:rStyle w:val="Hyperlink"/>
        </w:rPr>
        <w:instrText xml:space="preserve"> HYPERLINK "https://www.escardio.org/Guidelines/Clinical-Practice-Guidelines/Acute-Myocardial-Infarction-in-patients-presenting-with-ST-segment-elevation-Ma" </w:instrText>
      </w:r>
      <w:r w:rsidRPr="006F6CFF">
        <w:rPr>
          <w:rStyle w:val="Hyperlink"/>
        </w:rPr>
        <w:fldChar w:fldCharType="separate"/>
      </w:r>
      <w:r w:rsidRPr="006F6CFF">
        <w:rPr>
          <w:rStyle w:val="Hyperlink"/>
        </w:rPr>
        <w:t>European Society of Cardiology. ESC Guidelines for the management of acute myocardial infarction in patients presenting with ST-segment elevation</w:t>
      </w:r>
      <w:r w:rsidRPr="006F6CFF">
        <w:rPr>
          <w:rStyle w:val="Hyperlink"/>
        </w:rPr>
        <w:fldChar w:fldCharType="end"/>
      </w:r>
      <w:r w:rsidRPr="006F6CFF">
        <w:t xml:space="preserve"> (2017)</w:t>
      </w:r>
      <w:bookmarkEnd w:id="1"/>
      <w:r>
        <w:t>.</w:t>
      </w:r>
    </w:p>
    <w:p w14:paraId="05AD89C4" w14:textId="77777777" w:rsidR="00D141B1" w:rsidRDefault="00D141B1" w:rsidP="00AB1EE7">
      <w:pPr>
        <w:pStyle w:val="Heading2"/>
      </w:pPr>
      <w:r>
        <w:t xml:space="preserve">Specification </w:t>
      </w:r>
    </w:p>
    <w:p w14:paraId="4B62A813" w14:textId="6752303A" w:rsidR="0009195D" w:rsidRDefault="00D141B1" w:rsidP="00EE354D">
      <w:pPr>
        <w:pStyle w:val="Paragraph"/>
      </w:pPr>
      <w:r>
        <w:t xml:space="preserve">Numerator: </w:t>
      </w:r>
      <w:r w:rsidR="00D054E4">
        <w:t xml:space="preserve">The number of patients in the denominator who </w:t>
      </w:r>
      <w:r w:rsidR="00723B07">
        <w:t>had balloon inflation for primary PCI in less than 60 minutes from admission at a centre with primary PCI facilities</w:t>
      </w:r>
      <w:r w:rsidR="00D054E4">
        <w:t>.</w:t>
      </w:r>
    </w:p>
    <w:p w14:paraId="06B62F8F" w14:textId="492648DA" w:rsidR="00D141B1" w:rsidRDefault="00D141B1" w:rsidP="00EE354D">
      <w:pPr>
        <w:pStyle w:val="Paragraph"/>
      </w:pPr>
      <w:r>
        <w:t>Denominator:</w:t>
      </w:r>
      <w:r w:rsidR="00D054E4">
        <w:t xml:space="preserve"> The number of patients with STEMI</w:t>
      </w:r>
      <w:r w:rsidR="009240AF">
        <w:t xml:space="preserve"> treated with </w:t>
      </w:r>
      <w:r w:rsidR="00723B07">
        <w:t>primary PCI.</w:t>
      </w:r>
    </w:p>
    <w:p w14:paraId="04501E11" w14:textId="6D10E7DB" w:rsidR="0009195D" w:rsidRDefault="0009195D" w:rsidP="00EE354D">
      <w:pPr>
        <w:pStyle w:val="Paragraph"/>
      </w:pPr>
      <w:r>
        <w:t>Calculation:</w:t>
      </w:r>
      <w:r w:rsidR="00D054E4">
        <w:t xml:space="preserve"> </w:t>
      </w:r>
      <w:r w:rsidRPr="00D054E4">
        <w:t>(Numerator/denominator)*100</w:t>
      </w:r>
    </w:p>
    <w:p w14:paraId="7EB6F4A8" w14:textId="77777777" w:rsidR="00DD1F1B" w:rsidRDefault="00D141B1" w:rsidP="00EE354D">
      <w:pPr>
        <w:pStyle w:val="Paragraph"/>
      </w:pPr>
      <w:r>
        <w:t xml:space="preserve">Exclusions: </w:t>
      </w:r>
    </w:p>
    <w:p w14:paraId="26D04752" w14:textId="1F4CE81D" w:rsidR="009277ED" w:rsidRDefault="009277ED" w:rsidP="009277ED">
      <w:pPr>
        <w:pStyle w:val="Bullets"/>
      </w:pPr>
      <w:r>
        <w:t xml:space="preserve">Patients who do not proceed to balloon inflation. </w:t>
      </w:r>
    </w:p>
    <w:p w14:paraId="64715369" w14:textId="7AB32244" w:rsidR="009277ED" w:rsidRDefault="009277ED" w:rsidP="009277ED">
      <w:pPr>
        <w:pStyle w:val="Paragraphnonumbers"/>
      </w:pPr>
      <w:r w:rsidRPr="009277ED">
        <w:t xml:space="preserve">The </w:t>
      </w:r>
      <w:hyperlink r:id="rId9" w:history="1">
        <w:r w:rsidRPr="009277ED">
          <w:rPr>
            <w:rStyle w:val="Hyperlink"/>
          </w:rPr>
          <w:t>percutaneous coronary interventions (PCI) dataset</w:t>
        </w:r>
      </w:hyperlink>
      <w:r w:rsidRPr="009277ED">
        <w:t xml:space="preserve"> details the following exclusions:</w:t>
      </w:r>
    </w:p>
    <w:p w14:paraId="3DF2FF32" w14:textId="77777777" w:rsidR="00DD1F1B" w:rsidRDefault="00706E2B" w:rsidP="00DD1F1B">
      <w:pPr>
        <w:pStyle w:val="Bullets"/>
      </w:pPr>
      <w:r>
        <w:t xml:space="preserve">Patients presenting in cardiogenic shock. </w:t>
      </w:r>
    </w:p>
    <w:p w14:paraId="3E7A8A79" w14:textId="77777777" w:rsidR="00DD1F1B" w:rsidRDefault="00706E2B" w:rsidP="00DD1F1B">
      <w:pPr>
        <w:pStyle w:val="Bullets"/>
      </w:pPr>
      <w:r>
        <w:t>Patients requiring pre-PCI ventilation.</w:t>
      </w:r>
      <w:r w:rsidR="00D4558E">
        <w:t xml:space="preserve"> </w:t>
      </w:r>
    </w:p>
    <w:p w14:paraId="0D2624A5" w14:textId="37AEE979" w:rsidR="009607DA" w:rsidRDefault="009607DA" w:rsidP="00EE354D">
      <w:pPr>
        <w:pStyle w:val="Paragraph"/>
      </w:pPr>
      <w:r>
        <w:t>Data</w:t>
      </w:r>
      <w:r w:rsidR="00B10E3B">
        <w:t xml:space="preserve"> </w:t>
      </w:r>
      <w:r>
        <w:t xml:space="preserve">source: </w:t>
      </w:r>
      <w:hyperlink r:id="rId10" w:history="1">
        <w:r w:rsidR="00706E2B" w:rsidRPr="00706E2B">
          <w:rPr>
            <w:rStyle w:val="Hyperlink"/>
          </w:rPr>
          <w:t>Percutaneous coronary interventions (PCI) dataset.</w:t>
        </w:r>
      </w:hyperlink>
    </w:p>
    <w:p w14:paraId="15239063" w14:textId="22807EB8" w:rsidR="00706451" w:rsidRPr="00D054E4" w:rsidRDefault="00706451" w:rsidP="00EE354D">
      <w:pPr>
        <w:pStyle w:val="Paragraph"/>
        <w:rPr>
          <w:highlight w:val="lightGray"/>
        </w:rPr>
      </w:pPr>
      <w:r>
        <w:t xml:space="preserve">Minimum population: </w:t>
      </w:r>
      <w:r w:rsidR="000D5395" w:rsidRPr="00D054E4">
        <w:t xml:space="preserve">The indicator would be appropriate </w:t>
      </w:r>
      <w:r w:rsidR="00391F4B" w:rsidRPr="00D054E4">
        <w:t>to assess performance of individual CCGs</w:t>
      </w:r>
      <w:r w:rsidR="000D5395" w:rsidRPr="00D054E4">
        <w:t>.</w:t>
      </w:r>
    </w:p>
    <w:p w14:paraId="129ECA00" w14:textId="65691789" w:rsidR="0009195D" w:rsidRPr="0009195D" w:rsidRDefault="0009195D" w:rsidP="00AB1EE7">
      <w:pPr>
        <w:pStyle w:val="Heading2"/>
      </w:pPr>
      <w:r w:rsidRPr="0009195D">
        <w:t>Further information</w:t>
      </w:r>
    </w:p>
    <w:p w14:paraId="70B822BC" w14:textId="297368CF" w:rsidR="0009195D" w:rsidRDefault="0009195D" w:rsidP="00EE354D">
      <w:pPr>
        <w:pStyle w:val="Paragraph"/>
      </w:pPr>
      <w:bookmarkStart w:id="2" w:name="_Hlk14183092"/>
      <w:r w:rsidRPr="0009195D">
        <w:t xml:space="preserve">This is NICE indicator guidance, which is part of the </w:t>
      </w:r>
      <w:hyperlink r:id="rId11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2"/>
    </w:p>
    <w:p w14:paraId="4B8886F8" w14:textId="07A96E55" w:rsidR="00373C6C" w:rsidRPr="0009195D" w:rsidRDefault="00373C6C" w:rsidP="00EE354D">
      <w:pPr>
        <w:pStyle w:val="Paragraph"/>
      </w:pPr>
      <w:r w:rsidRPr="00373C6C">
        <w:t>This indicator is based on hospital level indicators originally developed by the European Society of Cardiology (ESC) Acute Cardiovascular Care Association (ACCA).</w:t>
      </w:r>
    </w:p>
    <w:sectPr w:rsidR="00373C6C" w:rsidRPr="0009195D" w:rsidSect="003D61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Frutiger LT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7"/>
  </w:num>
  <w:num w:numId="27">
    <w:abstractNumId w:val="26"/>
  </w:num>
  <w:num w:numId="28">
    <w:abstractNumId w:val="29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8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1406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BF1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4C5A"/>
    <w:rsid w:val="00106C72"/>
    <w:rsid w:val="00107EDC"/>
    <w:rsid w:val="00110085"/>
    <w:rsid w:val="00111CCE"/>
    <w:rsid w:val="001134E7"/>
    <w:rsid w:val="00126C3F"/>
    <w:rsid w:val="00134509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25113"/>
    <w:rsid w:val="00232A20"/>
    <w:rsid w:val="002408EA"/>
    <w:rsid w:val="00243B9E"/>
    <w:rsid w:val="00245B12"/>
    <w:rsid w:val="00261E15"/>
    <w:rsid w:val="0026635F"/>
    <w:rsid w:val="00276273"/>
    <w:rsid w:val="002819D7"/>
    <w:rsid w:val="002826F0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C6C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35C3B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764EB"/>
    <w:rsid w:val="004834D6"/>
    <w:rsid w:val="004838C9"/>
    <w:rsid w:val="004963BB"/>
    <w:rsid w:val="00496A45"/>
    <w:rsid w:val="004A1A88"/>
    <w:rsid w:val="004A7B2D"/>
    <w:rsid w:val="004B7B45"/>
    <w:rsid w:val="004C4ABD"/>
    <w:rsid w:val="004C4C2D"/>
    <w:rsid w:val="004C6A5C"/>
    <w:rsid w:val="004D0D69"/>
    <w:rsid w:val="004E1F75"/>
    <w:rsid w:val="004E2A20"/>
    <w:rsid w:val="004E4974"/>
    <w:rsid w:val="004E68CA"/>
    <w:rsid w:val="004F27F5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63EF"/>
    <w:rsid w:val="005A6544"/>
    <w:rsid w:val="005A65B2"/>
    <w:rsid w:val="005B27BA"/>
    <w:rsid w:val="005B2BDD"/>
    <w:rsid w:val="005B3063"/>
    <w:rsid w:val="005B5E36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98D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092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71D4"/>
    <w:rsid w:val="006E3BEB"/>
    <w:rsid w:val="006E3D8B"/>
    <w:rsid w:val="006F0A86"/>
    <w:rsid w:val="006F3734"/>
    <w:rsid w:val="006F4B25"/>
    <w:rsid w:val="006F6CFF"/>
    <w:rsid w:val="00704765"/>
    <w:rsid w:val="0070511A"/>
    <w:rsid w:val="0070521F"/>
    <w:rsid w:val="00706451"/>
    <w:rsid w:val="00706E2B"/>
    <w:rsid w:val="00707ABC"/>
    <w:rsid w:val="00711FED"/>
    <w:rsid w:val="00717AC8"/>
    <w:rsid w:val="00720A6A"/>
    <w:rsid w:val="00723404"/>
    <w:rsid w:val="00723B07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5B68"/>
    <w:rsid w:val="007C6EDB"/>
    <w:rsid w:val="007D5B33"/>
    <w:rsid w:val="007E5A42"/>
    <w:rsid w:val="007E7021"/>
    <w:rsid w:val="007E7F51"/>
    <w:rsid w:val="007F5B50"/>
    <w:rsid w:val="007F661A"/>
    <w:rsid w:val="007F6A12"/>
    <w:rsid w:val="007F7022"/>
    <w:rsid w:val="007F7863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29AB"/>
    <w:rsid w:val="008341C5"/>
    <w:rsid w:val="008342B1"/>
    <w:rsid w:val="008355CB"/>
    <w:rsid w:val="00836C23"/>
    <w:rsid w:val="00850ED2"/>
    <w:rsid w:val="008541A5"/>
    <w:rsid w:val="00857BAA"/>
    <w:rsid w:val="00861B92"/>
    <w:rsid w:val="00870C1B"/>
    <w:rsid w:val="00873A86"/>
    <w:rsid w:val="008771EE"/>
    <w:rsid w:val="00881213"/>
    <w:rsid w:val="008814FB"/>
    <w:rsid w:val="00884895"/>
    <w:rsid w:val="00891C26"/>
    <w:rsid w:val="00893BF2"/>
    <w:rsid w:val="00897CBD"/>
    <w:rsid w:val="008A50EC"/>
    <w:rsid w:val="008A6036"/>
    <w:rsid w:val="008B5FAE"/>
    <w:rsid w:val="008C1650"/>
    <w:rsid w:val="008D36D5"/>
    <w:rsid w:val="008E09B9"/>
    <w:rsid w:val="008E6DAD"/>
    <w:rsid w:val="008E7A29"/>
    <w:rsid w:val="008F5E30"/>
    <w:rsid w:val="009018F5"/>
    <w:rsid w:val="009027D5"/>
    <w:rsid w:val="0090299C"/>
    <w:rsid w:val="00914D7F"/>
    <w:rsid w:val="0091747A"/>
    <w:rsid w:val="00922271"/>
    <w:rsid w:val="009233EA"/>
    <w:rsid w:val="009240AF"/>
    <w:rsid w:val="00926564"/>
    <w:rsid w:val="00926B7A"/>
    <w:rsid w:val="009277ED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220F"/>
    <w:rsid w:val="00993DD3"/>
    <w:rsid w:val="00994DDF"/>
    <w:rsid w:val="009A74EB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005A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1EE7"/>
    <w:rsid w:val="00AB2242"/>
    <w:rsid w:val="00AB3EE9"/>
    <w:rsid w:val="00AC39B9"/>
    <w:rsid w:val="00AC40E7"/>
    <w:rsid w:val="00AD1BA1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0E3B"/>
    <w:rsid w:val="00B15469"/>
    <w:rsid w:val="00B17B0B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4FA5"/>
    <w:rsid w:val="00BC6478"/>
    <w:rsid w:val="00BC73AA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58B7"/>
    <w:rsid w:val="00D00C6A"/>
    <w:rsid w:val="00D035AB"/>
    <w:rsid w:val="00D03BAC"/>
    <w:rsid w:val="00D054E4"/>
    <w:rsid w:val="00D05D63"/>
    <w:rsid w:val="00D10A48"/>
    <w:rsid w:val="00D1189B"/>
    <w:rsid w:val="00D12497"/>
    <w:rsid w:val="00D141B1"/>
    <w:rsid w:val="00D15E0F"/>
    <w:rsid w:val="00D16170"/>
    <w:rsid w:val="00D17456"/>
    <w:rsid w:val="00D20EBA"/>
    <w:rsid w:val="00D219AA"/>
    <w:rsid w:val="00D23D74"/>
    <w:rsid w:val="00D263CE"/>
    <w:rsid w:val="00D306D5"/>
    <w:rsid w:val="00D31042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558E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77154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1F1B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155CE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0DE7"/>
    <w:rsid w:val="00E74036"/>
    <w:rsid w:val="00E83609"/>
    <w:rsid w:val="00E84C88"/>
    <w:rsid w:val="00E86111"/>
    <w:rsid w:val="00E87113"/>
    <w:rsid w:val="00EA45ED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54D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2E03"/>
    <w:rsid w:val="00FC3A0E"/>
    <w:rsid w:val="00FC56C8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6E3D8B"/>
    <w:pPr>
      <w:keepNext/>
      <w:spacing w:before="240" w:after="60"/>
      <w:outlineLvl w:val="1"/>
    </w:pPr>
    <w:rPr>
      <w:rFonts w:ascii="Arial" w:hAnsi="Arial"/>
      <w:b/>
      <w:bCs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6E3D8B"/>
    <w:rPr>
      <w:rFonts w:ascii="Arial" w:hAnsi="Arial"/>
      <w:b/>
      <w:bCs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ng18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hqip.org.uk/resource/percutaneous-coronary-intervention-pci-2020-summary-repor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ce.org.uk/Standards-and-Indicators/index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nicor.org.uk/national-cardiac-audit-programme/datase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or.org.uk/national-cardiac-audit-programme/datase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2021-08-18T10:38:00Z</dcterms:created>
  <dcterms:modified xsi:type="dcterms:W3CDTF">2021-08-27T10:10:00Z</dcterms:modified>
</cp:coreProperties>
</file>