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363276">
      <w:pPr>
        <w:pStyle w:val="Title"/>
      </w:pPr>
      <w:bookmarkStart w:id="0" w:name="_Toc383595130"/>
      <w:r w:rsidRPr="00861C2E">
        <w:t>NATIONAL INSTITUTE FOR HEALTH AND CARE EXCELLENCE</w:t>
      </w:r>
      <w:bookmarkEnd w:id="0"/>
    </w:p>
    <w:p w14:paraId="6C6B43FC" w14:textId="2F3EF7E2" w:rsidR="00482C01" w:rsidRDefault="009B0E59" w:rsidP="00363276">
      <w:pPr>
        <w:pStyle w:val="Title"/>
      </w:pPr>
      <w:r>
        <w:t>NICE indicator v</w:t>
      </w:r>
      <w:r w:rsidR="00192B09">
        <w:t>alidity assessment</w:t>
      </w:r>
    </w:p>
    <w:p w14:paraId="451E70E0" w14:textId="2A3F179D" w:rsidR="000A3EBF" w:rsidRDefault="009B0E59" w:rsidP="000A3EBF">
      <w:pPr>
        <w:pStyle w:val="Heading3"/>
        <w:rPr>
          <w:lang w:eastAsia="en-GB"/>
        </w:rPr>
      </w:pPr>
      <w:r w:rsidRPr="009B0E59">
        <w:rPr>
          <w:lang w:eastAsia="en-GB"/>
        </w:rPr>
        <w:t xml:space="preserve">Indicator </w:t>
      </w:r>
      <w:r w:rsidR="003806C3">
        <w:rPr>
          <w:lang w:eastAsia="en-GB"/>
        </w:rPr>
        <w:t>CCG9</w:t>
      </w:r>
      <w:r w:rsidR="000A3EBF">
        <w:rPr>
          <w:lang w:eastAsia="en-GB"/>
        </w:rPr>
        <w:t>3</w:t>
      </w:r>
    </w:p>
    <w:p w14:paraId="021E67A1" w14:textId="44D9F1AF" w:rsidR="000A3EBF" w:rsidRDefault="000A3EBF" w:rsidP="000A3EBF">
      <w:pPr>
        <w:pStyle w:val="Paragraphnonumbers"/>
        <w:rPr>
          <w:lang w:eastAsia="en-GB"/>
        </w:rPr>
      </w:pPr>
      <w:r w:rsidRPr="000A3EBF">
        <w:rPr>
          <w:lang w:eastAsia="en-GB"/>
        </w:rPr>
        <w:t>The time between call for help and balloon inflation for patients with ST segment elevation myocardial infarction (STEMI) undergoing reperfusion by primary percutaneous coronary intervention</w:t>
      </w:r>
      <w:r>
        <w:rPr>
          <w:lang w:eastAsia="en-GB"/>
        </w:rPr>
        <w:t>.</w:t>
      </w:r>
    </w:p>
    <w:p w14:paraId="7C25BFBC" w14:textId="3B45DC3A" w:rsidR="007136A7" w:rsidRDefault="002338EB" w:rsidP="00363276">
      <w:pPr>
        <w:pStyle w:val="Heading3"/>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1"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6F338971" w14:textId="3D266CF4" w:rsidR="002338EB" w:rsidRPr="0086398D" w:rsidRDefault="002338EB" w:rsidP="0086398D">
            <w:pPr>
              <w:spacing w:before="120" w:after="120"/>
              <w:rPr>
                <w:rFonts w:ascii="Arial" w:hAnsi="Arial" w:cs="Arial"/>
                <w:sz w:val="22"/>
                <w:szCs w:val="22"/>
              </w:rPr>
            </w:pPr>
            <w:r w:rsidRPr="0086398D">
              <w:rPr>
                <w:rFonts w:ascii="Arial" w:hAnsi="Arial" w:cs="Arial"/>
                <w:sz w:val="22"/>
                <w:szCs w:val="22"/>
              </w:rPr>
              <w:t xml:space="preserve">The </w:t>
            </w:r>
            <w:hyperlink r:id="rId7" w:history="1">
              <w:r w:rsidRPr="0086398D">
                <w:rPr>
                  <w:rFonts w:ascii="Arial" w:hAnsi="Arial" w:cs="Arial"/>
                  <w:color w:val="0000FF"/>
                  <w:sz w:val="22"/>
                  <w:szCs w:val="22"/>
                  <w:u w:val="single"/>
                </w:rPr>
                <w:t>NHS Long Term Plan</w:t>
              </w:r>
            </w:hyperlink>
            <w:r w:rsidRPr="0086398D">
              <w:rPr>
                <w:rFonts w:ascii="Arial" w:hAnsi="Arial" w:cs="Arial"/>
                <w:sz w:val="22"/>
                <w:szCs w:val="22"/>
              </w:rPr>
              <w:t xml:space="preserve"> identifies cardiovascular disease as a clinical priority, and the single biggest condition where lives can be saved by the NHS over the next 10 years. </w:t>
            </w:r>
          </w:p>
        </w:tc>
        <w:tc>
          <w:tcPr>
            <w:tcW w:w="3118" w:type="dxa"/>
          </w:tcPr>
          <w:p w14:paraId="062E903B" w14:textId="19F53F68" w:rsidR="002338EB" w:rsidRPr="0086398D" w:rsidRDefault="002338EB" w:rsidP="0086398D">
            <w:pPr>
              <w:spacing w:before="120" w:after="120"/>
              <w:rPr>
                <w:rFonts w:ascii="Arial" w:hAnsi="Arial" w:cs="Arial"/>
                <w:sz w:val="22"/>
                <w:szCs w:val="22"/>
                <w:lang w:val="en-US"/>
              </w:rPr>
            </w:pPr>
            <w:r w:rsidRPr="0086398D">
              <w:rPr>
                <w:rFonts w:ascii="Arial" w:hAnsi="Arial" w:cs="Arial"/>
                <w:sz w:val="22"/>
                <w:szCs w:val="22"/>
                <w:lang w:val="en-US"/>
              </w:rPr>
              <w:t>The indicator reflects a specific priority area identified by NHS England.</w:t>
            </w:r>
          </w:p>
          <w:p w14:paraId="272CA0EC" w14:textId="77777777" w:rsidR="002338EB" w:rsidRPr="0086398D" w:rsidRDefault="002338EB" w:rsidP="0086398D">
            <w:pPr>
              <w:spacing w:before="120" w:after="120"/>
              <w:rPr>
                <w:rFonts w:ascii="Arial" w:hAnsi="Arial" w:cs="Arial"/>
                <w:sz w:val="22"/>
                <w:szCs w:val="22"/>
              </w:rPr>
            </w:pPr>
          </w:p>
        </w:tc>
      </w:tr>
      <w:tr w:rsidR="00735337" w14:paraId="2E2CE1C4" w14:textId="77777777" w:rsidTr="002338EB">
        <w:tc>
          <w:tcPr>
            <w:tcW w:w="5949" w:type="dxa"/>
          </w:tcPr>
          <w:p w14:paraId="58B7C6EE" w14:textId="44D0A219" w:rsidR="000A3EBF" w:rsidRDefault="00245A99" w:rsidP="0086398D">
            <w:pPr>
              <w:spacing w:before="120" w:after="120"/>
              <w:rPr>
                <w:rFonts w:ascii="Arial" w:hAnsi="Arial" w:cs="Arial"/>
                <w:sz w:val="22"/>
                <w:szCs w:val="22"/>
              </w:rPr>
            </w:pPr>
            <w:hyperlink r:id="rId8" w:history="1">
              <w:r w:rsidR="007F00CC" w:rsidRPr="007F00CC">
                <w:rPr>
                  <w:rStyle w:val="Hyperlink"/>
                  <w:rFonts w:ascii="Arial" w:hAnsi="Arial" w:cs="Arial"/>
                  <w:sz w:val="22"/>
                  <w:szCs w:val="22"/>
                </w:rPr>
                <w:t xml:space="preserve">Analysis of MINAP data by </w:t>
              </w:r>
              <w:r w:rsidR="001E665D" w:rsidRPr="007F00CC">
                <w:rPr>
                  <w:rStyle w:val="Hyperlink"/>
                  <w:rFonts w:ascii="Arial" w:hAnsi="Arial" w:cs="Arial"/>
                  <w:sz w:val="22"/>
                  <w:szCs w:val="22"/>
                </w:rPr>
                <w:t>Bebb</w:t>
              </w:r>
              <w:r w:rsidR="00763D8F" w:rsidRPr="007F00CC">
                <w:rPr>
                  <w:rStyle w:val="Hyperlink"/>
                  <w:rFonts w:ascii="Arial" w:hAnsi="Arial" w:cs="Arial"/>
                  <w:sz w:val="22"/>
                  <w:szCs w:val="22"/>
                </w:rPr>
                <w:t>, Hall</w:t>
              </w:r>
              <w:r w:rsidR="001E665D" w:rsidRPr="007F00CC">
                <w:rPr>
                  <w:rStyle w:val="Hyperlink"/>
                  <w:rFonts w:ascii="Arial" w:hAnsi="Arial" w:cs="Arial"/>
                  <w:sz w:val="22"/>
                  <w:szCs w:val="22"/>
                </w:rPr>
                <w:t xml:space="preserve"> et al</w:t>
              </w:r>
            </w:hyperlink>
            <w:r w:rsidR="00763D8F" w:rsidRPr="007F00CC">
              <w:rPr>
                <w:rFonts w:ascii="Arial" w:hAnsi="Arial" w:cs="Arial"/>
                <w:sz w:val="22"/>
                <w:szCs w:val="22"/>
              </w:rPr>
              <w:t>.</w:t>
            </w:r>
            <w:r w:rsidR="007F00CC">
              <w:rPr>
                <w:rFonts w:ascii="Arial" w:hAnsi="Arial" w:cs="Arial"/>
                <w:sz w:val="22"/>
                <w:szCs w:val="22"/>
              </w:rPr>
              <w:t xml:space="preserve"> </w:t>
            </w:r>
            <w:r w:rsidR="00763D8F" w:rsidRPr="007F00CC">
              <w:rPr>
                <w:rStyle w:val="Hyperlink"/>
                <w:rFonts w:ascii="Arial" w:hAnsi="Arial" w:cs="Arial"/>
                <w:color w:val="auto"/>
                <w:sz w:val="22"/>
                <w:szCs w:val="22"/>
                <w:u w:val="none"/>
              </w:rPr>
              <w:t>(2017)</w:t>
            </w:r>
            <w:r w:rsidR="001E665D" w:rsidRPr="007F00CC">
              <w:rPr>
                <w:rFonts w:ascii="Arial" w:hAnsi="Arial" w:cs="Arial"/>
                <w:sz w:val="22"/>
                <w:szCs w:val="22"/>
              </w:rPr>
              <w:t xml:space="preserve"> </w:t>
            </w:r>
            <w:r w:rsidR="000A3EBF" w:rsidRPr="000A3EBF">
              <w:rPr>
                <w:rFonts w:ascii="Arial" w:hAnsi="Arial" w:cs="Arial"/>
                <w:sz w:val="22"/>
                <w:szCs w:val="22"/>
              </w:rPr>
              <w:t xml:space="preserve">found that median time from diagnosis </w:t>
            </w:r>
            <w:r w:rsidR="000A3EBF">
              <w:rPr>
                <w:rFonts w:ascii="Arial" w:hAnsi="Arial" w:cs="Arial"/>
                <w:sz w:val="22"/>
                <w:szCs w:val="22"/>
              </w:rPr>
              <w:t xml:space="preserve">of STEMI </w:t>
            </w:r>
            <w:r w:rsidR="00494839">
              <w:rPr>
                <w:rFonts w:ascii="Arial" w:hAnsi="Arial" w:cs="Arial"/>
                <w:sz w:val="22"/>
                <w:szCs w:val="22"/>
              </w:rPr>
              <w:t xml:space="preserve">(first medical contact) </w:t>
            </w:r>
            <w:r w:rsidR="000A3EBF" w:rsidRPr="000A3EBF">
              <w:rPr>
                <w:rFonts w:ascii="Arial" w:hAnsi="Arial" w:cs="Arial"/>
                <w:sz w:val="22"/>
                <w:szCs w:val="22"/>
              </w:rPr>
              <w:t xml:space="preserve">to wire passage is 185 minutes (interquartile range (IQR) 135 – 284 minutes). Hospital </w:t>
            </w:r>
            <w:r w:rsidR="00494839">
              <w:rPr>
                <w:rFonts w:ascii="Arial" w:hAnsi="Arial" w:cs="Arial"/>
                <w:sz w:val="22"/>
                <w:szCs w:val="22"/>
              </w:rPr>
              <w:t>performance</w:t>
            </w:r>
            <w:r w:rsidR="000A3EBF" w:rsidRPr="000A3EBF">
              <w:rPr>
                <w:rFonts w:ascii="Arial" w:hAnsi="Arial" w:cs="Arial"/>
                <w:sz w:val="22"/>
                <w:szCs w:val="22"/>
              </w:rPr>
              <w:t xml:space="preserve"> showed a median of 1</w:t>
            </w:r>
            <w:r w:rsidR="00494839">
              <w:rPr>
                <w:rFonts w:ascii="Arial" w:hAnsi="Arial" w:cs="Arial"/>
                <w:sz w:val="22"/>
                <w:szCs w:val="22"/>
              </w:rPr>
              <w:t>8</w:t>
            </w:r>
            <w:r w:rsidR="000A3EBF" w:rsidRPr="000A3EBF">
              <w:rPr>
                <w:rFonts w:ascii="Arial" w:hAnsi="Arial" w:cs="Arial"/>
                <w:sz w:val="22"/>
                <w:szCs w:val="22"/>
              </w:rPr>
              <w:t>8 minutes (IQR 169.8 – 210 minutes).</w:t>
            </w:r>
          </w:p>
          <w:p w14:paraId="378D38FD" w14:textId="583497CA" w:rsidR="00735337" w:rsidRPr="0086398D" w:rsidRDefault="00245A99" w:rsidP="0086398D">
            <w:pPr>
              <w:spacing w:before="120" w:after="120"/>
              <w:rPr>
                <w:rFonts w:ascii="Arial" w:hAnsi="Arial" w:cs="Arial"/>
                <w:sz w:val="22"/>
                <w:szCs w:val="22"/>
                <w:highlight w:val="lightGray"/>
              </w:rPr>
            </w:pPr>
            <w:hyperlink r:id="rId9" w:anchor=".YR0TTHySncs" w:history="1">
              <w:r w:rsidR="001E665D" w:rsidRPr="000A3EBF">
                <w:rPr>
                  <w:rStyle w:val="Hyperlink"/>
                  <w:rFonts w:ascii="Arial" w:hAnsi="Arial" w:cs="Arial"/>
                  <w:sz w:val="22"/>
                  <w:szCs w:val="22"/>
                </w:rPr>
                <w:t>The MINAP summary report 20</w:t>
              </w:r>
              <w:r w:rsidR="007F00CC" w:rsidRPr="000A3EBF">
                <w:rPr>
                  <w:rStyle w:val="Hyperlink"/>
                  <w:rFonts w:ascii="Arial" w:hAnsi="Arial" w:cs="Arial"/>
                  <w:sz w:val="22"/>
                  <w:szCs w:val="22"/>
                </w:rPr>
                <w:t>20</w:t>
              </w:r>
            </w:hyperlink>
            <w:r w:rsidR="001E665D" w:rsidRPr="007F00CC">
              <w:rPr>
                <w:rFonts w:ascii="Arial" w:hAnsi="Arial" w:cs="Arial"/>
                <w:sz w:val="22"/>
                <w:szCs w:val="22"/>
              </w:rPr>
              <w:t xml:space="preserve"> reports that </w:t>
            </w:r>
            <w:r w:rsidR="000A3EBF">
              <w:rPr>
                <w:rFonts w:ascii="Arial" w:hAnsi="Arial" w:cs="Arial"/>
                <w:sz w:val="22"/>
                <w:szCs w:val="22"/>
              </w:rPr>
              <w:t>69% of hospitals provide primary PCI within 150 minutes of the call for help. 42% provide primary PCI within 120 minutes of call for help. The median call to balloon time is 125 minutes for England in 2018/19, increased from 117 minutes in 2015/26.</w:t>
            </w:r>
          </w:p>
        </w:tc>
        <w:tc>
          <w:tcPr>
            <w:tcW w:w="3118" w:type="dxa"/>
          </w:tcPr>
          <w:p w14:paraId="46DD3EED" w14:textId="77777777" w:rsidR="001E665D" w:rsidRPr="0086398D" w:rsidRDefault="001E665D" w:rsidP="0086398D">
            <w:pPr>
              <w:spacing w:before="120" w:after="120"/>
              <w:rPr>
                <w:rFonts w:ascii="Arial" w:hAnsi="Arial" w:cs="Arial"/>
                <w:color w:val="000000"/>
                <w:kern w:val="24"/>
                <w:sz w:val="22"/>
                <w:szCs w:val="22"/>
                <w:lang w:val="en-US"/>
              </w:rPr>
            </w:pPr>
            <w:r w:rsidRPr="0086398D">
              <w:rPr>
                <w:rFonts w:ascii="Arial" w:hAnsi="Arial" w:cs="Arial"/>
                <w:color w:val="000000"/>
                <w:kern w:val="24"/>
                <w:sz w:val="22"/>
                <w:szCs w:val="22"/>
                <w:lang w:val="en-US"/>
              </w:rPr>
              <w:t>The indicator relates to an area where there is known variation in practice.</w:t>
            </w:r>
          </w:p>
          <w:p w14:paraId="3FD01E72" w14:textId="30C3F77F" w:rsidR="00735337" w:rsidRPr="0086398D" w:rsidRDefault="001E665D" w:rsidP="0086398D">
            <w:pPr>
              <w:spacing w:before="120" w:after="120"/>
              <w:rPr>
                <w:rFonts w:ascii="Arial" w:hAnsi="Arial" w:cs="Arial"/>
                <w:sz w:val="22"/>
                <w:szCs w:val="22"/>
                <w:highlight w:val="lightGray"/>
              </w:rPr>
            </w:pPr>
            <w:r w:rsidRPr="0086398D">
              <w:rPr>
                <w:rFonts w:ascii="Arial" w:hAnsi="Arial" w:cs="Arial"/>
                <w:color w:val="000000"/>
                <w:kern w:val="24"/>
                <w:sz w:val="22"/>
                <w:szCs w:val="22"/>
                <w:lang w:val="en-US"/>
              </w:rPr>
              <w:t>The indicator addresses under-treatment.</w:t>
            </w:r>
          </w:p>
        </w:tc>
      </w:tr>
      <w:tr w:rsidR="00735337" w14:paraId="373D8AA4" w14:textId="77777777" w:rsidTr="002338EB">
        <w:tc>
          <w:tcPr>
            <w:tcW w:w="5949" w:type="dxa"/>
          </w:tcPr>
          <w:p w14:paraId="40A2EA38" w14:textId="6AD82B99" w:rsidR="00735337" w:rsidRPr="0086398D" w:rsidRDefault="00245A99" w:rsidP="0086398D">
            <w:pPr>
              <w:spacing w:before="120" w:after="120"/>
              <w:rPr>
                <w:rFonts w:ascii="Arial" w:hAnsi="Arial" w:cs="Arial"/>
                <w:sz w:val="22"/>
                <w:szCs w:val="22"/>
              </w:rPr>
            </w:pPr>
            <w:hyperlink r:id="rId10" w:history="1">
              <w:r w:rsidR="00763D8F" w:rsidRPr="00763D8F">
                <w:rPr>
                  <w:rStyle w:val="Hyperlink"/>
                  <w:rFonts w:ascii="Arial" w:hAnsi="Arial" w:cs="Arial"/>
                  <w:sz w:val="22"/>
                  <w:szCs w:val="22"/>
                </w:rPr>
                <w:t>The Acute Cardiovascular Care Association’s (ACCA) position paper on quality indicators for myocardial infarction</w:t>
              </w:r>
            </w:hyperlink>
            <w:r w:rsidR="00763D8F">
              <w:rPr>
                <w:rFonts w:ascii="Arial" w:hAnsi="Arial" w:cs="Arial"/>
                <w:sz w:val="22"/>
                <w:szCs w:val="22"/>
              </w:rPr>
              <w:t xml:space="preserve"> (2017)</w:t>
            </w:r>
            <w:r w:rsidR="00763D8F" w:rsidRPr="00763D8F">
              <w:rPr>
                <w:rFonts w:ascii="Arial" w:hAnsi="Arial" w:cs="Arial"/>
                <w:sz w:val="22"/>
                <w:szCs w:val="22"/>
              </w:rPr>
              <w:t xml:space="preserve"> writes that i</w:t>
            </w:r>
            <w:r w:rsidR="001E665D" w:rsidRPr="00763D8F">
              <w:rPr>
                <w:rFonts w:ascii="Arial" w:hAnsi="Arial" w:cs="Arial"/>
                <w:sz w:val="22"/>
                <w:szCs w:val="22"/>
              </w:rPr>
              <w:t>n patients with STEMI admitted during the first few hours after symptom onset, the choice of reperfusion strategy and the speed with which it is implemented have an impact on preserving myocardial function and improving long-term survival</w:t>
            </w:r>
            <w:r w:rsidR="00763D8F" w:rsidRPr="00763D8F">
              <w:rPr>
                <w:rFonts w:ascii="Arial" w:hAnsi="Arial" w:cs="Arial"/>
                <w:sz w:val="22"/>
                <w:szCs w:val="22"/>
              </w:rPr>
              <w:t>.</w:t>
            </w:r>
          </w:p>
        </w:tc>
        <w:tc>
          <w:tcPr>
            <w:tcW w:w="3118" w:type="dxa"/>
          </w:tcPr>
          <w:p w14:paraId="380FC230" w14:textId="77777777" w:rsidR="00735337" w:rsidRPr="0086398D" w:rsidRDefault="00735337" w:rsidP="0086398D">
            <w:pPr>
              <w:spacing w:before="120" w:after="120"/>
              <w:rPr>
                <w:rFonts w:ascii="Arial" w:hAnsi="Arial"/>
                <w:sz w:val="22"/>
                <w:szCs w:val="22"/>
                <w:lang w:val="en-US"/>
              </w:rPr>
            </w:pPr>
            <w:r w:rsidRPr="0086398D">
              <w:rPr>
                <w:rFonts w:ascii="Arial" w:hAnsi="Arial"/>
                <w:sz w:val="22"/>
                <w:szCs w:val="22"/>
                <w:lang w:val="en-US"/>
              </w:rPr>
              <w:t>The indicator will lead to a meaningful improvement in patient outcomes.</w:t>
            </w:r>
          </w:p>
          <w:p w14:paraId="45004AAC" w14:textId="77777777" w:rsidR="00735337" w:rsidRPr="0086398D" w:rsidRDefault="00735337" w:rsidP="0086398D">
            <w:pPr>
              <w:spacing w:before="120" w:after="120"/>
              <w:rPr>
                <w:rFonts w:ascii="Arial" w:hAnsi="Arial" w:cs="Arial"/>
                <w:color w:val="000000"/>
                <w:kern w:val="24"/>
                <w:sz w:val="22"/>
                <w:szCs w:val="22"/>
                <w:lang w:val="en-US"/>
              </w:rPr>
            </w:pPr>
          </w:p>
        </w:tc>
      </w:tr>
    </w:tbl>
    <w:bookmarkEnd w:id="1"/>
    <w:p w14:paraId="5BA69987" w14:textId="6FA6FB6E" w:rsidR="002338EB" w:rsidRDefault="002338EB" w:rsidP="00735337">
      <w:pPr>
        <w:pStyle w:val="Heading3"/>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rsidRPr="0086398D" w14:paraId="7862F909" w14:textId="77777777" w:rsidTr="001C517D">
        <w:tc>
          <w:tcPr>
            <w:tcW w:w="5949" w:type="dxa"/>
          </w:tcPr>
          <w:p w14:paraId="11FD5E6A" w14:textId="70A03F7E" w:rsidR="001E665D" w:rsidRPr="0086398D" w:rsidRDefault="00245A99" w:rsidP="0086398D">
            <w:pPr>
              <w:spacing w:before="120" w:after="120"/>
              <w:rPr>
                <w:rFonts w:ascii="Arial" w:hAnsi="Arial" w:cs="Arial"/>
                <w:sz w:val="22"/>
                <w:szCs w:val="22"/>
              </w:rPr>
            </w:pPr>
            <w:hyperlink r:id="rId11" w:history="1">
              <w:r w:rsidR="001E665D" w:rsidRPr="00763D8F">
                <w:rPr>
                  <w:rStyle w:val="Hyperlink"/>
                  <w:rFonts w:ascii="Arial" w:hAnsi="Arial" w:cs="Arial"/>
                  <w:sz w:val="22"/>
                  <w:szCs w:val="22"/>
                </w:rPr>
                <w:t>Acute coronary syndromes. NICE guideline NG185</w:t>
              </w:r>
            </w:hyperlink>
            <w:r w:rsidR="001E665D" w:rsidRPr="0086398D">
              <w:rPr>
                <w:rFonts w:ascii="Arial" w:hAnsi="Arial" w:cs="Arial"/>
                <w:sz w:val="22"/>
                <w:szCs w:val="22"/>
              </w:rPr>
              <w:t xml:space="preserve"> (2020), recommendation 1.1.3. Deliver coronary reperfusion therapy (either primary PCI or fibrinolysis) as quickly as possible for eligible people with acute STEMI.</w:t>
            </w:r>
          </w:p>
          <w:bookmarkStart w:id="2" w:name="_Hlk77249391"/>
          <w:p w14:paraId="1359C26D" w14:textId="001764E4" w:rsidR="002338EB" w:rsidRPr="0086398D" w:rsidRDefault="00763D8F" w:rsidP="0086398D">
            <w:pPr>
              <w:spacing w:before="120" w:after="120"/>
              <w:rPr>
                <w:rFonts w:ascii="Arial" w:hAnsi="Arial" w:cs="Arial"/>
                <w:sz w:val="22"/>
                <w:szCs w:val="22"/>
              </w:rPr>
            </w:pPr>
            <w:r>
              <w:rPr>
                <w:rFonts w:ascii="Arial" w:hAnsi="Arial" w:cs="Arial"/>
                <w:sz w:val="22"/>
                <w:szCs w:val="22"/>
              </w:rPr>
              <w:lastRenderedPageBreak/>
              <w:fldChar w:fldCharType="begin"/>
            </w:r>
            <w:r>
              <w:rPr>
                <w:rFonts w:ascii="Arial" w:hAnsi="Arial" w:cs="Arial"/>
                <w:sz w:val="22"/>
                <w:szCs w:val="22"/>
              </w:rPr>
              <w:instrText xml:space="preserve"> HYPERLINK "https://www.escardio.org/Guidelines/Clinical-Practice-Guidelines/Acute-Myocardial-Infarction-in-patients-presenting-with-ST-segment-elevation-Ma" </w:instrText>
            </w:r>
            <w:r>
              <w:rPr>
                <w:rFonts w:ascii="Arial" w:hAnsi="Arial" w:cs="Arial"/>
                <w:sz w:val="22"/>
                <w:szCs w:val="22"/>
              </w:rPr>
              <w:fldChar w:fldCharType="separate"/>
            </w:r>
            <w:r w:rsidRPr="00763D8F">
              <w:rPr>
                <w:rStyle w:val="Hyperlink"/>
                <w:rFonts w:ascii="Arial" w:hAnsi="Arial" w:cs="Arial"/>
                <w:sz w:val="22"/>
                <w:szCs w:val="22"/>
              </w:rPr>
              <w:t xml:space="preserve">European Society of Cardiology. </w:t>
            </w:r>
            <w:r w:rsidR="001E665D" w:rsidRPr="00763D8F">
              <w:rPr>
                <w:rStyle w:val="Hyperlink"/>
                <w:rFonts w:ascii="Arial" w:hAnsi="Arial" w:cs="Arial"/>
                <w:sz w:val="22"/>
                <w:szCs w:val="22"/>
              </w:rPr>
              <w:t>ESC Guidelines for the management of acute myocardial infarction in patients presenting with ST-segment elevation</w:t>
            </w:r>
            <w:r>
              <w:rPr>
                <w:rFonts w:ascii="Arial" w:hAnsi="Arial" w:cs="Arial"/>
                <w:sz w:val="22"/>
                <w:szCs w:val="22"/>
              </w:rPr>
              <w:fldChar w:fldCharType="end"/>
            </w:r>
            <w:r w:rsidR="001E665D" w:rsidRPr="0086398D">
              <w:rPr>
                <w:rFonts w:ascii="Arial" w:hAnsi="Arial" w:cs="Arial"/>
                <w:sz w:val="22"/>
                <w:szCs w:val="22"/>
              </w:rPr>
              <w:t xml:space="preserve"> (2017) </w:t>
            </w:r>
            <w:bookmarkEnd w:id="2"/>
            <w:r w:rsidR="001E665D" w:rsidRPr="0086398D">
              <w:rPr>
                <w:rFonts w:ascii="Arial" w:hAnsi="Arial" w:cs="Arial"/>
                <w:sz w:val="22"/>
                <w:szCs w:val="22"/>
              </w:rPr>
              <w:t>Reperfusion is indicated in all patients with symptoms of ischaemia of less than or equal to 12 hours duration and persistent ST-segment elevation. (Class I Level A).</w:t>
            </w:r>
          </w:p>
        </w:tc>
        <w:tc>
          <w:tcPr>
            <w:tcW w:w="3118" w:type="dxa"/>
          </w:tcPr>
          <w:p w14:paraId="11574C0C" w14:textId="77777777" w:rsidR="001E665D" w:rsidRPr="0086398D" w:rsidRDefault="001E665D" w:rsidP="0086398D">
            <w:pPr>
              <w:spacing w:before="120" w:after="120"/>
              <w:rPr>
                <w:rFonts w:ascii="Arial" w:eastAsiaTheme="minorEastAsia" w:hAnsi="Arial" w:cs="Arial"/>
                <w:color w:val="000000" w:themeColor="dark1"/>
                <w:kern w:val="24"/>
                <w:sz w:val="22"/>
                <w:szCs w:val="22"/>
                <w:lang w:val="en-US"/>
              </w:rPr>
            </w:pPr>
            <w:r w:rsidRPr="0086398D">
              <w:rPr>
                <w:rFonts w:ascii="Arial" w:eastAsiaTheme="minorEastAsia" w:hAnsi="Arial" w:cs="Arial"/>
                <w:color w:val="000000" w:themeColor="dark1"/>
                <w:kern w:val="24"/>
                <w:sz w:val="22"/>
                <w:szCs w:val="22"/>
                <w:lang w:val="en-US"/>
              </w:rPr>
              <w:lastRenderedPageBreak/>
              <w:t xml:space="preserve">The indicator is derived from a high-quality evidence base. </w:t>
            </w:r>
          </w:p>
          <w:p w14:paraId="75848804" w14:textId="5D0D1132" w:rsidR="002338EB" w:rsidRPr="0086398D" w:rsidRDefault="001E665D" w:rsidP="0086398D">
            <w:pPr>
              <w:spacing w:before="120" w:after="120"/>
              <w:rPr>
                <w:rFonts w:ascii="Arial" w:hAnsi="Arial"/>
                <w:sz w:val="22"/>
                <w:highlight w:val="lightGray"/>
              </w:rPr>
            </w:pPr>
            <w:r w:rsidRPr="0086398D">
              <w:rPr>
                <w:rFonts w:ascii="Arial" w:eastAsiaTheme="minorEastAsia" w:hAnsi="Arial" w:cs="Arial"/>
                <w:color w:val="000000" w:themeColor="dark1"/>
                <w:kern w:val="24"/>
                <w:sz w:val="22"/>
                <w:szCs w:val="22"/>
                <w:lang w:val="en-US"/>
              </w:rPr>
              <w:t>The indicator aligns with the evidence base.</w:t>
            </w:r>
          </w:p>
        </w:tc>
      </w:tr>
    </w:tbl>
    <w:p w14:paraId="3393013A" w14:textId="29A2DB06" w:rsidR="002338EB" w:rsidRDefault="002338EB" w:rsidP="002338EB">
      <w:pPr>
        <w:pStyle w:val="Paragraph"/>
      </w:pPr>
    </w:p>
    <w:p w14:paraId="67B93D8F" w14:textId="6D992C33" w:rsidR="002338EB" w:rsidRPr="002338EB" w:rsidRDefault="002338EB" w:rsidP="00735337">
      <w:pPr>
        <w:pStyle w:val="Heading3"/>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50F69748" w14:textId="11F28108" w:rsidR="0052364C" w:rsidRDefault="00494839" w:rsidP="0086398D">
            <w:pPr>
              <w:spacing w:before="120" w:after="120"/>
              <w:rPr>
                <w:rFonts w:ascii="Arial" w:hAnsi="Arial" w:cs="Arial"/>
                <w:color w:val="000000"/>
                <w:kern w:val="24"/>
                <w:sz w:val="22"/>
                <w:szCs w:val="22"/>
              </w:rPr>
            </w:pPr>
            <w:r>
              <w:rPr>
                <w:rFonts w:ascii="Arial" w:hAnsi="Arial" w:cs="Arial"/>
                <w:color w:val="000000"/>
                <w:kern w:val="24"/>
                <w:sz w:val="22"/>
                <w:szCs w:val="22"/>
              </w:rPr>
              <w:t>Reported as median time between call for help and balloon inflation for patients with STEMI undergoing reperfusion with primary PCI.</w:t>
            </w:r>
          </w:p>
          <w:p w14:paraId="626B702E" w14:textId="77777777" w:rsidR="00494839" w:rsidRPr="00494839" w:rsidRDefault="00494839" w:rsidP="00494839">
            <w:pPr>
              <w:pStyle w:val="Paragraphnonumbers"/>
              <w:rPr>
                <w:sz w:val="22"/>
                <w:szCs w:val="22"/>
                <w:lang w:eastAsia="en-GB"/>
              </w:rPr>
            </w:pPr>
            <w:r w:rsidRPr="00494839">
              <w:rPr>
                <w:sz w:val="22"/>
                <w:szCs w:val="22"/>
                <w:lang w:eastAsia="en-GB"/>
              </w:rPr>
              <w:t xml:space="preserve">The </w:t>
            </w:r>
            <w:hyperlink r:id="rId12" w:history="1">
              <w:r w:rsidRPr="00494839">
                <w:rPr>
                  <w:color w:val="0000FF"/>
                  <w:sz w:val="22"/>
                  <w:szCs w:val="22"/>
                  <w:u w:val="single"/>
                  <w:lang w:eastAsia="en-GB"/>
                </w:rPr>
                <w:t>percutaneous coronary interventions (PCI) dataset</w:t>
              </w:r>
            </w:hyperlink>
            <w:r w:rsidRPr="00494839">
              <w:rPr>
                <w:sz w:val="22"/>
                <w:szCs w:val="22"/>
                <w:lang w:eastAsia="en-GB"/>
              </w:rPr>
              <w:t xml:space="preserve"> defines call for help as the time of the initial call by the patient, relative or attendant (field number 5.27 and 5.29).</w:t>
            </w:r>
          </w:p>
          <w:p w14:paraId="4EBB88ED" w14:textId="77777777" w:rsidR="00494839" w:rsidRPr="00494839" w:rsidRDefault="00494839" w:rsidP="00494839">
            <w:pPr>
              <w:pStyle w:val="Paragraphnonumbers"/>
              <w:numPr>
                <w:ilvl w:val="0"/>
                <w:numId w:val="44"/>
              </w:numPr>
              <w:rPr>
                <w:sz w:val="22"/>
                <w:szCs w:val="22"/>
                <w:lang w:eastAsia="en-GB"/>
              </w:rPr>
            </w:pPr>
            <w:r w:rsidRPr="00494839">
              <w:rPr>
                <w:sz w:val="22"/>
                <w:szCs w:val="22"/>
                <w:lang w:eastAsia="en-GB"/>
              </w:rPr>
              <w:t>This may be to a GP, NHS Direct or the ambulance service.</w:t>
            </w:r>
          </w:p>
          <w:p w14:paraId="0B80BB60" w14:textId="77777777" w:rsidR="00494839" w:rsidRPr="00494839" w:rsidRDefault="00494839" w:rsidP="00494839">
            <w:pPr>
              <w:pStyle w:val="Paragraphnonumbers"/>
              <w:numPr>
                <w:ilvl w:val="0"/>
                <w:numId w:val="44"/>
              </w:numPr>
              <w:rPr>
                <w:sz w:val="22"/>
                <w:szCs w:val="22"/>
                <w:lang w:eastAsia="en-GB"/>
              </w:rPr>
            </w:pPr>
            <w:r w:rsidRPr="00494839">
              <w:rPr>
                <w:sz w:val="22"/>
                <w:szCs w:val="22"/>
                <w:lang w:eastAsia="en-GB"/>
              </w:rPr>
              <w:t xml:space="preserve">If the patient self presents to accident and emergency this time should arrival at first hospital. </w:t>
            </w:r>
          </w:p>
          <w:p w14:paraId="64A10C18" w14:textId="77777777" w:rsidR="00494839" w:rsidRPr="00494839" w:rsidRDefault="00494839" w:rsidP="00494839">
            <w:pPr>
              <w:pStyle w:val="Paragraphnonumbers"/>
              <w:numPr>
                <w:ilvl w:val="0"/>
                <w:numId w:val="44"/>
              </w:numPr>
              <w:rPr>
                <w:sz w:val="22"/>
                <w:szCs w:val="22"/>
                <w:lang w:eastAsia="en-GB"/>
              </w:rPr>
            </w:pPr>
            <w:r w:rsidRPr="00494839">
              <w:rPr>
                <w:sz w:val="22"/>
                <w:szCs w:val="22"/>
                <w:lang w:eastAsia="en-GB"/>
              </w:rPr>
              <w:t>If a patient is already in hospital or en route at the time they develop STEMI, this should be the time of the diagnostic ECG.</w:t>
            </w:r>
          </w:p>
          <w:p w14:paraId="48DC5372" w14:textId="0EB2F8B7" w:rsidR="00494839" w:rsidRPr="0086398D" w:rsidRDefault="00494839" w:rsidP="0086398D">
            <w:pPr>
              <w:spacing w:before="120" w:after="120"/>
              <w:rPr>
                <w:rFonts w:ascii="Arial" w:hAnsi="Arial" w:cs="Arial"/>
                <w:color w:val="000000"/>
                <w:kern w:val="24"/>
                <w:sz w:val="22"/>
                <w:szCs w:val="22"/>
              </w:rPr>
            </w:pPr>
            <w:r>
              <w:rPr>
                <w:rFonts w:ascii="Arial" w:hAnsi="Arial" w:cs="Arial"/>
                <w:color w:val="000000"/>
                <w:kern w:val="24"/>
                <w:sz w:val="22"/>
                <w:szCs w:val="22"/>
              </w:rPr>
              <w:t xml:space="preserve">Exclusions: </w:t>
            </w:r>
            <w:r w:rsidR="00503744">
              <w:rPr>
                <w:rFonts w:ascii="Arial" w:hAnsi="Arial" w:cs="Arial"/>
                <w:color w:val="000000"/>
                <w:kern w:val="24"/>
                <w:sz w:val="22"/>
                <w:szCs w:val="22"/>
              </w:rPr>
              <w:t>Patients presenting in cardiogenic shock and patients requiring pre-PCI ventilation.</w:t>
            </w:r>
          </w:p>
          <w:p w14:paraId="1A8C1D16" w14:textId="6479C52F" w:rsidR="00735337" w:rsidRPr="0086398D" w:rsidRDefault="00494839" w:rsidP="0086398D">
            <w:pPr>
              <w:spacing w:before="120" w:after="120"/>
              <w:rPr>
                <w:rFonts w:ascii="Arial" w:hAnsi="Arial"/>
                <w:sz w:val="22"/>
                <w:highlight w:val="lightGray"/>
              </w:rPr>
            </w:pPr>
            <w:r w:rsidRPr="00503744">
              <w:rPr>
                <w:rFonts w:ascii="Arial" w:hAnsi="Arial"/>
                <w:sz w:val="22"/>
              </w:rPr>
              <w:t>Call for help is used rather than first medical contact due to data availability</w:t>
            </w:r>
            <w:r w:rsidR="00503744" w:rsidRPr="00503744">
              <w:rPr>
                <w:rFonts w:ascii="Arial" w:hAnsi="Arial"/>
                <w:sz w:val="22"/>
              </w:rPr>
              <w:t xml:space="preserve"> and comments at consultation.</w:t>
            </w:r>
          </w:p>
        </w:tc>
        <w:tc>
          <w:tcPr>
            <w:tcW w:w="3118" w:type="dxa"/>
          </w:tcPr>
          <w:p w14:paraId="1439227D" w14:textId="5A1A009F" w:rsidR="002338EB" w:rsidRPr="0086398D" w:rsidRDefault="002338EB"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The indicator has defined components necessary to construct the indicator, including numerator, denominator and exclusions.</w:t>
            </w:r>
          </w:p>
          <w:p w14:paraId="0C449702" w14:textId="7475B426" w:rsidR="002338EB" w:rsidRPr="0086398D" w:rsidRDefault="00DE6021" w:rsidP="0086398D">
            <w:pPr>
              <w:spacing w:before="120" w:after="120"/>
              <w:rPr>
                <w:rFonts w:ascii="Arial" w:hAnsi="Arial"/>
                <w:sz w:val="22"/>
                <w:highlight w:val="lightGray"/>
              </w:rPr>
            </w:pPr>
            <w:r w:rsidRPr="0086398D">
              <w:rPr>
                <w:rFonts w:ascii="Arial" w:hAnsi="Arial"/>
                <w:sz w:val="22"/>
              </w:rPr>
              <w:t>The construction proposed by the ESC ACCA has been adapted for publication on the NICE menu of indicators.</w:t>
            </w:r>
          </w:p>
        </w:tc>
      </w:tr>
      <w:tr w:rsidR="002338EB" w14:paraId="48133640" w14:textId="77777777" w:rsidTr="001C517D">
        <w:tc>
          <w:tcPr>
            <w:tcW w:w="5949" w:type="dxa"/>
          </w:tcPr>
          <w:p w14:paraId="0CE94C93" w14:textId="77777777" w:rsidR="00DE6021" w:rsidRPr="0086398D" w:rsidRDefault="00DE6021"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 xml:space="preserve">Audit data is presented at hospital trust level. This is proposed to be a CCG level NICE menu indicator. </w:t>
            </w:r>
          </w:p>
          <w:p w14:paraId="76A8C59E" w14:textId="6B92F33C" w:rsidR="002338EB" w:rsidRPr="0086398D" w:rsidRDefault="00DE6021"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 xml:space="preserve">NICE CCG level indicators are intended for use where there is an average of 50 patients or more per CCG. Data presented as part of the study by Bebb et al (2017) based on the MINAP database for the period 2012 to 2013 shows </w:t>
            </w:r>
            <w:r w:rsidR="00503744" w:rsidRPr="00503744">
              <w:rPr>
                <w:rFonts w:ascii="Arial" w:hAnsi="Arial" w:cs="Arial"/>
                <w:color w:val="000000"/>
                <w:kern w:val="24"/>
                <w:sz w:val="22"/>
                <w:szCs w:val="22"/>
              </w:rPr>
              <w:t>27,029 eligible patients and this indicates an average number of 200 patients per CCG (135 CCGs April 2020).</w:t>
            </w:r>
          </w:p>
          <w:p w14:paraId="4B4889E2" w14:textId="5217FBFE" w:rsidR="002C1326" w:rsidRPr="0086398D" w:rsidRDefault="002C1326" w:rsidP="0086398D">
            <w:pPr>
              <w:spacing w:before="120" w:after="120"/>
              <w:rPr>
                <w:rFonts w:ascii="Arial" w:hAnsi="Arial"/>
                <w:sz w:val="22"/>
                <w:highlight w:val="lightGray"/>
              </w:rPr>
            </w:pPr>
          </w:p>
        </w:tc>
        <w:tc>
          <w:tcPr>
            <w:tcW w:w="3118" w:type="dxa"/>
          </w:tcPr>
          <w:p w14:paraId="38DE6D48" w14:textId="3C8E953B" w:rsidR="002338EB" w:rsidRPr="0086398D" w:rsidRDefault="00DE6021" w:rsidP="0086398D">
            <w:pPr>
              <w:spacing w:before="120" w:after="120"/>
              <w:rPr>
                <w:rFonts w:ascii="Arial" w:hAnsi="Arial"/>
                <w:sz w:val="22"/>
                <w:highlight w:val="lightGray"/>
              </w:rPr>
            </w:pPr>
            <w:r w:rsidRPr="0086398D">
              <w:rPr>
                <w:rFonts w:ascii="Arial" w:hAnsi="Arial" w:cs="Arial"/>
                <w:color w:val="000000"/>
                <w:kern w:val="24"/>
                <w:sz w:val="22"/>
                <w:szCs w:val="22"/>
              </w:rPr>
              <w:t>The indicator does outline minimum numbers of patients needed to be confident in the assessment of variation.</w:t>
            </w:r>
          </w:p>
        </w:tc>
      </w:tr>
    </w:tbl>
    <w:p w14:paraId="1F89E1DD" w14:textId="24151FF3" w:rsidR="002338EB" w:rsidRDefault="002338EB" w:rsidP="002338EB">
      <w:pPr>
        <w:pStyle w:val="Paragraph"/>
      </w:pPr>
    </w:p>
    <w:p w14:paraId="597779EE" w14:textId="5E0747D0" w:rsidR="002338EB" w:rsidRDefault="002338EB" w:rsidP="00735337">
      <w:pPr>
        <w:pStyle w:val="Heading3"/>
      </w:pPr>
      <w:r>
        <w:lastRenderedPageBreak/>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3ABE91E5" w14:textId="10F25641" w:rsidR="00735337" w:rsidRPr="0086398D" w:rsidRDefault="00735337" w:rsidP="00503744">
            <w:pPr>
              <w:pStyle w:val="Paragraphnonumbers"/>
              <w:rPr>
                <w:sz w:val="22"/>
              </w:rPr>
            </w:pPr>
            <w:r w:rsidRPr="0086398D">
              <w:rPr>
                <w:rFonts w:cs="Arial"/>
                <w:sz w:val="22"/>
                <w:szCs w:val="22"/>
              </w:rPr>
              <w:t xml:space="preserve">Data is collected annually as part of the </w:t>
            </w:r>
            <w:hyperlink r:id="rId13" w:history="1">
              <w:r w:rsidR="00503744" w:rsidRPr="00503744">
                <w:rPr>
                  <w:rStyle w:val="Hyperlink"/>
                  <w:sz w:val="22"/>
                  <w:szCs w:val="22"/>
                </w:rPr>
                <w:t>Percutaneous coronary interventions (PCI) dataset.</w:t>
              </w:r>
            </w:hyperlink>
          </w:p>
        </w:tc>
        <w:tc>
          <w:tcPr>
            <w:tcW w:w="3118" w:type="dxa"/>
          </w:tcPr>
          <w:p w14:paraId="7E07F302" w14:textId="5F984164" w:rsidR="00735337" w:rsidRPr="0086398D" w:rsidRDefault="00735337"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The indicator is repeatable.</w:t>
            </w:r>
          </w:p>
          <w:p w14:paraId="3BEFE1B2" w14:textId="77777777" w:rsidR="00735337" w:rsidRPr="0086398D" w:rsidRDefault="00735337" w:rsidP="0086398D">
            <w:pPr>
              <w:spacing w:before="120" w:after="120"/>
              <w:rPr>
                <w:rFonts w:ascii="Arial" w:hAnsi="Arial"/>
                <w:sz w:val="22"/>
              </w:rPr>
            </w:pPr>
          </w:p>
        </w:tc>
      </w:tr>
      <w:tr w:rsidR="00735337" w14:paraId="2FE27CD6" w14:textId="77777777" w:rsidTr="001C517D">
        <w:tc>
          <w:tcPr>
            <w:tcW w:w="5949" w:type="dxa"/>
          </w:tcPr>
          <w:p w14:paraId="1FFD01BE" w14:textId="09CCE648" w:rsidR="00DE6021" w:rsidRPr="0086398D" w:rsidRDefault="00DE6021" w:rsidP="0086398D">
            <w:pPr>
              <w:spacing w:before="120" w:after="120"/>
              <w:rPr>
                <w:rFonts w:ascii="Arial" w:hAnsi="Arial" w:cs="Arial"/>
                <w:sz w:val="22"/>
                <w:szCs w:val="22"/>
              </w:rPr>
            </w:pPr>
            <w:r w:rsidRPr="0086398D">
              <w:rPr>
                <w:rFonts w:ascii="Arial" w:hAnsi="Arial" w:cs="Arial"/>
                <w:sz w:val="22"/>
                <w:szCs w:val="22"/>
              </w:rPr>
              <w:t xml:space="preserve">Details of the </w:t>
            </w:r>
            <w:r w:rsidR="00503744">
              <w:rPr>
                <w:rFonts w:ascii="Arial" w:hAnsi="Arial" w:cs="Arial"/>
                <w:sz w:val="22"/>
                <w:szCs w:val="22"/>
              </w:rPr>
              <w:t>PCI</w:t>
            </w:r>
            <w:r w:rsidRPr="0086398D">
              <w:rPr>
                <w:rFonts w:ascii="Arial" w:hAnsi="Arial" w:cs="Arial"/>
                <w:sz w:val="22"/>
                <w:szCs w:val="22"/>
              </w:rPr>
              <w:t xml:space="preserve"> dataset, including definitions of the variables and guidance on applying options are also published by </w:t>
            </w:r>
            <w:hyperlink r:id="rId14" w:history="1">
              <w:r w:rsidRPr="00E15426">
                <w:rPr>
                  <w:rStyle w:val="Hyperlink"/>
                  <w:rFonts w:ascii="Arial" w:hAnsi="Arial" w:cs="Arial"/>
                  <w:sz w:val="22"/>
                  <w:szCs w:val="22"/>
                </w:rPr>
                <w:t>National Institute for Cardiovascular Outcomes Research (NICOR).</w:t>
              </w:r>
            </w:hyperlink>
            <w:r w:rsidRPr="0086398D">
              <w:rPr>
                <w:rFonts w:ascii="Arial" w:hAnsi="Arial" w:cs="Arial"/>
                <w:sz w:val="22"/>
                <w:szCs w:val="22"/>
              </w:rPr>
              <w:t xml:space="preserve"> </w:t>
            </w:r>
          </w:p>
          <w:p w14:paraId="4838A227" w14:textId="77777777" w:rsidR="00DE6021" w:rsidRPr="0086398D" w:rsidRDefault="00DE6021" w:rsidP="0086398D">
            <w:pPr>
              <w:spacing w:before="120" w:after="120"/>
              <w:rPr>
                <w:rFonts w:ascii="Arial" w:hAnsi="Arial" w:cs="Arial"/>
                <w:sz w:val="22"/>
                <w:szCs w:val="22"/>
              </w:rPr>
            </w:pPr>
            <w:r w:rsidRPr="0086398D">
              <w:rPr>
                <w:rFonts w:ascii="Arial" w:hAnsi="Arial" w:cs="Arial"/>
                <w:sz w:val="22"/>
                <w:szCs w:val="22"/>
              </w:rPr>
              <w:t xml:space="preserve">Data fields collected include:  </w:t>
            </w:r>
          </w:p>
          <w:p w14:paraId="11EA59B2" w14:textId="487480C4" w:rsidR="00503744" w:rsidRDefault="00503744" w:rsidP="0086398D">
            <w:pPr>
              <w:pStyle w:val="ListParagraph"/>
              <w:numPr>
                <w:ilvl w:val="0"/>
                <w:numId w:val="42"/>
              </w:numPr>
              <w:spacing w:before="120" w:after="120"/>
              <w:rPr>
                <w:rFonts w:ascii="Arial" w:hAnsi="Arial" w:cs="Arial"/>
                <w:sz w:val="22"/>
                <w:szCs w:val="22"/>
              </w:rPr>
            </w:pPr>
            <w:r>
              <w:rPr>
                <w:rFonts w:ascii="Arial" w:hAnsi="Arial" w:cs="Arial"/>
                <w:sz w:val="22"/>
                <w:szCs w:val="22"/>
              </w:rPr>
              <w:t>Date and time of call for help (5.27)</w:t>
            </w:r>
          </w:p>
          <w:p w14:paraId="573FF88A" w14:textId="4C04B557" w:rsidR="0086398D" w:rsidRPr="0086398D" w:rsidRDefault="00503744" w:rsidP="0086398D">
            <w:pPr>
              <w:pStyle w:val="ListParagraph"/>
              <w:numPr>
                <w:ilvl w:val="0"/>
                <w:numId w:val="42"/>
              </w:numPr>
              <w:spacing w:before="120" w:after="120"/>
              <w:rPr>
                <w:rFonts w:ascii="Arial" w:hAnsi="Arial" w:cs="Arial"/>
                <w:sz w:val="22"/>
                <w:szCs w:val="22"/>
              </w:rPr>
            </w:pPr>
            <w:r>
              <w:rPr>
                <w:rFonts w:ascii="Arial" w:hAnsi="Arial" w:cs="Arial"/>
                <w:sz w:val="22"/>
                <w:szCs w:val="22"/>
              </w:rPr>
              <w:t>Presenting ECG</w:t>
            </w:r>
            <w:r w:rsidR="00E15426">
              <w:rPr>
                <w:rFonts w:ascii="Arial" w:hAnsi="Arial" w:cs="Arial"/>
                <w:sz w:val="22"/>
                <w:szCs w:val="22"/>
              </w:rPr>
              <w:t xml:space="preserve"> (2.</w:t>
            </w:r>
            <w:r>
              <w:rPr>
                <w:rFonts w:ascii="Arial" w:hAnsi="Arial" w:cs="Arial"/>
                <w:sz w:val="22"/>
                <w:szCs w:val="22"/>
              </w:rPr>
              <w:t>10</w:t>
            </w:r>
            <w:r w:rsidR="00E15426">
              <w:rPr>
                <w:rFonts w:ascii="Arial" w:hAnsi="Arial" w:cs="Arial"/>
                <w:sz w:val="22"/>
                <w:szCs w:val="22"/>
              </w:rPr>
              <w:t>)</w:t>
            </w:r>
          </w:p>
          <w:p w14:paraId="7FD6DE02" w14:textId="3A28695D" w:rsidR="0086398D" w:rsidRPr="0086398D" w:rsidRDefault="0086398D" w:rsidP="0086398D">
            <w:pPr>
              <w:pStyle w:val="ListParagraph"/>
              <w:numPr>
                <w:ilvl w:val="0"/>
                <w:numId w:val="42"/>
              </w:numPr>
              <w:spacing w:before="120" w:after="120"/>
              <w:rPr>
                <w:rFonts w:ascii="Arial" w:hAnsi="Arial" w:cs="Arial"/>
                <w:sz w:val="22"/>
                <w:szCs w:val="22"/>
              </w:rPr>
            </w:pPr>
            <w:r w:rsidRPr="0086398D">
              <w:rPr>
                <w:rFonts w:ascii="Arial" w:hAnsi="Arial" w:cs="Arial"/>
                <w:sz w:val="22"/>
                <w:szCs w:val="22"/>
              </w:rPr>
              <w:t>Initial reperfusion treatment</w:t>
            </w:r>
            <w:r w:rsidR="00E15426">
              <w:rPr>
                <w:rFonts w:ascii="Arial" w:hAnsi="Arial" w:cs="Arial"/>
                <w:sz w:val="22"/>
                <w:szCs w:val="22"/>
              </w:rPr>
              <w:t xml:space="preserve"> (3.39)</w:t>
            </w:r>
          </w:p>
          <w:p w14:paraId="16BA1868" w14:textId="44AF0935" w:rsidR="00DE6021" w:rsidRPr="0086398D" w:rsidRDefault="00503744" w:rsidP="0086398D">
            <w:pPr>
              <w:pStyle w:val="ListParagraph"/>
              <w:numPr>
                <w:ilvl w:val="0"/>
                <w:numId w:val="42"/>
              </w:numPr>
              <w:spacing w:before="120" w:after="120"/>
              <w:rPr>
                <w:rFonts w:ascii="Arial" w:hAnsi="Arial" w:cs="Arial"/>
                <w:sz w:val="22"/>
                <w:szCs w:val="22"/>
              </w:rPr>
            </w:pPr>
            <w:r>
              <w:rPr>
                <w:rFonts w:ascii="Arial" w:hAnsi="Arial" w:cs="Arial"/>
                <w:sz w:val="22"/>
                <w:szCs w:val="22"/>
              </w:rPr>
              <w:t>Date/time of first</w:t>
            </w:r>
            <w:r w:rsidR="00E15426">
              <w:rPr>
                <w:rFonts w:ascii="Arial" w:hAnsi="Arial" w:cs="Arial"/>
                <w:sz w:val="22"/>
                <w:szCs w:val="22"/>
              </w:rPr>
              <w:t xml:space="preserve"> balloon inflation (3.09)</w:t>
            </w:r>
            <w:r w:rsidR="0086398D" w:rsidRPr="0086398D">
              <w:rPr>
                <w:rFonts w:ascii="Arial" w:hAnsi="Arial" w:cs="Arial"/>
                <w:sz w:val="22"/>
                <w:szCs w:val="22"/>
              </w:rPr>
              <w:t>.</w:t>
            </w:r>
          </w:p>
          <w:p w14:paraId="66E634DE" w14:textId="77777777" w:rsidR="00735337" w:rsidRDefault="00503744" w:rsidP="0086398D">
            <w:pPr>
              <w:pStyle w:val="ListParagraph"/>
              <w:numPr>
                <w:ilvl w:val="0"/>
                <w:numId w:val="42"/>
              </w:numPr>
              <w:spacing w:before="120" w:after="120"/>
              <w:rPr>
                <w:rFonts w:ascii="Arial" w:hAnsi="Arial" w:cs="Arial"/>
                <w:sz w:val="22"/>
                <w:szCs w:val="22"/>
              </w:rPr>
            </w:pPr>
            <w:r>
              <w:rPr>
                <w:rFonts w:ascii="Arial" w:hAnsi="Arial" w:cs="Arial"/>
                <w:sz w:val="22"/>
                <w:szCs w:val="22"/>
              </w:rPr>
              <w:t>Cardiogenic shock (2.04)</w:t>
            </w:r>
          </w:p>
          <w:p w14:paraId="6B3D2BF0" w14:textId="352E6969" w:rsidR="00503744" w:rsidRPr="0086398D" w:rsidRDefault="00503744" w:rsidP="0086398D">
            <w:pPr>
              <w:pStyle w:val="ListParagraph"/>
              <w:numPr>
                <w:ilvl w:val="0"/>
                <w:numId w:val="42"/>
              </w:numPr>
              <w:spacing w:before="120" w:after="120"/>
              <w:rPr>
                <w:rFonts w:ascii="Arial" w:hAnsi="Arial" w:cs="Arial"/>
                <w:sz w:val="22"/>
                <w:szCs w:val="22"/>
              </w:rPr>
            </w:pPr>
            <w:r>
              <w:rPr>
                <w:rFonts w:ascii="Arial" w:hAnsi="Arial" w:cs="Arial"/>
                <w:sz w:val="22"/>
                <w:szCs w:val="22"/>
              </w:rPr>
              <w:t>Ventilated pre-op (5.07)</w:t>
            </w:r>
          </w:p>
        </w:tc>
        <w:tc>
          <w:tcPr>
            <w:tcW w:w="3118" w:type="dxa"/>
          </w:tcPr>
          <w:p w14:paraId="501A7677" w14:textId="77777777" w:rsidR="00735337" w:rsidRPr="0086398D" w:rsidRDefault="00735337"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 xml:space="preserve">The indicator is measuring what it is designed to measure. </w:t>
            </w:r>
          </w:p>
          <w:p w14:paraId="24CB8CBA" w14:textId="284E71C7" w:rsidR="00735337" w:rsidRPr="0086398D" w:rsidRDefault="00735337"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A47852">
      <w:pPr>
        <w:pStyle w:val="Heading3"/>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009E37A6" w14:textId="2109BA0C" w:rsidR="00735337" w:rsidRPr="00A47852" w:rsidRDefault="00644DA7" w:rsidP="00735337">
            <w:pPr>
              <w:pStyle w:val="Paragraph"/>
              <w:spacing w:before="120" w:after="120" w:line="240" w:lineRule="auto"/>
              <w:rPr>
                <w:highlight w:val="lightGray"/>
              </w:rPr>
            </w:pPr>
            <w:r>
              <w:rPr>
                <w:rFonts w:cs="Arial"/>
                <w:sz w:val="22"/>
                <w:szCs w:val="22"/>
              </w:rPr>
              <w:t>This is an assessment of the care pathway and does not distinguish responsibility of ambulance/hospital/PCI centre.</w:t>
            </w:r>
            <w:r w:rsidR="00B10C4D">
              <w:rPr>
                <w:rFonts w:cs="Arial"/>
                <w:sz w:val="22"/>
                <w:szCs w:val="22"/>
              </w:rPr>
              <w:t xml:space="preserve"> </w:t>
            </w:r>
          </w:p>
        </w:tc>
        <w:tc>
          <w:tcPr>
            <w:tcW w:w="3118" w:type="dxa"/>
          </w:tcPr>
          <w:p w14:paraId="50C98A36" w14:textId="41191BE5" w:rsidR="00735337" w:rsidRPr="00A47852" w:rsidRDefault="00735337" w:rsidP="00735337">
            <w:pPr>
              <w:pStyle w:val="Paragraph"/>
              <w:spacing w:before="120" w:after="120" w:line="240" w:lineRule="auto"/>
              <w:rPr>
                <w:highlight w:val="lightGray"/>
              </w:rPr>
            </w:pPr>
            <w:r w:rsidRPr="00B10C4D">
              <w:rPr>
                <w:rFonts w:cs="Arial"/>
                <w:color w:val="000000"/>
                <w:kern w:val="24"/>
                <w:sz w:val="22"/>
                <w:szCs w:val="22"/>
              </w:rPr>
              <w:t>The indicator assesses performance that is attributable to or within the control of the audience</w:t>
            </w:r>
            <w:r w:rsidR="00B10C4D">
              <w:rPr>
                <w:rFonts w:cs="Arial"/>
                <w:color w:val="000000"/>
                <w:kern w:val="24"/>
                <w:sz w:val="22"/>
                <w:szCs w:val="22"/>
              </w:rPr>
              <w:t>.</w:t>
            </w:r>
          </w:p>
        </w:tc>
      </w:tr>
      <w:tr w:rsidR="00735337" w14:paraId="7E164FBD" w14:textId="77777777" w:rsidTr="001C517D">
        <w:tc>
          <w:tcPr>
            <w:tcW w:w="5949" w:type="dxa"/>
          </w:tcPr>
          <w:p w14:paraId="3AF0200A" w14:textId="10A21BFF" w:rsidR="00735337" w:rsidRPr="00B10C4D" w:rsidRDefault="00735337" w:rsidP="00735337">
            <w:pPr>
              <w:pStyle w:val="Paragraph"/>
              <w:spacing w:before="120" w:after="120" w:line="240" w:lineRule="auto"/>
            </w:pPr>
            <w:r w:rsidRPr="00B10C4D">
              <w:rPr>
                <w:rFonts w:cs="Arial"/>
                <w:sz w:val="22"/>
                <w:szCs w:val="22"/>
              </w:rPr>
              <w:t>Data tables are published on the NICOR website in order to compare practice and assist in quality improvement cycles.</w:t>
            </w:r>
          </w:p>
        </w:tc>
        <w:tc>
          <w:tcPr>
            <w:tcW w:w="3118" w:type="dxa"/>
          </w:tcPr>
          <w:p w14:paraId="2909F55A" w14:textId="550EBBEB" w:rsidR="00735337" w:rsidRPr="00B10C4D" w:rsidRDefault="00735337" w:rsidP="00735337">
            <w:pPr>
              <w:pStyle w:val="Paragraph"/>
              <w:spacing w:before="120" w:after="120" w:line="240" w:lineRule="auto"/>
            </w:pPr>
            <w:r w:rsidRPr="00B10C4D">
              <w:rPr>
                <w:rFonts w:cs="Arial"/>
                <w:color w:val="000000"/>
                <w:kern w:val="24"/>
                <w:sz w:val="22"/>
                <w:szCs w:val="22"/>
              </w:rPr>
              <w:t>The results of the indicator can be used to improve practice</w:t>
            </w:r>
          </w:p>
        </w:tc>
      </w:tr>
    </w:tbl>
    <w:p w14:paraId="359B1BDB" w14:textId="49E7FB46" w:rsidR="002338EB" w:rsidRDefault="002338EB" w:rsidP="002338EB">
      <w:pPr>
        <w:pStyle w:val="Paragraph"/>
      </w:pPr>
    </w:p>
    <w:p w14:paraId="639F934E" w14:textId="090BF21C" w:rsidR="00A47852" w:rsidRDefault="00A47852" w:rsidP="00A47852">
      <w:pPr>
        <w:pStyle w:val="Heading3"/>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5D0DDE27" w14:textId="0A0672AD" w:rsidR="00A47852" w:rsidRPr="0086398D" w:rsidRDefault="00644DA7" w:rsidP="0086398D">
            <w:pPr>
              <w:spacing w:before="120" w:after="120"/>
              <w:rPr>
                <w:rFonts w:ascii="Arial" w:hAnsi="Arial"/>
                <w:sz w:val="22"/>
                <w:highlight w:val="lightGray"/>
              </w:rPr>
            </w:pPr>
            <w:r w:rsidRPr="00644DA7">
              <w:rPr>
                <w:rFonts w:ascii="Arial" w:hAnsi="Arial" w:cs="Arial"/>
                <w:color w:val="000000"/>
                <w:kern w:val="24"/>
                <w:sz w:val="22"/>
                <w:szCs w:val="22"/>
                <w:lang w:eastAsia="en-GB"/>
              </w:rPr>
              <w:t>NAPCI is a domain with the National Cardiac Audit Programme and under the governance of the Healthcare Quality Improvement Partnership (HQIP). Robust governance structures are in place to ensure data quality and monitor appropriateness of audit measures. There is a minimum dataset against which each participating hospital is assessed for data completeness.</w:t>
            </w:r>
          </w:p>
        </w:tc>
        <w:tc>
          <w:tcPr>
            <w:tcW w:w="3118" w:type="dxa"/>
          </w:tcPr>
          <w:p w14:paraId="29FB2923" w14:textId="4EE07B97" w:rsidR="00A47852" w:rsidRPr="0086398D" w:rsidRDefault="00A47852" w:rsidP="0086398D">
            <w:pPr>
              <w:spacing w:before="120" w:after="120"/>
              <w:rPr>
                <w:rFonts w:ascii="Arial" w:hAnsi="Arial"/>
                <w:sz w:val="22"/>
                <w:highlight w:val="lightGray"/>
              </w:rPr>
            </w:pPr>
            <w:r w:rsidRPr="0086398D">
              <w:rPr>
                <w:rFonts w:ascii="Arial" w:hAnsi="Arial" w:cs="Arial"/>
                <w:color w:val="000000"/>
                <w:kern w:val="24"/>
                <w:sz w:val="22"/>
                <w:szCs w:val="22"/>
              </w:rPr>
              <w:t>The indicator has an acceptable risk of unintended consequences.</w:t>
            </w:r>
          </w:p>
        </w:tc>
      </w:tr>
    </w:tbl>
    <w:p w14:paraId="017EA4B6" w14:textId="72819A2E" w:rsidR="002338EB" w:rsidRDefault="002338EB" w:rsidP="002338EB">
      <w:pPr>
        <w:pStyle w:val="Paragraph"/>
      </w:pPr>
    </w:p>
    <w:p w14:paraId="763A6D9B" w14:textId="48F79B0E" w:rsidR="006C3D61" w:rsidRDefault="006C3D61" w:rsidP="00BC67CC">
      <w:pPr>
        <w:pStyle w:val="Heading3"/>
      </w:pPr>
      <w:r>
        <w:lastRenderedPageBreak/>
        <w:t>NICE indicator advisory committee recommendation</w:t>
      </w:r>
    </w:p>
    <w:p w14:paraId="123085F8" w14:textId="4EA43F7B" w:rsidR="00D73835" w:rsidRDefault="0077603D" w:rsidP="0056420E">
      <w:pPr>
        <w:pStyle w:val="Paragraph"/>
      </w:pPr>
      <w:r w:rsidRPr="009A1307">
        <w:t xml:space="preserve">The NICE indicator advisory committee approved this indicator for publication on the menu. </w:t>
      </w:r>
    </w:p>
    <w:sectPr w:rsidR="00D73835" w:rsidSect="00192B0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4383363"/>
    <w:multiLevelType w:val="hybridMultilevel"/>
    <w:tmpl w:val="4B6CD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3F746BA"/>
    <w:multiLevelType w:val="hybridMultilevel"/>
    <w:tmpl w:val="30546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6"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EE30035"/>
    <w:multiLevelType w:val="hybridMultilevel"/>
    <w:tmpl w:val="3B4AE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4"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262A80"/>
    <w:multiLevelType w:val="hybridMultilevel"/>
    <w:tmpl w:val="42AC5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11"/>
  </w:num>
  <w:num w:numId="3">
    <w:abstractNumId w:val="29"/>
  </w:num>
  <w:num w:numId="4">
    <w:abstractNumId w:val="12"/>
  </w:num>
  <w:num w:numId="5">
    <w:abstractNumId w:val="26"/>
  </w:num>
  <w:num w:numId="6">
    <w:abstractNumId w:val="1"/>
  </w:num>
  <w:num w:numId="7">
    <w:abstractNumId w:val="10"/>
  </w:num>
  <w:num w:numId="8">
    <w:abstractNumId w:val="24"/>
  </w:num>
  <w:num w:numId="9">
    <w:abstractNumId w:val="25"/>
  </w:num>
  <w:num w:numId="10">
    <w:abstractNumId w:val="5"/>
  </w:num>
  <w:num w:numId="11">
    <w:abstractNumId w:val="7"/>
  </w:num>
  <w:num w:numId="12">
    <w:abstractNumId w:val="2"/>
  </w:num>
  <w:num w:numId="13">
    <w:abstractNumId w:val="33"/>
  </w:num>
  <w:num w:numId="14">
    <w:abstractNumId w:val="15"/>
  </w:num>
  <w:num w:numId="15">
    <w:abstractNumId w:val="9"/>
  </w:num>
  <w:num w:numId="16">
    <w:abstractNumId w:val="21"/>
  </w:num>
  <w:num w:numId="17">
    <w:abstractNumId w:val="17"/>
  </w:num>
  <w:num w:numId="18">
    <w:abstractNumId w:val="23"/>
  </w:num>
  <w:num w:numId="19">
    <w:abstractNumId w:val="27"/>
  </w:num>
  <w:num w:numId="20">
    <w:abstractNumId w:val="6"/>
  </w:num>
  <w:num w:numId="21">
    <w:abstractNumId w:val="30"/>
  </w:num>
  <w:num w:numId="22">
    <w:abstractNumId w:val="0"/>
  </w:num>
  <w:num w:numId="23">
    <w:abstractNumId w:val="4"/>
  </w:num>
  <w:num w:numId="24">
    <w:abstractNumId w:val="28"/>
  </w:num>
  <w:num w:numId="25">
    <w:abstractNumId w:val="20"/>
  </w:num>
  <w:num w:numId="26">
    <w:abstractNumId w:val="19"/>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4"/>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32"/>
  </w:num>
  <w:num w:numId="39">
    <w:abstractNumId w:val="22"/>
  </w:num>
  <w:num w:numId="40">
    <w:abstractNumId w:val="3"/>
  </w:num>
  <w:num w:numId="41">
    <w:abstractNumId w:val="35"/>
  </w:num>
  <w:num w:numId="42">
    <w:abstractNumId w:val="18"/>
  </w:num>
  <w:num w:numId="43">
    <w:abstractNumId w:val="13"/>
  </w:num>
  <w:num w:numId="44">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44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045"/>
    <w:rsid w:val="000A16C2"/>
    <w:rsid w:val="000A3EBF"/>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B09"/>
    <w:rsid w:val="001936A7"/>
    <w:rsid w:val="00193D4B"/>
    <w:rsid w:val="00194E6C"/>
    <w:rsid w:val="00196653"/>
    <w:rsid w:val="00196E29"/>
    <w:rsid w:val="001976DA"/>
    <w:rsid w:val="001A056C"/>
    <w:rsid w:val="001A23E4"/>
    <w:rsid w:val="001A281B"/>
    <w:rsid w:val="001A3011"/>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65D"/>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B76"/>
    <w:rsid w:val="002408EA"/>
    <w:rsid w:val="00241410"/>
    <w:rsid w:val="00245A99"/>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06C3"/>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91A"/>
    <w:rsid w:val="003B1C33"/>
    <w:rsid w:val="003B254D"/>
    <w:rsid w:val="003B298F"/>
    <w:rsid w:val="003B3737"/>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4839"/>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365D"/>
    <w:rsid w:val="00503744"/>
    <w:rsid w:val="0050409D"/>
    <w:rsid w:val="00505407"/>
    <w:rsid w:val="00505DA4"/>
    <w:rsid w:val="00506302"/>
    <w:rsid w:val="00510FAD"/>
    <w:rsid w:val="00511471"/>
    <w:rsid w:val="00511887"/>
    <w:rsid w:val="005127C1"/>
    <w:rsid w:val="005138B7"/>
    <w:rsid w:val="005143BA"/>
    <w:rsid w:val="0052364C"/>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0E"/>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3989"/>
    <w:rsid w:val="005F3C5C"/>
    <w:rsid w:val="005F5AFD"/>
    <w:rsid w:val="005F6BB8"/>
    <w:rsid w:val="005F6F0A"/>
    <w:rsid w:val="005F7681"/>
    <w:rsid w:val="00601291"/>
    <w:rsid w:val="0060351B"/>
    <w:rsid w:val="00607959"/>
    <w:rsid w:val="0061221F"/>
    <w:rsid w:val="00614078"/>
    <w:rsid w:val="006150A0"/>
    <w:rsid w:val="0062228B"/>
    <w:rsid w:val="00624430"/>
    <w:rsid w:val="00625AEE"/>
    <w:rsid w:val="00627687"/>
    <w:rsid w:val="006276D1"/>
    <w:rsid w:val="006279C2"/>
    <w:rsid w:val="00637F2A"/>
    <w:rsid w:val="00642C45"/>
    <w:rsid w:val="0064313B"/>
    <w:rsid w:val="0064319B"/>
    <w:rsid w:val="006434DF"/>
    <w:rsid w:val="00644DA7"/>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95A"/>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D8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C1642"/>
    <w:rsid w:val="007C1649"/>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00CC"/>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398D"/>
    <w:rsid w:val="00865CE7"/>
    <w:rsid w:val="0086701C"/>
    <w:rsid w:val="00867262"/>
    <w:rsid w:val="00870BDD"/>
    <w:rsid w:val="008717F1"/>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7A9"/>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1307"/>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36C1F"/>
    <w:rsid w:val="00A4094A"/>
    <w:rsid w:val="00A426BE"/>
    <w:rsid w:val="00A47852"/>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0C4D"/>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6AA"/>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659"/>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E6021"/>
    <w:rsid w:val="00DF1EC1"/>
    <w:rsid w:val="00DF343E"/>
    <w:rsid w:val="00DF67C3"/>
    <w:rsid w:val="00DF6CEB"/>
    <w:rsid w:val="00E0098A"/>
    <w:rsid w:val="00E009D9"/>
    <w:rsid w:val="00E03F71"/>
    <w:rsid w:val="00E045EE"/>
    <w:rsid w:val="00E06ED0"/>
    <w:rsid w:val="00E1082D"/>
    <w:rsid w:val="00E130CB"/>
    <w:rsid w:val="00E14934"/>
    <w:rsid w:val="00E15426"/>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5E60"/>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5"/>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ademic.oup.com/eurheartj/article/38/13/974/3037963" TargetMode="External"/><Relationship Id="rId13" Type="http://schemas.openxmlformats.org/officeDocument/2006/relationships/hyperlink" Target="https://www.nicor.org.uk/national-cardiac-audit-programme/datasets/" TargetMode="External"/><Relationship Id="rId3" Type="http://schemas.openxmlformats.org/officeDocument/2006/relationships/settings" Target="settings.xml"/><Relationship Id="rId7" Type="http://schemas.openxmlformats.org/officeDocument/2006/relationships/hyperlink" Target="https://www.longtermplan.nhs.uk/" TargetMode="External"/><Relationship Id="rId12" Type="http://schemas.openxmlformats.org/officeDocument/2006/relationships/hyperlink" Target="https://www.nicor.org.uk/national-cardiac-audit-programme/datase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ng18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cademic.oup.com/ehjacc/article/6/1/34/5921602?utm_source=TrendMD&amp;utm_medium=cpc&amp;utm_campaign=European_Heart_Journal_-_Acute_Cardiovascular_Care_TrendMD_0" TargetMode="External"/><Relationship Id="rId4" Type="http://schemas.openxmlformats.org/officeDocument/2006/relationships/webSettings" Target="webSettings.xml"/><Relationship Id="rId9" Type="http://schemas.openxmlformats.org/officeDocument/2006/relationships/hyperlink" Target="https://www.hqip.org.uk/resource/myocardial-ischaemia-national-audit-project-minap-2020-summary-report/" TargetMode="External"/><Relationship Id="rId14" Type="http://schemas.openxmlformats.org/officeDocument/2006/relationships/hyperlink" Target="https://www.nicor.org.uk/national-cardiac-audit-programme/data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858</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2021-08-18T14:32:00Z</dcterms:created>
  <dcterms:modified xsi:type="dcterms:W3CDTF">2021-08-27T10:15:00Z</dcterms:modified>
</cp:coreProperties>
</file>