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E03F61" w:rsidRDefault="00E202F5" w:rsidP="00E03F61">
      <w:pPr>
        <w:pStyle w:val="Title"/>
      </w:pPr>
      <w:r w:rsidRPr="00E03F61">
        <w:t xml:space="preserve">NATIONAL INSTITUTE FOR HEALTH AND </w:t>
      </w:r>
      <w:r w:rsidR="00A547C9" w:rsidRPr="00E03F61">
        <w:t>CARE</w:t>
      </w:r>
      <w:r w:rsidRPr="00E03F61">
        <w:t xml:space="preserve"> EXCELLENCE</w:t>
      </w:r>
    </w:p>
    <w:p w14:paraId="139CFF1D" w14:textId="3F22FA78" w:rsidR="00E202F5" w:rsidRPr="00794DA0" w:rsidRDefault="00697B97" w:rsidP="001C59A4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12A71AA9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2B2F12">
        <w:t>August 2021</w:t>
      </w:r>
    </w:p>
    <w:p w14:paraId="06BAB3FE" w14:textId="497EB8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FC2E03">
        <w:t xml:space="preserve">: </w:t>
      </w:r>
      <w:r w:rsidR="00DF637B" w:rsidRPr="00FC2E03">
        <w:t xml:space="preserve">N/A </w:t>
      </w:r>
    </w:p>
    <w:p w14:paraId="6107852F" w14:textId="1D51CD7E" w:rsidR="006F0A86" w:rsidRDefault="006F0A86" w:rsidP="001C59A4">
      <w:pPr>
        <w:pStyle w:val="Heading2"/>
      </w:pPr>
      <w:r w:rsidRPr="00126C3F">
        <w:t xml:space="preserve">Indicator </w:t>
      </w:r>
      <w:r w:rsidR="002B2F12">
        <w:t>CCG94</w:t>
      </w:r>
    </w:p>
    <w:p w14:paraId="0A6C169D" w14:textId="097E73BB" w:rsidR="00611A1D" w:rsidRPr="00611A1D" w:rsidRDefault="00D054E4" w:rsidP="00611A1D">
      <w:pPr>
        <w:pStyle w:val="Paragraph"/>
      </w:pPr>
      <w:r>
        <w:t xml:space="preserve">The proportion of patients </w:t>
      </w:r>
      <w:r w:rsidR="00DB0E5C">
        <w:t xml:space="preserve">with acute myocardial infarction with </w:t>
      </w:r>
      <w:r w:rsidR="007568C3">
        <w:t>measurement</w:t>
      </w:r>
      <w:r w:rsidR="00DB0E5C">
        <w:t xml:space="preserve"> of left ventricular ejection fraction before discharge.</w:t>
      </w:r>
    </w:p>
    <w:p w14:paraId="18778417" w14:textId="333A8E39" w:rsidR="00806B97" w:rsidRDefault="00806B97" w:rsidP="001C59A4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D054E4">
        <w:t>Clinical commissioning group indicator</w:t>
      </w:r>
      <w:r w:rsidR="00435C3B" w:rsidRPr="00D054E4">
        <w:t>.</w:t>
      </w:r>
    </w:p>
    <w:p w14:paraId="5CBA37E8" w14:textId="6F58C6BE" w:rsidR="006F0A86" w:rsidRDefault="006F0A86" w:rsidP="001C59A4">
      <w:pPr>
        <w:pStyle w:val="Heading2"/>
        <w:rPr>
          <w:i/>
        </w:rPr>
      </w:pPr>
      <w:r w:rsidRPr="00011273">
        <w:t>Rationale</w:t>
      </w:r>
    </w:p>
    <w:p w14:paraId="36FEA0B9" w14:textId="7830DA8B" w:rsidR="007568C3" w:rsidRDefault="007568C3" w:rsidP="009240AF">
      <w:pPr>
        <w:pStyle w:val="Paragraph"/>
      </w:pPr>
      <w:r w:rsidRPr="007568C3">
        <w:t xml:space="preserve">Assessment of left ventricular function by measurement of left ventricular ejection fraction (LVEF) </w:t>
      </w:r>
      <w:r w:rsidR="00FB10DC">
        <w:t xml:space="preserve">is an important predictor of outcome in patients after a myocardial infarction. It also </w:t>
      </w:r>
      <w:r w:rsidRPr="007568C3">
        <w:t>allows identification of patients who would benefit from specific treatment</w:t>
      </w:r>
      <w:r w:rsidR="00FB10DC">
        <w:t xml:space="preserve"> such as </w:t>
      </w:r>
      <w:r w:rsidR="00654414">
        <w:t xml:space="preserve">the </w:t>
      </w:r>
      <w:r w:rsidR="00FB10DC">
        <w:t xml:space="preserve">use of aldosterone antagonists. </w:t>
      </w:r>
      <w:r w:rsidRPr="007568C3">
        <w:t xml:space="preserve"> Left ventricular </w:t>
      </w:r>
      <w:r>
        <w:t>ejection fraction</w:t>
      </w:r>
      <w:r w:rsidRPr="007568C3">
        <w:t xml:space="preserve"> should be assessed before discharge in all people who have had ST</w:t>
      </w:r>
      <w:r>
        <w:t>-segment elevation myocardial infarction (STEMI)</w:t>
      </w:r>
      <w:r w:rsidRPr="007568C3">
        <w:t xml:space="preserve"> or non-ST segment elevation myocardial infarction (NSTEMI).</w:t>
      </w:r>
      <w:r w:rsidR="00951F0E">
        <w:t xml:space="preserve"> </w:t>
      </w:r>
    </w:p>
    <w:p w14:paraId="69D4A75D" w14:textId="5E24708C" w:rsidR="00D141B1" w:rsidRPr="001C59A4" w:rsidRDefault="00D141B1" w:rsidP="001C59A4">
      <w:pPr>
        <w:pStyle w:val="Heading2"/>
      </w:pPr>
      <w:r w:rsidRPr="00E03F61">
        <w:rPr>
          <w:rStyle w:val="Heading1Char"/>
          <w:b/>
          <w:bCs/>
          <w:kern w:val="0"/>
          <w:szCs w:val="28"/>
        </w:rPr>
        <w:t>Source guidance</w:t>
      </w:r>
      <w:r w:rsidRPr="00E03F61">
        <w:t xml:space="preserve"> </w:t>
      </w:r>
    </w:p>
    <w:p w14:paraId="3575616B" w14:textId="4E2FA024" w:rsidR="00D054E4" w:rsidRDefault="001C59A4" w:rsidP="00EE354D">
      <w:pPr>
        <w:pStyle w:val="Paragraph"/>
      </w:pPr>
      <w:hyperlink r:id="rId7" w:history="1">
        <w:r w:rsidR="00D054E4" w:rsidRPr="00D054E4">
          <w:rPr>
            <w:rStyle w:val="Hyperlink"/>
          </w:rPr>
          <w:t>Acute coronary syndromes. NICE guideline NG185</w:t>
        </w:r>
      </w:hyperlink>
      <w:r w:rsidR="00D054E4">
        <w:t xml:space="preserve"> (2020), recommendation</w:t>
      </w:r>
      <w:r w:rsidR="007568C3">
        <w:t>s 1.1.27 and 1.2.26</w:t>
      </w:r>
      <w:r w:rsidR="00D054E4">
        <w:t>.</w:t>
      </w:r>
    </w:p>
    <w:p w14:paraId="141F5BA0" w14:textId="04115F5D" w:rsidR="004E0124" w:rsidRDefault="001C59A4" w:rsidP="00EE354D">
      <w:pPr>
        <w:pStyle w:val="Paragraph"/>
      </w:pPr>
      <w:hyperlink r:id="rId8" w:history="1">
        <w:r w:rsidR="00E72759" w:rsidRPr="00E72759">
          <w:rPr>
            <w:rStyle w:val="Hyperlink"/>
          </w:rPr>
          <w:t>European Society of Cardiology. ESC guidelines for the management of acute myocardial infarction in patients presenting with ST-segment elevation</w:t>
        </w:r>
      </w:hyperlink>
      <w:r w:rsidR="00E72759" w:rsidRPr="00E72759">
        <w:t xml:space="preserve">. </w:t>
      </w:r>
      <w:r w:rsidR="004E0124">
        <w:t xml:space="preserve"> (2017).</w:t>
      </w:r>
    </w:p>
    <w:p w14:paraId="16C3958C" w14:textId="6FDBAFD9" w:rsidR="004E0124" w:rsidRPr="00BD6253" w:rsidRDefault="001C59A4" w:rsidP="00EE354D">
      <w:pPr>
        <w:pStyle w:val="Paragraph"/>
      </w:pPr>
      <w:hyperlink r:id="rId9" w:anchor="247153624" w:history="1">
        <w:r w:rsidR="004E0124" w:rsidRPr="00E47AF2">
          <w:rPr>
            <w:rStyle w:val="Hyperlink"/>
          </w:rPr>
          <w:t>ESC guidelines for the management of acute coronary syndromes in patients presenting without persistent ST-segment elevation. European Society of Cardiology</w:t>
        </w:r>
      </w:hyperlink>
      <w:r w:rsidR="004E0124">
        <w:t xml:space="preserve"> (2020).</w:t>
      </w:r>
    </w:p>
    <w:p w14:paraId="05AD89C4" w14:textId="77777777" w:rsidR="00D141B1" w:rsidRDefault="00D141B1" w:rsidP="001C59A4">
      <w:pPr>
        <w:pStyle w:val="Heading2"/>
      </w:pPr>
      <w:r>
        <w:lastRenderedPageBreak/>
        <w:t xml:space="preserve">Specification </w:t>
      </w:r>
    </w:p>
    <w:p w14:paraId="4B62A813" w14:textId="1982ABFD" w:rsidR="0009195D" w:rsidRDefault="00D141B1" w:rsidP="00EE354D">
      <w:pPr>
        <w:pStyle w:val="Paragraph"/>
      </w:pPr>
      <w:r>
        <w:t xml:space="preserve">Numerator: </w:t>
      </w:r>
      <w:r w:rsidR="00D054E4">
        <w:t xml:space="preserve">The number of patients in the denominator who </w:t>
      </w:r>
      <w:r w:rsidR="00723B07">
        <w:t xml:space="preserve">had </w:t>
      </w:r>
      <w:r w:rsidR="007568C3">
        <w:t>LVEF measured before discharge.</w:t>
      </w:r>
    </w:p>
    <w:p w14:paraId="06B62F8F" w14:textId="1A9E6419" w:rsidR="00D141B1" w:rsidRDefault="00D141B1" w:rsidP="00EE354D">
      <w:pPr>
        <w:pStyle w:val="Paragraph"/>
      </w:pPr>
      <w:r>
        <w:t>Denominator:</w:t>
      </w:r>
      <w:r w:rsidR="00D054E4">
        <w:t xml:space="preserve"> The number of patients with </w:t>
      </w:r>
      <w:r w:rsidR="007568C3">
        <w:t>discharged from hospital following an admission with acute myocardial infarction.</w:t>
      </w:r>
    </w:p>
    <w:p w14:paraId="04501E11" w14:textId="6D10E7DB" w:rsidR="0009195D" w:rsidRDefault="0009195D" w:rsidP="00EE354D">
      <w:pPr>
        <w:pStyle w:val="Paragraph"/>
      </w:pPr>
      <w:r>
        <w:t>Calculation:</w:t>
      </w:r>
      <w:r w:rsidR="00D054E4">
        <w:t xml:space="preserve"> </w:t>
      </w:r>
      <w:r w:rsidRPr="00D054E4">
        <w:t>(Numerator/denominator)*100</w:t>
      </w:r>
    </w:p>
    <w:p w14:paraId="200701E0" w14:textId="12C9A81B" w:rsidR="00D141B1" w:rsidRDefault="00D141B1" w:rsidP="00EE354D">
      <w:pPr>
        <w:pStyle w:val="Paragraph"/>
      </w:pPr>
      <w:r>
        <w:t xml:space="preserve">Exclusions: </w:t>
      </w:r>
      <w:r w:rsidR="00990A2F">
        <w:t>Patients who died in hospital.</w:t>
      </w:r>
      <w:r w:rsidR="00DF45AD">
        <w:t xml:space="preserve"> </w:t>
      </w:r>
    </w:p>
    <w:p w14:paraId="0D2624A5" w14:textId="4C26A5B7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0" w:history="1">
        <w:r w:rsidR="0063198D" w:rsidRPr="00225113">
          <w:rPr>
            <w:rStyle w:val="Hyperlink"/>
          </w:rPr>
          <w:t>Myocardial Ischaemia National Audit Project (MINAP)</w:t>
        </w:r>
        <w:r w:rsidR="00D054E4" w:rsidRPr="00225113">
          <w:rPr>
            <w:rStyle w:val="Hyperlink"/>
          </w:rPr>
          <w:t xml:space="preserve"> dataset.</w:t>
        </w:r>
      </w:hyperlink>
      <w:r>
        <w:t xml:space="preserve"> </w:t>
      </w:r>
    </w:p>
    <w:p w14:paraId="15239063" w14:textId="22807EB8" w:rsidR="00706451" w:rsidRPr="00D054E4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054E4">
        <w:t xml:space="preserve">The indicator would be appropriate </w:t>
      </w:r>
      <w:r w:rsidR="00391F4B" w:rsidRPr="00D054E4">
        <w:t>to assess performance of individual CCGs</w:t>
      </w:r>
      <w:r w:rsidR="000D5395" w:rsidRPr="00D054E4">
        <w:t>.</w:t>
      </w:r>
    </w:p>
    <w:p w14:paraId="129ECA00" w14:textId="65691789" w:rsidR="0009195D" w:rsidRPr="0009195D" w:rsidRDefault="0009195D" w:rsidP="001C59A4">
      <w:pPr>
        <w:pStyle w:val="Heading2"/>
      </w:pPr>
      <w:r w:rsidRPr="0009195D">
        <w:t>Further information</w:t>
      </w:r>
    </w:p>
    <w:p w14:paraId="70B822BC" w14:textId="0E891DA3" w:rsidR="0009195D" w:rsidRDefault="0009195D" w:rsidP="00EE354D">
      <w:pPr>
        <w:pStyle w:val="Paragraph"/>
      </w:pPr>
      <w:bookmarkStart w:id="0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0"/>
    </w:p>
    <w:p w14:paraId="1E92641B" w14:textId="77777777" w:rsidR="002B2F12" w:rsidRDefault="002B2F12" w:rsidP="002B2F12">
      <w:pPr>
        <w:pStyle w:val="Paragraph"/>
      </w:pPr>
      <w:r>
        <w:t>This indicator is based on hospital level indicators originally developed by the European Society of Cardiology (ESC) Acute Cardiovascular Care Association (ACCA).</w:t>
      </w:r>
    </w:p>
    <w:p w14:paraId="3D42BD3F" w14:textId="77777777" w:rsidR="002B2F12" w:rsidRPr="0009195D" w:rsidRDefault="002B2F12" w:rsidP="00EE354D">
      <w:pPr>
        <w:pStyle w:val="Paragraph"/>
      </w:pPr>
    </w:p>
    <w:sectPr w:rsidR="002B2F12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40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59A4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5113"/>
    <w:rsid w:val="00232A20"/>
    <w:rsid w:val="002408EA"/>
    <w:rsid w:val="00243B9E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2F12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E6BD1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64EB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0124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8D"/>
    <w:rsid w:val="00631D73"/>
    <w:rsid w:val="00633DB7"/>
    <w:rsid w:val="00640BC8"/>
    <w:rsid w:val="00654414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97C85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3B07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68C3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0C1B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40AF"/>
    <w:rsid w:val="00926564"/>
    <w:rsid w:val="00926B7A"/>
    <w:rsid w:val="00933BF9"/>
    <w:rsid w:val="009442DC"/>
    <w:rsid w:val="00947BD5"/>
    <w:rsid w:val="00947BDA"/>
    <w:rsid w:val="0095065B"/>
    <w:rsid w:val="00951F0E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0A2F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07E18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4E4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0E5C"/>
    <w:rsid w:val="00DB20D9"/>
    <w:rsid w:val="00DC047A"/>
    <w:rsid w:val="00DC06BC"/>
    <w:rsid w:val="00DC28B0"/>
    <w:rsid w:val="00DD5F41"/>
    <w:rsid w:val="00DD6008"/>
    <w:rsid w:val="00DE1024"/>
    <w:rsid w:val="00DE4457"/>
    <w:rsid w:val="00DE7BFC"/>
    <w:rsid w:val="00DF45AD"/>
    <w:rsid w:val="00DF637B"/>
    <w:rsid w:val="00DF7DE7"/>
    <w:rsid w:val="00E02ADB"/>
    <w:rsid w:val="00E03F61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47AF2"/>
    <w:rsid w:val="00E51920"/>
    <w:rsid w:val="00E64120"/>
    <w:rsid w:val="00E660A1"/>
    <w:rsid w:val="00E70DE7"/>
    <w:rsid w:val="00E72759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4FFC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10DC"/>
    <w:rsid w:val="00FB4668"/>
    <w:rsid w:val="00FB5253"/>
    <w:rsid w:val="00FC25A2"/>
    <w:rsid w:val="00FC2D11"/>
    <w:rsid w:val="00FC2E03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E03F61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E03F61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cardio.org/Guidelines/Clinical-Practice-Guidelines/Acute-Myocardial-Infarction-in-patients-presenting-with-ST-segment-elevation-M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8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or.org.uk/national-cardiac-audit-programme/data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ademic.oup.com/eurheartj/article/42/14/1289/589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2021-08-18T12:14:00Z</dcterms:created>
  <dcterms:modified xsi:type="dcterms:W3CDTF">2021-08-27T10:28:00Z</dcterms:modified>
</cp:coreProperties>
</file>