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48289ADF" w:rsidR="009B0E59" w:rsidRPr="009B0E59" w:rsidRDefault="009B0E59" w:rsidP="00363276">
      <w:pPr>
        <w:pStyle w:val="Heading3"/>
        <w:rPr>
          <w:lang w:eastAsia="en-GB"/>
        </w:rPr>
      </w:pPr>
      <w:r w:rsidRPr="009B0E59">
        <w:rPr>
          <w:lang w:eastAsia="en-GB"/>
        </w:rPr>
        <w:t xml:space="preserve">Indicator </w:t>
      </w:r>
      <w:r w:rsidR="00A50AE1">
        <w:rPr>
          <w:lang w:eastAsia="en-GB"/>
        </w:rPr>
        <w:t>CCG94</w:t>
      </w:r>
    </w:p>
    <w:p w14:paraId="035F8373" w14:textId="43ED2E4B" w:rsidR="009B0E59" w:rsidRDefault="00596D93" w:rsidP="009B0E59">
      <w:pPr>
        <w:pStyle w:val="Paragraph"/>
        <w:rPr>
          <w:lang w:eastAsia="en-GB"/>
        </w:rPr>
      </w:pPr>
      <w:r w:rsidRPr="00596D93">
        <w:rPr>
          <w:lang w:eastAsia="en-GB"/>
        </w:rPr>
        <w:t>The proportion of patients with acute myocardial infarction with measurement of left ventricular ejection fraction before discharge.</w:t>
      </w:r>
    </w:p>
    <w:p w14:paraId="7C25BFBC" w14:textId="6384F6FD" w:rsidR="007136A7" w:rsidRDefault="002338EB" w:rsidP="00363276">
      <w:pPr>
        <w:pStyle w:val="Heading3"/>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3D266CF4" w:rsidR="002338EB" w:rsidRPr="0086398D" w:rsidRDefault="002338EB" w:rsidP="0086398D">
            <w:pPr>
              <w:spacing w:before="120" w:after="120"/>
              <w:rPr>
                <w:rFonts w:ascii="Arial" w:hAnsi="Arial" w:cs="Arial"/>
                <w:sz w:val="22"/>
                <w:szCs w:val="22"/>
              </w:rPr>
            </w:pPr>
            <w:r w:rsidRPr="0086398D">
              <w:rPr>
                <w:rFonts w:ascii="Arial" w:hAnsi="Arial" w:cs="Arial"/>
                <w:sz w:val="22"/>
                <w:szCs w:val="22"/>
              </w:rPr>
              <w:t xml:space="preserve">The </w:t>
            </w:r>
            <w:hyperlink r:id="rId7" w:history="1">
              <w:r w:rsidRPr="0086398D">
                <w:rPr>
                  <w:rFonts w:ascii="Arial" w:hAnsi="Arial" w:cs="Arial"/>
                  <w:color w:val="0000FF"/>
                  <w:sz w:val="22"/>
                  <w:szCs w:val="22"/>
                  <w:u w:val="single"/>
                </w:rPr>
                <w:t>NHS Long Term Plan</w:t>
              </w:r>
            </w:hyperlink>
            <w:r w:rsidRPr="0086398D">
              <w:rPr>
                <w:rFonts w:ascii="Arial" w:hAnsi="Arial" w:cs="Arial"/>
                <w:sz w:val="22"/>
                <w:szCs w:val="22"/>
              </w:rPr>
              <w:t xml:space="preserve"> identifies cardiovascular disease as a clinical priority, and the single biggest condition where lives can be saved by the NHS over the next 10 years. </w:t>
            </w:r>
          </w:p>
        </w:tc>
        <w:tc>
          <w:tcPr>
            <w:tcW w:w="3118" w:type="dxa"/>
          </w:tcPr>
          <w:p w14:paraId="062E903B" w14:textId="19F53F68" w:rsidR="002338EB" w:rsidRPr="0086398D" w:rsidRDefault="002338EB" w:rsidP="0086398D">
            <w:pPr>
              <w:spacing w:before="120" w:after="120"/>
              <w:rPr>
                <w:rFonts w:ascii="Arial" w:hAnsi="Arial" w:cs="Arial"/>
                <w:sz w:val="22"/>
                <w:szCs w:val="22"/>
                <w:lang w:val="en-US"/>
              </w:rPr>
            </w:pPr>
            <w:r w:rsidRPr="0086398D">
              <w:rPr>
                <w:rFonts w:ascii="Arial" w:hAnsi="Arial" w:cs="Arial"/>
                <w:sz w:val="22"/>
                <w:szCs w:val="22"/>
                <w:lang w:val="en-US"/>
              </w:rPr>
              <w:t>The indicator reflects a specific priority area identified by NHS England.</w:t>
            </w:r>
          </w:p>
          <w:p w14:paraId="272CA0EC" w14:textId="77777777" w:rsidR="002338EB" w:rsidRPr="0086398D" w:rsidRDefault="002338EB" w:rsidP="0086398D">
            <w:pPr>
              <w:spacing w:before="120" w:after="120"/>
              <w:rPr>
                <w:rFonts w:ascii="Arial" w:hAnsi="Arial" w:cs="Arial"/>
                <w:sz w:val="22"/>
                <w:szCs w:val="22"/>
              </w:rPr>
            </w:pPr>
          </w:p>
        </w:tc>
      </w:tr>
      <w:tr w:rsidR="00735337" w14:paraId="2E2CE1C4" w14:textId="77777777" w:rsidTr="002338EB">
        <w:tc>
          <w:tcPr>
            <w:tcW w:w="5949" w:type="dxa"/>
          </w:tcPr>
          <w:p w14:paraId="378D38FD" w14:textId="6ABE0FA9" w:rsidR="00735337" w:rsidRPr="0015193E" w:rsidRDefault="009873E8" w:rsidP="0086398D">
            <w:pPr>
              <w:spacing w:before="120" w:after="120"/>
              <w:rPr>
                <w:rFonts w:ascii="Arial" w:hAnsi="Arial" w:cs="Arial"/>
                <w:sz w:val="22"/>
                <w:szCs w:val="22"/>
              </w:rPr>
            </w:pPr>
            <w:hyperlink r:id="rId8" w:history="1">
              <w:r w:rsidR="007F00CC" w:rsidRPr="007F00CC">
                <w:rPr>
                  <w:rStyle w:val="Hyperlink"/>
                  <w:rFonts w:ascii="Arial" w:hAnsi="Arial" w:cs="Arial"/>
                  <w:sz w:val="22"/>
                  <w:szCs w:val="22"/>
                </w:rPr>
                <w:t xml:space="preserve">Analysis of MINAP data by </w:t>
              </w:r>
              <w:r w:rsidR="001E665D" w:rsidRPr="007F00CC">
                <w:rPr>
                  <w:rStyle w:val="Hyperlink"/>
                  <w:rFonts w:ascii="Arial" w:hAnsi="Arial" w:cs="Arial"/>
                  <w:sz w:val="22"/>
                  <w:szCs w:val="22"/>
                </w:rPr>
                <w:t>Bebb</w:t>
              </w:r>
              <w:r w:rsidR="00763D8F" w:rsidRPr="007F00CC">
                <w:rPr>
                  <w:rStyle w:val="Hyperlink"/>
                  <w:rFonts w:ascii="Arial" w:hAnsi="Arial" w:cs="Arial"/>
                  <w:sz w:val="22"/>
                  <w:szCs w:val="22"/>
                </w:rPr>
                <w:t>, Hall</w:t>
              </w:r>
              <w:r w:rsidR="001E665D" w:rsidRPr="007F00CC">
                <w:rPr>
                  <w:rStyle w:val="Hyperlink"/>
                  <w:rFonts w:ascii="Arial" w:hAnsi="Arial" w:cs="Arial"/>
                  <w:sz w:val="22"/>
                  <w:szCs w:val="22"/>
                </w:rPr>
                <w:t xml:space="preserve"> et al</w:t>
              </w:r>
            </w:hyperlink>
            <w:r w:rsidR="00763D8F" w:rsidRPr="007F00CC">
              <w:rPr>
                <w:rFonts w:ascii="Arial" w:hAnsi="Arial" w:cs="Arial"/>
                <w:sz w:val="22"/>
                <w:szCs w:val="22"/>
              </w:rPr>
              <w:t>.</w:t>
            </w:r>
            <w:r w:rsidR="007F00CC">
              <w:rPr>
                <w:rFonts w:ascii="Arial" w:hAnsi="Arial" w:cs="Arial"/>
                <w:sz w:val="22"/>
                <w:szCs w:val="22"/>
              </w:rPr>
              <w:t xml:space="preserve"> </w:t>
            </w:r>
            <w:r w:rsidR="00763D8F" w:rsidRPr="007F00CC">
              <w:rPr>
                <w:rStyle w:val="Hyperlink"/>
                <w:rFonts w:ascii="Arial" w:hAnsi="Arial" w:cs="Arial"/>
                <w:color w:val="auto"/>
                <w:sz w:val="22"/>
                <w:szCs w:val="22"/>
                <w:u w:val="none"/>
              </w:rPr>
              <w:t>(2017)</w:t>
            </w:r>
            <w:r w:rsidR="001E665D" w:rsidRPr="007F00CC">
              <w:rPr>
                <w:rFonts w:ascii="Arial" w:hAnsi="Arial" w:cs="Arial"/>
                <w:sz w:val="22"/>
                <w:szCs w:val="22"/>
              </w:rPr>
              <w:t xml:space="preserve"> </w:t>
            </w:r>
            <w:r w:rsidR="00596D93" w:rsidRPr="00596D93">
              <w:rPr>
                <w:rFonts w:ascii="Arial" w:hAnsi="Arial" w:cs="Arial"/>
                <w:sz w:val="22"/>
                <w:szCs w:val="22"/>
              </w:rPr>
              <w:t>found that nationally 54.5% of AMI patients have left ventricular (LV) function recorded in their notes. Hospital variation showed a median achievement of 54.7% (interquartile range [IQR] 32.7 – 73.2%).</w:t>
            </w:r>
            <w:r w:rsidR="00596D93">
              <w:t xml:space="preserve"> </w:t>
            </w:r>
            <w:r w:rsidR="00596D93" w:rsidRPr="00596D93">
              <w:rPr>
                <w:rFonts w:ascii="Arial" w:hAnsi="Arial" w:cs="Arial"/>
                <w:sz w:val="22"/>
                <w:szCs w:val="22"/>
              </w:rPr>
              <w:t>Analysis of MINAP data shows that recording LV function in patient notes is inversely associated with 30-day mortality: odds ratio (95% CI) 0.56 (0.53, 0.58) p&lt;0.001</w:t>
            </w:r>
            <w:r w:rsidR="00596D93">
              <w:rPr>
                <w:rFonts w:ascii="Arial" w:hAnsi="Arial" w:cs="Arial"/>
                <w:sz w:val="22"/>
                <w:szCs w:val="22"/>
              </w:rPr>
              <w:t>.</w:t>
            </w:r>
          </w:p>
        </w:tc>
        <w:tc>
          <w:tcPr>
            <w:tcW w:w="3118" w:type="dxa"/>
          </w:tcPr>
          <w:p w14:paraId="46DD3EED" w14:textId="77777777" w:rsidR="001E665D" w:rsidRPr="0086398D" w:rsidRDefault="001E665D" w:rsidP="0086398D">
            <w:pPr>
              <w:spacing w:before="120" w:after="120"/>
              <w:rPr>
                <w:rFonts w:ascii="Arial" w:hAnsi="Arial" w:cs="Arial"/>
                <w:color w:val="000000"/>
                <w:kern w:val="24"/>
                <w:sz w:val="22"/>
                <w:szCs w:val="22"/>
                <w:lang w:val="en-US"/>
              </w:rPr>
            </w:pPr>
            <w:r w:rsidRPr="0086398D">
              <w:rPr>
                <w:rFonts w:ascii="Arial" w:hAnsi="Arial" w:cs="Arial"/>
                <w:color w:val="000000"/>
                <w:kern w:val="24"/>
                <w:sz w:val="22"/>
                <w:szCs w:val="22"/>
                <w:lang w:val="en-US"/>
              </w:rPr>
              <w:t>The indicator relates to an area where there is known variation in practice.</w:t>
            </w:r>
          </w:p>
          <w:p w14:paraId="3FD01E72" w14:textId="30C3F77F" w:rsidR="00735337" w:rsidRPr="0086398D" w:rsidRDefault="001E665D" w:rsidP="0086398D">
            <w:pPr>
              <w:spacing w:before="120" w:after="120"/>
              <w:rPr>
                <w:rFonts w:ascii="Arial" w:hAnsi="Arial" w:cs="Arial"/>
                <w:sz w:val="22"/>
                <w:szCs w:val="22"/>
                <w:highlight w:val="lightGray"/>
              </w:rPr>
            </w:pPr>
            <w:r w:rsidRPr="0086398D">
              <w:rPr>
                <w:rFonts w:ascii="Arial" w:hAnsi="Arial" w:cs="Arial"/>
                <w:color w:val="000000"/>
                <w:kern w:val="24"/>
                <w:sz w:val="22"/>
                <w:szCs w:val="22"/>
                <w:lang w:val="en-US"/>
              </w:rPr>
              <w:t>The indicator addresses under-treatment.</w:t>
            </w:r>
          </w:p>
        </w:tc>
      </w:tr>
      <w:tr w:rsidR="00735337" w14:paraId="373D8AA4" w14:textId="77777777" w:rsidTr="002338EB">
        <w:tc>
          <w:tcPr>
            <w:tcW w:w="5949" w:type="dxa"/>
          </w:tcPr>
          <w:p w14:paraId="3F52617B" w14:textId="59FCF670" w:rsidR="001E665D" w:rsidRPr="00763D8F" w:rsidRDefault="009873E8" w:rsidP="0086398D">
            <w:pPr>
              <w:spacing w:before="120" w:after="120"/>
              <w:rPr>
                <w:rFonts w:ascii="Arial" w:hAnsi="Arial" w:cs="Arial"/>
                <w:sz w:val="22"/>
                <w:szCs w:val="22"/>
              </w:rPr>
            </w:pPr>
            <w:hyperlink r:id="rId9" w:history="1">
              <w:r w:rsidR="00763D8F" w:rsidRPr="00763D8F">
                <w:rPr>
                  <w:rStyle w:val="Hyperlink"/>
                  <w:rFonts w:ascii="Arial" w:hAnsi="Arial" w:cs="Arial"/>
                  <w:sz w:val="22"/>
                  <w:szCs w:val="22"/>
                </w:rPr>
                <w:t>The Acute Cardiovascular Care Association’s (ACCA) position paper on quality indicators for myocardial infarction</w:t>
              </w:r>
            </w:hyperlink>
            <w:r w:rsidR="00763D8F">
              <w:rPr>
                <w:rFonts w:ascii="Arial" w:hAnsi="Arial" w:cs="Arial"/>
                <w:sz w:val="22"/>
                <w:szCs w:val="22"/>
              </w:rPr>
              <w:t xml:space="preserve"> (2017)</w:t>
            </w:r>
            <w:r w:rsidR="00763D8F" w:rsidRPr="00763D8F">
              <w:rPr>
                <w:rFonts w:ascii="Arial" w:hAnsi="Arial" w:cs="Arial"/>
                <w:sz w:val="22"/>
                <w:szCs w:val="22"/>
              </w:rPr>
              <w:t xml:space="preserve"> writes that </w:t>
            </w:r>
            <w:r w:rsidR="00596D93">
              <w:rPr>
                <w:rFonts w:ascii="Arial" w:hAnsi="Arial" w:cs="Arial"/>
                <w:sz w:val="22"/>
                <w:szCs w:val="22"/>
              </w:rPr>
              <w:t>c</w:t>
            </w:r>
            <w:r w:rsidR="00596D93" w:rsidRPr="00596D93">
              <w:rPr>
                <w:rFonts w:ascii="Arial" w:hAnsi="Arial" w:cs="Arial"/>
                <w:sz w:val="22"/>
                <w:szCs w:val="22"/>
              </w:rPr>
              <w:t xml:space="preserve">linical outcomes following AMI are highly variable due to differing baseline clinical risk levels. Risk assessment is a key step in management of AMI patients, including the assessment of left ventricular function to identify those who would benefit from additional treatments. Left ventricular systolic dysfunction is a predictor of heart failure and ventricular arrhythmia and those identified with reduced left ventricular ejection fraction (LVEF) require specific medical treatment, tailored clinical investigations and </w:t>
            </w:r>
            <w:r w:rsidR="00596D93">
              <w:rPr>
                <w:rFonts w:ascii="Arial" w:hAnsi="Arial" w:cs="Arial"/>
                <w:sz w:val="22"/>
                <w:szCs w:val="22"/>
              </w:rPr>
              <w:t>review.</w:t>
            </w:r>
          </w:p>
          <w:p w14:paraId="40A2EA38" w14:textId="0A18FF12" w:rsidR="00735337" w:rsidRPr="0086398D" w:rsidRDefault="00763D8F" w:rsidP="0086398D">
            <w:pPr>
              <w:spacing w:before="120" w:after="120"/>
              <w:rPr>
                <w:rFonts w:ascii="Arial" w:hAnsi="Arial" w:cs="Arial"/>
                <w:sz w:val="22"/>
                <w:szCs w:val="22"/>
              </w:rPr>
            </w:pPr>
            <w:r>
              <w:rPr>
                <w:rFonts w:ascii="Arial" w:hAnsi="Arial" w:cs="Arial"/>
                <w:sz w:val="22"/>
                <w:szCs w:val="22"/>
              </w:rPr>
              <w:t>ACCA</w:t>
            </w:r>
            <w:r w:rsidR="001E665D" w:rsidRPr="0086398D">
              <w:rPr>
                <w:rFonts w:ascii="Arial" w:hAnsi="Arial" w:cs="Arial"/>
                <w:sz w:val="22"/>
                <w:szCs w:val="22"/>
              </w:rPr>
              <w:t xml:space="preserve"> considers this quality indicator an essential element for assessment.</w:t>
            </w:r>
          </w:p>
        </w:tc>
        <w:tc>
          <w:tcPr>
            <w:tcW w:w="3118" w:type="dxa"/>
          </w:tcPr>
          <w:p w14:paraId="380FC230" w14:textId="77777777" w:rsidR="00735337" w:rsidRPr="0086398D" w:rsidRDefault="00735337" w:rsidP="0086398D">
            <w:pPr>
              <w:spacing w:before="120" w:after="120"/>
              <w:rPr>
                <w:rFonts w:ascii="Arial" w:hAnsi="Arial"/>
                <w:sz w:val="22"/>
                <w:szCs w:val="22"/>
                <w:lang w:val="en-US"/>
              </w:rPr>
            </w:pPr>
            <w:r w:rsidRPr="0086398D">
              <w:rPr>
                <w:rFonts w:ascii="Arial" w:hAnsi="Arial"/>
                <w:sz w:val="22"/>
                <w:szCs w:val="22"/>
                <w:lang w:val="en-US"/>
              </w:rPr>
              <w:t>The indicator will lead to a meaningful improvement in patient outcomes.</w:t>
            </w:r>
          </w:p>
          <w:p w14:paraId="45004AAC" w14:textId="77777777" w:rsidR="00735337" w:rsidRPr="0086398D" w:rsidRDefault="00735337" w:rsidP="0086398D">
            <w:pPr>
              <w:spacing w:before="120" w:after="120"/>
              <w:rPr>
                <w:rFonts w:ascii="Arial" w:hAnsi="Arial" w:cs="Arial"/>
                <w:color w:val="000000"/>
                <w:kern w:val="24"/>
                <w:sz w:val="22"/>
                <w:szCs w:val="22"/>
                <w:lang w:val="en-US"/>
              </w:rPr>
            </w:pPr>
          </w:p>
        </w:tc>
      </w:tr>
      <w:bookmarkEnd w:id="1"/>
    </w:tbl>
    <w:p w14:paraId="7408AD42" w14:textId="77777777" w:rsidR="002338EB" w:rsidRDefault="002338EB" w:rsidP="00A50AE1">
      <w:pPr>
        <w:pStyle w:val="Paragraphnonumbers"/>
      </w:pPr>
    </w:p>
    <w:p w14:paraId="5BA69987" w14:textId="6FA6FB6E" w:rsidR="002338EB" w:rsidRDefault="002338EB" w:rsidP="00735337">
      <w:pPr>
        <w:pStyle w:val="Heading3"/>
      </w:pPr>
      <w:r>
        <w:lastRenderedPageBreak/>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rsidRPr="0086398D" w14:paraId="7862F909" w14:textId="77777777" w:rsidTr="001C517D">
        <w:tc>
          <w:tcPr>
            <w:tcW w:w="5949" w:type="dxa"/>
          </w:tcPr>
          <w:p w14:paraId="11FD5E6A" w14:textId="30A53AF5" w:rsidR="001E665D" w:rsidRPr="0086398D" w:rsidRDefault="009873E8" w:rsidP="0086398D">
            <w:pPr>
              <w:spacing w:before="120" w:after="120"/>
              <w:rPr>
                <w:rFonts w:ascii="Arial" w:hAnsi="Arial" w:cs="Arial"/>
                <w:sz w:val="22"/>
                <w:szCs w:val="22"/>
              </w:rPr>
            </w:pPr>
            <w:hyperlink r:id="rId10" w:history="1">
              <w:r w:rsidR="001E665D" w:rsidRPr="00763D8F">
                <w:rPr>
                  <w:rStyle w:val="Hyperlink"/>
                  <w:rFonts w:ascii="Arial" w:hAnsi="Arial" w:cs="Arial"/>
                  <w:sz w:val="22"/>
                  <w:szCs w:val="22"/>
                </w:rPr>
                <w:t>Acute coronary syndromes. NICE guideline NG185</w:t>
              </w:r>
            </w:hyperlink>
            <w:r w:rsidR="001E665D" w:rsidRPr="0086398D">
              <w:rPr>
                <w:rFonts w:ascii="Arial" w:hAnsi="Arial" w:cs="Arial"/>
                <w:sz w:val="22"/>
                <w:szCs w:val="22"/>
              </w:rPr>
              <w:t xml:space="preserve"> (2020), recommendation 1.1.</w:t>
            </w:r>
            <w:r w:rsidR="0015193E">
              <w:rPr>
                <w:rFonts w:ascii="Arial" w:hAnsi="Arial" w:cs="Arial"/>
                <w:sz w:val="22"/>
                <w:szCs w:val="22"/>
              </w:rPr>
              <w:t>27 and 1.2.26.</w:t>
            </w:r>
          </w:p>
          <w:bookmarkStart w:id="2" w:name="_Hlk77249391"/>
          <w:p w14:paraId="7E38D12D" w14:textId="77777777" w:rsidR="002338EB" w:rsidRDefault="00763D8F" w:rsidP="0086398D">
            <w:pPr>
              <w:spacing w:before="120" w:after="12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"https://www.escardio.org/Guidelines/Clinical-Practice-Guidelines/Acute-Myocardial-Infarction-in-patients-presenting-with-ST-segment-elevation-Ma" </w:instrText>
            </w:r>
            <w:r>
              <w:rPr>
                <w:rFonts w:ascii="Arial" w:hAnsi="Arial" w:cs="Arial"/>
                <w:sz w:val="22"/>
                <w:szCs w:val="22"/>
              </w:rPr>
              <w:fldChar w:fldCharType="separate"/>
            </w:r>
            <w:r w:rsidRPr="00763D8F">
              <w:rPr>
                <w:rStyle w:val="Hyperlink"/>
                <w:rFonts w:ascii="Arial" w:hAnsi="Arial" w:cs="Arial"/>
                <w:sz w:val="22"/>
                <w:szCs w:val="22"/>
              </w:rPr>
              <w:t xml:space="preserve">European Society of Cardiology. </w:t>
            </w:r>
            <w:r w:rsidR="001E665D" w:rsidRPr="00763D8F">
              <w:rPr>
                <w:rStyle w:val="Hyperlink"/>
                <w:rFonts w:ascii="Arial" w:hAnsi="Arial" w:cs="Arial"/>
                <w:sz w:val="22"/>
                <w:szCs w:val="22"/>
              </w:rPr>
              <w:t>ESC Guidelines for the management of acute myocardial infarction in patients presenting with ST-segment elevation</w:t>
            </w:r>
            <w:r>
              <w:rPr>
                <w:rFonts w:ascii="Arial" w:hAnsi="Arial" w:cs="Arial"/>
                <w:sz w:val="22"/>
                <w:szCs w:val="22"/>
              </w:rPr>
              <w:fldChar w:fldCharType="end"/>
            </w:r>
            <w:r w:rsidR="001E665D" w:rsidRPr="0086398D">
              <w:rPr>
                <w:rFonts w:ascii="Arial" w:hAnsi="Arial" w:cs="Arial"/>
                <w:sz w:val="22"/>
                <w:szCs w:val="22"/>
              </w:rPr>
              <w:t xml:space="preserve"> (2017)</w:t>
            </w:r>
            <w:bookmarkEnd w:id="2"/>
            <w:r w:rsidR="0015193E">
              <w:rPr>
                <w:rFonts w:ascii="Arial" w:hAnsi="Arial" w:cs="Arial"/>
                <w:sz w:val="22"/>
                <w:szCs w:val="22"/>
              </w:rPr>
              <w:t>.</w:t>
            </w:r>
            <w:r w:rsidR="001E665D" w:rsidRPr="0086398D">
              <w:rPr>
                <w:rFonts w:ascii="Arial" w:hAnsi="Arial" w:cs="Arial"/>
                <w:sz w:val="22"/>
                <w:szCs w:val="22"/>
              </w:rPr>
              <w:t xml:space="preserve"> (Class I Level </w:t>
            </w:r>
            <w:r w:rsidR="0015193E">
              <w:rPr>
                <w:rFonts w:ascii="Arial" w:hAnsi="Arial" w:cs="Arial"/>
                <w:sz w:val="22"/>
                <w:szCs w:val="22"/>
              </w:rPr>
              <w:t>C</w:t>
            </w:r>
            <w:r w:rsidR="001E665D" w:rsidRPr="0086398D">
              <w:rPr>
                <w:rFonts w:ascii="Arial" w:hAnsi="Arial" w:cs="Arial"/>
                <w:sz w:val="22"/>
                <w:szCs w:val="22"/>
              </w:rPr>
              <w:t>).</w:t>
            </w:r>
          </w:p>
          <w:p w14:paraId="1841750B" w14:textId="69F102E9" w:rsidR="0015193E" w:rsidRPr="0073113B" w:rsidRDefault="009873E8" w:rsidP="0015193E">
            <w:pPr>
              <w:spacing w:before="120" w:after="120"/>
              <w:rPr>
                <w:rFonts w:ascii="Arial" w:hAnsi="Arial" w:cs="Arial"/>
                <w:sz w:val="22"/>
                <w:szCs w:val="22"/>
              </w:rPr>
            </w:pPr>
            <w:hyperlink r:id="rId11" w:anchor="108782014" w:history="1">
              <w:r w:rsidR="0015193E" w:rsidRPr="0015193E">
                <w:rPr>
                  <w:rStyle w:val="Hyperlink"/>
                  <w:rFonts w:ascii="Arial" w:hAnsi="Arial" w:cs="Arial"/>
                  <w:sz w:val="22"/>
                  <w:szCs w:val="22"/>
                </w:rPr>
                <w:t>European Society of Cardiology. ESC Guidelines for the management of acute coronary syndromes in patients presenting without persistent ST-segment elevation</w:t>
              </w:r>
            </w:hyperlink>
            <w:r w:rsidR="0015193E">
              <w:rPr>
                <w:rFonts w:ascii="Arial" w:hAnsi="Arial" w:cs="Arial"/>
                <w:sz w:val="22"/>
                <w:szCs w:val="22"/>
              </w:rPr>
              <w:t xml:space="preserve"> (20</w:t>
            </w:r>
            <w:r w:rsidR="00C352F7">
              <w:rPr>
                <w:rFonts w:ascii="Arial" w:hAnsi="Arial" w:cs="Arial"/>
                <w:sz w:val="22"/>
                <w:szCs w:val="22"/>
              </w:rPr>
              <w:t>20</w:t>
            </w:r>
            <w:r w:rsidR="0015193E">
              <w:rPr>
                <w:rFonts w:ascii="Arial" w:hAnsi="Arial" w:cs="Arial"/>
                <w:sz w:val="22"/>
                <w:szCs w:val="22"/>
              </w:rPr>
              <w:t>) (class I C).</w:t>
            </w:r>
          </w:p>
          <w:p w14:paraId="1359C26D" w14:textId="5441DFF0" w:rsidR="0015193E" w:rsidRPr="0086398D" w:rsidRDefault="0015193E" w:rsidP="0086398D">
            <w:pPr>
              <w:spacing w:before="120" w:after="120"/>
              <w:rPr>
                <w:rFonts w:ascii="Arial" w:hAnsi="Arial" w:cs="Arial"/>
                <w:sz w:val="22"/>
                <w:szCs w:val="22"/>
              </w:rPr>
            </w:pPr>
          </w:p>
        </w:tc>
        <w:tc>
          <w:tcPr>
            <w:tcW w:w="3118" w:type="dxa"/>
          </w:tcPr>
          <w:p w14:paraId="11574C0C" w14:textId="77777777" w:rsidR="001E665D" w:rsidRPr="0086398D" w:rsidRDefault="001E665D" w:rsidP="0086398D">
            <w:pPr>
              <w:spacing w:before="120" w:after="120"/>
              <w:rPr>
                <w:rFonts w:ascii="Arial" w:eastAsiaTheme="minorEastAsia" w:hAnsi="Arial" w:cs="Arial"/>
                <w:color w:val="000000" w:themeColor="dark1"/>
                <w:kern w:val="24"/>
                <w:sz w:val="22"/>
                <w:szCs w:val="22"/>
                <w:lang w:val="en-US"/>
              </w:rPr>
            </w:pPr>
            <w:r w:rsidRPr="0086398D">
              <w:rPr>
                <w:rFonts w:ascii="Arial" w:eastAsiaTheme="minorEastAsia" w:hAnsi="Arial" w:cs="Arial"/>
                <w:color w:val="000000" w:themeColor="dark1"/>
                <w:kern w:val="24"/>
                <w:sz w:val="22"/>
                <w:szCs w:val="22"/>
                <w:lang w:val="en-US"/>
              </w:rPr>
              <w:t xml:space="preserve">The indicator is derived from a high-quality evidence base. </w:t>
            </w:r>
          </w:p>
          <w:p w14:paraId="75848804" w14:textId="5D0D1132" w:rsidR="002338EB" w:rsidRPr="0086398D" w:rsidRDefault="001E665D" w:rsidP="0086398D">
            <w:pPr>
              <w:spacing w:before="120" w:after="120"/>
              <w:rPr>
                <w:rFonts w:ascii="Arial" w:hAnsi="Arial"/>
                <w:sz w:val="22"/>
                <w:highlight w:val="lightGray"/>
              </w:rPr>
            </w:pPr>
            <w:r w:rsidRPr="0086398D">
              <w:rPr>
                <w:rFonts w:ascii="Arial" w:eastAsiaTheme="minorEastAsia" w:hAnsi="Arial" w:cs="Arial"/>
                <w:color w:val="000000" w:themeColor="dark1"/>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735337">
      <w:pPr>
        <w:pStyle w:val="Heading3"/>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ABEFABA" w14:textId="238367D7"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Numerator: </w:t>
            </w:r>
            <w:r w:rsidR="0052364C" w:rsidRPr="0086398D">
              <w:rPr>
                <w:rFonts w:ascii="Arial" w:hAnsi="Arial" w:cs="Arial"/>
                <w:color w:val="000000"/>
                <w:kern w:val="24"/>
                <w:sz w:val="22"/>
                <w:szCs w:val="22"/>
              </w:rPr>
              <w:t>T</w:t>
            </w:r>
            <w:r w:rsidR="0052364C" w:rsidRPr="0086398D">
              <w:rPr>
                <w:rFonts w:ascii="Arial" w:hAnsi="Arial"/>
                <w:color w:val="000000"/>
                <w:kern w:val="24"/>
                <w:sz w:val="22"/>
              </w:rPr>
              <w:t xml:space="preserve">he number of patients in the denominator who </w:t>
            </w:r>
            <w:r w:rsidR="0015193E">
              <w:rPr>
                <w:rFonts w:ascii="Arial" w:hAnsi="Arial"/>
                <w:color w:val="000000"/>
                <w:kern w:val="24"/>
                <w:sz w:val="22"/>
              </w:rPr>
              <w:t>had LVEF measured before discharge.</w:t>
            </w:r>
          </w:p>
          <w:p w14:paraId="424261B6" w14:textId="6A93CB54"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Denominator: </w:t>
            </w:r>
            <w:r w:rsidR="0052364C" w:rsidRPr="0086398D">
              <w:rPr>
                <w:rFonts w:ascii="Arial" w:hAnsi="Arial" w:cs="Arial"/>
                <w:color w:val="000000"/>
                <w:kern w:val="24"/>
                <w:sz w:val="22"/>
                <w:szCs w:val="22"/>
              </w:rPr>
              <w:t xml:space="preserve">The number of patients </w:t>
            </w:r>
            <w:r w:rsidR="00227A15" w:rsidRPr="00227A15">
              <w:rPr>
                <w:rFonts w:ascii="Arial" w:hAnsi="Arial" w:cs="Arial"/>
                <w:color w:val="000000"/>
                <w:kern w:val="24"/>
                <w:sz w:val="22"/>
                <w:szCs w:val="22"/>
              </w:rPr>
              <w:t>discharged from hospital following an admission with acute myocardial infarction.</w:t>
            </w:r>
          </w:p>
          <w:p w14:paraId="50F69748" w14:textId="11808BAF" w:rsidR="0052364C" w:rsidRPr="0086398D" w:rsidRDefault="0052364C"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Exclusions: Patients </w:t>
            </w:r>
            <w:r w:rsidR="00227A15">
              <w:rPr>
                <w:rFonts w:ascii="Arial" w:hAnsi="Arial" w:cs="Arial"/>
                <w:color w:val="000000"/>
                <w:kern w:val="24"/>
                <w:sz w:val="22"/>
                <w:szCs w:val="22"/>
              </w:rPr>
              <w:t xml:space="preserve">who died in hospital. </w:t>
            </w:r>
          </w:p>
          <w:p w14:paraId="1A8C1D16" w14:textId="5DEC032B" w:rsidR="00735337" w:rsidRPr="0086398D" w:rsidRDefault="00735337" w:rsidP="0086398D">
            <w:pPr>
              <w:spacing w:before="120" w:after="120"/>
              <w:rPr>
                <w:rFonts w:ascii="Arial" w:hAnsi="Arial"/>
                <w:sz w:val="22"/>
                <w:highlight w:val="lightGray"/>
              </w:rPr>
            </w:pPr>
          </w:p>
        </w:tc>
        <w:tc>
          <w:tcPr>
            <w:tcW w:w="3118" w:type="dxa"/>
          </w:tcPr>
          <w:p w14:paraId="1439227D" w14:textId="5A1A009F"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The indicator has defined components necessary to construct the indicator, including numerator, denominator and exclusions.</w:t>
            </w:r>
          </w:p>
          <w:p w14:paraId="0C449702" w14:textId="7475B426" w:rsidR="002338EB" w:rsidRPr="0086398D" w:rsidRDefault="00DE6021" w:rsidP="0086398D">
            <w:pPr>
              <w:spacing w:before="120" w:after="120"/>
              <w:rPr>
                <w:rFonts w:ascii="Arial" w:hAnsi="Arial"/>
                <w:sz w:val="22"/>
                <w:highlight w:val="lightGray"/>
              </w:rPr>
            </w:pPr>
            <w:r w:rsidRPr="0086398D">
              <w:rPr>
                <w:rFonts w:ascii="Arial" w:hAnsi="Arial"/>
                <w:sz w:val="22"/>
              </w:rPr>
              <w:t>The construction proposed by the ESC ACCA has been adapted for publication on the NICE menu of indicators.</w:t>
            </w:r>
          </w:p>
        </w:tc>
      </w:tr>
      <w:tr w:rsidR="002338EB" w14:paraId="48133640" w14:textId="77777777" w:rsidTr="001C517D">
        <w:tc>
          <w:tcPr>
            <w:tcW w:w="5949" w:type="dxa"/>
          </w:tcPr>
          <w:p w14:paraId="0CE94C93" w14:textId="77777777" w:rsidR="00DE6021" w:rsidRPr="0086398D" w:rsidRDefault="00DE6021"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Audit data is presented at hospital trust level. This is proposed to be a CCG level NICE menu indicator. </w:t>
            </w:r>
          </w:p>
          <w:p w14:paraId="76A8C59E" w14:textId="5DFCBAB3" w:rsidR="002338EB" w:rsidRPr="0086398D" w:rsidRDefault="00DE6021"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NICE CCG level indicators are intended for use where there is an average of 50 patients or more per CCG. </w:t>
            </w:r>
            <w:r w:rsidR="00227A15" w:rsidRPr="00227A15">
              <w:rPr>
                <w:rFonts w:ascii="Arial" w:hAnsi="Arial" w:cs="Arial"/>
                <w:color w:val="000000"/>
                <w:kern w:val="24"/>
                <w:sz w:val="22"/>
                <w:szCs w:val="22"/>
              </w:rPr>
              <w:t>Data presented as part of the study by Bebb et al (2017) based on the MINAP database for the period 2012 to 2013 shows 104,004 eligible patients and this indicates an average number of 770 patients per CCG (135 CCGs April 2020).</w:t>
            </w:r>
          </w:p>
          <w:p w14:paraId="4B4889E2" w14:textId="5217FBFE" w:rsidR="002C1326" w:rsidRPr="0086398D" w:rsidRDefault="002C1326" w:rsidP="0086398D">
            <w:pPr>
              <w:spacing w:before="120" w:after="120"/>
              <w:rPr>
                <w:rFonts w:ascii="Arial" w:hAnsi="Arial"/>
                <w:sz w:val="22"/>
                <w:highlight w:val="lightGray"/>
              </w:rPr>
            </w:pPr>
          </w:p>
        </w:tc>
        <w:tc>
          <w:tcPr>
            <w:tcW w:w="3118" w:type="dxa"/>
          </w:tcPr>
          <w:p w14:paraId="38DE6D48" w14:textId="3C8E953B" w:rsidR="002338EB" w:rsidRPr="0086398D" w:rsidRDefault="00DE6021" w:rsidP="0086398D">
            <w:pPr>
              <w:spacing w:before="120" w:after="120"/>
              <w:rPr>
                <w:rFonts w:ascii="Arial" w:hAnsi="Arial"/>
                <w:sz w:val="22"/>
                <w:highlight w:val="lightGray"/>
              </w:rPr>
            </w:pPr>
            <w:r w:rsidRPr="0086398D">
              <w:rPr>
                <w:rFonts w:ascii="Arial" w:hAnsi="Arial" w:cs="Arial"/>
                <w:color w:val="000000"/>
                <w:kern w:val="24"/>
                <w:sz w:val="22"/>
                <w:szCs w:val="22"/>
              </w:rPr>
              <w:t>The indicator does outline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735337">
      <w:pPr>
        <w:pStyle w:val="Heading3"/>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5BA6FF4D" w:rsidR="00735337" w:rsidRPr="0086398D" w:rsidRDefault="00735337" w:rsidP="0086398D">
            <w:pPr>
              <w:spacing w:before="120" w:after="120"/>
              <w:rPr>
                <w:rFonts w:ascii="Arial" w:hAnsi="Arial"/>
                <w:sz w:val="22"/>
              </w:rPr>
            </w:pPr>
            <w:r w:rsidRPr="0086398D">
              <w:rPr>
                <w:rFonts w:ascii="Arial" w:hAnsi="Arial" w:cs="Arial"/>
                <w:sz w:val="22"/>
                <w:szCs w:val="22"/>
              </w:rPr>
              <w:t xml:space="preserve">Data is collected annually as part of the </w:t>
            </w:r>
            <w:hyperlink r:id="rId12" w:history="1">
              <w:r w:rsidRPr="0086398D">
                <w:rPr>
                  <w:rFonts w:ascii="Arial" w:hAnsi="Arial" w:cs="Arial"/>
                  <w:color w:val="0000FF"/>
                  <w:sz w:val="22"/>
                  <w:szCs w:val="22"/>
                  <w:u w:val="single"/>
                </w:rPr>
                <w:t>Myocardial Ischaemia National Audit Project</w:t>
              </w:r>
            </w:hyperlink>
            <w:r w:rsidRPr="0086398D">
              <w:rPr>
                <w:rFonts w:ascii="Arial" w:hAnsi="Arial" w:cs="Arial"/>
                <w:color w:val="0000FF"/>
                <w:sz w:val="22"/>
                <w:szCs w:val="22"/>
                <w:u w:val="single"/>
              </w:rPr>
              <w:t>.</w:t>
            </w:r>
            <w:r w:rsidRPr="0086398D">
              <w:rPr>
                <w:rFonts w:ascii="Arial" w:hAnsi="Arial" w:cs="Arial"/>
                <w:sz w:val="22"/>
                <w:szCs w:val="22"/>
              </w:rPr>
              <w:t xml:space="preserve"> </w:t>
            </w:r>
          </w:p>
        </w:tc>
        <w:tc>
          <w:tcPr>
            <w:tcW w:w="3118" w:type="dxa"/>
          </w:tcPr>
          <w:p w14:paraId="7E07F302" w14:textId="5F984164"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The indicator is repeatable.</w:t>
            </w:r>
          </w:p>
          <w:p w14:paraId="3BEFE1B2" w14:textId="77777777" w:rsidR="00735337" w:rsidRPr="0086398D" w:rsidRDefault="00735337" w:rsidP="0086398D">
            <w:pPr>
              <w:spacing w:before="120" w:after="120"/>
              <w:rPr>
                <w:rFonts w:ascii="Arial" w:hAnsi="Arial"/>
                <w:sz w:val="22"/>
              </w:rPr>
            </w:pPr>
          </w:p>
        </w:tc>
      </w:tr>
      <w:tr w:rsidR="00735337" w14:paraId="2FE27CD6" w14:textId="77777777" w:rsidTr="001C517D">
        <w:tc>
          <w:tcPr>
            <w:tcW w:w="5949" w:type="dxa"/>
          </w:tcPr>
          <w:p w14:paraId="1FFD01BE" w14:textId="4DC833C5" w:rsidR="00DE6021" w:rsidRPr="0086398D" w:rsidRDefault="00DE6021" w:rsidP="0086398D">
            <w:pPr>
              <w:spacing w:before="120" w:after="120"/>
              <w:rPr>
                <w:rFonts w:ascii="Arial" w:hAnsi="Arial" w:cs="Arial"/>
                <w:sz w:val="22"/>
                <w:szCs w:val="22"/>
              </w:rPr>
            </w:pPr>
            <w:r w:rsidRPr="0086398D">
              <w:rPr>
                <w:rFonts w:ascii="Arial" w:hAnsi="Arial" w:cs="Arial"/>
                <w:sz w:val="22"/>
                <w:szCs w:val="22"/>
              </w:rPr>
              <w:lastRenderedPageBreak/>
              <w:t xml:space="preserve">Details of the MINAP dataset, including definitions of the variables and guidance on applying options are also published by </w:t>
            </w:r>
            <w:hyperlink r:id="rId13" w:history="1">
              <w:r w:rsidRPr="00E15426">
                <w:rPr>
                  <w:rStyle w:val="Hyperlink"/>
                  <w:rFonts w:ascii="Arial" w:hAnsi="Arial" w:cs="Arial"/>
                  <w:sz w:val="22"/>
                  <w:szCs w:val="22"/>
                </w:rPr>
                <w:t>National Institute for Cardiovascular Outcomes Research (NICOR).</w:t>
              </w:r>
            </w:hyperlink>
            <w:r w:rsidRPr="0086398D">
              <w:rPr>
                <w:rFonts w:ascii="Arial" w:hAnsi="Arial" w:cs="Arial"/>
                <w:sz w:val="22"/>
                <w:szCs w:val="22"/>
              </w:rPr>
              <w:t xml:space="preserve"> </w:t>
            </w:r>
          </w:p>
          <w:p w14:paraId="4838A227" w14:textId="77777777" w:rsidR="00DE6021" w:rsidRPr="0086398D" w:rsidRDefault="00DE6021" w:rsidP="0086398D">
            <w:pPr>
              <w:spacing w:before="120" w:after="120"/>
              <w:rPr>
                <w:rFonts w:ascii="Arial" w:hAnsi="Arial" w:cs="Arial"/>
                <w:sz w:val="22"/>
                <w:szCs w:val="22"/>
              </w:rPr>
            </w:pPr>
            <w:r w:rsidRPr="0086398D">
              <w:rPr>
                <w:rFonts w:ascii="Arial" w:hAnsi="Arial" w:cs="Arial"/>
                <w:sz w:val="22"/>
                <w:szCs w:val="22"/>
              </w:rPr>
              <w:t xml:space="preserve">Data fields collected include:  </w:t>
            </w:r>
          </w:p>
          <w:p w14:paraId="1825DECB" w14:textId="5D857BDE" w:rsidR="00735337" w:rsidRDefault="00227A15" w:rsidP="0086398D">
            <w:pPr>
              <w:pStyle w:val="ListParagraph"/>
              <w:numPr>
                <w:ilvl w:val="0"/>
                <w:numId w:val="42"/>
              </w:numPr>
              <w:spacing w:before="120" w:after="120"/>
              <w:rPr>
                <w:rFonts w:ascii="Arial" w:hAnsi="Arial" w:cs="Arial"/>
                <w:sz w:val="22"/>
                <w:szCs w:val="22"/>
              </w:rPr>
            </w:pPr>
            <w:r>
              <w:rPr>
                <w:rFonts w:ascii="Arial" w:hAnsi="Arial" w:cs="Arial"/>
                <w:sz w:val="22"/>
                <w:szCs w:val="22"/>
              </w:rPr>
              <w:t>Measurement of left ventricular ejection fraction and category (2.31)</w:t>
            </w:r>
          </w:p>
          <w:p w14:paraId="6B3D2BF0" w14:textId="0B9493C1" w:rsidR="00227A15" w:rsidRPr="0086398D" w:rsidRDefault="00227A15" w:rsidP="0086398D">
            <w:pPr>
              <w:pStyle w:val="ListParagraph"/>
              <w:numPr>
                <w:ilvl w:val="0"/>
                <w:numId w:val="42"/>
              </w:numPr>
              <w:spacing w:before="120" w:after="120"/>
              <w:rPr>
                <w:rFonts w:ascii="Arial" w:hAnsi="Arial" w:cs="Arial"/>
                <w:sz w:val="22"/>
                <w:szCs w:val="22"/>
              </w:rPr>
            </w:pPr>
            <w:r>
              <w:rPr>
                <w:rFonts w:ascii="Arial" w:hAnsi="Arial" w:cs="Arial"/>
                <w:sz w:val="22"/>
                <w:szCs w:val="22"/>
              </w:rPr>
              <w:t>Mode of discharge (4.16)</w:t>
            </w:r>
          </w:p>
        </w:tc>
        <w:tc>
          <w:tcPr>
            <w:tcW w:w="3118" w:type="dxa"/>
          </w:tcPr>
          <w:p w14:paraId="501A7677" w14:textId="77777777"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The indicator is measuring what it is designed to measure. </w:t>
            </w:r>
          </w:p>
          <w:p w14:paraId="24CB8CBA" w14:textId="59DC873A" w:rsidR="00227A15" w:rsidRPr="0086398D" w:rsidRDefault="00227A15" w:rsidP="0086398D">
            <w:pPr>
              <w:spacing w:before="120" w:after="120"/>
              <w:rPr>
                <w:rFonts w:ascii="Arial" w:hAnsi="Arial" w:cs="Arial"/>
                <w:color w:val="000000"/>
                <w:kern w:val="24"/>
                <w:sz w:val="22"/>
                <w:szCs w:val="22"/>
              </w:rPr>
            </w:pPr>
            <w:r w:rsidRPr="00227A15">
              <w:rPr>
                <w:rFonts w:ascii="Arial" w:hAnsi="Arial" w:cs="Arial"/>
                <w:color w:val="000000"/>
                <w:kern w:val="24"/>
                <w:sz w:val="22"/>
                <w:szCs w:val="22"/>
              </w:rPr>
              <w:t>The indicator uses existing data fields although record of LVEF is not included in the minimum data standard. MINAP records LVEF as good, moderate or poor dependent on measurement.</w:t>
            </w:r>
            <w:r>
              <w:rPr>
                <w:rFonts w:ascii="Arial" w:hAnsi="Arial" w:cs="Arial"/>
                <w:color w:val="000000"/>
                <w:kern w:val="24"/>
                <w:sz w:val="22"/>
                <w:szCs w:val="22"/>
              </w:rPr>
              <w:t xml:space="preserve"> It also records if not assessed. </w:t>
            </w:r>
          </w:p>
        </w:tc>
      </w:tr>
    </w:tbl>
    <w:p w14:paraId="585AE468" w14:textId="31F94E90" w:rsidR="002338EB" w:rsidRDefault="002338EB" w:rsidP="002338EB">
      <w:pPr>
        <w:pStyle w:val="Paragraph"/>
      </w:pPr>
    </w:p>
    <w:p w14:paraId="4447A98D" w14:textId="06B983E4" w:rsidR="002338EB" w:rsidRDefault="002338EB" w:rsidP="00A47852">
      <w:pPr>
        <w:pStyle w:val="Heading3"/>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65BD8423" w14:textId="77777777" w:rsidR="00735337" w:rsidRDefault="00227A15" w:rsidP="00735337">
            <w:pPr>
              <w:pStyle w:val="Paragraph"/>
              <w:spacing w:before="120" w:after="120" w:line="240" w:lineRule="auto"/>
              <w:rPr>
                <w:rFonts w:cs="Arial"/>
                <w:sz w:val="22"/>
                <w:szCs w:val="22"/>
              </w:rPr>
            </w:pPr>
            <w:r w:rsidRPr="00227A15">
              <w:rPr>
                <w:rFonts w:cs="Arial"/>
                <w:sz w:val="22"/>
                <w:szCs w:val="22"/>
              </w:rPr>
              <w:t>MINAP records category of LVEF only although this is based on a numerical value (good: 50% or greater, moderate: 30 % to 49%, poor: less than 30%).</w:t>
            </w:r>
          </w:p>
          <w:p w14:paraId="009E37A6" w14:textId="58829BAC" w:rsidR="00227A15" w:rsidRPr="00227A15" w:rsidRDefault="00227A15" w:rsidP="00227A15">
            <w:pPr>
              <w:pStyle w:val="Paragraph"/>
              <w:rPr>
                <w:highlight w:val="lightGray"/>
              </w:rPr>
            </w:pPr>
            <w:r w:rsidRPr="00227A15">
              <w:rPr>
                <w:sz w:val="22"/>
                <w:szCs w:val="22"/>
              </w:rPr>
              <w:t>The dataset allows for measurement by echo, angio, radionuclide or MR study.</w:t>
            </w:r>
          </w:p>
        </w:tc>
        <w:tc>
          <w:tcPr>
            <w:tcW w:w="3118" w:type="dxa"/>
          </w:tcPr>
          <w:p w14:paraId="50C98A36" w14:textId="41191BE5" w:rsidR="00735337" w:rsidRPr="00A47852" w:rsidRDefault="00735337" w:rsidP="00735337">
            <w:pPr>
              <w:pStyle w:val="Paragraph"/>
              <w:spacing w:before="120" w:after="120" w:line="240" w:lineRule="auto"/>
              <w:rPr>
                <w:highlight w:val="lightGray"/>
              </w:rPr>
            </w:pPr>
            <w:r w:rsidRPr="00B10C4D">
              <w:rPr>
                <w:rFonts w:cs="Arial"/>
                <w:color w:val="000000"/>
                <w:kern w:val="24"/>
                <w:sz w:val="22"/>
                <w:szCs w:val="22"/>
              </w:rPr>
              <w:t>The indicator assesses performance that is attributable to or within the control of the audience</w:t>
            </w:r>
            <w:r w:rsidR="00B10C4D">
              <w:rPr>
                <w:rFonts w:cs="Arial"/>
                <w:color w:val="000000"/>
                <w:kern w:val="24"/>
                <w:sz w:val="22"/>
                <w:szCs w:val="22"/>
              </w:rPr>
              <w:t>.</w:t>
            </w:r>
          </w:p>
        </w:tc>
      </w:tr>
      <w:tr w:rsidR="00735337" w14:paraId="7E164FBD" w14:textId="77777777" w:rsidTr="001C517D">
        <w:tc>
          <w:tcPr>
            <w:tcW w:w="5949" w:type="dxa"/>
          </w:tcPr>
          <w:p w14:paraId="3AF0200A" w14:textId="10A21BFF" w:rsidR="00735337" w:rsidRPr="00B10C4D" w:rsidRDefault="00735337" w:rsidP="00735337">
            <w:pPr>
              <w:pStyle w:val="Paragraph"/>
              <w:spacing w:before="120" w:after="120" w:line="240" w:lineRule="auto"/>
            </w:pPr>
            <w:r w:rsidRPr="00B10C4D">
              <w:rPr>
                <w:rFonts w:cs="Arial"/>
                <w:sz w:val="22"/>
                <w:szCs w:val="22"/>
              </w:rPr>
              <w:t>Data tables are published on the NICOR website in order to compare practice and assist in quality improvement cycles.</w:t>
            </w:r>
          </w:p>
        </w:tc>
        <w:tc>
          <w:tcPr>
            <w:tcW w:w="3118" w:type="dxa"/>
          </w:tcPr>
          <w:p w14:paraId="2909F55A" w14:textId="550EBBEB" w:rsidR="00735337" w:rsidRPr="00B10C4D" w:rsidRDefault="00735337" w:rsidP="00735337">
            <w:pPr>
              <w:pStyle w:val="Paragraph"/>
              <w:spacing w:before="120" w:after="120" w:line="240" w:lineRule="auto"/>
            </w:pPr>
            <w:r w:rsidRPr="00B10C4D">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A47852">
      <w:pPr>
        <w:pStyle w:val="Heading3"/>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2E55D345" w:rsidR="00A47852" w:rsidRPr="00227A15" w:rsidRDefault="00B10C4D" w:rsidP="0086398D">
            <w:pPr>
              <w:spacing w:before="120" w:after="120"/>
              <w:rPr>
                <w:rFonts w:ascii="Arial" w:hAnsi="Arial" w:cs="Arial"/>
                <w:color w:val="000000"/>
                <w:kern w:val="24"/>
                <w:sz w:val="22"/>
                <w:szCs w:val="22"/>
                <w:lang w:eastAsia="en-GB"/>
              </w:rPr>
            </w:pPr>
            <w:r w:rsidRPr="0086398D">
              <w:rPr>
                <w:rFonts w:ascii="Arial" w:hAnsi="Arial" w:cs="Arial"/>
                <w:color w:val="000000"/>
                <w:kern w:val="24"/>
                <w:sz w:val="22"/>
                <w:szCs w:val="22"/>
                <w:lang w:eastAsia="en-GB"/>
              </w:rPr>
              <w:t>MINAP was established in 1999 and is a domain with the National Cardiac Audit Programme and under the governance of the Healthcare Quality Improvement Partnership (HQIP). Robust governance structures are in place to ensure data quality and monitor appropriateness of audit measures. There is a minimum dataset against which each participating hospital is assessed for data completeness.</w:t>
            </w:r>
          </w:p>
        </w:tc>
        <w:tc>
          <w:tcPr>
            <w:tcW w:w="3118" w:type="dxa"/>
          </w:tcPr>
          <w:p w14:paraId="29FB2923" w14:textId="4EE07B97" w:rsidR="00A47852" w:rsidRPr="0086398D" w:rsidRDefault="00A47852" w:rsidP="0086398D">
            <w:pPr>
              <w:spacing w:before="120" w:after="120"/>
              <w:rPr>
                <w:rFonts w:ascii="Arial" w:hAnsi="Arial"/>
                <w:sz w:val="22"/>
                <w:highlight w:val="lightGray"/>
              </w:rPr>
            </w:pPr>
            <w:r w:rsidRPr="0086398D">
              <w:rPr>
                <w:rFonts w:ascii="Arial" w:hAnsi="Arial" w:cs="Arial"/>
                <w:color w:val="000000"/>
                <w:kern w:val="24"/>
                <w:sz w:val="22"/>
                <w:szCs w:val="22"/>
              </w:rPr>
              <w:t>The indicator has an acceptable risk of unintended consequences.</w:t>
            </w:r>
          </w:p>
        </w:tc>
      </w:tr>
    </w:tbl>
    <w:p w14:paraId="017EA4B6" w14:textId="72819A2E" w:rsidR="002338EB" w:rsidRDefault="002338EB" w:rsidP="002338EB">
      <w:pPr>
        <w:pStyle w:val="Paragraph"/>
      </w:pPr>
    </w:p>
    <w:p w14:paraId="763A6D9B" w14:textId="48F79B0E" w:rsidR="006C3D61" w:rsidRDefault="006C3D61" w:rsidP="00BC67CC">
      <w:pPr>
        <w:pStyle w:val="Heading3"/>
      </w:pPr>
      <w:r>
        <w:lastRenderedPageBreak/>
        <w:t>NICE indicator advisory committee recommendation</w:t>
      </w:r>
    </w:p>
    <w:p w14:paraId="1743DB3A" w14:textId="7CDEA104" w:rsidR="0077603D" w:rsidRPr="00407F14" w:rsidRDefault="0077603D" w:rsidP="009A1307">
      <w:pPr>
        <w:pStyle w:val="Paragraph"/>
      </w:pPr>
      <w:r w:rsidRPr="009A1307">
        <w:t xml:space="preserve">The NICE indicator advisory committee approved this indicator for publication on the menu. </w:t>
      </w:r>
      <w:r w:rsidR="002E2551">
        <w:t xml:space="preserve">They noted that the ESC ACCA QI required a numerical value to be recorded and the limitation of using the MINAP dataset that records category only. </w:t>
      </w:r>
    </w:p>
    <w:p w14:paraId="123085F8" w14:textId="46F76CC2" w:rsidR="00D73835" w:rsidRDefault="00D73835" w:rsidP="003605D5">
      <w:pPr>
        <w:pStyle w:val="Heading1"/>
      </w:pPr>
    </w:p>
    <w:sectPr w:rsidR="00D73835" w:rsidSect="00192B0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746BA"/>
    <w:multiLevelType w:val="hybridMultilevel"/>
    <w:tmpl w:val="3054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262A80"/>
    <w:multiLevelType w:val="hybridMultilevel"/>
    <w:tmpl w:val="42AC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28"/>
  </w:num>
  <w:num w:numId="4">
    <w:abstractNumId w:val="12"/>
  </w:num>
  <w:num w:numId="5">
    <w:abstractNumId w:val="25"/>
  </w:num>
  <w:num w:numId="6">
    <w:abstractNumId w:val="1"/>
  </w:num>
  <w:num w:numId="7">
    <w:abstractNumId w:val="10"/>
  </w:num>
  <w:num w:numId="8">
    <w:abstractNumId w:val="23"/>
  </w:num>
  <w:num w:numId="9">
    <w:abstractNumId w:val="24"/>
  </w:num>
  <w:num w:numId="10">
    <w:abstractNumId w:val="5"/>
  </w:num>
  <w:num w:numId="11">
    <w:abstractNumId w:val="7"/>
  </w:num>
  <w:num w:numId="12">
    <w:abstractNumId w:val="2"/>
  </w:num>
  <w:num w:numId="13">
    <w:abstractNumId w:val="31"/>
  </w:num>
  <w:num w:numId="14">
    <w:abstractNumId w:val="14"/>
  </w:num>
  <w:num w:numId="15">
    <w:abstractNumId w:val="9"/>
  </w:num>
  <w:num w:numId="16">
    <w:abstractNumId w:val="20"/>
  </w:num>
  <w:num w:numId="17">
    <w:abstractNumId w:val="16"/>
  </w:num>
  <w:num w:numId="18">
    <w:abstractNumId w:val="22"/>
  </w:num>
  <w:num w:numId="19">
    <w:abstractNumId w:val="26"/>
  </w:num>
  <w:num w:numId="20">
    <w:abstractNumId w:val="6"/>
  </w:num>
  <w:num w:numId="21">
    <w:abstractNumId w:val="29"/>
  </w:num>
  <w:num w:numId="22">
    <w:abstractNumId w:val="0"/>
  </w:num>
  <w:num w:numId="23">
    <w:abstractNumId w:val="4"/>
  </w:num>
  <w:num w:numId="24">
    <w:abstractNumId w:val="27"/>
  </w:num>
  <w:num w:numId="25">
    <w:abstractNumId w:val="19"/>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30"/>
  </w:num>
  <w:num w:numId="39">
    <w:abstractNumId w:val="21"/>
  </w:num>
  <w:num w:numId="40">
    <w:abstractNumId w:val="3"/>
  </w:num>
  <w:num w:numId="41">
    <w:abstractNumId w:val="33"/>
  </w:num>
  <w:num w:numId="42">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045"/>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193E"/>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65D"/>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27A15"/>
    <w:rsid w:val="00230A13"/>
    <w:rsid w:val="002331C6"/>
    <w:rsid w:val="002338EB"/>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E2551"/>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1B90"/>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365D"/>
    <w:rsid w:val="0050409D"/>
    <w:rsid w:val="00505407"/>
    <w:rsid w:val="00505DA4"/>
    <w:rsid w:val="00506302"/>
    <w:rsid w:val="00510FAD"/>
    <w:rsid w:val="00511471"/>
    <w:rsid w:val="00511887"/>
    <w:rsid w:val="005127C1"/>
    <w:rsid w:val="005138B7"/>
    <w:rsid w:val="005143BA"/>
    <w:rsid w:val="0052364C"/>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96D93"/>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6F27"/>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1B6E"/>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D8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00CC"/>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398D"/>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3E8"/>
    <w:rsid w:val="00987B83"/>
    <w:rsid w:val="00987E66"/>
    <w:rsid w:val="00990173"/>
    <w:rsid w:val="00992244"/>
    <w:rsid w:val="00993567"/>
    <w:rsid w:val="00994CE5"/>
    <w:rsid w:val="00995A38"/>
    <w:rsid w:val="009965E1"/>
    <w:rsid w:val="009A1307"/>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0AE1"/>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0C4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2F7"/>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659"/>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2FF8"/>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E6021"/>
    <w:rsid w:val="00DF1EC1"/>
    <w:rsid w:val="00DF343E"/>
    <w:rsid w:val="00DF67C3"/>
    <w:rsid w:val="00DF6CEB"/>
    <w:rsid w:val="00E0098A"/>
    <w:rsid w:val="00E009D9"/>
    <w:rsid w:val="00E03F71"/>
    <w:rsid w:val="00E045EE"/>
    <w:rsid w:val="00E06ED0"/>
    <w:rsid w:val="00E1082D"/>
    <w:rsid w:val="00E130CB"/>
    <w:rsid w:val="00E14934"/>
    <w:rsid w:val="00E15426"/>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5E60"/>
    <w:rsid w:val="00F461FD"/>
    <w:rsid w:val="00F476F3"/>
    <w:rsid w:val="00F50AB9"/>
    <w:rsid w:val="00F51024"/>
    <w:rsid w:val="00F5122A"/>
    <w:rsid w:val="00F51940"/>
    <w:rsid w:val="00F51A84"/>
    <w:rsid w:val="00F523CD"/>
    <w:rsid w:val="00F53495"/>
    <w:rsid w:val="00F54F77"/>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eurheartj/article/38/13/974/3037963" TargetMode="External"/><Relationship Id="rId13" Type="http://schemas.openxmlformats.org/officeDocument/2006/relationships/hyperlink" Target="https://www.nicor.org.uk/national-cardiac-audit-programme/datasets/" TargetMode="Externa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yperlink" Target="https://www.nicor.org.uk/national-cardiac-audit-programme/myocardial-ischaemia-minap-heart-attack-au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eurheartj/article/37/3/267/246609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ng185" TargetMode="External"/><Relationship Id="rId4" Type="http://schemas.openxmlformats.org/officeDocument/2006/relationships/webSettings" Target="webSettings.xml"/><Relationship Id="rId9" Type="http://schemas.openxmlformats.org/officeDocument/2006/relationships/hyperlink" Target="https://academic.oup.com/ehjacc/article/6/1/34/5921602?utm_source=TrendMD&amp;utm_medium=cpc&amp;utm_campaign=European_Heart_Journal_-_Acute_Cardiovascular_Care_TrendMD_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823</Words>
  <Characters>5632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2021-08-18T12:16:00Z</dcterms:created>
  <dcterms:modified xsi:type="dcterms:W3CDTF">2021-08-27T10:28:00Z</dcterms:modified>
</cp:coreProperties>
</file>