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47420D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F92FE9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6AA3EFA0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2540BD">
        <w:t>August 2021</w:t>
      </w:r>
    </w:p>
    <w:p w14:paraId="06BAB3FE" w14:textId="497EB8DD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FC2E03">
        <w:t xml:space="preserve">: </w:t>
      </w:r>
      <w:r w:rsidR="00DF637B" w:rsidRPr="00FC2E03">
        <w:t xml:space="preserve">N/A </w:t>
      </w:r>
    </w:p>
    <w:p w14:paraId="6107852F" w14:textId="14C7098B" w:rsidR="006F0A86" w:rsidRDefault="006F0A86" w:rsidP="00F92FE9">
      <w:pPr>
        <w:pStyle w:val="Heading2"/>
      </w:pPr>
      <w:r w:rsidRPr="00126C3F">
        <w:t xml:space="preserve">Indicator </w:t>
      </w:r>
      <w:r w:rsidR="002540BD">
        <w:t>CCG95</w:t>
      </w:r>
    </w:p>
    <w:p w14:paraId="0A6C169D" w14:textId="5B2AD1FF" w:rsidR="00611A1D" w:rsidRPr="00611A1D" w:rsidRDefault="00D054E4" w:rsidP="00611A1D">
      <w:pPr>
        <w:pStyle w:val="Paragraph"/>
      </w:pPr>
      <w:r>
        <w:t xml:space="preserve">The proportion of patients </w:t>
      </w:r>
      <w:r w:rsidR="00DB0E5C">
        <w:t xml:space="preserve">with acute myocardial infarction </w:t>
      </w:r>
      <w:r w:rsidR="001966E1">
        <w:t>who were discharged on dual antiplatelet therapy.</w:t>
      </w:r>
    </w:p>
    <w:p w14:paraId="18778417" w14:textId="333A8E39" w:rsidR="00806B97" w:rsidRDefault="00806B97" w:rsidP="00F92FE9">
      <w:pPr>
        <w:pStyle w:val="Heading2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D054E4">
        <w:t>Clinical commissioning group indicator</w:t>
      </w:r>
      <w:r w:rsidR="00435C3B" w:rsidRPr="00D054E4">
        <w:t>.</w:t>
      </w:r>
    </w:p>
    <w:p w14:paraId="5CBA37E8" w14:textId="6F58C6BE" w:rsidR="006F0A86" w:rsidRDefault="006F0A86" w:rsidP="00F92FE9">
      <w:pPr>
        <w:pStyle w:val="Heading2"/>
        <w:rPr>
          <w:i/>
        </w:rPr>
      </w:pPr>
      <w:r w:rsidRPr="00011273">
        <w:t>Rationale</w:t>
      </w:r>
    </w:p>
    <w:p w14:paraId="5A7C91B5" w14:textId="582CB916" w:rsidR="001966E1" w:rsidRDefault="001966E1" w:rsidP="009240AF">
      <w:pPr>
        <w:pStyle w:val="Paragraph"/>
      </w:pPr>
      <w:r w:rsidRPr="001966E1">
        <w:t xml:space="preserve">Dual antiplatelet therapy </w:t>
      </w:r>
      <w:r w:rsidR="00743510">
        <w:t xml:space="preserve">(aspirin plus a second antiplatelet) </w:t>
      </w:r>
      <w:r w:rsidRPr="001966E1">
        <w:t>should be offered to people with acute STEMI or NSTEMI and continued for up to 12 months after an MI (unless contraindicated</w:t>
      </w:r>
      <w:r w:rsidR="00743510">
        <w:t xml:space="preserve"> or they have a separate indication for anticoagulation</w:t>
      </w:r>
      <w:r w:rsidRPr="001966E1">
        <w:t>)</w:t>
      </w:r>
      <w:r w:rsidR="00C50ED8">
        <w:t xml:space="preserve"> to support secondary prevention</w:t>
      </w:r>
      <w:r w:rsidRPr="001966E1">
        <w:t xml:space="preserve">. </w:t>
      </w:r>
    </w:p>
    <w:p w14:paraId="69D4A75D" w14:textId="049EC873" w:rsidR="00D141B1" w:rsidRPr="00F92FE9" w:rsidRDefault="00D141B1" w:rsidP="00F92FE9">
      <w:pPr>
        <w:pStyle w:val="Heading2"/>
      </w:pPr>
      <w:r w:rsidRPr="0047420D">
        <w:rPr>
          <w:rStyle w:val="Heading1Char"/>
          <w:b/>
          <w:bCs/>
          <w:kern w:val="0"/>
          <w:szCs w:val="28"/>
        </w:rPr>
        <w:t>Source guidance</w:t>
      </w:r>
      <w:r w:rsidRPr="0047420D">
        <w:t xml:space="preserve"> </w:t>
      </w:r>
    </w:p>
    <w:p w14:paraId="4398635D" w14:textId="77777777" w:rsidR="002540BD" w:rsidRDefault="00F92FE9" w:rsidP="002540BD">
      <w:pPr>
        <w:pStyle w:val="Paragraph"/>
      </w:pPr>
      <w:hyperlink r:id="rId7" w:history="1">
        <w:r w:rsidR="00D054E4" w:rsidRPr="00D054E4">
          <w:rPr>
            <w:rStyle w:val="Hyperlink"/>
          </w:rPr>
          <w:t>Acute coronary syndromes. NICE guideline NG185</w:t>
        </w:r>
      </w:hyperlink>
      <w:r w:rsidR="00D054E4">
        <w:t xml:space="preserve"> (2020), recommendation</w:t>
      </w:r>
      <w:r w:rsidR="00743510">
        <w:t xml:space="preserve">s </w:t>
      </w:r>
      <w:r w:rsidR="007568C3">
        <w:t>1.</w:t>
      </w:r>
      <w:r w:rsidR="00743510">
        <w:t>4.1 and 1.4.13</w:t>
      </w:r>
      <w:r w:rsidR="00D054E4">
        <w:t>.</w:t>
      </w:r>
      <w:bookmarkStart w:id="0" w:name="_Hlk77249391"/>
    </w:p>
    <w:p w14:paraId="070DC970" w14:textId="35C0E184" w:rsidR="002540BD" w:rsidRPr="002540BD" w:rsidRDefault="00F92FE9" w:rsidP="002540BD">
      <w:pPr>
        <w:pStyle w:val="Paragraph"/>
      </w:pPr>
      <w:hyperlink r:id="rId8" w:history="1">
        <w:r w:rsidR="002540BD" w:rsidRPr="002540BD">
          <w:rPr>
            <w:rStyle w:val="Hyperlink"/>
            <w:rFonts w:cs="Arial"/>
          </w:rPr>
          <w:t>European Society of Cardiology. ESC Guidelines for the management of acute myocardial infarction in patients presenting with ST-segment elevation</w:t>
        </w:r>
      </w:hyperlink>
      <w:r w:rsidR="002540BD" w:rsidRPr="002540BD">
        <w:t xml:space="preserve"> (2017)</w:t>
      </w:r>
      <w:bookmarkEnd w:id="0"/>
    </w:p>
    <w:p w14:paraId="36F582E3" w14:textId="5D272403" w:rsidR="002540BD" w:rsidRPr="002540BD" w:rsidRDefault="00F92FE9" w:rsidP="002540BD">
      <w:pPr>
        <w:pStyle w:val="Paragraph"/>
      </w:pPr>
      <w:hyperlink r:id="rId9" w:anchor="108782014" w:history="1">
        <w:r w:rsidR="002540BD" w:rsidRPr="002540BD">
          <w:rPr>
            <w:rStyle w:val="Hyperlink"/>
            <w:rFonts w:cs="Arial"/>
          </w:rPr>
          <w:t>European Society of Cardiology. ESC Guidelines for the management of acute coronary syndromes in patients presenting without persistent ST-segment elevation</w:t>
        </w:r>
      </w:hyperlink>
      <w:r w:rsidR="002540BD" w:rsidRPr="002540BD">
        <w:t xml:space="preserve"> (2020)</w:t>
      </w:r>
    </w:p>
    <w:p w14:paraId="29F3BFB2" w14:textId="77777777" w:rsidR="002540BD" w:rsidRDefault="002540BD" w:rsidP="002540BD">
      <w:pPr>
        <w:pStyle w:val="Paragraph"/>
      </w:pPr>
    </w:p>
    <w:p w14:paraId="05AD89C4" w14:textId="4C9FCFCD" w:rsidR="00D141B1" w:rsidRDefault="00D141B1" w:rsidP="00F92FE9">
      <w:pPr>
        <w:pStyle w:val="Heading2"/>
      </w:pPr>
      <w:r>
        <w:lastRenderedPageBreak/>
        <w:t xml:space="preserve">Specification </w:t>
      </w:r>
    </w:p>
    <w:p w14:paraId="4B62A813" w14:textId="211145D6" w:rsidR="0009195D" w:rsidRDefault="00D141B1" w:rsidP="00EE354D">
      <w:pPr>
        <w:pStyle w:val="Paragraph"/>
      </w:pPr>
      <w:r>
        <w:t xml:space="preserve">Numerator: </w:t>
      </w:r>
      <w:r w:rsidR="00D054E4">
        <w:t>The number of patients in the denominator</w:t>
      </w:r>
      <w:r w:rsidR="00743510">
        <w:t xml:space="preserve"> discharged on dual antiplatelet therapy.</w:t>
      </w:r>
    </w:p>
    <w:p w14:paraId="06B62F8F" w14:textId="0CB85279" w:rsidR="00D141B1" w:rsidRDefault="00D141B1" w:rsidP="00EE354D">
      <w:pPr>
        <w:pStyle w:val="Paragraph"/>
      </w:pPr>
      <w:r>
        <w:t>Denominator:</w:t>
      </w:r>
      <w:r w:rsidR="00D054E4">
        <w:t xml:space="preserve"> The number of patients </w:t>
      </w:r>
      <w:r w:rsidR="007568C3">
        <w:t>discharged from hospital following an admission with acute myocardial infarction.</w:t>
      </w:r>
    </w:p>
    <w:p w14:paraId="04501E11" w14:textId="6D10E7DB" w:rsidR="0009195D" w:rsidRDefault="0009195D" w:rsidP="00EE354D">
      <w:pPr>
        <w:pStyle w:val="Paragraph"/>
      </w:pPr>
      <w:r>
        <w:t>Calculation:</w:t>
      </w:r>
      <w:r w:rsidR="00D054E4">
        <w:t xml:space="preserve"> </w:t>
      </w:r>
      <w:r w:rsidRPr="00D054E4">
        <w:t>(Numerator/denominator)*100</w:t>
      </w:r>
    </w:p>
    <w:p w14:paraId="48836D93" w14:textId="77777777" w:rsidR="00F36109" w:rsidRDefault="00D141B1" w:rsidP="00EE354D">
      <w:pPr>
        <w:pStyle w:val="Paragraph"/>
      </w:pPr>
      <w:r>
        <w:t xml:space="preserve">Exclusions: </w:t>
      </w:r>
    </w:p>
    <w:p w14:paraId="6F77FB2F" w14:textId="77777777" w:rsidR="00F36109" w:rsidRDefault="00743510" w:rsidP="00F36109">
      <w:pPr>
        <w:pStyle w:val="Bullets"/>
      </w:pPr>
      <w:r>
        <w:t xml:space="preserve">Patients with contraindication to aspirin or other antiplatelets. </w:t>
      </w:r>
    </w:p>
    <w:p w14:paraId="44E9FC90" w14:textId="77777777" w:rsidR="00F36109" w:rsidRDefault="00743510" w:rsidP="00F36109">
      <w:pPr>
        <w:pStyle w:val="Bullets"/>
      </w:pPr>
      <w:r>
        <w:t xml:space="preserve">Patients treated with anticoagulation. </w:t>
      </w:r>
    </w:p>
    <w:p w14:paraId="200701E0" w14:textId="68EC1B8E" w:rsidR="00D141B1" w:rsidRDefault="00990A2F" w:rsidP="00F36109">
      <w:pPr>
        <w:pStyle w:val="Bullets"/>
      </w:pPr>
      <w:r>
        <w:t>Patients who died in hospital.</w:t>
      </w:r>
      <w:r w:rsidR="00DF45AD">
        <w:t xml:space="preserve"> </w:t>
      </w:r>
    </w:p>
    <w:p w14:paraId="0D2624A5" w14:textId="4C26A5B7" w:rsidR="009607DA" w:rsidRDefault="009607DA" w:rsidP="00EE354D">
      <w:pPr>
        <w:pStyle w:val="Paragraph"/>
      </w:pPr>
      <w:r>
        <w:t>Data</w:t>
      </w:r>
      <w:r w:rsidR="00B10E3B">
        <w:t xml:space="preserve"> </w:t>
      </w:r>
      <w:r>
        <w:t xml:space="preserve">source: </w:t>
      </w:r>
      <w:hyperlink r:id="rId10" w:history="1">
        <w:r w:rsidR="0063198D" w:rsidRPr="00225113">
          <w:rPr>
            <w:rStyle w:val="Hyperlink"/>
          </w:rPr>
          <w:t>Myocardial Ischaemia National Audit Project (MINAP)</w:t>
        </w:r>
        <w:r w:rsidR="00D054E4" w:rsidRPr="00225113">
          <w:rPr>
            <w:rStyle w:val="Hyperlink"/>
          </w:rPr>
          <w:t xml:space="preserve"> dataset.</w:t>
        </w:r>
      </w:hyperlink>
      <w:r>
        <w:t xml:space="preserve"> </w:t>
      </w:r>
    </w:p>
    <w:p w14:paraId="15239063" w14:textId="22807EB8" w:rsidR="00706451" w:rsidRPr="00D054E4" w:rsidRDefault="00706451" w:rsidP="00EE354D">
      <w:pPr>
        <w:pStyle w:val="Paragraph"/>
        <w:rPr>
          <w:highlight w:val="lightGray"/>
        </w:rPr>
      </w:pPr>
      <w:r>
        <w:t xml:space="preserve">Minimum population: </w:t>
      </w:r>
      <w:r w:rsidR="000D5395" w:rsidRPr="00D054E4">
        <w:t xml:space="preserve">The indicator would be appropriate </w:t>
      </w:r>
      <w:r w:rsidR="00391F4B" w:rsidRPr="00D054E4">
        <w:t>to assess performance of individual CCGs</w:t>
      </w:r>
      <w:r w:rsidR="000D5395" w:rsidRPr="00D054E4">
        <w:t>.</w:t>
      </w:r>
    </w:p>
    <w:p w14:paraId="129ECA00" w14:textId="65691789" w:rsidR="0009195D" w:rsidRPr="0009195D" w:rsidRDefault="0009195D" w:rsidP="00F92FE9">
      <w:pPr>
        <w:pStyle w:val="Heading2"/>
      </w:pPr>
      <w:r w:rsidRPr="0009195D">
        <w:t>Further information</w:t>
      </w:r>
    </w:p>
    <w:p w14:paraId="70B822BC" w14:textId="2BF716A0" w:rsidR="0009195D" w:rsidRDefault="0009195D" w:rsidP="00EE354D">
      <w:pPr>
        <w:pStyle w:val="Paragraph"/>
      </w:pPr>
      <w:bookmarkStart w:id="1" w:name="_Hlk14183092"/>
      <w:r w:rsidRPr="0009195D">
        <w:t xml:space="preserve">This is NICE indicator guidance, which is part of the </w:t>
      </w:r>
      <w:hyperlink r:id="rId11" w:history="1">
        <w:r w:rsidRPr="008541A5">
          <w:rPr>
            <w:rStyle w:val="Hyperlink"/>
          </w:rPr>
          <w:t>NICE menu of indicators</w:t>
        </w:r>
      </w:hyperlink>
      <w:r w:rsidRPr="0009195D">
        <w:t>. This document does not represent formal NICE guidance.</w:t>
      </w:r>
      <w:bookmarkEnd w:id="1"/>
    </w:p>
    <w:p w14:paraId="60C0EE72" w14:textId="77777777" w:rsidR="002540BD" w:rsidRPr="0009195D" w:rsidRDefault="002540BD" w:rsidP="002540BD">
      <w:pPr>
        <w:pStyle w:val="Paragraph"/>
      </w:pPr>
      <w:r>
        <w:t>This indicator is based on hospital level indicators originally developed by the European Society of Cardiology (ESC) Acute Cardiovascular Care Association (ACCA).</w:t>
      </w:r>
    </w:p>
    <w:p w14:paraId="58DA2CB9" w14:textId="77777777" w:rsidR="002540BD" w:rsidRPr="0009195D" w:rsidRDefault="002540BD" w:rsidP="00EE354D">
      <w:pPr>
        <w:pStyle w:val="Paragraph"/>
      </w:pPr>
    </w:p>
    <w:sectPr w:rsidR="002540BD" w:rsidRPr="0009195D" w:rsidSect="003D61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1406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966E1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25113"/>
    <w:rsid w:val="00232A20"/>
    <w:rsid w:val="002408EA"/>
    <w:rsid w:val="00243B9E"/>
    <w:rsid w:val="00245B12"/>
    <w:rsid w:val="002540BD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7420D"/>
    <w:rsid w:val="004764EB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98D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462B"/>
    <w:rsid w:val="00717AC8"/>
    <w:rsid w:val="00720A6A"/>
    <w:rsid w:val="00723404"/>
    <w:rsid w:val="00723B07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3510"/>
    <w:rsid w:val="007448AC"/>
    <w:rsid w:val="007449E0"/>
    <w:rsid w:val="00745787"/>
    <w:rsid w:val="007568C3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0C1B"/>
    <w:rsid w:val="00873A86"/>
    <w:rsid w:val="008771EE"/>
    <w:rsid w:val="00881213"/>
    <w:rsid w:val="008814FB"/>
    <w:rsid w:val="00884895"/>
    <w:rsid w:val="00891C26"/>
    <w:rsid w:val="00893BF2"/>
    <w:rsid w:val="00897CBD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40AF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0A2F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09C5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50ED8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4E4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0E5C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0DE7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109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2FE9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2E03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47420D"/>
    <w:pPr>
      <w:keepNext/>
      <w:spacing w:before="240" w:after="60"/>
      <w:outlineLvl w:val="1"/>
    </w:pPr>
    <w:rPr>
      <w:rFonts w:ascii="Arial" w:hAnsi="Arial"/>
      <w:b/>
      <w:bCs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47420D"/>
    <w:rPr>
      <w:rFonts w:ascii="Arial" w:hAnsi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cardio.org/Guidelines/Clinical-Practice-Guidelines/Acute-Myocardial-Infarction-in-patients-presenting-with-ST-segment-elevation-M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8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Standards-and-Indicators/inde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or.org.uk/national-cardiac-audit-programme/datase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demic.oup.com/eurheartj/article/37/3/267/2466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2021-08-18T12:22:00Z</dcterms:created>
  <dcterms:modified xsi:type="dcterms:W3CDTF">2021-08-27T10:32:00Z</dcterms:modified>
</cp:coreProperties>
</file>