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270CAEA9" w:rsidR="009B0E59" w:rsidRPr="009B0E59" w:rsidRDefault="009B0E59" w:rsidP="00363276">
      <w:pPr>
        <w:pStyle w:val="Heading3"/>
        <w:rPr>
          <w:lang w:eastAsia="en-GB"/>
        </w:rPr>
      </w:pPr>
      <w:r w:rsidRPr="009B0E59">
        <w:rPr>
          <w:lang w:eastAsia="en-GB"/>
        </w:rPr>
        <w:t xml:space="preserve">Indicator </w:t>
      </w:r>
      <w:r w:rsidR="000447F1">
        <w:rPr>
          <w:lang w:eastAsia="en-GB"/>
        </w:rPr>
        <w:t>CCG95</w:t>
      </w:r>
    </w:p>
    <w:p w14:paraId="035F8373" w14:textId="6474C2A1" w:rsidR="009B0E59" w:rsidRDefault="00596D93" w:rsidP="009B0E59">
      <w:pPr>
        <w:pStyle w:val="Paragraph"/>
        <w:rPr>
          <w:lang w:eastAsia="en-GB"/>
        </w:rPr>
      </w:pPr>
      <w:r w:rsidRPr="00596D93">
        <w:rPr>
          <w:lang w:eastAsia="en-GB"/>
        </w:rPr>
        <w:t xml:space="preserve">The proportion of patients with acute myocardial infarction </w:t>
      </w:r>
      <w:r w:rsidR="004D798F">
        <w:rPr>
          <w:lang w:eastAsia="en-GB"/>
        </w:rPr>
        <w:t>who were discharged on dual antiplatelet therapy.</w:t>
      </w:r>
    </w:p>
    <w:p w14:paraId="7C25BFBC" w14:textId="6384F6FD"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3D266CF4" w:rsidR="002338EB" w:rsidRPr="0086398D" w:rsidRDefault="002338EB" w:rsidP="0086398D">
            <w:pPr>
              <w:spacing w:before="120" w:after="120"/>
              <w:rPr>
                <w:rFonts w:ascii="Arial" w:hAnsi="Arial" w:cs="Arial"/>
                <w:sz w:val="22"/>
                <w:szCs w:val="22"/>
              </w:rPr>
            </w:pPr>
            <w:r w:rsidRPr="0086398D">
              <w:rPr>
                <w:rFonts w:ascii="Arial" w:hAnsi="Arial" w:cs="Arial"/>
                <w:sz w:val="22"/>
                <w:szCs w:val="22"/>
              </w:rPr>
              <w:t xml:space="preserve">The </w:t>
            </w:r>
            <w:hyperlink r:id="rId7" w:history="1">
              <w:r w:rsidRPr="0086398D">
                <w:rPr>
                  <w:rFonts w:ascii="Arial" w:hAnsi="Arial" w:cs="Arial"/>
                  <w:color w:val="0000FF"/>
                  <w:sz w:val="22"/>
                  <w:szCs w:val="22"/>
                  <w:u w:val="single"/>
                </w:rPr>
                <w:t>NHS Long Term Plan</w:t>
              </w:r>
            </w:hyperlink>
            <w:r w:rsidRPr="0086398D">
              <w:rPr>
                <w:rFonts w:ascii="Arial" w:hAnsi="Arial" w:cs="Arial"/>
                <w:sz w:val="22"/>
                <w:szCs w:val="22"/>
              </w:rPr>
              <w:t xml:space="preserve"> identifies cardiovascular disease as a clinical priority, and the single biggest condition where lives can be saved by the NHS over the next 10 years. </w:t>
            </w:r>
          </w:p>
        </w:tc>
        <w:tc>
          <w:tcPr>
            <w:tcW w:w="3118" w:type="dxa"/>
          </w:tcPr>
          <w:p w14:paraId="062E903B" w14:textId="19F53F68" w:rsidR="002338EB" w:rsidRPr="0086398D" w:rsidRDefault="002338EB" w:rsidP="0086398D">
            <w:pPr>
              <w:spacing w:before="120" w:after="120"/>
              <w:rPr>
                <w:rFonts w:ascii="Arial" w:hAnsi="Arial" w:cs="Arial"/>
                <w:sz w:val="22"/>
                <w:szCs w:val="22"/>
                <w:lang w:val="en-US"/>
              </w:rPr>
            </w:pPr>
            <w:r w:rsidRPr="0086398D">
              <w:rPr>
                <w:rFonts w:ascii="Arial" w:hAnsi="Arial" w:cs="Arial"/>
                <w:sz w:val="22"/>
                <w:szCs w:val="22"/>
                <w:lang w:val="en-US"/>
              </w:rPr>
              <w:t>The indicator reflects a specific priority area identified by NHS England.</w:t>
            </w:r>
          </w:p>
          <w:p w14:paraId="272CA0EC" w14:textId="77777777" w:rsidR="002338EB" w:rsidRPr="0086398D" w:rsidRDefault="002338EB" w:rsidP="0086398D">
            <w:pPr>
              <w:spacing w:before="120" w:after="120"/>
              <w:rPr>
                <w:rFonts w:ascii="Arial" w:hAnsi="Arial" w:cs="Arial"/>
                <w:sz w:val="22"/>
                <w:szCs w:val="22"/>
              </w:rPr>
            </w:pPr>
          </w:p>
        </w:tc>
      </w:tr>
      <w:tr w:rsidR="00735337" w14:paraId="2E2CE1C4" w14:textId="77777777" w:rsidTr="002338EB">
        <w:tc>
          <w:tcPr>
            <w:tcW w:w="5949" w:type="dxa"/>
          </w:tcPr>
          <w:p w14:paraId="68B1E29A" w14:textId="77777777" w:rsidR="004D798F" w:rsidRPr="004D798F" w:rsidRDefault="005C0721" w:rsidP="004D798F">
            <w:pPr>
              <w:spacing w:before="120" w:after="120"/>
              <w:rPr>
                <w:rFonts w:ascii="Arial" w:hAnsi="Arial" w:cs="Arial"/>
                <w:sz w:val="22"/>
                <w:szCs w:val="22"/>
              </w:rPr>
            </w:pPr>
            <w:hyperlink r:id="rId8" w:history="1">
              <w:r w:rsidR="007F00CC" w:rsidRPr="007F00CC">
                <w:rPr>
                  <w:rStyle w:val="Hyperlink"/>
                  <w:rFonts w:ascii="Arial" w:hAnsi="Arial" w:cs="Arial"/>
                  <w:sz w:val="22"/>
                  <w:szCs w:val="22"/>
                </w:rPr>
                <w:t xml:space="preserve">Analysis of MINAP data by </w:t>
              </w:r>
              <w:r w:rsidR="001E665D" w:rsidRPr="007F00CC">
                <w:rPr>
                  <w:rStyle w:val="Hyperlink"/>
                  <w:rFonts w:ascii="Arial" w:hAnsi="Arial" w:cs="Arial"/>
                  <w:sz w:val="22"/>
                  <w:szCs w:val="22"/>
                </w:rPr>
                <w:t>Bebb</w:t>
              </w:r>
              <w:r w:rsidR="00763D8F" w:rsidRPr="007F00CC">
                <w:rPr>
                  <w:rStyle w:val="Hyperlink"/>
                  <w:rFonts w:ascii="Arial" w:hAnsi="Arial" w:cs="Arial"/>
                  <w:sz w:val="22"/>
                  <w:szCs w:val="22"/>
                </w:rPr>
                <w:t>, Hall</w:t>
              </w:r>
              <w:r w:rsidR="001E665D" w:rsidRPr="007F00CC">
                <w:rPr>
                  <w:rStyle w:val="Hyperlink"/>
                  <w:rFonts w:ascii="Arial" w:hAnsi="Arial" w:cs="Arial"/>
                  <w:sz w:val="22"/>
                  <w:szCs w:val="22"/>
                </w:rPr>
                <w:t xml:space="preserve"> et al</w:t>
              </w:r>
            </w:hyperlink>
            <w:r w:rsidR="00763D8F" w:rsidRPr="007F00CC">
              <w:rPr>
                <w:rFonts w:ascii="Arial" w:hAnsi="Arial" w:cs="Arial"/>
                <w:sz w:val="22"/>
                <w:szCs w:val="22"/>
              </w:rPr>
              <w:t>.</w:t>
            </w:r>
            <w:r w:rsidR="007F00CC">
              <w:rPr>
                <w:rFonts w:ascii="Arial" w:hAnsi="Arial" w:cs="Arial"/>
                <w:sz w:val="22"/>
                <w:szCs w:val="22"/>
              </w:rPr>
              <w:t xml:space="preserve"> </w:t>
            </w:r>
            <w:r w:rsidR="00763D8F" w:rsidRPr="007F00CC">
              <w:rPr>
                <w:rStyle w:val="Hyperlink"/>
                <w:rFonts w:ascii="Arial" w:hAnsi="Arial" w:cs="Arial"/>
                <w:color w:val="auto"/>
                <w:sz w:val="22"/>
                <w:szCs w:val="22"/>
                <w:u w:val="none"/>
              </w:rPr>
              <w:t>(2017)</w:t>
            </w:r>
            <w:r w:rsidR="001E665D" w:rsidRPr="007F00CC">
              <w:rPr>
                <w:rFonts w:ascii="Arial" w:hAnsi="Arial" w:cs="Arial"/>
                <w:sz w:val="22"/>
                <w:szCs w:val="22"/>
              </w:rPr>
              <w:t xml:space="preserve"> </w:t>
            </w:r>
            <w:r w:rsidR="00596D93" w:rsidRPr="00596D93">
              <w:rPr>
                <w:rFonts w:ascii="Arial" w:hAnsi="Arial" w:cs="Arial"/>
                <w:sz w:val="22"/>
                <w:szCs w:val="22"/>
              </w:rPr>
              <w:t xml:space="preserve">found that </w:t>
            </w:r>
            <w:r w:rsidR="004D798F" w:rsidRPr="004D798F">
              <w:rPr>
                <w:rFonts w:ascii="Arial" w:hAnsi="Arial" w:cs="Arial"/>
                <w:sz w:val="22"/>
                <w:szCs w:val="22"/>
              </w:rPr>
              <w:t xml:space="preserve">nationally 88.1% of AMI patients received dual antiplatelet therapy (DAPT) on discharge. Hospital variation showed a median achievement of 90.5% (interquartile range [IQR] 85.4 – 94.1%). </w:t>
            </w:r>
          </w:p>
          <w:p w14:paraId="378D38FD" w14:textId="0B4F2FE0" w:rsidR="00735337" w:rsidRPr="0015193E" w:rsidRDefault="004D798F" w:rsidP="004D798F">
            <w:pPr>
              <w:spacing w:before="120" w:after="120"/>
              <w:rPr>
                <w:rFonts w:ascii="Arial" w:hAnsi="Arial" w:cs="Arial"/>
                <w:sz w:val="22"/>
                <w:szCs w:val="22"/>
              </w:rPr>
            </w:pPr>
            <w:r w:rsidRPr="004D798F">
              <w:rPr>
                <w:rFonts w:ascii="Arial" w:hAnsi="Arial" w:cs="Arial"/>
                <w:sz w:val="22"/>
                <w:szCs w:val="22"/>
              </w:rPr>
              <w:t>Analysis of MINAP data shows that DAPT prescription on discharge is inversely associated with 30-day mortality: odds ratio (95% CI) 0.50 (0.44, 0.56) p&lt;0.001.</w:t>
            </w:r>
          </w:p>
        </w:tc>
        <w:tc>
          <w:tcPr>
            <w:tcW w:w="3118" w:type="dxa"/>
          </w:tcPr>
          <w:p w14:paraId="46DD3EED" w14:textId="77777777" w:rsidR="001E665D" w:rsidRPr="0086398D" w:rsidRDefault="001E665D" w:rsidP="0086398D">
            <w:pPr>
              <w:spacing w:before="120" w:after="120"/>
              <w:rPr>
                <w:rFonts w:ascii="Arial" w:hAnsi="Arial" w:cs="Arial"/>
                <w:color w:val="000000"/>
                <w:kern w:val="24"/>
                <w:sz w:val="22"/>
                <w:szCs w:val="22"/>
                <w:lang w:val="en-US"/>
              </w:rPr>
            </w:pPr>
            <w:r w:rsidRPr="0086398D">
              <w:rPr>
                <w:rFonts w:ascii="Arial" w:hAnsi="Arial" w:cs="Arial"/>
                <w:color w:val="000000"/>
                <w:kern w:val="24"/>
                <w:sz w:val="22"/>
                <w:szCs w:val="22"/>
                <w:lang w:val="en-US"/>
              </w:rPr>
              <w:t>The indicator relates to an area where there is known variation in practice.</w:t>
            </w:r>
          </w:p>
          <w:p w14:paraId="3FD01E72" w14:textId="30C3F77F" w:rsidR="00735337" w:rsidRPr="0086398D" w:rsidRDefault="001E665D" w:rsidP="0086398D">
            <w:pPr>
              <w:spacing w:before="120" w:after="120"/>
              <w:rPr>
                <w:rFonts w:ascii="Arial" w:hAnsi="Arial" w:cs="Arial"/>
                <w:sz w:val="22"/>
                <w:szCs w:val="22"/>
                <w:highlight w:val="lightGray"/>
              </w:rPr>
            </w:pPr>
            <w:r w:rsidRPr="0086398D">
              <w:rPr>
                <w:rFonts w:ascii="Arial" w:hAnsi="Arial" w:cs="Arial"/>
                <w:color w:val="000000"/>
                <w:kern w:val="24"/>
                <w:sz w:val="22"/>
                <w:szCs w:val="22"/>
                <w:lang w:val="en-US"/>
              </w:rPr>
              <w:t>The indicator addresses under-treatment.</w:t>
            </w:r>
          </w:p>
        </w:tc>
      </w:tr>
      <w:tr w:rsidR="00735337" w14:paraId="373D8AA4" w14:textId="77777777" w:rsidTr="002338EB">
        <w:tc>
          <w:tcPr>
            <w:tcW w:w="5949" w:type="dxa"/>
          </w:tcPr>
          <w:p w14:paraId="40A2EA38" w14:textId="7B390B5D" w:rsidR="00735337" w:rsidRPr="0086398D" w:rsidRDefault="005C0721" w:rsidP="0086398D">
            <w:pPr>
              <w:spacing w:before="120" w:after="120"/>
              <w:rPr>
                <w:rFonts w:ascii="Arial" w:hAnsi="Arial" w:cs="Arial"/>
                <w:sz w:val="22"/>
                <w:szCs w:val="22"/>
              </w:rPr>
            </w:pPr>
            <w:hyperlink r:id="rId9" w:history="1">
              <w:r w:rsidR="00763D8F" w:rsidRPr="00763D8F">
                <w:rPr>
                  <w:rStyle w:val="Hyperlink"/>
                  <w:rFonts w:ascii="Arial" w:hAnsi="Arial" w:cs="Arial"/>
                  <w:sz w:val="22"/>
                  <w:szCs w:val="22"/>
                </w:rPr>
                <w:t>The Acute Cardiovascular Care Association’s (ACCA) position paper on quality indicators for myocardial infarction</w:t>
              </w:r>
            </w:hyperlink>
            <w:r w:rsidR="00763D8F">
              <w:rPr>
                <w:rFonts w:ascii="Arial" w:hAnsi="Arial" w:cs="Arial"/>
                <w:sz w:val="22"/>
                <w:szCs w:val="22"/>
              </w:rPr>
              <w:t xml:space="preserve"> (2017)</w:t>
            </w:r>
            <w:r w:rsidR="00763D8F" w:rsidRPr="00763D8F">
              <w:rPr>
                <w:rFonts w:ascii="Arial" w:hAnsi="Arial" w:cs="Arial"/>
                <w:sz w:val="22"/>
                <w:szCs w:val="22"/>
              </w:rPr>
              <w:t xml:space="preserve"> writes that </w:t>
            </w:r>
            <w:r w:rsidR="004D798F">
              <w:rPr>
                <w:rFonts w:ascii="Arial" w:hAnsi="Arial" w:cs="Arial"/>
                <w:sz w:val="22"/>
                <w:szCs w:val="22"/>
              </w:rPr>
              <w:t>t</w:t>
            </w:r>
            <w:r w:rsidR="004D798F" w:rsidRPr="004D798F">
              <w:rPr>
                <w:rFonts w:ascii="Arial" w:hAnsi="Arial" w:cs="Arial"/>
                <w:sz w:val="22"/>
                <w:szCs w:val="22"/>
              </w:rPr>
              <w:t>he prescription of DAPT at discharge for 12 months is linked to positive outcomes for people with AMI including reduction in composite ischaemic outcomes and mortality from STEMI (Schiele et al, 2016).</w:t>
            </w:r>
            <w:r w:rsidR="00EF4273">
              <w:rPr>
                <w:rFonts w:ascii="Arial" w:hAnsi="Arial" w:cs="Arial"/>
                <w:sz w:val="22"/>
                <w:szCs w:val="22"/>
              </w:rPr>
              <w:t xml:space="preserve"> NICE recommends dual antiplatelet therapy as part of drug treatment for secondary prevention after myocardial infarction.</w:t>
            </w:r>
          </w:p>
        </w:tc>
        <w:tc>
          <w:tcPr>
            <w:tcW w:w="3118" w:type="dxa"/>
          </w:tcPr>
          <w:p w14:paraId="380FC230" w14:textId="77777777" w:rsidR="00735337" w:rsidRPr="0086398D" w:rsidRDefault="00735337" w:rsidP="0086398D">
            <w:pPr>
              <w:spacing w:before="120" w:after="120"/>
              <w:rPr>
                <w:rFonts w:ascii="Arial" w:hAnsi="Arial"/>
                <w:sz w:val="22"/>
                <w:szCs w:val="22"/>
                <w:lang w:val="en-US"/>
              </w:rPr>
            </w:pPr>
            <w:r w:rsidRPr="0086398D">
              <w:rPr>
                <w:rFonts w:ascii="Arial" w:hAnsi="Arial"/>
                <w:sz w:val="22"/>
                <w:szCs w:val="22"/>
                <w:lang w:val="en-US"/>
              </w:rPr>
              <w:t>The indicator will lead to a meaningful improvement in patient outcomes.</w:t>
            </w:r>
          </w:p>
          <w:p w14:paraId="45004AAC" w14:textId="77777777" w:rsidR="00735337" w:rsidRPr="0086398D" w:rsidRDefault="00735337" w:rsidP="0086398D">
            <w:pPr>
              <w:spacing w:before="120" w:after="120"/>
              <w:rPr>
                <w:rFonts w:ascii="Arial" w:hAnsi="Arial" w:cs="Arial"/>
                <w:color w:val="000000"/>
                <w:kern w:val="24"/>
                <w:sz w:val="22"/>
                <w:szCs w:val="22"/>
                <w:lang w:val="en-US"/>
              </w:rPr>
            </w:pPr>
          </w:p>
        </w:tc>
      </w:tr>
      <w:bookmarkEnd w:id="1"/>
    </w:tbl>
    <w:p w14:paraId="7408AD42" w14:textId="77777777" w:rsidR="002338EB" w:rsidRDefault="002338EB" w:rsidP="000447F1">
      <w:pPr>
        <w:pStyle w:val="Paragraphnonumbers"/>
      </w:pPr>
    </w:p>
    <w:p w14:paraId="5BA69987" w14:textId="6FA6FB6E" w:rsidR="002338EB" w:rsidRDefault="002338EB" w:rsidP="00735337">
      <w:pPr>
        <w:pStyle w:val="Heading3"/>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rsidRPr="0086398D" w14:paraId="7862F909" w14:textId="77777777" w:rsidTr="001C517D">
        <w:tc>
          <w:tcPr>
            <w:tcW w:w="5949" w:type="dxa"/>
          </w:tcPr>
          <w:p w14:paraId="11FD5E6A" w14:textId="221F4EA6" w:rsidR="001E665D" w:rsidRPr="0086398D" w:rsidRDefault="005C0721" w:rsidP="0086398D">
            <w:pPr>
              <w:spacing w:before="120" w:after="120"/>
              <w:rPr>
                <w:rFonts w:ascii="Arial" w:hAnsi="Arial" w:cs="Arial"/>
                <w:sz w:val="22"/>
                <w:szCs w:val="22"/>
              </w:rPr>
            </w:pPr>
            <w:hyperlink r:id="rId10" w:history="1">
              <w:r w:rsidR="001E665D" w:rsidRPr="00763D8F">
                <w:rPr>
                  <w:rStyle w:val="Hyperlink"/>
                  <w:rFonts w:ascii="Arial" w:hAnsi="Arial" w:cs="Arial"/>
                  <w:sz w:val="22"/>
                  <w:szCs w:val="22"/>
                </w:rPr>
                <w:t>Acute coronary syndromes. NICE guideline NG185</w:t>
              </w:r>
            </w:hyperlink>
            <w:r w:rsidR="001E665D" w:rsidRPr="0086398D">
              <w:rPr>
                <w:rFonts w:ascii="Arial" w:hAnsi="Arial" w:cs="Arial"/>
                <w:sz w:val="22"/>
                <w:szCs w:val="22"/>
              </w:rPr>
              <w:t xml:space="preserve"> (2020), recommendation</w:t>
            </w:r>
            <w:r w:rsidR="004E5966">
              <w:rPr>
                <w:rFonts w:ascii="Arial" w:hAnsi="Arial" w:cs="Arial"/>
                <w:sz w:val="22"/>
                <w:szCs w:val="22"/>
              </w:rPr>
              <w:t>s</w:t>
            </w:r>
            <w:r w:rsidR="001E665D" w:rsidRPr="0086398D">
              <w:rPr>
                <w:rFonts w:ascii="Arial" w:hAnsi="Arial" w:cs="Arial"/>
                <w:sz w:val="22"/>
                <w:szCs w:val="22"/>
              </w:rPr>
              <w:t xml:space="preserve"> </w:t>
            </w:r>
            <w:r w:rsidR="004D798F">
              <w:rPr>
                <w:rFonts w:ascii="Arial" w:hAnsi="Arial" w:cs="Arial"/>
                <w:sz w:val="22"/>
                <w:szCs w:val="22"/>
              </w:rPr>
              <w:t>1.4.1</w:t>
            </w:r>
            <w:r w:rsidR="004E5966">
              <w:rPr>
                <w:rFonts w:ascii="Arial" w:hAnsi="Arial" w:cs="Arial"/>
                <w:sz w:val="22"/>
                <w:szCs w:val="22"/>
              </w:rPr>
              <w:t xml:space="preserve"> and 1.4.13</w:t>
            </w:r>
            <w:r w:rsidR="004D798F">
              <w:rPr>
                <w:rFonts w:ascii="Arial" w:hAnsi="Arial" w:cs="Arial"/>
                <w:sz w:val="22"/>
                <w:szCs w:val="22"/>
              </w:rPr>
              <w:t>.</w:t>
            </w:r>
          </w:p>
          <w:bookmarkStart w:id="2" w:name="_Hlk77249391"/>
          <w:p w14:paraId="7E38D12D" w14:textId="61BD352C" w:rsidR="002338EB" w:rsidRDefault="00763D8F" w:rsidP="0086398D">
            <w:pPr>
              <w:spacing w:before="120" w:after="12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"https://www.escardio.org/Guidelines/Clinical-Practice-Guidelines/Acute-Myocardial-Infarction-in-patients-presenting-with-ST-segment-elevation-Ma" </w:instrText>
            </w:r>
            <w:r>
              <w:rPr>
                <w:rFonts w:ascii="Arial" w:hAnsi="Arial" w:cs="Arial"/>
                <w:sz w:val="22"/>
                <w:szCs w:val="22"/>
              </w:rPr>
              <w:fldChar w:fldCharType="separate"/>
            </w:r>
            <w:r w:rsidRPr="00763D8F">
              <w:rPr>
                <w:rStyle w:val="Hyperlink"/>
                <w:rFonts w:ascii="Arial" w:hAnsi="Arial" w:cs="Arial"/>
                <w:sz w:val="22"/>
                <w:szCs w:val="22"/>
              </w:rPr>
              <w:t xml:space="preserve">European Society of Cardiology. </w:t>
            </w:r>
            <w:r w:rsidR="001E665D" w:rsidRPr="00763D8F">
              <w:rPr>
                <w:rStyle w:val="Hyperlink"/>
                <w:rFonts w:ascii="Arial" w:hAnsi="Arial" w:cs="Arial"/>
                <w:sz w:val="22"/>
                <w:szCs w:val="22"/>
              </w:rPr>
              <w:t>ESC Guidelines for the management of acute myocardial infarction in patients presenting with ST-segment elevation</w:t>
            </w:r>
            <w:r>
              <w:rPr>
                <w:rFonts w:ascii="Arial" w:hAnsi="Arial" w:cs="Arial"/>
                <w:sz w:val="22"/>
                <w:szCs w:val="22"/>
              </w:rPr>
              <w:fldChar w:fldCharType="end"/>
            </w:r>
            <w:r w:rsidR="001E665D" w:rsidRPr="0086398D">
              <w:rPr>
                <w:rFonts w:ascii="Arial" w:hAnsi="Arial" w:cs="Arial"/>
                <w:sz w:val="22"/>
                <w:szCs w:val="22"/>
              </w:rPr>
              <w:t xml:space="preserve"> (2017)</w:t>
            </w:r>
            <w:bookmarkEnd w:id="2"/>
            <w:r w:rsidR="001E665D" w:rsidRPr="0086398D">
              <w:rPr>
                <w:rFonts w:ascii="Arial" w:hAnsi="Arial" w:cs="Arial"/>
                <w:sz w:val="22"/>
                <w:szCs w:val="22"/>
              </w:rPr>
              <w:t xml:space="preserve"> (</w:t>
            </w:r>
            <w:r w:rsidR="004E5966">
              <w:rPr>
                <w:rFonts w:ascii="Arial" w:hAnsi="Arial" w:cs="Arial"/>
                <w:sz w:val="22"/>
                <w:szCs w:val="22"/>
              </w:rPr>
              <w:t>c</w:t>
            </w:r>
            <w:r w:rsidR="001E665D" w:rsidRPr="0086398D">
              <w:rPr>
                <w:rFonts w:ascii="Arial" w:hAnsi="Arial" w:cs="Arial"/>
                <w:sz w:val="22"/>
                <w:szCs w:val="22"/>
              </w:rPr>
              <w:t xml:space="preserve">lass I </w:t>
            </w:r>
            <w:r w:rsidR="004E5966">
              <w:rPr>
                <w:rFonts w:ascii="Arial" w:hAnsi="Arial" w:cs="Arial"/>
                <w:sz w:val="22"/>
                <w:szCs w:val="22"/>
              </w:rPr>
              <w:t>l</w:t>
            </w:r>
            <w:r w:rsidR="001E665D" w:rsidRPr="0086398D">
              <w:rPr>
                <w:rFonts w:ascii="Arial" w:hAnsi="Arial" w:cs="Arial"/>
                <w:sz w:val="22"/>
                <w:szCs w:val="22"/>
              </w:rPr>
              <w:t xml:space="preserve">evel </w:t>
            </w:r>
            <w:r w:rsidR="0015193E">
              <w:rPr>
                <w:rFonts w:ascii="Arial" w:hAnsi="Arial" w:cs="Arial"/>
                <w:sz w:val="22"/>
                <w:szCs w:val="22"/>
              </w:rPr>
              <w:t>C</w:t>
            </w:r>
            <w:r w:rsidR="001E665D" w:rsidRPr="0086398D">
              <w:rPr>
                <w:rFonts w:ascii="Arial" w:hAnsi="Arial" w:cs="Arial"/>
                <w:sz w:val="22"/>
                <w:szCs w:val="22"/>
              </w:rPr>
              <w:t>).</w:t>
            </w:r>
          </w:p>
          <w:p w14:paraId="1841750B" w14:textId="42946865" w:rsidR="0015193E" w:rsidRPr="0073113B" w:rsidRDefault="005C0721" w:rsidP="0015193E">
            <w:pPr>
              <w:spacing w:before="120" w:after="120"/>
              <w:rPr>
                <w:rFonts w:ascii="Arial" w:hAnsi="Arial" w:cs="Arial"/>
                <w:sz w:val="22"/>
                <w:szCs w:val="22"/>
              </w:rPr>
            </w:pPr>
            <w:hyperlink r:id="rId11" w:anchor="108782014" w:history="1">
              <w:r w:rsidR="0015193E" w:rsidRPr="0015193E">
                <w:rPr>
                  <w:rStyle w:val="Hyperlink"/>
                  <w:rFonts w:ascii="Arial" w:hAnsi="Arial" w:cs="Arial"/>
                  <w:sz w:val="22"/>
                  <w:szCs w:val="22"/>
                </w:rPr>
                <w:t>European Society of Cardiology. ESC Guidelines for the management of acute coronary syndromes in patients presenting without persistent ST-segment elevation</w:t>
              </w:r>
            </w:hyperlink>
            <w:r w:rsidR="0015193E">
              <w:rPr>
                <w:rFonts w:ascii="Arial" w:hAnsi="Arial" w:cs="Arial"/>
                <w:sz w:val="22"/>
                <w:szCs w:val="22"/>
              </w:rPr>
              <w:t xml:space="preserve"> (20</w:t>
            </w:r>
            <w:r w:rsidR="00C352F7">
              <w:rPr>
                <w:rFonts w:ascii="Arial" w:hAnsi="Arial" w:cs="Arial"/>
                <w:sz w:val="22"/>
                <w:szCs w:val="22"/>
              </w:rPr>
              <w:t>20</w:t>
            </w:r>
            <w:r w:rsidR="0015193E">
              <w:rPr>
                <w:rFonts w:ascii="Arial" w:hAnsi="Arial" w:cs="Arial"/>
                <w:sz w:val="22"/>
                <w:szCs w:val="22"/>
              </w:rPr>
              <w:t xml:space="preserve">) (class I </w:t>
            </w:r>
            <w:r w:rsidR="004E5966">
              <w:rPr>
                <w:rFonts w:ascii="Arial" w:hAnsi="Arial" w:cs="Arial"/>
                <w:sz w:val="22"/>
                <w:szCs w:val="22"/>
              </w:rPr>
              <w:t xml:space="preserve">level </w:t>
            </w:r>
            <w:r w:rsidR="004D798F">
              <w:rPr>
                <w:rFonts w:ascii="Arial" w:hAnsi="Arial" w:cs="Arial"/>
                <w:sz w:val="22"/>
                <w:szCs w:val="22"/>
              </w:rPr>
              <w:t>A</w:t>
            </w:r>
            <w:r w:rsidR="0015193E">
              <w:rPr>
                <w:rFonts w:ascii="Arial" w:hAnsi="Arial" w:cs="Arial"/>
                <w:sz w:val="22"/>
                <w:szCs w:val="22"/>
              </w:rPr>
              <w:t>).</w:t>
            </w:r>
          </w:p>
          <w:p w14:paraId="1359C26D" w14:textId="5441DFF0" w:rsidR="0015193E" w:rsidRPr="0086398D" w:rsidRDefault="0015193E" w:rsidP="0086398D">
            <w:pPr>
              <w:spacing w:before="120" w:after="120"/>
              <w:rPr>
                <w:rFonts w:ascii="Arial" w:hAnsi="Arial" w:cs="Arial"/>
                <w:sz w:val="22"/>
                <w:szCs w:val="22"/>
              </w:rPr>
            </w:pPr>
          </w:p>
        </w:tc>
        <w:tc>
          <w:tcPr>
            <w:tcW w:w="3118" w:type="dxa"/>
          </w:tcPr>
          <w:p w14:paraId="11574C0C" w14:textId="77777777" w:rsidR="001E665D" w:rsidRPr="0086398D" w:rsidRDefault="001E665D" w:rsidP="0086398D">
            <w:pPr>
              <w:spacing w:before="120" w:after="120"/>
              <w:rPr>
                <w:rFonts w:ascii="Arial" w:eastAsiaTheme="minorEastAsia" w:hAnsi="Arial" w:cs="Arial"/>
                <w:color w:val="000000" w:themeColor="dark1"/>
                <w:kern w:val="24"/>
                <w:sz w:val="22"/>
                <w:szCs w:val="22"/>
                <w:lang w:val="en-US"/>
              </w:rPr>
            </w:pPr>
            <w:r w:rsidRPr="0086398D">
              <w:rPr>
                <w:rFonts w:ascii="Arial" w:eastAsiaTheme="minorEastAsia" w:hAnsi="Arial" w:cs="Arial"/>
                <w:color w:val="000000" w:themeColor="dark1"/>
                <w:kern w:val="24"/>
                <w:sz w:val="22"/>
                <w:szCs w:val="22"/>
                <w:lang w:val="en-US"/>
              </w:rPr>
              <w:lastRenderedPageBreak/>
              <w:t xml:space="preserve">The indicator is derived from a high-quality evidence base. </w:t>
            </w:r>
          </w:p>
          <w:p w14:paraId="75848804" w14:textId="5D0D1132" w:rsidR="002338EB" w:rsidRPr="0086398D" w:rsidRDefault="001E665D" w:rsidP="0086398D">
            <w:pPr>
              <w:spacing w:before="120" w:after="120"/>
              <w:rPr>
                <w:rFonts w:ascii="Arial" w:hAnsi="Arial"/>
                <w:sz w:val="22"/>
                <w:highlight w:val="lightGray"/>
              </w:rPr>
            </w:pPr>
            <w:r w:rsidRPr="0086398D">
              <w:rPr>
                <w:rFonts w:ascii="Arial" w:eastAsiaTheme="minorEastAsia" w:hAnsi="Arial" w:cs="Arial"/>
                <w:color w:val="000000" w:themeColor="dark1"/>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ABEFABA" w14:textId="77C9A03B"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Numerator: </w:t>
            </w:r>
            <w:r w:rsidR="0052364C" w:rsidRPr="0086398D">
              <w:rPr>
                <w:rFonts w:ascii="Arial" w:hAnsi="Arial" w:cs="Arial"/>
                <w:color w:val="000000"/>
                <w:kern w:val="24"/>
                <w:sz w:val="22"/>
                <w:szCs w:val="22"/>
              </w:rPr>
              <w:t>T</w:t>
            </w:r>
            <w:r w:rsidR="0052364C" w:rsidRPr="0086398D">
              <w:rPr>
                <w:rFonts w:ascii="Arial" w:hAnsi="Arial"/>
                <w:color w:val="000000"/>
                <w:kern w:val="24"/>
                <w:sz w:val="22"/>
              </w:rPr>
              <w:t xml:space="preserve">he number of patients in the denominator </w:t>
            </w:r>
            <w:r w:rsidR="004E5966">
              <w:rPr>
                <w:rFonts w:ascii="Arial" w:hAnsi="Arial"/>
                <w:color w:val="000000"/>
                <w:kern w:val="24"/>
                <w:sz w:val="22"/>
              </w:rPr>
              <w:t>discharged on dual antiplatelet therapy.</w:t>
            </w:r>
          </w:p>
          <w:p w14:paraId="424261B6" w14:textId="6A93CB54"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Denominator: </w:t>
            </w:r>
            <w:r w:rsidR="0052364C" w:rsidRPr="0086398D">
              <w:rPr>
                <w:rFonts w:ascii="Arial" w:hAnsi="Arial" w:cs="Arial"/>
                <w:color w:val="000000"/>
                <w:kern w:val="24"/>
                <w:sz w:val="22"/>
                <w:szCs w:val="22"/>
              </w:rPr>
              <w:t xml:space="preserve">The number of patients </w:t>
            </w:r>
            <w:r w:rsidR="00227A15" w:rsidRPr="00227A15">
              <w:rPr>
                <w:rFonts w:ascii="Arial" w:hAnsi="Arial" w:cs="Arial"/>
                <w:color w:val="000000"/>
                <w:kern w:val="24"/>
                <w:sz w:val="22"/>
                <w:szCs w:val="22"/>
              </w:rPr>
              <w:t>discharged from hospital following an admission with acute myocardial infarction.</w:t>
            </w:r>
          </w:p>
          <w:p w14:paraId="50F69748" w14:textId="5C71880C" w:rsidR="0052364C" w:rsidRPr="0086398D" w:rsidRDefault="0052364C"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Exclusions: </w:t>
            </w:r>
            <w:r w:rsidR="004E5966">
              <w:rPr>
                <w:rFonts w:ascii="Arial" w:hAnsi="Arial" w:cs="Arial"/>
                <w:color w:val="000000"/>
                <w:kern w:val="24"/>
                <w:sz w:val="22"/>
                <w:szCs w:val="22"/>
              </w:rPr>
              <w:t xml:space="preserve">Patients with contraindication to aspirin or other antiplatelets. Patients treated with anticoagulation. </w:t>
            </w:r>
            <w:r w:rsidRPr="0086398D">
              <w:rPr>
                <w:rFonts w:ascii="Arial" w:hAnsi="Arial" w:cs="Arial"/>
                <w:color w:val="000000"/>
                <w:kern w:val="24"/>
                <w:sz w:val="22"/>
                <w:szCs w:val="22"/>
              </w:rPr>
              <w:t xml:space="preserve">Patients </w:t>
            </w:r>
            <w:r w:rsidR="00227A15">
              <w:rPr>
                <w:rFonts w:ascii="Arial" w:hAnsi="Arial" w:cs="Arial"/>
                <w:color w:val="000000"/>
                <w:kern w:val="24"/>
                <w:sz w:val="22"/>
                <w:szCs w:val="22"/>
              </w:rPr>
              <w:t xml:space="preserve">who died in hospital. </w:t>
            </w:r>
          </w:p>
          <w:p w14:paraId="1A8C1D16" w14:textId="5DEC032B" w:rsidR="00735337" w:rsidRPr="0086398D" w:rsidRDefault="00735337" w:rsidP="0086398D">
            <w:pPr>
              <w:spacing w:before="120" w:after="120"/>
              <w:rPr>
                <w:rFonts w:ascii="Arial" w:hAnsi="Arial"/>
                <w:sz w:val="22"/>
                <w:highlight w:val="lightGray"/>
              </w:rPr>
            </w:pPr>
          </w:p>
        </w:tc>
        <w:tc>
          <w:tcPr>
            <w:tcW w:w="3118" w:type="dxa"/>
          </w:tcPr>
          <w:p w14:paraId="1439227D" w14:textId="5A1A009F"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The indicator has defined components necessary to construct the indicator, including numerator, </w:t>
            </w:r>
            <w:proofErr w:type="gramStart"/>
            <w:r w:rsidRPr="0086398D">
              <w:rPr>
                <w:rFonts w:ascii="Arial" w:hAnsi="Arial" w:cs="Arial"/>
                <w:color w:val="000000"/>
                <w:kern w:val="24"/>
                <w:sz w:val="22"/>
                <w:szCs w:val="22"/>
              </w:rPr>
              <w:t>denominator</w:t>
            </w:r>
            <w:proofErr w:type="gramEnd"/>
            <w:r w:rsidRPr="0086398D">
              <w:rPr>
                <w:rFonts w:ascii="Arial" w:hAnsi="Arial" w:cs="Arial"/>
                <w:color w:val="000000"/>
                <w:kern w:val="24"/>
                <w:sz w:val="22"/>
                <w:szCs w:val="22"/>
              </w:rPr>
              <w:t xml:space="preserve"> and exclusions.</w:t>
            </w:r>
          </w:p>
          <w:p w14:paraId="0C449702" w14:textId="7475B426" w:rsidR="002338EB" w:rsidRPr="0086398D" w:rsidRDefault="00DE6021" w:rsidP="0086398D">
            <w:pPr>
              <w:spacing w:before="120" w:after="120"/>
              <w:rPr>
                <w:rFonts w:ascii="Arial" w:hAnsi="Arial"/>
                <w:sz w:val="22"/>
                <w:highlight w:val="lightGray"/>
              </w:rPr>
            </w:pPr>
            <w:r w:rsidRPr="0086398D">
              <w:rPr>
                <w:rFonts w:ascii="Arial" w:hAnsi="Arial"/>
                <w:sz w:val="22"/>
              </w:rPr>
              <w:t>The construction proposed by the ESC ACCA has been adapted for publication on the NICE menu of indicators.</w:t>
            </w:r>
          </w:p>
        </w:tc>
      </w:tr>
      <w:tr w:rsidR="002338EB" w14:paraId="48133640" w14:textId="77777777" w:rsidTr="001C517D">
        <w:tc>
          <w:tcPr>
            <w:tcW w:w="5949" w:type="dxa"/>
          </w:tcPr>
          <w:p w14:paraId="0CE94C93" w14:textId="77777777" w:rsidR="00DE6021" w:rsidRPr="0086398D" w:rsidRDefault="00DE6021"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Audit data is presented at hospital trust level. This is proposed to be a CCG level NICE menu indicator. </w:t>
            </w:r>
          </w:p>
          <w:p w14:paraId="4B4889E2" w14:textId="683A9589" w:rsidR="002C1326" w:rsidRPr="004E5966" w:rsidRDefault="00DE6021"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NICE CCG level indicators are intended for use where there is an average of 50 patients or more per CCG. </w:t>
            </w:r>
            <w:r w:rsidR="004E5966" w:rsidRPr="004E5966">
              <w:rPr>
                <w:rFonts w:ascii="Arial" w:hAnsi="Arial" w:cs="Arial"/>
                <w:color w:val="000000"/>
                <w:kern w:val="24"/>
                <w:sz w:val="22"/>
                <w:szCs w:val="22"/>
              </w:rPr>
              <w:t>Data presented as part of the study by Bebb et al (2017) based on the MINAP database for the period 2012 to 2013 shows 101,582 eligible patients and this indicates an average number of 752 patients per CCG (135 CCGs April 2020).</w:t>
            </w:r>
          </w:p>
        </w:tc>
        <w:tc>
          <w:tcPr>
            <w:tcW w:w="3118" w:type="dxa"/>
          </w:tcPr>
          <w:p w14:paraId="38DE6D48" w14:textId="3C8E953B" w:rsidR="002338EB" w:rsidRPr="0086398D" w:rsidRDefault="00DE6021" w:rsidP="0086398D">
            <w:pPr>
              <w:spacing w:before="120" w:after="120"/>
              <w:rPr>
                <w:rFonts w:ascii="Arial" w:hAnsi="Arial"/>
                <w:sz w:val="22"/>
                <w:highlight w:val="lightGray"/>
              </w:rPr>
            </w:pPr>
            <w:r w:rsidRPr="0086398D">
              <w:rPr>
                <w:rFonts w:ascii="Arial" w:hAnsi="Arial" w:cs="Arial"/>
                <w:color w:val="000000"/>
                <w:kern w:val="24"/>
                <w:sz w:val="22"/>
                <w:szCs w:val="22"/>
              </w:rPr>
              <w:t>The indicator does outline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735337">
      <w:pPr>
        <w:pStyle w:val="Heading3"/>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5BA6FF4D" w:rsidR="00735337" w:rsidRPr="0086398D" w:rsidRDefault="00735337" w:rsidP="0086398D">
            <w:pPr>
              <w:spacing w:before="120" w:after="120"/>
              <w:rPr>
                <w:rFonts w:ascii="Arial" w:hAnsi="Arial"/>
                <w:sz w:val="22"/>
              </w:rPr>
            </w:pPr>
            <w:r w:rsidRPr="0086398D">
              <w:rPr>
                <w:rFonts w:ascii="Arial" w:hAnsi="Arial" w:cs="Arial"/>
                <w:sz w:val="22"/>
                <w:szCs w:val="22"/>
              </w:rPr>
              <w:t xml:space="preserve">Data is collected annually as part of the </w:t>
            </w:r>
            <w:hyperlink r:id="rId12" w:history="1">
              <w:r w:rsidRPr="0086398D">
                <w:rPr>
                  <w:rFonts w:ascii="Arial" w:hAnsi="Arial" w:cs="Arial"/>
                  <w:color w:val="0000FF"/>
                  <w:sz w:val="22"/>
                  <w:szCs w:val="22"/>
                  <w:u w:val="single"/>
                </w:rPr>
                <w:t>Myocardial Ischaemia National Audit Project</w:t>
              </w:r>
            </w:hyperlink>
            <w:r w:rsidRPr="0086398D">
              <w:rPr>
                <w:rFonts w:ascii="Arial" w:hAnsi="Arial" w:cs="Arial"/>
                <w:color w:val="0000FF"/>
                <w:sz w:val="22"/>
                <w:szCs w:val="22"/>
                <w:u w:val="single"/>
              </w:rPr>
              <w:t>.</w:t>
            </w:r>
            <w:r w:rsidRPr="0086398D">
              <w:rPr>
                <w:rFonts w:ascii="Arial" w:hAnsi="Arial" w:cs="Arial"/>
                <w:sz w:val="22"/>
                <w:szCs w:val="22"/>
              </w:rPr>
              <w:t xml:space="preserve"> </w:t>
            </w:r>
          </w:p>
        </w:tc>
        <w:tc>
          <w:tcPr>
            <w:tcW w:w="3118" w:type="dxa"/>
          </w:tcPr>
          <w:p w14:paraId="7E07F302" w14:textId="5F984164"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The indicator is repeatable.</w:t>
            </w:r>
          </w:p>
          <w:p w14:paraId="3BEFE1B2" w14:textId="77777777" w:rsidR="00735337" w:rsidRPr="0086398D" w:rsidRDefault="00735337" w:rsidP="0086398D">
            <w:pPr>
              <w:spacing w:before="120" w:after="120"/>
              <w:rPr>
                <w:rFonts w:ascii="Arial" w:hAnsi="Arial"/>
                <w:sz w:val="22"/>
              </w:rPr>
            </w:pPr>
          </w:p>
        </w:tc>
      </w:tr>
      <w:tr w:rsidR="00735337" w14:paraId="2FE27CD6" w14:textId="77777777" w:rsidTr="001C517D">
        <w:tc>
          <w:tcPr>
            <w:tcW w:w="5949" w:type="dxa"/>
          </w:tcPr>
          <w:p w14:paraId="1FFD01BE" w14:textId="4DC833C5" w:rsidR="00DE6021" w:rsidRPr="0086398D" w:rsidRDefault="00DE6021" w:rsidP="0086398D">
            <w:pPr>
              <w:spacing w:before="120" w:after="120"/>
              <w:rPr>
                <w:rFonts w:ascii="Arial" w:hAnsi="Arial" w:cs="Arial"/>
                <w:sz w:val="22"/>
                <w:szCs w:val="22"/>
              </w:rPr>
            </w:pPr>
            <w:r w:rsidRPr="0086398D">
              <w:rPr>
                <w:rFonts w:ascii="Arial" w:hAnsi="Arial" w:cs="Arial"/>
                <w:sz w:val="22"/>
                <w:szCs w:val="22"/>
              </w:rPr>
              <w:t xml:space="preserve">Details of the MINAP dataset, including definitions of the variables and guidance on applying options are also published by </w:t>
            </w:r>
            <w:hyperlink r:id="rId13" w:history="1">
              <w:r w:rsidRPr="00E15426">
                <w:rPr>
                  <w:rStyle w:val="Hyperlink"/>
                  <w:rFonts w:ascii="Arial" w:hAnsi="Arial" w:cs="Arial"/>
                  <w:sz w:val="22"/>
                  <w:szCs w:val="22"/>
                </w:rPr>
                <w:t>National Institute for Cardiovascular Outcomes Research (NICOR).</w:t>
              </w:r>
            </w:hyperlink>
            <w:r w:rsidRPr="0086398D">
              <w:rPr>
                <w:rFonts w:ascii="Arial" w:hAnsi="Arial" w:cs="Arial"/>
                <w:sz w:val="22"/>
                <w:szCs w:val="22"/>
              </w:rPr>
              <w:t xml:space="preserve"> </w:t>
            </w:r>
          </w:p>
          <w:p w14:paraId="4838A227" w14:textId="77777777" w:rsidR="00DE6021" w:rsidRPr="0086398D" w:rsidRDefault="00DE6021" w:rsidP="0086398D">
            <w:pPr>
              <w:spacing w:before="120" w:after="120"/>
              <w:rPr>
                <w:rFonts w:ascii="Arial" w:hAnsi="Arial" w:cs="Arial"/>
                <w:sz w:val="22"/>
                <w:szCs w:val="22"/>
              </w:rPr>
            </w:pPr>
            <w:r w:rsidRPr="0086398D">
              <w:rPr>
                <w:rFonts w:ascii="Arial" w:hAnsi="Arial" w:cs="Arial"/>
                <w:sz w:val="22"/>
                <w:szCs w:val="22"/>
              </w:rPr>
              <w:t xml:space="preserve">Data fields collected include:  </w:t>
            </w:r>
          </w:p>
          <w:p w14:paraId="1825DECB" w14:textId="5EE9CA22" w:rsidR="00735337" w:rsidRDefault="004E5966" w:rsidP="0086398D">
            <w:pPr>
              <w:pStyle w:val="ListParagraph"/>
              <w:numPr>
                <w:ilvl w:val="0"/>
                <w:numId w:val="42"/>
              </w:numPr>
              <w:spacing w:before="120" w:after="120"/>
              <w:rPr>
                <w:rFonts w:ascii="Arial" w:hAnsi="Arial" w:cs="Arial"/>
                <w:sz w:val="22"/>
                <w:szCs w:val="22"/>
              </w:rPr>
            </w:pPr>
            <w:r>
              <w:rPr>
                <w:rFonts w:ascii="Arial" w:hAnsi="Arial" w:cs="Arial"/>
                <w:sz w:val="22"/>
                <w:szCs w:val="22"/>
              </w:rPr>
              <w:t>Discharged on aspirin (4.08)</w:t>
            </w:r>
          </w:p>
          <w:p w14:paraId="0B659088" w14:textId="700E2F8D" w:rsidR="004E5966" w:rsidRDefault="004E5966" w:rsidP="0086398D">
            <w:pPr>
              <w:pStyle w:val="ListParagraph"/>
              <w:numPr>
                <w:ilvl w:val="0"/>
                <w:numId w:val="42"/>
              </w:numPr>
              <w:spacing w:before="120" w:after="120"/>
              <w:rPr>
                <w:rFonts w:ascii="Arial" w:hAnsi="Arial" w:cs="Arial"/>
                <w:sz w:val="22"/>
                <w:szCs w:val="22"/>
              </w:rPr>
            </w:pPr>
            <w:r>
              <w:rPr>
                <w:rFonts w:ascii="Arial" w:hAnsi="Arial" w:cs="Arial"/>
                <w:sz w:val="22"/>
                <w:szCs w:val="22"/>
              </w:rPr>
              <w:t>Discharged on thienopyridine inhibitor (4.27)</w:t>
            </w:r>
          </w:p>
          <w:p w14:paraId="43CBDCE6" w14:textId="74503BD2" w:rsidR="004E5966" w:rsidRDefault="004E5966" w:rsidP="0086398D">
            <w:pPr>
              <w:pStyle w:val="ListParagraph"/>
              <w:numPr>
                <w:ilvl w:val="0"/>
                <w:numId w:val="42"/>
              </w:numPr>
              <w:spacing w:before="120" w:after="120"/>
              <w:rPr>
                <w:rFonts w:ascii="Arial" w:hAnsi="Arial" w:cs="Arial"/>
                <w:sz w:val="22"/>
                <w:szCs w:val="22"/>
              </w:rPr>
            </w:pPr>
            <w:r>
              <w:rPr>
                <w:rFonts w:ascii="Arial" w:hAnsi="Arial" w:cs="Arial"/>
                <w:sz w:val="22"/>
                <w:szCs w:val="22"/>
              </w:rPr>
              <w:t>Discharged on ticagrelor (4.31)</w:t>
            </w:r>
          </w:p>
          <w:p w14:paraId="6B3D2BF0" w14:textId="0B9493C1" w:rsidR="00227A15" w:rsidRPr="0086398D" w:rsidRDefault="00227A15" w:rsidP="0086398D">
            <w:pPr>
              <w:pStyle w:val="ListParagraph"/>
              <w:numPr>
                <w:ilvl w:val="0"/>
                <w:numId w:val="42"/>
              </w:numPr>
              <w:spacing w:before="120" w:after="120"/>
              <w:rPr>
                <w:rFonts w:ascii="Arial" w:hAnsi="Arial" w:cs="Arial"/>
                <w:sz w:val="22"/>
                <w:szCs w:val="22"/>
              </w:rPr>
            </w:pPr>
            <w:r>
              <w:rPr>
                <w:rFonts w:ascii="Arial" w:hAnsi="Arial" w:cs="Arial"/>
                <w:sz w:val="22"/>
                <w:szCs w:val="22"/>
              </w:rPr>
              <w:t>Mode of discharge (4.16)</w:t>
            </w:r>
          </w:p>
        </w:tc>
        <w:tc>
          <w:tcPr>
            <w:tcW w:w="3118" w:type="dxa"/>
          </w:tcPr>
          <w:p w14:paraId="501A7677" w14:textId="77777777"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The indicator is measuring what it is designed to measure. </w:t>
            </w:r>
          </w:p>
          <w:p w14:paraId="24CB8CBA" w14:textId="12F25CF7" w:rsidR="00227A15" w:rsidRPr="0086398D" w:rsidRDefault="00227A15" w:rsidP="0086398D">
            <w:pPr>
              <w:spacing w:before="120" w:after="120"/>
              <w:rPr>
                <w:rFonts w:ascii="Arial" w:hAnsi="Arial" w:cs="Arial"/>
                <w:color w:val="000000"/>
                <w:kern w:val="24"/>
                <w:sz w:val="22"/>
                <w:szCs w:val="22"/>
              </w:rPr>
            </w:pPr>
            <w:r w:rsidRPr="00227A15">
              <w:rPr>
                <w:rFonts w:ascii="Arial" w:hAnsi="Arial" w:cs="Arial"/>
                <w:color w:val="000000"/>
                <w:kern w:val="24"/>
                <w:sz w:val="22"/>
                <w:szCs w:val="22"/>
              </w:rPr>
              <w:t>The indicator uses existing data fields</w:t>
            </w:r>
            <w:r w:rsidR="004E5966">
              <w:rPr>
                <w:rFonts w:ascii="Arial" w:hAnsi="Arial" w:cs="Arial"/>
                <w:color w:val="000000"/>
                <w:kern w:val="24"/>
                <w:sz w:val="22"/>
                <w:szCs w:val="22"/>
              </w:rPr>
              <w:t xml:space="preserve">. Contraindicated is recorded within the data fields. </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1FF8C1C5" w:rsidR="00227A15" w:rsidRPr="004E5966" w:rsidRDefault="004E5966" w:rsidP="004E5966">
            <w:pPr>
              <w:spacing w:before="120" w:after="120"/>
              <w:rPr>
                <w:rFonts w:ascii="Arial" w:hAnsi="Arial"/>
                <w:color w:val="000000"/>
                <w:kern w:val="24"/>
                <w:sz w:val="22"/>
                <w:highlight w:val="lightGray"/>
              </w:rPr>
            </w:pPr>
            <w:r w:rsidRPr="004E5966">
              <w:rPr>
                <w:rFonts w:ascii="Arial" w:hAnsi="Arial"/>
                <w:color w:val="000000"/>
                <w:kern w:val="24"/>
                <w:sz w:val="22"/>
                <w:szCs w:val="22"/>
              </w:rPr>
              <w:t xml:space="preserve">There is an existing NICE menu indicator (NM79). This is a GP indicator suitable for QOF: The percentage of patients who had a myocardial infarction in the preceding 1 April to 31 March and who are currently being treated with ACE-I (or ARB if ACE-I intolerant), dual antiplatelet therapy, </w:t>
            </w:r>
            <w:proofErr w:type="gramStart"/>
            <w:r w:rsidRPr="004E5966">
              <w:rPr>
                <w:rFonts w:ascii="Arial" w:hAnsi="Arial"/>
                <w:color w:val="000000"/>
                <w:kern w:val="24"/>
                <w:sz w:val="22"/>
                <w:szCs w:val="22"/>
              </w:rPr>
              <w:t>beta-blocker</w:t>
            </w:r>
            <w:proofErr w:type="gramEnd"/>
            <w:r w:rsidRPr="004E5966">
              <w:rPr>
                <w:rFonts w:ascii="Arial" w:hAnsi="Arial"/>
                <w:color w:val="000000"/>
                <w:kern w:val="24"/>
                <w:sz w:val="22"/>
                <w:szCs w:val="22"/>
              </w:rPr>
              <w:t xml:space="preserve"> and a statin.</w:t>
            </w:r>
          </w:p>
        </w:tc>
        <w:tc>
          <w:tcPr>
            <w:tcW w:w="3118" w:type="dxa"/>
          </w:tcPr>
          <w:p w14:paraId="50C98A36" w14:textId="41191BE5" w:rsidR="00735337" w:rsidRPr="00A47852" w:rsidRDefault="00735337" w:rsidP="00735337">
            <w:pPr>
              <w:pStyle w:val="Paragraph"/>
              <w:spacing w:before="120" w:after="120" w:line="240" w:lineRule="auto"/>
              <w:rPr>
                <w:highlight w:val="lightGray"/>
              </w:rPr>
            </w:pPr>
            <w:r w:rsidRPr="00B10C4D">
              <w:rPr>
                <w:rFonts w:cs="Arial"/>
                <w:color w:val="000000"/>
                <w:kern w:val="24"/>
                <w:sz w:val="22"/>
                <w:szCs w:val="22"/>
              </w:rPr>
              <w:t>The indicator assesses performance that is attributable to or within the control of the audience</w:t>
            </w:r>
            <w:r w:rsidR="00B10C4D">
              <w:rPr>
                <w:rFonts w:cs="Arial"/>
                <w:color w:val="000000"/>
                <w:kern w:val="24"/>
                <w:sz w:val="22"/>
                <w:szCs w:val="22"/>
              </w:rPr>
              <w:t>.</w:t>
            </w:r>
          </w:p>
        </w:tc>
      </w:tr>
      <w:tr w:rsidR="00735337" w14:paraId="7E164FBD" w14:textId="77777777" w:rsidTr="001C517D">
        <w:tc>
          <w:tcPr>
            <w:tcW w:w="5949" w:type="dxa"/>
          </w:tcPr>
          <w:p w14:paraId="3AF0200A" w14:textId="10A21BFF" w:rsidR="00735337" w:rsidRPr="00B10C4D" w:rsidRDefault="00735337" w:rsidP="00735337">
            <w:pPr>
              <w:pStyle w:val="Paragraph"/>
              <w:spacing w:before="120" w:after="120" w:line="240" w:lineRule="auto"/>
            </w:pPr>
            <w:r w:rsidRPr="00B10C4D">
              <w:rPr>
                <w:rFonts w:cs="Arial"/>
                <w:sz w:val="22"/>
                <w:szCs w:val="22"/>
              </w:rPr>
              <w:t xml:space="preserve">Data tables are published on the NICOR website </w:t>
            </w:r>
            <w:proofErr w:type="gramStart"/>
            <w:r w:rsidRPr="00B10C4D">
              <w:rPr>
                <w:rFonts w:cs="Arial"/>
                <w:sz w:val="22"/>
                <w:szCs w:val="22"/>
              </w:rPr>
              <w:t>in order to</w:t>
            </w:r>
            <w:proofErr w:type="gramEnd"/>
            <w:r w:rsidRPr="00B10C4D">
              <w:rPr>
                <w:rFonts w:cs="Arial"/>
                <w:sz w:val="22"/>
                <w:szCs w:val="22"/>
              </w:rPr>
              <w:t xml:space="preserve"> compare practice and assist in quality improvement cycles.</w:t>
            </w:r>
          </w:p>
        </w:tc>
        <w:tc>
          <w:tcPr>
            <w:tcW w:w="3118" w:type="dxa"/>
          </w:tcPr>
          <w:p w14:paraId="2909F55A" w14:textId="550EBBEB" w:rsidR="00735337" w:rsidRPr="00B10C4D" w:rsidRDefault="00735337" w:rsidP="00735337">
            <w:pPr>
              <w:pStyle w:val="Paragraph"/>
              <w:spacing w:before="120" w:after="120" w:line="240" w:lineRule="auto"/>
            </w:pPr>
            <w:r w:rsidRPr="00B10C4D">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2E55D345" w:rsidR="00A47852" w:rsidRPr="00227A15" w:rsidRDefault="00B10C4D" w:rsidP="0086398D">
            <w:pPr>
              <w:spacing w:before="120" w:after="120"/>
              <w:rPr>
                <w:rFonts w:ascii="Arial" w:hAnsi="Arial" w:cs="Arial"/>
                <w:color w:val="000000"/>
                <w:kern w:val="24"/>
                <w:sz w:val="22"/>
                <w:szCs w:val="22"/>
                <w:lang w:eastAsia="en-GB"/>
              </w:rPr>
            </w:pPr>
            <w:r w:rsidRPr="0086398D">
              <w:rPr>
                <w:rFonts w:ascii="Arial" w:hAnsi="Arial" w:cs="Arial"/>
                <w:color w:val="000000"/>
                <w:kern w:val="24"/>
                <w:sz w:val="22"/>
                <w:szCs w:val="22"/>
                <w:lang w:eastAsia="en-GB"/>
              </w:rPr>
              <w:t>MINAP was established in 1999 and is a domain with the National Cardiac Audit Programme and under the governance of the Healthcare Quality Improvement Partnership (HQIP). Robust governance structures are in place to ensure data quality and monitor appropriateness of audit measures. There is a minimum dataset against which each participating hospital is assessed for data completeness.</w:t>
            </w:r>
          </w:p>
        </w:tc>
        <w:tc>
          <w:tcPr>
            <w:tcW w:w="3118" w:type="dxa"/>
          </w:tcPr>
          <w:p w14:paraId="29FB2923" w14:textId="4EE07B97" w:rsidR="00A47852" w:rsidRPr="0086398D" w:rsidRDefault="00A47852" w:rsidP="0086398D">
            <w:pPr>
              <w:spacing w:before="120" w:after="120"/>
              <w:rPr>
                <w:rFonts w:ascii="Arial" w:hAnsi="Arial"/>
                <w:sz w:val="22"/>
                <w:highlight w:val="lightGray"/>
              </w:rPr>
            </w:pPr>
            <w:r w:rsidRPr="0086398D">
              <w:rPr>
                <w:rFonts w:ascii="Arial" w:hAnsi="Arial" w:cs="Arial"/>
                <w:color w:val="000000"/>
                <w:kern w:val="24"/>
                <w:sz w:val="22"/>
                <w:szCs w:val="22"/>
              </w:rPr>
              <w:t>The indicator has an acceptable risk of unintended consequences.</w:t>
            </w:r>
          </w:p>
        </w:tc>
      </w:tr>
    </w:tbl>
    <w:p w14:paraId="017EA4B6" w14:textId="72819A2E" w:rsidR="002338EB" w:rsidRDefault="002338EB" w:rsidP="002338EB">
      <w:pPr>
        <w:pStyle w:val="Paragraph"/>
      </w:pPr>
    </w:p>
    <w:p w14:paraId="763A6D9B" w14:textId="48F79B0E" w:rsidR="006C3D61" w:rsidRDefault="006C3D61" w:rsidP="00BC67CC">
      <w:pPr>
        <w:pStyle w:val="Heading3"/>
      </w:pPr>
      <w:r>
        <w:t>NICE indicator advisory committee recommendation</w:t>
      </w:r>
    </w:p>
    <w:p w14:paraId="1743DB3A" w14:textId="191D387A" w:rsidR="0077603D" w:rsidRPr="00407F14" w:rsidRDefault="0077603D" w:rsidP="009A1307">
      <w:pPr>
        <w:pStyle w:val="Paragraph"/>
      </w:pPr>
      <w:r w:rsidRPr="009A1307">
        <w:t xml:space="preserve">The NICE indicator advisory committee approved this indicator for publication on the menu. </w:t>
      </w:r>
      <w:r w:rsidR="002E2551">
        <w:t xml:space="preserve"> </w:t>
      </w:r>
    </w:p>
    <w:p w14:paraId="123085F8" w14:textId="46F76CC2" w:rsidR="00D73835" w:rsidRDefault="00D73835" w:rsidP="000447F1">
      <w:pPr>
        <w:pStyle w:val="Paragraphnonumbers"/>
      </w:pPr>
    </w:p>
    <w:sectPr w:rsidR="00D73835" w:rsidSect="00192B0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746BA"/>
    <w:multiLevelType w:val="hybridMultilevel"/>
    <w:tmpl w:val="3054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62A80"/>
    <w:multiLevelType w:val="hybridMultilevel"/>
    <w:tmpl w:val="42AC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8"/>
  </w:num>
  <w:num w:numId="4">
    <w:abstractNumId w:val="12"/>
  </w:num>
  <w:num w:numId="5">
    <w:abstractNumId w:val="25"/>
  </w:num>
  <w:num w:numId="6">
    <w:abstractNumId w:val="1"/>
  </w:num>
  <w:num w:numId="7">
    <w:abstractNumId w:val="10"/>
  </w:num>
  <w:num w:numId="8">
    <w:abstractNumId w:val="23"/>
  </w:num>
  <w:num w:numId="9">
    <w:abstractNumId w:val="24"/>
  </w:num>
  <w:num w:numId="10">
    <w:abstractNumId w:val="5"/>
  </w:num>
  <w:num w:numId="11">
    <w:abstractNumId w:val="7"/>
  </w:num>
  <w:num w:numId="12">
    <w:abstractNumId w:val="2"/>
  </w:num>
  <w:num w:numId="13">
    <w:abstractNumId w:val="31"/>
  </w:num>
  <w:num w:numId="14">
    <w:abstractNumId w:val="14"/>
  </w:num>
  <w:num w:numId="15">
    <w:abstractNumId w:val="9"/>
  </w:num>
  <w:num w:numId="16">
    <w:abstractNumId w:val="20"/>
  </w:num>
  <w:num w:numId="17">
    <w:abstractNumId w:val="16"/>
  </w:num>
  <w:num w:numId="18">
    <w:abstractNumId w:val="22"/>
  </w:num>
  <w:num w:numId="19">
    <w:abstractNumId w:val="26"/>
  </w:num>
  <w:num w:numId="20">
    <w:abstractNumId w:val="6"/>
  </w:num>
  <w:num w:numId="21">
    <w:abstractNumId w:val="29"/>
  </w:num>
  <w:num w:numId="22">
    <w:abstractNumId w:val="0"/>
  </w:num>
  <w:num w:numId="23">
    <w:abstractNumId w:val="4"/>
  </w:num>
  <w:num w:numId="24">
    <w:abstractNumId w:val="27"/>
  </w:num>
  <w:num w:numId="25">
    <w:abstractNumId w:val="19"/>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30"/>
  </w:num>
  <w:num w:numId="39">
    <w:abstractNumId w:val="21"/>
  </w:num>
  <w:num w:numId="40">
    <w:abstractNumId w:val="3"/>
  </w:num>
  <w:num w:numId="41">
    <w:abstractNumId w:val="33"/>
  </w:num>
  <w:num w:numId="42">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47F1"/>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045"/>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371A"/>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193E"/>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65D"/>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27A15"/>
    <w:rsid w:val="00230A13"/>
    <w:rsid w:val="002331C6"/>
    <w:rsid w:val="002338EB"/>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E2551"/>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1C89"/>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D798F"/>
    <w:rsid w:val="004E0E78"/>
    <w:rsid w:val="004E4C4B"/>
    <w:rsid w:val="004E54B6"/>
    <w:rsid w:val="004E5966"/>
    <w:rsid w:val="004F242D"/>
    <w:rsid w:val="004F3269"/>
    <w:rsid w:val="004F7D3A"/>
    <w:rsid w:val="005001FC"/>
    <w:rsid w:val="005025A1"/>
    <w:rsid w:val="00502C4B"/>
    <w:rsid w:val="0050365D"/>
    <w:rsid w:val="0050409D"/>
    <w:rsid w:val="00505407"/>
    <w:rsid w:val="00505DA4"/>
    <w:rsid w:val="00506302"/>
    <w:rsid w:val="00510FAD"/>
    <w:rsid w:val="00511471"/>
    <w:rsid w:val="00511887"/>
    <w:rsid w:val="005127C1"/>
    <w:rsid w:val="005138B7"/>
    <w:rsid w:val="005143BA"/>
    <w:rsid w:val="0052364C"/>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96D93"/>
    <w:rsid w:val="005A014D"/>
    <w:rsid w:val="005A188D"/>
    <w:rsid w:val="005A1A5C"/>
    <w:rsid w:val="005A4AD8"/>
    <w:rsid w:val="005A50D3"/>
    <w:rsid w:val="005A576F"/>
    <w:rsid w:val="005A64F3"/>
    <w:rsid w:val="005A6AB3"/>
    <w:rsid w:val="005B0095"/>
    <w:rsid w:val="005B5C8B"/>
    <w:rsid w:val="005B6D38"/>
    <w:rsid w:val="005B73E7"/>
    <w:rsid w:val="005C05E1"/>
    <w:rsid w:val="005C072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38EF"/>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1B6E"/>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D8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00CC"/>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398D"/>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968A3"/>
    <w:rsid w:val="009A1307"/>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0C4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2F7"/>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659"/>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E6021"/>
    <w:rsid w:val="00DF1EC1"/>
    <w:rsid w:val="00DF343E"/>
    <w:rsid w:val="00DF67C3"/>
    <w:rsid w:val="00DF6CEB"/>
    <w:rsid w:val="00E0098A"/>
    <w:rsid w:val="00E009D9"/>
    <w:rsid w:val="00E03F71"/>
    <w:rsid w:val="00E045EE"/>
    <w:rsid w:val="00E06ED0"/>
    <w:rsid w:val="00E1082D"/>
    <w:rsid w:val="00E130CB"/>
    <w:rsid w:val="00E14934"/>
    <w:rsid w:val="00E15426"/>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4273"/>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5E60"/>
    <w:rsid w:val="00F461FD"/>
    <w:rsid w:val="00F476F3"/>
    <w:rsid w:val="00F50AB9"/>
    <w:rsid w:val="00F51024"/>
    <w:rsid w:val="00F5122A"/>
    <w:rsid w:val="00F51940"/>
    <w:rsid w:val="00F51A84"/>
    <w:rsid w:val="00F523CD"/>
    <w:rsid w:val="00F53495"/>
    <w:rsid w:val="00F54F77"/>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eurheartj/article/38/13/974/3037963" TargetMode="External"/><Relationship Id="rId13" Type="http://schemas.openxmlformats.org/officeDocument/2006/relationships/hyperlink" Target="https://www.nicor.org.uk/national-cardiac-audit-programme/datasets/" TargetMode="Externa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www.nicor.org.uk/national-cardiac-audit-programme/myocardial-ischaemia-minap-heart-attack-au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eurheartj/article/37/3/267/246609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ng185" TargetMode="External"/><Relationship Id="rId4" Type="http://schemas.openxmlformats.org/officeDocument/2006/relationships/webSettings" Target="webSettings.xml"/><Relationship Id="rId9" Type="http://schemas.openxmlformats.org/officeDocument/2006/relationships/hyperlink" Target="https://academic.oup.com/ehjacc/article/6/1/34/5921602?utm_source=TrendMD&amp;utm_medium=cpc&amp;utm_campaign=European_Heart_Journal_-_Acute_Cardiovascular_Care_TrendMD_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2021-08-18T12:25:00Z</dcterms:created>
  <dcterms:modified xsi:type="dcterms:W3CDTF">2021-08-27T10:32:00Z</dcterms:modified>
</cp:coreProperties>
</file>