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77777777" w:rsidR="00482C01" w:rsidRDefault="00482C01" w:rsidP="00595F0C">
      <w:pPr>
        <w:pStyle w:val="Title"/>
        <w:spacing w:before="120" w:after="120"/>
      </w:pPr>
      <w:bookmarkStart w:id="0" w:name="_Toc383595130"/>
      <w:r w:rsidRPr="00861C2E">
        <w:t>NATIONAL INSTITUTE FOR HEALTH AND CARE EXCELLENCE</w:t>
      </w:r>
      <w:bookmarkEnd w:id="0"/>
    </w:p>
    <w:p w14:paraId="513A8F55" w14:textId="77777777" w:rsidR="008C183F" w:rsidRPr="00861C2E" w:rsidRDefault="008C183F" w:rsidP="00CE4984">
      <w:pPr>
        <w:pStyle w:val="Paragraph"/>
      </w:pPr>
    </w:p>
    <w:p w14:paraId="4E99922F" w14:textId="77777777" w:rsidR="00482C01" w:rsidRPr="00861C2E" w:rsidRDefault="00482C01" w:rsidP="00595F0C">
      <w:pPr>
        <w:pStyle w:val="Title"/>
        <w:spacing w:before="120" w:after="120"/>
      </w:pPr>
      <w:bookmarkStart w:id="1" w:name="_Toc383595131"/>
      <w:r w:rsidRPr="00861C2E">
        <w:t>INDICATOR DEVELOPMENT PROGRAMME</w:t>
      </w:r>
      <w:bookmarkEnd w:id="1"/>
    </w:p>
    <w:p w14:paraId="7489FAE6" w14:textId="77777777" w:rsidR="00482C01" w:rsidRDefault="00482C01" w:rsidP="00CE4984">
      <w:pPr>
        <w:pStyle w:val="Paragraph"/>
      </w:pPr>
      <w:bookmarkStart w:id="2" w:name="_Toc383595132"/>
      <w:r>
        <w:tab/>
      </w:r>
    </w:p>
    <w:p w14:paraId="6C6B43FC" w14:textId="1F50B72D" w:rsidR="00482C01" w:rsidRDefault="00482C01" w:rsidP="00595F0C">
      <w:pPr>
        <w:pStyle w:val="Title"/>
        <w:spacing w:before="120" w:after="120"/>
        <w:rPr>
          <w:rFonts w:cs="Arial"/>
        </w:rPr>
      </w:pPr>
      <w:r w:rsidRPr="00861C2E">
        <w:rPr>
          <w:rFonts w:cs="Arial"/>
        </w:rPr>
        <w:t>C</w:t>
      </w:r>
      <w:r w:rsidR="00DB5AE0">
        <w:rPr>
          <w:rFonts w:cs="Arial"/>
        </w:rPr>
        <w:t xml:space="preserve">onsultation report </w:t>
      </w:r>
      <w:bookmarkEnd w:id="2"/>
    </w:p>
    <w:p w14:paraId="6A1C1341" w14:textId="77777777" w:rsidR="00482C01" w:rsidRDefault="00482C01" w:rsidP="00482C01">
      <w:pPr>
        <w:jc w:val="center"/>
        <w:rPr>
          <w:rFonts w:ascii="Arial" w:hAnsi="Arial" w:cs="Arial"/>
          <w:b/>
          <w:sz w:val="32"/>
          <w:szCs w:val="32"/>
        </w:rPr>
      </w:pPr>
    </w:p>
    <w:p w14:paraId="521B966E" w14:textId="719EDDFE" w:rsidR="003953C7" w:rsidRDefault="00575207" w:rsidP="003953C7">
      <w:pPr>
        <w:pStyle w:val="Introtext"/>
        <w:pBdr>
          <w:top w:val="single" w:sz="4" w:space="0" w:color="auto"/>
        </w:pBdr>
        <w:rPr>
          <w:lang w:val="en-GB"/>
        </w:rPr>
      </w:pPr>
      <w:r>
        <w:rPr>
          <w:b/>
          <w:lang w:val="en-GB"/>
        </w:rPr>
        <w:t>I</w:t>
      </w:r>
      <w:r w:rsidR="003953C7" w:rsidRPr="00BA424C">
        <w:rPr>
          <w:b/>
          <w:lang w:val="en-GB"/>
        </w:rPr>
        <w:t>ndicator area:</w:t>
      </w:r>
      <w:r w:rsidR="003953C7" w:rsidRPr="00BA424C">
        <w:rPr>
          <w:lang w:val="en-GB"/>
        </w:rPr>
        <w:t xml:space="preserve"> </w:t>
      </w:r>
      <w:r w:rsidR="00DA2BCD">
        <w:t>Screening</w:t>
      </w:r>
    </w:p>
    <w:p w14:paraId="0766D06F" w14:textId="638E3551" w:rsidR="006814B9" w:rsidRDefault="006814B9" w:rsidP="003953C7">
      <w:pPr>
        <w:pStyle w:val="Introtext"/>
        <w:pBdr>
          <w:top w:val="single" w:sz="4" w:space="0" w:color="auto"/>
        </w:pBdr>
      </w:pPr>
      <w:r>
        <w:rPr>
          <w:b/>
          <w:lang w:val="en-GB"/>
        </w:rPr>
        <w:t>Consultation</w:t>
      </w:r>
      <w:r w:rsidRPr="009019A9">
        <w:rPr>
          <w:b/>
          <w:lang w:val="en-GB"/>
        </w:rPr>
        <w:t xml:space="preserve"> period:</w:t>
      </w:r>
      <w:r w:rsidRPr="009019A9">
        <w:rPr>
          <w:lang w:val="en-GB"/>
        </w:rPr>
        <w:t xml:space="preserve"> </w:t>
      </w:r>
      <w:r w:rsidR="006E0A7F">
        <w:rPr>
          <w:lang w:val="en-GB"/>
        </w:rPr>
        <w:t>23 November – 21 December 2020</w:t>
      </w:r>
    </w:p>
    <w:p w14:paraId="6C394406" w14:textId="1141829F" w:rsidR="008C1C95" w:rsidRPr="00BA424C" w:rsidRDefault="008C1C95" w:rsidP="008C1C95">
      <w:pPr>
        <w:pStyle w:val="Introtext"/>
        <w:pBdr>
          <w:top w:val="single" w:sz="4" w:space="0" w:color="auto"/>
        </w:pBdr>
        <w:spacing w:before="100" w:beforeAutospacing="1" w:after="100" w:afterAutospacing="1" w:line="360" w:lineRule="auto"/>
        <w:contextualSpacing/>
        <w:rPr>
          <w:lang w:val="en-GB"/>
        </w:rPr>
      </w:pPr>
      <w:r w:rsidRPr="00BA424C">
        <w:rPr>
          <w:b/>
          <w:lang w:val="en-GB"/>
        </w:rPr>
        <w:t>Date of Indicator Advisory Committee meeting:</w:t>
      </w:r>
      <w:r>
        <w:rPr>
          <w:lang w:val="en-GB"/>
        </w:rPr>
        <w:t xml:space="preserve"> </w:t>
      </w:r>
      <w:r w:rsidR="00DA2BCD">
        <w:rPr>
          <w:lang w:val="en-GB"/>
        </w:rPr>
        <w:t>22 June 2021</w:t>
      </w:r>
    </w:p>
    <w:p w14:paraId="348194C1" w14:textId="77777777" w:rsidR="00482C01" w:rsidRPr="007F14A6" w:rsidRDefault="00482C01" w:rsidP="007F14A6">
      <w:pPr>
        <w:pStyle w:val="TOC1"/>
        <w:tabs>
          <w:tab w:val="right" w:leader="dot" w:pos="8303"/>
        </w:tabs>
        <w:rPr>
          <w:b/>
          <w:bCs/>
          <w:kern w:val="32"/>
          <w:sz w:val="28"/>
          <w:szCs w:val="32"/>
        </w:rPr>
      </w:pPr>
    </w:p>
    <w:p w14:paraId="6A346D7A" w14:textId="77777777" w:rsidR="007F14A6" w:rsidRPr="007F14A6" w:rsidRDefault="007F14A6" w:rsidP="007F14A6"/>
    <w:p w14:paraId="7858D874" w14:textId="77777777" w:rsidR="00482C01" w:rsidRPr="00802740" w:rsidRDefault="00482C01" w:rsidP="006817A0">
      <w:pPr>
        <w:pStyle w:val="Style1"/>
      </w:pPr>
      <w:r>
        <w:t>Contents</w:t>
      </w:r>
    </w:p>
    <w:p w14:paraId="21757728" w14:textId="0E355801" w:rsidR="00A71D71" w:rsidRDefault="00472CEC">
      <w:pPr>
        <w:pStyle w:val="TOC1"/>
        <w:tabs>
          <w:tab w:val="right" w:leader="dot" w:pos="9017"/>
        </w:tabs>
        <w:rPr>
          <w:rFonts w:asciiTheme="minorHAnsi" w:eastAsiaTheme="minorEastAsia" w:hAnsiTheme="minorHAnsi" w:cstheme="minorBidi"/>
          <w:noProof/>
          <w:sz w:val="22"/>
          <w:szCs w:val="22"/>
          <w:lang w:eastAsia="en-GB"/>
        </w:rPr>
      </w:pPr>
      <w:r w:rsidRPr="00802740">
        <w:rPr>
          <w:rStyle w:val="Hyperlink"/>
          <w:noProof/>
        </w:rPr>
        <w:fldChar w:fldCharType="begin"/>
      </w:r>
      <w:r w:rsidR="00482C01" w:rsidRPr="00802740">
        <w:rPr>
          <w:rStyle w:val="Hyperlink"/>
          <w:noProof/>
        </w:rPr>
        <w:instrText xml:space="preserve"> TOC \o "1-3" \h \z \u </w:instrText>
      </w:r>
      <w:r w:rsidRPr="00802740">
        <w:rPr>
          <w:rStyle w:val="Hyperlink"/>
          <w:noProof/>
        </w:rPr>
        <w:fldChar w:fldCharType="separate"/>
      </w:r>
      <w:hyperlink w:anchor="_Toc72843421" w:history="1">
        <w:r w:rsidR="00A71D71" w:rsidRPr="00616F59">
          <w:rPr>
            <w:rStyle w:val="Hyperlink"/>
            <w:noProof/>
          </w:rPr>
          <w:t>Summary of indicators included in the consultation:</w:t>
        </w:r>
        <w:r w:rsidR="00A71D71">
          <w:rPr>
            <w:noProof/>
            <w:webHidden/>
          </w:rPr>
          <w:tab/>
        </w:r>
        <w:r w:rsidR="00A71D71">
          <w:rPr>
            <w:noProof/>
            <w:webHidden/>
          </w:rPr>
          <w:fldChar w:fldCharType="begin"/>
        </w:r>
        <w:r w:rsidR="00A71D71">
          <w:rPr>
            <w:noProof/>
            <w:webHidden/>
          </w:rPr>
          <w:instrText xml:space="preserve"> PAGEREF _Toc72843421 \h </w:instrText>
        </w:r>
        <w:r w:rsidR="00A71D71">
          <w:rPr>
            <w:noProof/>
            <w:webHidden/>
          </w:rPr>
        </w:r>
        <w:r w:rsidR="00A71D71">
          <w:rPr>
            <w:noProof/>
            <w:webHidden/>
          </w:rPr>
          <w:fldChar w:fldCharType="separate"/>
        </w:r>
        <w:r w:rsidR="00C64479">
          <w:rPr>
            <w:noProof/>
            <w:webHidden/>
          </w:rPr>
          <w:t>2</w:t>
        </w:r>
        <w:r w:rsidR="00A71D71">
          <w:rPr>
            <w:noProof/>
            <w:webHidden/>
          </w:rPr>
          <w:fldChar w:fldCharType="end"/>
        </w:r>
      </w:hyperlink>
    </w:p>
    <w:p w14:paraId="326906C9" w14:textId="6CACC396" w:rsidR="00A71D71" w:rsidRDefault="00CE4984">
      <w:pPr>
        <w:pStyle w:val="TOC3"/>
        <w:tabs>
          <w:tab w:val="right" w:leader="dot" w:pos="9017"/>
        </w:tabs>
        <w:rPr>
          <w:rFonts w:asciiTheme="minorHAnsi" w:eastAsiaTheme="minorEastAsia" w:hAnsiTheme="minorHAnsi" w:cstheme="minorBidi"/>
          <w:noProof/>
          <w:sz w:val="22"/>
          <w:szCs w:val="22"/>
          <w:lang w:eastAsia="en-GB"/>
        </w:rPr>
      </w:pPr>
      <w:hyperlink w:anchor="_Toc72843422" w:history="1">
        <w:r w:rsidR="00A71D71" w:rsidRPr="00616F59">
          <w:rPr>
            <w:rStyle w:val="Hyperlink"/>
            <w:noProof/>
          </w:rPr>
          <w:t>IND 2020-93: Timeliness of intervention for developmental dysplasia of the hip (DDH) risk factors</w:t>
        </w:r>
        <w:r w:rsidR="00A71D71">
          <w:rPr>
            <w:noProof/>
            <w:webHidden/>
          </w:rPr>
          <w:tab/>
        </w:r>
        <w:r w:rsidR="0024157D">
          <w:rPr>
            <w:noProof/>
            <w:webHidden/>
          </w:rPr>
          <w:t>5</w:t>
        </w:r>
      </w:hyperlink>
    </w:p>
    <w:p w14:paraId="02360AEA" w14:textId="5D8A30C0" w:rsidR="00A71D71" w:rsidRDefault="00CE4984">
      <w:pPr>
        <w:pStyle w:val="TOC3"/>
        <w:tabs>
          <w:tab w:val="right" w:leader="dot" w:pos="9017"/>
        </w:tabs>
        <w:rPr>
          <w:rFonts w:asciiTheme="minorHAnsi" w:eastAsiaTheme="minorEastAsia" w:hAnsiTheme="minorHAnsi" w:cstheme="minorBidi"/>
          <w:noProof/>
          <w:sz w:val="22"/>
          <w:szCs w:val="22"/>
          <w:lang w:eastAsia="en-GB"/>
        </w:rPr>
      </w:pPr>
      <w:hyperlink w:anchor="_Toc72843423" w:history="1">
        <w:r w:rsidR="00A71D71" w:rsidRPr="00616F59">
          <w:rPr>
            <w:rStyle w:val="Hyperlink"/>
            <w:noProof/>
          </w:rPr>
          <w:t>IND 2020-94: Timeliness of results for newborn blood spot testing to parents for CCG responsibility at birth</w:t>
        </w:r>
        <w:r w:rsidR="00A71D71">
          <w:rPr>
            <w:noProof/>
            <w:webHidden/>
          </w:rPr>
          <w:tab/>
        </w:r>
        <w:r w:rsidR="00A71D71">
          <w:rPr>
            <w:noProof/>
            <w:webHidden/>
          </w:rPr>
          <w:fldChar w:fldCharType="begin"/>
        </w:r>
        <w:r w:rsidR="00A71D71">
          <w:rPr>
            <w:noProof/>
            <w:webHidden/>
          </w:rPr>
          <w:instrText xml:space="preserve"> PAGEREF _Toc72843423 \h </w:instrText>
        </w:r>
        <w:r w:rsidR="00A71D71">
          <w:rPr>
            <w:noProof/>
            <w:webHidden/>
          </w:rPr>
        </w:r>
        <w:r w:rsidR="00A71D71">
          <w:rPr>
            <w:noProof/>
            <w:webHidden/>
          </w:rPr>
          <w:fldChar w:fldCharType="separate"/>
        </w:r>
        <w:r w:rsidR="00C64479">
          <w:rPr>
            <w:noProof/>
            <w:webHidden/>
          </w:rPr>
          <w:t>7</w:t>
        </w:r>
        <w:r w:rsidR="00A71D71">
          <w:rPr>
            <w:noProof/>
            <w:webHidden/>
          </w:rPr>
          <w:fldChar w:fldCharType="end"/>
        </w:r>
      </w:hyperlink>
    </w:p>
    <w:p w14:paraId="6E4D67D4" w14:textId="2453A84D" w:rsidR="00A71D71" w:rsidRDefault="00CE4984">
      <w:pPr>
        <w:pStyle w:val="TOC3"/>
        <w:tabs>
          <w:tab w:val="right" w:leader="dot" w:pos="9017"/>
        </w:tabs>
        <w:rPr>
          <w:rFonts w:asciiTheme="minorHAnsi" w:eastAsiaTheme="minorEastAsia" w:hAnsiTheme="minorHAnsi" w:cstheme="minorBidi"/>
          <w:noProof/>
          <w:sz w:val="22"/>
          <w:szCs w:val="22"/>
          <w:lang w:eastAsia="en-GB"/>
        </w:rPr>
      </w:pPr>
      <w:hyperlink w:anchor="_Toc72843424" w:history="1">
        <w:r w:rsidR="00A71D71" w:rsidRPr="00616F59">
          <w:rPr>
            <w:rStyle w:val="Hyperlink"/>
            <w:noProof/>
          </w:rPr>
          <w:t>IND 2020-95: Timeliness of results for newborn blood spot testing to parents for movers in</w:t>
        </w:r>
        <w:r w:rsidR="00A71D71">
          <w:rPr>
            <w:noProof/>
            <w:webHidden/>
          </w:rPr>
          <w:tab/>
        </w:r>
        <w:r w:rsidR="00A71D71">
          <w:rPr>
            <w:noProof/>
            <w:webHidden/>
          </w:rPr>
          <w:fldChar w:fldCharType="begin"/>
        </w:r>
        <w:r w:rsidR="00A71D71">
          <w:rPr>
            <w:noProof/>
            <w:webHidden/>
          </w:rPr>
          <w:instrText xml:space="preserve"> PAGEREF _Toc72843424 \h </w:instrText>
        </w:r>
        <w:r w:rsidR="00A71D71">
          <w:rPr>
            <w:noProof/>
            <w:webHidden/>
          </w:rPr>
        </w:r>
        <w:r w:rsidR="00A71D71">
          <w:rPr>
            <w:noProof/>
            <w:webHidden/>
          </w:rPr>
          <w:fldChar w:fldCharType="separate"/>
        </w:r>
        <w:r w:rsidR="00C64479">
          <w:rPr>
            <w:noProof/>
            <w:webHidden/>
          </w:rPr>
          <w:t>9</w:t>
        </w:r>
        <w:r w:rsidR="00A71D71">
          <w:rPr>
            <w:noProof/>
            <w:webHidden/>
          </w:rPr>
          <w:fldChar w:fldCharType="end"/>
        </w:r>
      </w:hyperlink>
    </w:p>
    <w:p w14:paraId="2A953265" w14:textId="3B20046D" w:rsidR="00A71D71" w:rsidRDefault="00CE4984">
      <w:pPr>
        <w:pStyle w:val="TOC3"/>
        <w:tabs>
          <w:tab w:val="right" w:leader="dot" w:pos="9017"/>
        </w:tabs>
        <w:rPr>
          <w:rFonts w:asciiTheme="minorHAnsi" w:eastAsiaTheme="minorEastAsia" w:hAnsiTheme="minorHAnsi" w:cstheme="minorBidi"/>
          <w:noProof/>
          <w:sz w:val="22"/>
          <w:szCs w:val="22"/>
          <w:lang w:eastAsia="en-GB"/>
        </w:rPr>
      </w:pPr>
      <w:hyperlink w:anchor="_Toc72843425" w:history="1">
        <w:r w:rsidR="00A71D71" w:rsidRPr="00616F59">
          <w:rPr>
            <w:rStyle w:val="Hyperlink"/>
            <w:noProof/>
          </w:rPr>
          <w:t>IND 2020-96: Reporting newborn blood spot screen positive results to parents</w:t>
        </w:r>
        <w:r w:rsidR="00A71D71">
          <w:rPr>
            <w:noProof/>
            <w:webHidden/>
          </w:rPr>
          <w:tab/>
        </w:r>
        <w:r w:rsidR="00A71D71">
          <w:rPr>
            <w:noProof/>
            <w:webHidden/>
          </w:rPr>
          <w:fldChar w:fldCharType="begin"/>
        </w:r>
        <w:r w:rsidR="00A71D71">
          <w:rPr>
            <w:noProof/>
            <w:webHidden/>
          </w:rPr>
          <w:instrText xml:space="preserve"> PAGEREF _Toc72843425 \h </w:instrText>
        </w:r>
        <w:r w:rsidR="00A71D71">
          <w:rPr>
            <w:noProof/>
            <w:webHidden/>
          </w:rPr>
        </w:r>
        <w:r w:rsidR="00A71D71">
          <w:rPr>
            <w:noProof/>
            <w:webHidden/>
          </w:rPr>
          <w:fldChar w:fldCharType="separate"/>
        </w:r>
        <w:r w:rsidR="00C64479">
          <w:rPr>
            <w:noProof/>
            <w:webHidden/>
          </w:rPr>
          <w:t>11</w:t>
        </w:r>
        <w:r w:rsidR="00A71D71">
          <w:rPr>
            <w:noProof/>
            <w:webHidden/>
          </w:rPr>
          <w:fldChar w:fldCharType="end"/>
        </w:r>
      </w:hyperlink>
    </w:p>
    <w:p w14:paraId="38BB1958" w14:textId="56D91102" w:rsidR="00A71D71" w:rsidRDefault="00CE4984">
      <w:pPr>
        <w:pStyle w:val="TOC3"/>
        <w:tabs>
          <w:tab w:val="right" w:leader="dot" w:pos="9017"/>
        </w:tabs>
        <w:rPr>
          <w:rFonts w:asciiTheme="minorHAnsi" w:eastAsiaTheme="minorEastAsia" w:hAnsiTheme="minorHAnsi" w:cstheme="minorBidi"/>
          <w:noProof/>
          <w:sz w:val="22"/>
          <w:szCs w:val="22"/>
          <w:lang w:eastAsia="en-GB"/>
        </w:rPr>
      </w:pPr>
      <w:hyperlink w:anchor="_Toc72843426" w:history="1">
        <w:r w:rsidR="00A71D71" w:rsidRPr="00616F59">
          <w:rPr>
            <w:rStyle w:val="Hyperlink"/>
            <w:noProof/>
          </w:rPr>
          <w:t>IND 2020-97: Repeat non-attendance for diabetic eye screening</w:t>
        </w:r>
        <w:r w:rsidR="00A71D71">
          <w:rPr>
            <w:noProof/>
            <w:webHidden/>
          </w:rPr>
          <w:tab/>
        </w:r>
        <w:r w:rsidR="00A71D71">
          <w:rPr>
            <w:noProof/>
            <w:webHidden/>
          </w:rPr>
          <w:fldChar w:fldCharType="begin"/>
        </w:r>
        <w:r w:rsidR="00A71D71">
          <w:rPr>
            <w:noProof/>
            <w:webHidden/>
          </w:rPr>
          <w:instrText xml:space="preserve"> PAGEREF _Toc72843426 \h </w:instrText>
        </w:r>
        <w:r w:rsidR="00A71D71">
          <w:rPr>
            <w:noProof/>
            <w:webHidden/>
          </w:rPr>
        </w:r>
        <w:r w:rsidR="00A71D71">
          <w:rPr>
            <w:noProof/>
            <w:webHidden/>
          </w:rPr>
          <w:fldChar w:fldCharType="separate"/>
        </w:r>
        <w:r w:rsidR="00C64479">
          <w:rPr>
            <w:noProof/>
            <w:webHidden/>
          </w:rPr>
          <w:t>13</w:t>
        </w:r>
        <w:r w:rsidR="00A71D71">
          <w:rPr>
            <w:noProof/>
            <w:webHidden/>
          </w:rPr>
          <w:fldChar w:fldCharType="end"/>
        </w:r>
      </w:hyperlink>
    </w:p>
    <w:p w14:paraId="7CC817D6" w14:textId="22312FB3" w:rsidR="00A71D71" w:rsidRDefault="00CE4984">
      <w:pPr>
        <w:pStyle w:val="TOC3"/>
        <w:tabs>
          <w:tab w:val="right" w:leader="dot" w:pos="9017"/>
        </w:tabs>
        <w:rPr>
          <w:rFonts w:asciiTheme="minorHAnsi" w:eastAsiaTheme="minorEastAsia" w:hAnsiTheme="minorHAnsi" w:cstheme="minorBidi"/>
          <w:noProof/>
          <w:sz w:val="22"/>
          <w:szCs w:val="22"/>
          <w:lang w:eastAsia="en-GB"/>
        </w:rPr>
      </w:pPr>
      <w:hyperlink w:anchor="_Toc72843427" w:history="1">
        <w:r w:rsidR="00A71D71" w:rsidRPr="00616F59">
          <w:rPr>
            <w:rStyle w:val="Hyperlink"/>
            <w:noProof/>
          </w:rPr>
          <w:t>IND 2020-98: Offer of routine digital diabetic eye screening</w:t>
        </w:r>
        <w:r w:rsidR="00A71D71">
          <w:rPr>
            <w:noProof/>
            <w:webHidden/>
          </w:rPr>
          <w:tab/>
        </w:r>
        <w:r w:rsidR="00A71D71">
          <w:rPr>
            <w:noProof/>
            <w:webHidden/>
          </w:rPr>
          <w:fldChar w:fldCharType="begin"/>
        </w:r>
        <w:r w:rsidR="00A71D71">
          <w:rPr>
            <w:noProof/>
            <w:webHidden/>
          </w:rPr>
          <w:instrText xml:space="preserve"> PAGEREF _Toc72843427 \h </w:instrText>
        </w:r>
        <w:r w:rsidR="00A71D71">
          <w:rPr>
            <w:noProof/>
            <w:webHidden/>
          </w:rPr>
        </w:r>
        <w:r w:rsidR="00A71D71">
          <w:rPr>
            <w:noProof/>
            <w:webHidden/>
          </w:rPr>
          <w:fldChar w:fldCharType="separate"/>
        </w:r>
        <w:r w:rsidR="00C64479">
          <w:rPr>
            <w:noProof/>
            <w:webHidden/>
          </w:rPr>
          <w:t>15</w:t>
        </w:r>
        <w:r w:rsidR="00A71D71">
          <w:rPr>
            <w:noProof/>
            <w:webHidden/>
          </w:rPr>
          <w:fldChar w:fldCharType="end"/>
        </w:r>
      </w:hyperlink>
    </w:p>
    <w:p w14:paraId="234768E7" w14:textId="7BED47F6" w:rsidR="00A71D71" w:rsidRDefault="00CE4984">
      <w:pPr>
        <w:pStyle w:val="TOC3"/>
        <w:tabs>
          <w:tab w:val="right" w:leader="dot" w:pos="9017"/>
        </w:tabs>
        <w:rPr>
          <w:rFonts w:asciiTheme="minorHAnsi" w:eastAsiaTheme="minorEastAsia" w:hAnsiTheme="minorHAnsi" w:cstheme="minorBidi"/>
          <w:noProof/>
          <w:sz w:val="22"/>
          <w:szCs w:val="22"/>
          <w:lang w:eastAsia="en-GB"/>
        </w:rPr>
      </w:pPr>
      <w:hyperlink w:anchor="_Toc72843428" w:history="1">
        <w:r w:rsidR="00A71D71" w:rsidRPr="00616F59">
          <w:rPr>
            <w:rStyle w:val="Hyperlink"/>
            <w:noProof/>
          </w:rPr>
          <w:t>IND 2020-99: Suspended from diabetic eye screening</w:t>
        </w:r>
        <w:r w:rsidR="00A71D71">
          <w:rPr>
            <w:noProof/>
            <w:webHidden/>
          </w:rPr>
          <w:tab/>
        </w:r>
        <w:r w:rsidR="00A71D71">
          <w:rPr>
            <w:noProof/>
            <w:webHidden/>
          </w:rPr>
          <w:fldChar w:fldCharType="begin"/>
        </w:r>
        <w:r w:rsidR="00A71D71">
          <w:rPr>
            <w:noProof/>
            <w:webHidden/>
          </w:rPr>
          <w:instrText xml:space="preserve"> PAGEREF _Toc72843428 \h </w:instrText>
        </w:r>
        <w:r w:rsidR="00A71D71">
          <w:rPr>
            <w:noProof/>
            <w:webHidden/>
          </w:rPr>
        </w:r>
        <w:r w:rsidR="00A71D71">
          <w:rPr>
            <w:noProof/>
            <w:webHidden/>
          </w:rPr>
          <w:fldChar w:fldCharType="separate"/>
        </w:r>
        <w:r w:rsidR="00C64479">
          <w:rPr>
            <w:noProof/>
            <w:webHidden/>
          </w:rPr>
          <w:t>17</w:t>
        </w:r>
        <w:r w:rsidR="00A71D71">
          <w:rPr>
            <w:noProof/>
            <w:webHidden/>
          </w:rPr>
          <w:fldChar w:fldCharType="end"/>
        </w:r>
      </w:hyperlink>
    </w:p>
    <w:p w14:paraId="059018A6" w14:textId="557FBB4F" w:rsidR="00A71D71" w:rsidRDefault="00CE4984">
      <w:pPr>
        <w:pStyle w:val="TOC3"/>
        <w:tabs>
          <w:tab w:val="right" w:leader="dot" w:pos="9017"/>
        </w:tabs>
        <w:rPr>
          <w:rFonts w:asciiTheme="minorHAnsi" w:eastAsiaTheme="minorEastAsia" w:hAnsiTheme="minorHAnsi" w:cstheme="minorBidi"/>
          <w:noProof/>
          <w:sz w:val="22"/>
          <w:szCs w:val="22"/>
          <w:lang w:eastAsia="en-GB"/>
        </w:rPr>
      </w:pPr>
      <w:hyperlink w:anchor="_Toc72843429" w:history="1">
        <w:r w:rsidR="00A71D71" w:rsidRPr="00616F59">
          <w:rPr>
            <w:rStyle w:val="Hyperlink"/>
            <w:noProof/>
          </w:rPr>
          <w:t>IND 2020-100: Excluded from diabetic eye screening</w:t>
        </w:r>
        <w:r w:rsidR="00A71D71">
          <w:rPr>
            <w:noProof/>
            <w:webHidden/>
          </w:rPr>
          <w:tab/>
        </w:r>
        <w:r w:rsidR="00A71D71">
          <w:rPr>
            <w:noProof/>
            <w:webHidden/>
          </w:rPr>
          <w:fldChar w:fldCharType="begin"/>
        </w:r>
        <w:r w:rsidR="00A71D71">
          <w:rPr>
            <w:noProof/>
            <w:webHidden/>
          </w:rPr>
          <w:instrText xml:space="preserve"> PAGEREF _Toc72843429 \h </w:instrText>
        </w:r>
        <w:r w:rsidR="00A71D71">
          <w:rPr>
            <w:noProof/>
            <w:webHidden/>
          </w:rPr>
        </w:r>
        <w:r w:rsidR="00A71D71">
          <w:rPr>
            <w:noProof/>
            <w:webHidden/>
          </w:rPr>
          <w:fldChar w:fldCharType="separate"/>
        </w:r>
        <w:r w:rsidR="00C64479">
          <w:rPr>
            <w:noProof/>
            <w:webHidden/>
          </w:rPr>
          <w:t>19</w:t>
        </w:r>
        <w:r w:rsidR="00A71D71">
          <w:rPr>
            <w:noProof/>
            <w:webHidden/>
          </w:rPr>
          <w:fldChar w:fldCharType="end"/>
        </w:r>
      </w:hyperlink>
    </w:p>
    <w:p w14:paraId="040E4AA9" w14:textId="407336E2" w:rsidR="00A71D71" w:rsidRDefault="00CE4984">
      <w:pPr>
        <w:pStyle w:val="TOC1"/>
        <w:tabs>
          <w:tab w:val="right" w:leader="dot" w:pos="9017"/>
        </w:tabs>
        <w:rPr>
          <w:rFonts w:asciiTheme="minorHAnsi" w:eastAsiaTheme="minorEastAsia" w:hAnsiTheme="minorHAnsi" w:cstheme="minorBidi"/>
          <w:noProof/>
          <w:sz w:val="22"/>
          <w:szCs w:val="22"/>
          <w:lang w:eastAsia="en-GB"/>
        </w:rPr>
      </w:pPr>
      <w:hyperlink w:anchor="_Toc72843430" w:history="1">
        <w:r w:rsidR="00A71D71" w:rsidRPr="00616F59">
          <w:rPr>
            <w:rStyle w:val="Hyperlink"/>
            <w:noProof/>
          </w:rPr>
          <w:t>Appendix A: Consultation comments</w:t>
        </w:r>
        <w:r w:rsidR="00A71D71">
          <w:rPr>
            <w:noProof/>
            <w:webHidden/>
          </w:rPr>
          <w:tab/>
        </w:r>
        <w:r w:rsidR="00A71D71">
          <w:rPr>
            <w:noProof/>
            <w:webHidden/>
          </w:rPr>
          <w:fldChar w:fldCharType="begin"/>
        </w:r>
        <w:r w:rsidR="00A71D71">
          <w:rPr>
            <w:noProof/>
            <w:webHidden/>
          </w:rPr>
          <w:instrText xml:space="preserve"> PAGEREF _Toc72843430 \h </w:instrText>
        </w:r>
        <w:r w:rsidR="00A71D71">
          <w:rPr>
            <w:noProof/>
            <w:webHidden/>
          </w:rPr>
        </w:r>
        <w:r w:rsidR="00A71D71">
          <w:rPr>
            <w:noProof/>
            <w:webHidden/>
          </w:rPr>
          <w:fldChar w:fldCharType="separate"/>
        </w:r>
        <w:r w:rsidR="00C64479">
          <w:rPr>
            <w:noProof/>
            <w:webHidden/>
          </w:rPr>
          <w:t>20</w:t>
        </w:r>
        <w:r w:rsidR="00A71D71">
          <w:rPr>
            <w:noProof/>
            <w:webHidden/>
          </w:rPr>
          <w:fldChar w:fldCharType="end"/>
        </w:r>
      </w:hyperlink>
    </w:p>
    <w:p w14:paraId="43A0535F" w14:textId="6F31FD1D" w:rsidR="009C3C0C" w:rsidRDefault="00CE4984" w:rsidP="00755FCE">
      <w:pPr>
        <w:pStyle w:val="TOC1"/>
        <w:tabs>
          <w:tab w:val="right" w:leader="dot" w:pos="9017"/>
        </w:tabs>
        <w:rPr>
          <w:rStyle w:val="Hyperlink"/>
          <w:noProof/>
        </w:rPr>
      </w:pPr>
      <w:hyperlink w:anchor="_Toc72843431" w:history="1">
        <w:r w:rsidR="00A71D71" w:rsidRPr="00616F59">
          <w:rPr>
            <w:rStyle w:val="Hyperlink"/>
            <w:noProof/>
          </w:rPr>
          <w:t>Appendix B: Equality impact assessment</w:t>
        </w:r>
        <w:r w:rsidR="00A71D71">
          <w:rPr>
            <w:noProof/>
            <w:webHidden/>
          </w:rPr>
          <w:tab/>
        </w:r>
        <w:r w:rsidR="00A71D71">
          <w:rPr>
            <w:noProof/>
            <w:webHidden/>
          </w:rPr>
          <w:fldChar w:fldCharType="begin"/>
        </w:r>
        <w:r w:rsidR="00A71D71">
          <w:rPr>
            <w:noProof/>
            <w:webHidden/>
          </w:rPr>
          <w:instrText xml:space="preserve"> PAGEREF _Toc72843431 \h </w:instrText>
        </w:r>
        <w:r w:rsidR="00A71D71">
          <w:rPr>
            <w:noProof/>
            <w:webHidden/>
          </w:rPr>
        </w:r>
        <w:r w:rsidR="00A71D71">
          <w:rPr>
            <w:noProof/>
            <w:webHidden/>
          </w:rPr>
          <w:fldChar w:fldCharType="separate"/>
        </w:r>
        <w:r w:rsidR="00C64479">
          <w:rPr>
            <w:noProof/>
            <w:webHidden/>
          </w:rPr>
          <w:t>3</w:t>
        </w:r>
        <w:r w:rsidR="00A71D71">
          <w:rPr>
            <w:noProof/>
            <w:webHidden/>
          </w:rPr>
          <w:fldChar w:fldCharType="end"/>
        </w:r>
      </w:hyperlink>
      <w:r w:rsidR="00472CEC" w:rsidRPr="00802740">
        <w:rPr>
          <w:rStyle w:val="Hyperlink"/>
          <w:noProof/>
        </w:rPr>
        <w:fldChar w:fldCharType="end"/>
      </w:r>
      <w:r w:rsidR="00755FCE" w:rsidRPr="00755FCE">
        <w:rPr>
          <w:rStyle w:val="Hyperlink"/>
          <w:noProof/>
          <w:color w:val="auto"/>
          <w:u w:val="none"/>
        </w:rPr>
        <w:t>9</w:t>
      </w:r>
    </w:p>
    <w:p w14:paraId="78AB4105" w14:textId="77777777" w:rsidR="009C3C0C" w:rsidRDefault="009C3C0C">
      <w:pPr>
        <w:rPr>
          <w:rStyle w:val="Hyperlink"/>
          <w:rFonts w:ascii="Arial" w:hAnsi="Arial"/>
          <w:b/>
          <w:bCs/>
          <w:noProof/>
          <w:kern w:val="32"/>
          <w:sz w:val="28"/>
          <w:szCs w:val="32"/>
        </w:rPr>
      </w:pPr>
      <w:r>
        <w:rPr>
          <w:rStyle w:val="Hyperlink"/>
          <w:noProof/>
        </w:rPr>
        <w:br w:type="page"/>
      </w:r>
    </w:p>
    <w:p w14:paraId="5CEA5107" w14:textId="0B909BD6" w:rsidR="006814B9" w:rsidRDefault="00D47082" w:rsidP="006814B9">
      <w:pPr>
        <w:pStyle w:val="Heading1"/>
      </w:pPr>
      <w:bookmarkStart w:id="3" w:name="_Toc72843421"/>
      <w:r>
        <w:lastRenderedPageBreak/>
        <w:t>Summary of i</w:t>
      </w:r>
      <w:r w:rsidR="006814B9">
        <w:t>ndicators</w:t>
      </w:r>
      <w:r w:rsidR="006814B9" w:rsidRPr="006814B9">
        <w:t xml:space="preserve"> </w:t>
      </w:r>
      <w:r w:rsidR="00657C65">
        <w:t xml:space="preserve">included in the </w:t>
      </w:r>
      <w:r w:rsidR="006814B9" w:rsidRPr="00205FBE">
        <w:t>consultation</w:t>
      </w:r>
      <w:r w:rsidR="00022010">
        <w:t>:</w:t>
      </w:r>
      <w:bookmarkEnd w:id="3"/>
    </w:p>
    <w:tbl>
      <w:tblPr>
        <w:tblStyle w:val="TableGrid"/>
        <w:tblW w:w="9469" w:type="dxa"/>
        <w:tblInd w:w="165" w:type="dxa"/>
        <w:tblLayout w:type="fixed"/>
        <w:tblLook w:val="01E0" w:firstRow="1" w:lastRow="1" w:firstColumn="1" w:lastColumn="1" w:noHBand="0" w:noVBand="0"/>
        <w:tblCaption w:val="Summary of indicators "/>
        <w:tblDescription w:val="This is a table detailing the summary of indicators at screening consultation "/>
      </w:tblPr>
      <w:tblGrid>
        <w:gridCol w:w="936"/>
        <w:gridCol w:w="3430"/>
        <w:gridCol w:w="5103"/>
      </w:tblGrid>
      <w:tr w:rsidR="00482C01" w:rsidRPr="001036A1" w14:paraId="40FCF7F2" w14:textId="77777777" w:rsidTr="001D2773">
        <w:trPr>
          <w:cantSplit/>
          <w:trHeight w:val="263"/>
          <w:tblHeader/>
        </w:trPr>
        <w:tc>
          <w:tcPr>
            <w:tcW w:w="936" w:type="dxa"/>
          </w:tcPr>
          <w:p w14:paraId="24336F42" w14:textId="77777777" w:rsidR="00482C01" w:rsidRPr="001036A1" w:rsidRDefault="00482C01" w:rsidP="00022010">
            <w:pPr>
              <w:pStyle w:val="Tabletext"/>
              <w:keepNext w:val="0"/>
              <w:rPr>
                <w:b/>
                <w:szCs w:val="22"/>
                <w:lang w:val="en-GB"/>
              </w:rPr>
            </w:pPr>
            <w:r w:rsidRPr="001036A1">
              <w:rPr>
                <w:b/>
                <w:szCs w:val="22"/>
                <w:lang w:val="en-GB"/>
              </w:rPr>
              <w:t>ID</w:t>
            </w:r>
          </w:p>
        </w:tc>
        <w:tc>
          <w:tcPr>
            <w:tcW w:w="3430" w:type="dxa"/>
          </w:tcPr>
          <w:p w14:paraId="643FF82A" w14:textId="77777777" w:rsidR="00482C01" w:rsidRPr="001036A1" w:rsidRDefault="00482C01" w:rsidP="00022010">
            <w:pPr>
              <w:pStyle w:val="Tabletext"/>
              <w:keepNext w:val="0"/>
              <w:rPr>
                <w:b/>
                <w:szCs w:val="22"/>
                <w:lang w:val="en-GB"/>
              </w:rPr>
            </w:pPr>
            <w:r w:rsidRPr="001036A1">
              <w:rPr>
                <w:b/>
                <w:szCs w:val="22"/>
                <w:lang w:val="en-GB"/>
              </w:rPr>
              <w:t>Indicator</w:t>
            </w:r>
          </w:p>
        </w:tc>
        <w:tc>
          <w:tcPr>
            <w:tcW w:w="5103" w:type="dxa"/>
          </w:tcPr>
          <w:p w14:paraId="05203E26" w14:textId="77777777" w:rsidR="00482C01" w:rsidRPr="001036A1" w:rsidRDefault="00482C01" w:rsidP="00022010">
            <w:pPr>
              <w:pStyle w:val="Tabletext"/>
              <w:keepNext w:val="0"/>
              <w:rPr>
                <w:b/>
                <w:szCs w:val="22"/>
                <w:lang w:val="en-GB"/>
              </w:rPr>
            </w:pPr>
            <w:r w:rsidRPr="001036A1">
              <w:rPr>
                <w:b/>
                <w:szCs w:val="22"/>
                <w:lang w:val="en-GB"/>
              </w:rPr>
              <w:t>Evidence source</w:t>
            </w:r>
          </w:p>
        </w:tc>
      </w:tr>
      <w:tr w:rsidR="006E0A7F" w:rsidRPr="001036A1" w14:paraId="5B81F32D" w14:textId="77777777" w:rsidTr="001D2773">
        <w:trPr>
          <w:cantSplit/>
          <w:trHeight w:val="263"/>
        </w:trPr>
        <w:tc>
          <w:tcPr>
            <w:tcW w:w="936" w:type="dxa"/>
          </w:tcPr>
          <w:p w14:paraId="555157ED" w14:textId="14E205EC" w:rsidR="006E0A7F" w:rsidRPr="001036A1" w:rsidRDefault="006E0A7F" w:rsidP="00022010">
            <w:pPr>
              <w:pStyle w:val="Tabletext"/>
              <w:keepNext w:val="0"/>
              <w:rPr>
                <w:szCs w:val="22"/>
              </w:rPr>
            </w:pPr>
            <w:r w:rsidRPr="007210C5">
              <w:t>IND</w:t>
            </w:r>
            <w:r>
              <w:t xml:space="preserve"> 2020-93</w:t>
            </w:r>
          </w:p>
        </w:tc>
        <w:tc>
          <w:tcPr>
            <w:tcW w:w="3430" w:type="dxa"/>
          </w:tcPr>
          <w:p w14:paraId="1EA889D7" w14:textId="539104FB" w:rsidR="006E0A7F" w:rsidRPr="001036A1" w:rsidRDefault="006E0A7F" w:rsidP="00022010">
            <w:pPr>
              <w:pStyle w:val="Tabletext"/>
              <w:keepNext w:val="0"/>
              <w:rPr>
                <w:szCs w:val="22"/>
              </w:rPr>
            </w:pPr>
            <w:r w:rsidRPr="006E0A7F">
              <w:t>The proportion of babies who have a negative screening test on newborn physical examination but have identified risk factors and undergo assessment by specialist hip ultrasound within 6 weeks of age.</w:t>
            </w:r>
          </w:p>
        </w:tc>
        <w:tc>
          <w:tcPr>
            <w:tcW w:w="5103" w:type="dxa"/>
          </w:tcPr>
          <w:p w14:paraId="0D622F6D" w14:textId="77777777" w:rsidR="006E0A7F" w:rsidRDefault="006E0A7F" w:rsidP="00022010">
            <w:pPr>
              <w:pStyle w:val="Tabletext"/>
              <w:keepNext w:val="0"/>
            </w:pPr>
            <w:r>
              <w:t>Newborn physical examination is supported by:</w:t>
            </w:r>
          </w:p>
          <w:p w14:paraId="55EF543A" w14:textId="77777777" w:rsidR="006E0A7F" w:rsidRDefault="00CE4984" w:rsidP="00022010">
            <w:pPr>
              <w:pStyle w:val="Tabletext"/>
              <w:keepNext w:val="0"/>
            </w:pPr>
            <w:hyperlink r:id="rId8" w:history="1">
              <w:r w:rsidR="006E0A7F" w:rsidRPr="00880A23">
                <w:rPr>
                  <w:rStyle w:val="Hyperlink"/>
                  <w:rFonts w:cs="Arial"/>
                  <w:kern w:val="24"/>
                  <w:szCs w:val="22"/>
                  <w:lang w:eastAsia="en-GB"/>
                </w:rPr>
                <w:t>NICE’s guideline on Postnatal care up to 8 weeks after birth</w:t>
              </w:r>
            </w:hyperlink>
            <w:r w:rsidR="006E0A7F">
              <w:t xml:space="preserve"> recommendation 1.4.11</w:t>
            </w:r>
          </w:p>
          <w:p w14:paraId="597F29A8" w14:textId="77777777" w:rsidR="006E0A7F" w:rsidRDefault="006E0A7F" w:rsidP="00022010">
            <w:pPr>
              <w:pStyle w:val="Tabletext"/>
              <w:keepNext w:val="0"/>
            </w:pPr>
          </w:p>
          <w:p w14:paraId="7E6E0425" w14:textId="77777777" w:rsidR="006E0A7F" w:rsidRDefault="006E0A7F" w:rsidP="00022010">
            <w:pPr>
              <w:pStyle w:val="Tabletext"/>
              <w:keepNext w:val="0"/>
            </w:pPr>
            <w:r>
              <w:t>Screening for DDH risk factors and ultrasound is recommended by:</w:t>
            </w:r>
          </w:p>
          <w:p w14:paraId="28C566B1" w14:textId="77777777" w:rsidR="006E0A7F" w:rsidRPr="00842A2C" w:rsidRDefault="00CE4984" w:rsidP="00022010">
            <w:pPr>
              <w:pStyle w:val="Tabletext"/>
              <w:keepNext w:val="0"/>
            </w:pPr>
            <w:hyperlink r:id="rId9" w:history="1">
              <w:r w:rsidR="006E0A7F" w:rsidRPr="00842A2C">
                <w:rPr>
                  <w:rStyle w:val="Hyperlink"/>
                  <w:rFonts w:cs="Arial"/>
                  <w:kern w:val="24"/>
                  <w:szCs w:val="22"/>
                  <w:lang w:eastAsia="en-GB"/>
                </w:rPr>
                <w:t>UK N</w:t>
              </w:r>
              <w:r w:rsidR="006E0A7F">
                <w:rPr>
                  <w:rStyle w:val="Hyperlink"/>
                  <w:rFonts w:cs="Arial"/>
                  <w:kern w:val="24"/>
                  <w:szCs w:val="22"/>
                  <w:lang w:eastAsia="en-GB"/>
                </w:rPr>
                <w:t>a</w:t>
              </w:r>
              <w:r w:rsidR="006E0A7F">
                <w:rPr>
                  <w:rStyle w:val="Hyperlink"/>
                  <w:rFonts w:cs="Arial"/>
                  <w:kern w:val="24"/>
                  <w:szCs w:val="22"/>
                </w:rPr>
                <w:t xml:space="preserve">tional </w:t>
              </w:r>
              <w:r w:rsidR="006E0A7F" w:rsidRPr="00842A2C">
                <w:rPr>
                  <w:rStyle w:val="Hyperlink"/>
                  <w:rFonts w:cs="Arial"/>
                  <w:kern w:val="24"/>
                  <w:szCs w:val="22"/>
                  <w:lang w:eastAsia="en-GB"/>
                </w:rPr>
                <w:t>S</w:t>
              </w:r>
              <w:r w:rsidR="006E0A7F">
                <w:rPr>
                  <w:rStyle w:val="Hyperlink"/>
                  <w:rFonts w:cs="Arial"/>
                  <w:kern w:val="24"/>
                  <w:szCs w:val="22"/>
                  <w:lang w:eastAsia="en-GB"/>
                </w:rPr>
                <w:t>c</w:t>
              </w:r>
              <w:r w:rsidR="006E0A7F">
                <w:rPr>
                  <w:rStyle w:val="Hyperlink"/>
                  <w:rFonts w:cs="Arial"/>
                  <w:kern w:val="24"/>
                  <w:szCs w:val="22"/>
                </w:rPr>
                <w:t xml:space="preserve">reening </w:t>
              </w:r>
              <w:r w:rsidR="006E0A7F" w:rsidRPr="00842A2C">
                <w:rPr>
                  <w:rStyle w:val="Hyperlink"/>
                  <w:rFonts w:cs="Arial"/>
                  <w:kern w:val="24"/>
                  <w:szCs w:val="22"/>
                  <w:lang w:eastAsia="en-GB"/>
                </w:rPr>
                <w:t>C</w:t>
              </w:r>
              <w:r w:rsidR="006E0A7F">
                <w:rPr>
                  <w:rStyle w:val="Hyperlink"/>
                  <w:rFonts w:cs="Arial"/>
                  <w:kern w:val="24"/>
                  <w:szCs w:val="22"/>
                  <w:lang w:eastAsia="en-GB"/>
                </w:rPr>
                <w:t>o</w:t>
              </w:r>
              <w:r w:rsidR="006E0A7F">
                <w:rPr>
                  <w:rStyle w:val="Hyperlink"/>
                  <w:rFonts w:cs="Arial"/>
                  <w:kern w:val="24"/>
                  <w:szCs w:val="22"/>
                </w:rPr>
                <w:t>mmittee</w:t>
              </w:r>
              <w:r w:rsidR="006E0A7F" w:rsidRPr="00842A2C">
                <w:rPr>
                  <w:rStyle w:val="Hyperlink"/>
                  <w:rFonts w:cs="Arial"/>
                  <w:kern w:val="24"/>
                  <w:szCs w:val="22"/>
                  <w:lang w:eastAsia="en-GB"/>
                </w:rPr>
                <w:t xml:space="preserve"> </w:t>
              </w:r>
              <w:r w:rsidR="006E0A7F">
                <w:rPr>
                  <w:rStyle w:val="Hyperlink"/>
                  <w:rFonts w:cs="Arial"/>
                  <w:kern w:val="24"/>
                  <w:szCs w:val="22"/>
                  <w:lang w:eastAsia="en-GB"/>
                </w:rPr>
                <w:t>(</w:t>
              </w:r>
              <w:r w:rsidR="006E0A7F">
                <w:rPr>
                  <w:rStyle w:val="Hyperlink"/>
                  <w:rFonts w:cs="Arial"/>
                  <w:kern w:val="24"/>
                  <w:szCs w:val="22"/>
                </w:rPr>
                <w:t xml:space="preserve">NSC) </w:t>
              </w:r>
              <w:r w:rsidR="006E0A7F" w:rsidRPr="00842A2C">
                <w:rPr>
                  <w:rStyle w:val="Hyperlink"/>
                  <w:rFonts w:cs="Arial"/>
                  <w:kern w:val="24"/>
                  <w:szCs w:val="22"/>
                  <w:lang w:eastAsia="en-GB"/>
                </w:rPr>
                <w:t>recommendation on Developmental dislocation of the hip screening in newborns</w:t>
              </w:r>
            </w:hyperlink>
            <w:r w:rsidR="006E0A7F">
              <w:t xml:space="preserve"> (2006)</w:t>
            </w:r>
          </w:p>
          <w:p w14:paraId="4CFB308A" w14:textId="38015065" w:rsidR="006E0A7F" w:rsidRPr="0029330E" w:rsidRDefault="006E0A7F" w:rsidP="00022010">
            <w:pPr>
              <w:pStyle w:val="Tabletext"/>
              <w:keepNext w:val="0"/>
            </w:pPr>
            <w:r w:rsidRPr="00842A2C">
              <w:t>Screening is carried out in the first week of life and again at 6-8 weeks of age. The</w:t>
            </w:r>
            <w:r>
              <w:t xml:space="preserve"> </w:t>
            </w:r>
            <w:r w:rsidRPr="00842A2C">
              <w:t>first screen is a question to identify high risk factors. Babies with risk factors should</w:t>
            </w:r>
            <w:r>
              <w:t xml:space="preserve"> </w:t>
            </w:r>
            <w:r w:rsidRPr="00842A2C">
              <w:t>be referred for ultrasound examination.</w:t>
            </w:r>
          </w:p>
        </w:tc>
      </w:tr>
      <w:tr w:rsidR="00B341DA" w:rsidRPr="001036A1" w14:paraId="4B9F185E" w14:textId="77777777" w:rsidTr="001D2773">
        <w:trPr>
          <w:cantSplit/>
          <w:trHeight w:val="263"/>
        </w:trPr>
        <w:tc>
          <w:tcPr>
            <w:tcW w:w="936" w:type="dxa"/>
          </w:tcPr>
          <w:p w14:paraId="235AE568" w14:textId="5B3119A3" w:rsidR="00B341DA" w:rsidRPr="00B341DA" w:rsidRDefault="006E0A7F" w:rsidP="00022010">
            <w:pPr>
              <w:pStyle w:val="Tabletext"/>
              <w:keepNext w:val="0"/>
              <w:rPr>
                <w:rFonts w:cs="Arial"/>
                <w:szCs w:val="22"/>
              </w:rPr>
            </w:pPr>
            <w:r w:rsidRPr="006E0A7F">
              <w:rPr>
                <w:rFonts w:cs="Arial"/>
                <w:szCs w:val="22"/>
              </w:rPr>
              <w:t>IND 2020-94</w:t>
            </w:r>
          </w:p>
        </w:tc>
        <w:tc>
          <w:tcPr>
            <w:tcW w:w="3430" w:type="dxa"/>
          </w:tcPr>
          <w:p w14:paraId="711F9B5F" w14:textId="550A4C5F" w:rsidR="00B341DA" w:rsidRPr="001036A1" w:rsidRDefault="006E0A7F" w:rsidP="00022010">
            <w:pPr>
              <w:pStyle w:val="Tabletext"/>
              <w:keepNext w:val="0"/>
              <w:rPr>
                <w:szCs w:val="22"/>
              </w:rPr>
            </w:pPr>
            <w:r w:rsidRPr="006E0A7F">
              <w:t xml:space="preserve">The proportion of babies who have a not suspected result for all the conditions tested for by newborn blood spot testing and have a results letter sent to their parents directly from the child health information service (CHIS) </w:t>
            </w:r>
            <w:r w:rsidR="0029278F">
              <w:t xml:space="preserve">within </w:t>
            </w:r>
            <w:r w:rsidRPr="006E0A7F">
              <w:t>6 weeks of birth.</w:t>
            </w:r>
          </w:p>
        </w:tc>
        <w:tc>
          <w:tcPr>
            <w:tcW w:w="5103" w:type="dxa"/>
          </w:tcPr>
          <w:p w14:paraId="3EC33604" w14:textId="77777777" w:rsidR="006E0A7F" w:rsidRDefault="006E0A7F" w:rsidP="00022010">
            <w:pPr>
              <w:pStyle w:val="Tabletext"/>
              <w:keepNext w:val="0"/>
            </w:pPr>
            <w:r>
              <w:t>Newborn blood spot testing is supported by:</w:t>
            </w:r>
          </w:p>
          <w:p w14:paraId="1D89836C" w14:textId="77777777" w:rsidR="006E0A7F" w:rsidRDefault="00CE4984" w:rsidP="00022010">
            <w:pPr>
              <w:pStyle w:val="Tabletext"/>
              <w:keepNext w:val="0"/>
            </w:pPr>
            <w:hyperlink r:id="rId10" w:history="1">
              <w:r w:rsidR="006E0A7F" w:rsidRPr="00E67D7F">
                <w:rPr>
                  <w:rStyle w:val="Hyperlink"/>
                  <w:rFonts w:cs="Arial"/>
                  <w:kern w:val="24"/>
                  <w:szCs w:val="22"/>
                  <w:lang w:eastAsia="en-GB"/>
                </w:rPr>
                <w:t>NICE’s guideline on Postnatal care up to 8 weeks after birth</w:t>
              </w:r>
            </w:hyperlink>
            <w:r w:rsidR="006E0A7F">
              <w:t xml:space="preserve"> recommendation 1.4.12</w:t>
            </w:r>
          </w:p>
          <w:p w14:paraId="64988E7C" w14:textId="3F83821A" w:rsidR="00B341DA" w:rsidRPr="00B341DA" w:rsidRDefault="006E0A7F" w:rsidP="00022010">
            <w:pPr>
              <w:pStyle w:val="Tabletext"/>
              <w:keepNext w:val="0"/>
            </w:pPr>
            <w:r w:rsidRPr="00544E52">
              <w:t xml:space="preserve">And the recommendations of the </w:t>
            </w:r>
            <w:hyperlink r:id="rId11" w:history="1">
              <w:r w:rsidRPr="00544E52">
                <w:rPr>
                  <w:rStyle w:val="Hyperlink"/>
                  <w:szCs w:val="22"/>
                </w:rPr>
                <w:t>UK National Screening Committee</w:t>
              </w:r>
            </w:hyperlink>
          </w:p>
        </w:tc>
      </w:tr>
      <w:tr w:rsidR="00B341DA" w:rsidRPr="001036A1" w14:paraId="69595CF5" w14:textId="77777777" w:rsidTr="001D2773">
        <w:trPr>
          <w:cantSplit/>
          <w:trHeight w:val="263"/>
        </w:trPr>
        <w:tc>
          <w:tcPr>
            <w:tcW w:w="936" w:type="dxa"/>
          </w:tcPr>
          <w:p w14:paraId="3176A883" w14:textId="3692ED59" w:rsidR="00B341DA" w:rsidRPr="00B341DA" w:rsidRDefault="006E0A7F" w:rsidP="00022010">
            <w:pPr>
              <w:pStyle w:val="Tabletext"/>
              <w:keepNext w:val="0"/>
              <w:rPr>
                <w:rFonts w:cs="Arial"/>
                <w:szCs w:val="22"/>
              </w:rPr>
            </w:pPr>
            <w:r w:rsidRPr="006E0A7F">
              <w:rPr>
                <w:rFonts w:cs="Arial"/>
                <w:szCs w:val="22"/>
              </w:rPr>
              <w:t>IND 2020-95</w:t>
            </w:r>
          </w:p>
        </w:tc>
        <w:tc>
          <w:tcPr>
            <w:tcW w:w="3430" w:type="dxa"/>
          </w:tcPr>
          <w:p w14:paraId="302B85AE" w14:textId="143A84D4" w:rsidR="00B341DA" w:rsidRPr="007831FB" w:rsidRDefault="006E0A7F" w:rsidP="00022010">
            <w:pPr>
              <w:pStyle w:val="Tabletext"/>
              <w:keepNext w:val="0"/>
            </w:pPr>
            <w:r w:rsidRPr="006E0A7F">
              <w:t xml:space="preserve">The proportion of babies who have a not suspected result for all the conditions tested for by newborn blood spot testing and have a results letter sent to their parents directly from the CHIS </w:t>
            </w:r>
            <w:r w:rsidR="0029278F">
              <w:t>within</w:t>
            </w:r>
            <w:r w:rsidRPr="006E0A7F">
              <w:t xml:space="preserve"> 6 weeks of notification of movement in.</w:t>
            </w:r>
          </w:p>
        </w:tc>
        <w:tc>
          <w:tcPr>
            <w:tcW w:w="5103" w:type="dxa"/>
          </w:tcPr>
          <w:p w14:paraId="55B3009E" w14:textId="77777777" w:rsidR="006E0A7F" w:rsidRDefault="006E0A7F" w:rsidP="00022010">
            <w:pPr>
              <w:pStyle w:val="Tabletext"/>
              <w:keepNext w:val="0"/>
            </w:pPr>
            <w:r>
              <w:t>Newborn blood spot testing is supported by:</w:t>
            </w:r>
          </w:p>
          <w:p w14:paraId="583FCF2B" w14:textId="77777777" w:rsidR="006E0A7F" w:rsidRDefault="00CE4984" w:rsidP="00022010">
            <w:pPr>
              <w:pStyle w:val="Tabletext"/>
              <w:keepNext w:val="0"/>
            </w:pPr>
            <w:hyperlink r:id="rId12" w:history="1">
              <w:r w:rsidR="006E0A7F" w:rsidRPr="00E67D7F">
                <w:rPr>
                  <w:rStyle w:val="Hyperlink"/>
                  <w:rFonts w:cs="Arial"/>
                  <w:kern w:val="24"/>
                  <w:szCs w:val="22"/>
                  <w:lang w:eastAsia="en-GB"/>
                </w:rPr>
                <w:t>NICE’s guideline on Postnatal care up to 8 weeks after birth</w:t>
              </w:r>
            </w:hyperlink>
            <w:r w:rsidR="006E0A7F">
              <w:t xml:space="preserve"> recommendation 1.4.12</w:t>
            </w:r>
          </w:p>
          <w:p w14:paraId="10B420C2" w14:textId="22FB9AC9" w:rsidR="00B341DA" w:rsidRPr="00B341DA" w:rsidRDefault="006E0A7F" w:rsidP="00022010">
            <w:pPr>
              <w:pStyle w:val="Tabletext"/>
              <w:keepNext w:val="0"/>
            </w:pPr>
            <w:r w:rsidRPr="00544E52">
              <w:t xml:space="preserve">And the recommendations of the </w:t>
            </w:r>
            <w:hyperlink r:id="rId13" w:history="1">
              <w:r w:rsidRPr="00544E52">
                <w:rPr>
                  <w:rStyle w:val="Hyperlink"/>
                  <w:szCs w:val="22"/>
                </w:rPr>
                <w:t>UK National Screening Committee</w:t>
              </w:r>
            </w:hyperlink>
          </w:p>
        </w:tc>
      </w:tr>
      <w:tr w:rsidR="00B341DA" w:rsidRPr="001036A1" w14:paraId="1770C2A0" w14:textId="77777777" w:rsidTr="001D2773">
        <w:trPr>
          <w:cantSplit/>
          <w:trHeight w:val="263"/>
        </w:trPr>
        <w:tc>
          <w:tcPr>
            <w:tcW w:w="936" w:type="dxa"/>
          </w:tcPr>
          <w:p w14:paraId="245022D5" w14:textId="37AA21AB" w:rsidR="00B341DA" w:rsidRPr="00B341DA" w:rsidRDefault="006E0A7F" w:rsidP="00022010">
            <w:pPr>
              <w:pStyle w:val="Tabletext"/>
              <w:keepNext w:val="0"/>
              <w:rPr>
                <w:rFonts w:cs="Arial"/>
                <w:szCs w:val="22"/>
              </w:rPr>
            </w:pPr>
            <w:r w:rsidRPr="006E0A7F">
              <w:rPr>
                <w:rFonts w:cs="Arial"/>
                <w:szCs w:val="22"/>
              </w:rPr>
              <w:t>IND 2020-96</w:t>
            </w:r>
          </w:p>
        </w:tc>
        <w:tc>
          <w:tcPr>
            <w:tcW w:w="3430" w:type="dxa"/>
          </w:tcPr>
          <w:p w14:paraId="31551A93" w14:textId="43C1B492" w:rsidR="00B341DA" w:rsidRPr="007831FB" w:rsidRDefault="006E0A7F" w:rsidP="00022010">
            <w:pPr>
              <w:pStyle w:val="Tabletext"/>
              <w:keepNext w:val="0"/>
            </w:pPr>
            <w:r w:rsidRPr="006E0A7F">
              <w:t>The proportion of parents receiving newborn blood spot screen positive results</w:t>
            </w:r>
            <w:r w:rsidR="0029278F">
              <w:t xml:space="preserve"> within</w:t>
            </w:r>
            <w:r w:rsidRPr="006E0A7F">
              <w:t xml:space="preserve"> 28 days of age.</w:t>
            </w:r>
          </w:p>
        </w:tc>
        <w:tc>
          <w:tcPr>
            <w:tcW w:w="5103" w:type="dxa"/>
          </w:tcPr>
          <w:p w14:paraId="7037AD02" w14:textId="77777777" w:rsidR="006E0A7F" w:rsidRDefault="006E0A7F" w:rsidP="00022010">
            <w:pPr>
              <w:pStyle w:val="Tabletext"/>
              <w:keepNext w:val="0"/>
            </w:pPr>
            <w:r>
              <w:t xml:space="preserve">Newborn </w:t>
            </w:r>
            <w:r w:rsidRPr="004E1B7D">
              <w:t>sickle cell screening</w:t>
            </w:r>
            <w:r>
              <w:t xml:space="preserve"> as part of newborn blood spot screening</w:t>
            </w:r>
            <w:r w:rsidRPr="004E1B7D">
              <w:t xml:space="preserve"> </w:t>
            </w:r>
            <w:r>
              <w:t>is supported by:</w:t>
            </w:r>
          </w:p>
          <w:p w14:paraId="315868BD" w14:textId="77777777" w:rsidR="006E0A7F" w:rsidRDefault="00CE4984" w:rsidP="00022010">
            <w:pPr>
              <w:pStyle w:val="Tabletext"/>
              <w:keepNext w:val="0"/>
            </w:pPr>
            <w:hyperlink r:id="rId14" w:history="1">
              <w:r w:rsidR="006E0A7F" w:rsidRPr="00E67D7F">
                <w:rPr>
                  <w:rStyle w:val="Hyperlink"/>
                  <w:rFonts w:cs="Arial"/>
                  <w:kern w:val="24"/>
                  <w:szCs w:val="22"/>
                  <w:lang w:eastAsia="en-GB"/>
                </w:rPr>
                <w:t>NICE’s guideline on Postnatal care up to 8 weeks after birth</w:t>
              </w:r>
            </w:hyperlink>
            <w:r w:rsidR="006E0A7F">
              <w:t xml:space="preserve"> recommendation 1.4.12</w:t>
            </w:r>
          </w:p>
          <w:p w14:paraId="28E94109" w14:textId="7B095D98" w:rsidR="00B341DA" w:rsidRPr="00B341DA" w:rsidRDefault="00022010" w:rsidP="00022010">
            <w:pPr>
              <w:pStyle w:val="Tabletext"/>
              <w:keepNext w:val="0"/>
            </w:pPr>
            <w:r>
              <w:t>S</w:t>
            </w:r>
            <w:r w:rsidR="006E0A7F">
              <w:t xml:space="preserve">creening newborns for sickle cell disease is supported by </w:t>
            </w:r>
            <w:r w:rsidR="006E0A7F" w:rsidRPr="00544E52">
              <w:t xml:space="preserve">the recommendations of the </w:t>
            </w:r>
            <w:hyperlink r:id="rId15" w:history="1">
              <w:r w:rsidR="006E0A7F" w:rsidRPr="00544E52">
                <w:rPr>
                  <w:rStyle w:val="Hyperlink"/>
                  <w:szCs w:val="22"/>
                </w:rPr>
                <w:t>UK National Screening Committee</w:t>
              </w:r>
            </w:hyperlink>
            <w:r w:rsidR="006E0A7F">
              <w:rPr>
                <w:rStyle w:val="Hyperlink"/>
                <w:szCs w:val="22"/>
              </w:rPr>
              <w:t xml:space="preserve">. </w:t>
            </w:r>
            <w:r w:rsidR="006E0A7F" w:rsidRPr="002C5F08">
              <w:t xml:space="preserve">Detection of </w:t>
            </w:r>
            <w:proofErr w:type="spellStart"/>
            <w:r w:rsidR="006E0A7F" w:rsidRPr="002C5F08">
              <w:t>thalassaemia</w:t>
            </w:r>
            <w:proofErr w:type="spellEnd"/>
            <w:r w:rsidR="006E0A7F" w:rsidRPr="002C5F08">
              <w:t xml:space="preserve"> is not part of the </w:t>
            </w:r>
            <w:proofErr w:type="spellStart"/>
            <w:r w:rsidR="006E0A7F" w:rsidRPr="002C5F08">
              <w:t>programme</w:t>
            </w:r>
            <w:proofErr w:type="spellEnd"/>
            <w:r w:rsidR="006E0A7F" w:rsidRPr="002C5F08">
              <w:t xml:space="preserve"> but it is expected that beta </w:t>
            </w:r>
            <w:proofErr w:type="spellStart"/>
            <w:r w:rsidR="006E0A7F" w:rsidRPr="002C5F08">
              <w:t>thalassaemia</w:t>
            </w:r>
            <w:proofErr w:type="spellEnd"/>
            <w:r w:rsidR="006E0A7F" w:rsidRPr="002C5F08">
              <w:t xml:space="preserve"> major would be detected as a by-product and the same standards for communicating results to parents and enrolment into care apply.</w:t>
            </w:r>
          </w:p>
        </w:tc>
      </w:tr>
      <w:tr w:rsidR="00B341DA" w:rsidRPr="001036A1" w14:paraId="2F920B24" w14:textId="77777777" w:rsidTr="001D2773">
        <w:trPr>
          <w:cantSplit/>
          <w:trHeight w:val="263"/>
        </w:trPr>
        <w:tc>
          <w:tcPr>
            <w:tcW w:w="936" w:type="dxa"/>
          </w:tcPr>
          <w:p w14:paraId="5BE72B1F" w14:textId="2C8CDB23" w:rsidR="00B341DA" w:rsidRPr="00B341DA" w:rsidRDefault="006E0A7F" w:rsidP="00022010">
            <w:pPr>
              <w:pStyle w:val="Tabletext"/>
              <w:keepNext w:val="0"/>
            </w:pPr>
            <w:r w:rsidRPr="006E0A7F">
              <w:lastRenderedPageBreak/>
              <w:t>IND 2020-97</w:t>
            </w:r>
          </w:p>
        </w:tc>
        <w:tc>
          <w:tcPr>
            <w:tcW w:w="3430" w:type="dxa"/>
          </w:tcPr>
          <w:p w14:paraId="4E6E2A8A" w14:textId="664DDBDD" w:rsidR="00B341DA" w:rsidRPr="007831FB" w:rsidRDefault="006E0A7F" w:rsidP="00022010">
            <w:pPr>
              <w:pStyle w:val="Tabletext"/>
              <w:keepNext w:val="0"/>
            </w:pPr>
            <w:r w:rsidRPr="006E0A7F">
              <w:t>The proportion of eligible people with diabetes who have not attended for diabetic eye screening in the previous 3 years.</w:t>
            </w:r>
          </w:p>
        </w:tc>
        <w:tc>
          <w:tcPr>
            <w:tcW w:w="5103" w:type="dxa"/>
          </w:tcPr>
          <w:p w14:paraId="55F65BC1" w14:textId="77777777" w:rsidR="006E0A7F" w:rsidRDefault="006E0A7F" w:rsidP="00022010">
            <w:pPr>
              <w:pStyle w:val="Tabletext"/>
              <w:keepNext w:val="0"/>
            </w:pPr>
            <w:r>
              <w:t xml:space="preserve">Repeat annual eye screening is supported by: </w:t>
            </w:r>
          </w:p>
          <w:p w14:paraId="672AE97B" w14:textId="77777777" w:rsidR="006E0A7F" w:rsidRDefault="00CE4984" w:rsidP="00022010">
            <w:pPr>
              <w:pStyle w:val="Tabletext"/>
              <w:keepNext w:val="0"/>
              <w:rPr>
                <w:color w:val="000000"/>
                <w:kern w:val="24"/>
              </w:rPr>
            </w:pPr>
            <w:hyperlink r:id="rId16" w:history="1">
              <w:r w:rsidR="006E0A7F" w:rsidRPr="00BA5548">
                <w:rPr>
                  <w:rStyle w:val="Hyperlink"/>
                  <w:rFonts w:cs="Arial"/>
                  <w:kern w:val="24"/>
                  <w:szCs w:val="22"/>
                </w:rPr>
                <w:t>NICE’s guideline on type 1 diabetes in adults</w:t>
              </w:r>
            </w:hyperlink>
            <w:r w:rsidR="006E0A7F">
              <w:rPr>
                <w:color w:val="000000"/>
                <w:kern w:val="24"/>
              </w:rPr>
              <w:t xml:space="preserve"> recommendation 1.15.1</w:t>
            </w:r>
          </w:p>
          <w:p w14:paraId="744C02E0" w14:textId="77777777" w:rsidR="006E0A7F" w:rsidRDefault="00CE4984" w:rsidP="00022010">
            <w:pPr>
              <w:pStyle w:val="Tabletext"/>
              <w:keepNext w:val="0"/>
              <w:rPr>
                <w:color w:val="000000"/>
                <w:kern w:val="24"/>
              </w:rPr>
            </w:pPr>
            <w:hyperlink r:id="rId17" w:history="1">
              <w:r w:rsidR="006E0A7F" w:rsidRPr="00BA5548">
                <w:rPr>
                  <w:rStyle w:val="Hyperlink"/>
                  <w:rFonts w:cs="Arial"/>
                  <w:kern w:val="24"/>
                  <w:szCs w:val="22"/>
                </w:rPr>
                <w:t>NICE’s guideline on type 2 diabetes in adults</w:t>
              </w:r>
            </w:hyperlink>
            <w:r w:rsidR="006E0A7F">
              <w:rPr>
                <w:color w:val="000000"/>
                <w:kern w:val="24"/>
              </w:rPr>
              <w:t xml:space="preserve"> recommendation 1.7.1</w:t>
            </w:r>
          </w:p>
          <w:p w14:paraId="7362C7A5" w14:textId="41E74BCA" w:rsidR="00B341DA" w:rsidRPr="006E0A7F" w:rsidRDefault="00CE4984" w:rsidP="00022010">
            <w:pPr>
              <w:pStyle w:val="Tabletext"/>
              <w:keepNext w:val="0"/>
              <w:rPr>
                <w:color w:val="000000"/>
                <w:kern w:val="24"/>
              </w:rPr>
            </w:pPr>
            <w:hyperlink r:id="rId18" w:history="1">
              <w:r w:rsidR="006E0A7F" w:rsidRPr="009D465F">
                <w:rPr>
                  <w:rStyle w:val="Hyperlink"/>
                  <w:rFonts w:cs="Arial"/>
                  <w:kern w:val="24"/>
                  <w:szCs w:val="22"/>
                </w:rPr>
                <w:t>NICE’s guideline on diabetes (type 1 and 2) in children and young people</w:t>
              </w:r>
            </w:hyperlink>
            <w:r w:rsidR="006E0A7F">
              <w:rPr>
                <w:color w:val="000000"/>
                <w:kern w:val="24"/>
              </w:rPr>
              <w:t xml:space="preserve"> recommendation 1.3.52</w:t>
            </w:r>
          </w:p>
        </w:tc>
      </w:tr>
      <w:tr w:rsidR="006E0A7F" w:rsidRPr="001036A1" w14:paraId="27D0FEC8" w14:textId="77777777" w:rsidTr="001D2773">
        <w:trPr>
          <w:cantSplit/>
          <w:trHeight w:val="263"/>
        </w:trPr>
        <w:tc>
          <w:tcPr>
            <w:tcW w:w="936" w:type="dxa"/>
          </w:tcPr>
          <w:p w14:paraId="026D51F2" w14:textId="793F614E" w:rsidR="006E0A7F" w:rsidRPr="006E0A7F" w:rsidRDefault="007A089C" w:rsidP="00022010">
            <w:pPr>
              <w:pStyle w:val="Tabletext"/>
              <w:keepNext w:val="0"/>
            </w:pPr>
            <w:r w:rsidRPr="007210C5">
              <w:t>IND</w:t>
            </w:r>
            <w:r>
              <w:t xml:space="preserve"> 2020-98</w:t>
            </w:r>
          </w:p>
        </w:tc>
        <w:tc>
          <w:tcPr>
            <w:tcW w:w="3430" w:type="dxa"/>
          </w:tcPr>
          <w:p w14:paraId="36ED5D46" w14:textId="00C18CDD" w:rsidR="006E0A7F" w:rsidRPr="007A089C" w:rsidRDefault="007A089C" w:rsidP="00022010">
            <w:pPr>
              <w:pStyle w:val="Tabletext"/>
              <w:keepNext w:val="0"/>
              <w:rPr>
                <w:iCs/>
              </w:rPr>
            </w:pPr>
            <w:r w:rsidRPr="007A089C">
              <w:rPr>
                <w:iCs/>
              </w:rPr>
              <w:t>The proportion of eligible people with diabetes who are offered an appointment for diabetic eye screening.</w:t>
            </w:r>
          </w:p>
        </w:tc>
        <w:tc>
          <w:tcPr>
            <w:tcW w:w="5103" w:type="dxa"/>
          </w:tcPr>
          <w:p w14:paraId="0F3C8846" w14:textId="77777777" w:rsidR="007A089C" w:rsidRDefault="007A089C" w:rsidP="00022010">
            <w:pPr>
              <w:pStyle w:val="Tabletext"/>
              <w:keepNext w:val="0"/>
              <w:rPr>
                <w:rFonts w:cs="Arial"/>
                <w:szCs w:val="22"/>
              </w:rPr>
            </w:pPr>
            <w:r>
              <w:rPr>
                <w:rFonts w:cs="Arial"/>
                <w:szCs w:val="22"/>
              </w:rPr>
              <w:t xml:space="preserve">Repeat annual eye screening is supported by: </w:t>
            </w:r>
          </w:p>
          <w:p w14:paraId="2044B049" w14:textId="77777777" w:rsidR="007A089C" w:rsidRDefault="00CE4984" w:rsidP="00022010">
            <w:pPr>
              <w:pStyle w:val="Tabletext"/>
              <w:keepNext w:val="0"/>
              <w:rPr>
                <w:rFonts w:cs="Arial"/>
                <w:color w:val="000000"/>
                <w:kern w:val="24"/>
                <w:szCs w:val="22"/>
              </w:rPr>
            </w:pPr>
            <w:hyperlink r:id="rId19" w:history="1">
              <w:r w:rsidR="007A089C" w:rsidRPr="00BA5548">
                <w:rPr>
                  <w:rStyle w:val="Hyperlink"/>
                  <w:rFonts w:cs="Arial"/>
                  <w:kern w:val="24"/>
                  <w:szCs w:val="22"/>
                </w:rPr>
                <w:t>NICE’s guideline on type 1 diabetes in adults</w:t>
              </w:r>
            </w:hyperlink>
            <w:r w:rsidR="007A089C">
              <w:rPr>
                <w:rFonts w:cs="Arial"/>
                <w:color w:val="000000"/>
                <w:kern w:val="24"/>
                <w:szCs w:val="22"/>
              </w:rPr>
              <w:t xml:space="preserve"> recommendation 1.15.1</w:t>
            </w:r>
          </w:p>
          <w:p w14:paraId="062BA59B" w14:textId="77777777" w:rsidR="007A089C" w:rsidRDefault="00CE4984" w:rsidP="00022010">
            <w:pPr>
              <w:pStyle w:val="Tabletext"/>
              <w:keepNext w:val="0"/>
              <w:rPr>
                <w:rFonts w:cs="Arial"/>
                <w:color w:val="000000"/>
                <w:kern w:val="24"/>
                <w:szCs w:val="22"/>
              </w:rPr>
            </w:pPr>
            <w:hyperlink r:id="rId20" w:history="1">
              <w:r w:rsidR="007A089C" w:rsidRPr="00BA5548">
                <w:rPr>
                  <w:rStyle w:val="Hyperlink"/>
                  <w:rFonts w:cs="Arial"/>
                  <w:kern w:val="24"/>
                  <w:szCs w:val="22"/>
                </w:rPr>
                <w:t>NICE’s guideline on type 2 diabetes in adults</w:t>
              </w:r>
            </w:hyperlink>
            <w:r w:rsidR="007A089C">
              <w:rPr>
                <w:rFonts w:cs="Arial"/>
                <w:color w:val="000000"/>
                <w:kern w:val="24"/>
                <w:szCs w:val="22"/>
              </w:rPr>
              <w:t xml:space="preserve"> recommendation 1.7.1</w:t>
            </w:r>
          </w:p>
          <w:p w14:paraId="4B200E4A" w14:textId="16512C68" w:rsidR="006E0A7F" w:rsidRPr="007A089C" w:rsidRDefault="00CE4984" w:rsidP="00022010">
            <w:pPr>
              <w:pStyle w:val="Tabletext"/>
              <w:keepNext w:val="0"/>
              <w:rPr>
                <w:rFonts w:cs="Arial"/>
                <w:color w:val="000000"/>
                <w:kern w:val="24"/>
                <w:szCs w:val="22"/>
              </w:rPr>
            </w:pPr>
            <w:hyperlink r:id="rId21" w:history="1">
              <w:r w:rsidR="007A089C" w:rsidRPr="009D465F">
                <w:rPr>
                  <w:rStyle w:val="Hyperlink"/>
                  <w:rFonts w:cs="Arial"/>
                  <w:kern w:val="24"/>
                  <w:szCs w:val="22"/>
                </w:rPr>
                <w:t>NICE’s guideline on diabetes (type 1 and 2) in children and young people</w:t>
              </w:r>
            </w:hyperlink>
            <w:r w:rsidR="007A089C">
              <w:rPr>
                <w:rFonts w:cs="Arial"/>
                <w:color w:val="000000"/>
                <w:kern w:val="24"/>
                <w:szCs w:val="22"/>
              </w:rPr>
              <w:t xml:space="preserve"> recommendation 1.3.52</w:t>
            </w:r>
          </w:p>
        </w:tc>
      </w:tr>
      <w:tr w:rsidR="006E0A7F" w:rsidRPr="001036A1" w14:paraId="1DB7D224" w14:textId="77777777" w:rsidTr="001D2773">
        <w:trPr>
          <w:cantSplit/>
          <w:trHeight w:val="263"/>
        </w:trPr>
        <w:tc>
          <w:tcPr>
            <w:tcW w:w="936" w:type="dxa"/>
          </w:tcPr>
          <w:p w14:paraId="2C94EB45" w14:textId="3A8B530E" w:rsidR="006E0A7F" w:rsidRPr="006E0A7F" w:rsidRDefault="007A089C" w:rsidP="00022010">
            <w:pPr>
              <w:pStyle w:val="Tabletext"/>
              <w:keepNext w:val="0"/>
            </w:pPr>
            <w:r w:rsidRPr="0027670F">
              <w:t>IND</w:t>
            </w:r>
            <w:r>
              <w:t xml:space="preserve"> 2020-99</w:t>
            </w:r>
          </w:p>
        </w:tc>
        <w:tc>
          <w:tcPr>
            <w:tcW w:w="3430" w:type="dxa"/>
          </w:tcPr>
          <w:p w14:paraId="68126EEF" w14:textId="13880B4C" w:rsidR="006E0A7F" w:rsidRPr="007A089C" w:rsidRDefault="007A089C" w:rsidP="00022010">
            <w:pPr>
              <w:pStyle w:val="Tabletext"/>
              <w:keepNext w:val="0"/>
              <w:rPr>
                <w:iCs/>
              </w:rPr>
            </w:pPr>
            <w:r w:rsidRPr="007A089C">
              <w:rPr>
                <w:iCs/>
              </w:rPr>
              <w:t>The proportion of eligible people with diabetes who are suspended from diabetic eye screening due to previous screening results.</w:t>
            </w:r>
          </w:p>
        </w:tc>
        <w:tc>
          <w:tcPr>
            <w:tcW w:w="5103" w:type="dxa"/>
          </w:tcPr>
          <w:p w14:paraId="0A13C70D" w14:textId="77777777" w:rsidR="007A089C" w:rsidRDefault="007A089C" w:rsidP="00022010">
            <w:pPr>
              <w:pStyle w:val="Tabletext"/>
              <w:keepNext w:val="0"/>
              <w:rPr>
                <w:rFonts w:cs="Arial"/>
                <w:szCs w:val="22"/>
              </w:rPr>
            </w:pPr>
            <w:r>
              <w:rPr>
                <w:rFonts w:cs="Arial"/>
                <w:szCs w:val="22"/>
              </w:rPr>
              <w:t xml:space="preserve">Repeat annual eye screening is supported by: </w:t>
            </w:r>
          </w:p>
          <w:p w14:paraId="33C7F745" w14:textId="77777777" w:rsidR="007A089C" w:rsidRDefault="00CE4984" w:rsidP="00022010">
            <w:pPr>
              <w:pStyle w:val="Tabletext"/>
              <w:keepNext w:val="0"/>
              <w:rPr>
                <w:rFonts w:cs="Arial"/>
                <w:color w:val="000000"/>
                <w:kern w:val="24"/>
                <w:szCs w:val="22"/>
              </w:rPr>
            </w:pPr>
            <w:hyperlink r:id="rId22" w:history="1">
              <w:r w:rsidR="007A089C" w:rsidRPr="00BA5548">
                <w:rPr>
                  <w:rStyle w:val="Hyperlink"/>
                  <w:rFonts w:cs="Arial"/>
                  <w:kern w:val="24"/>
                  <w:szCs w:val="22"/>
                </w:rPr>
                <w:t>NICE’s guideline on type 1 diabetes in adults</w:t>
              </w:r>
            </w:hyperlink>
            <w:r w:rsidR="007A089C">
              <w:rPr>
                <w:rFonts w:cs="Arial"/>
                <w:color w:val="000000"/>
                <w:kern w:val="24"/>
                <w:szCs w:val="22"/>
              </w:rPr>
              <w:t xml:space="preserve"> recommendation 1.15.1</w:t>
            </w:r>
          </w:p>
          <w:p w14:paraId="1965E71A" w14:textId="77777777" w:rsidR="007A089C" w:rsidRDefault="00CE4984" w:rsidP="00022010">
            <w:pPr>
              <w:pStyle w:val="Tabletext"/>
              <w:keepNext w:val="0"/>
              <w:rPr>
                <w:rFonts w:cs="Arial"/>
                <w:color w:val="000000"/>
                <w:kern w:val="24"/>
                <w:szCs w:val="22"/>
              </w:rPr>
            </w:pPr>
            <w:hyperlink r:id="rId23" w:history="1">
              <w:r w:rsidR="007A089C" w:rsidRPr="00BA5548">
                <w:rPr>
                  <w:rStyle w:val="Hyperlink"/>
                  <w:rFonts w:cs="Arial"/>
                  <w:kern w:val="24"/>
                  <w:szCs w:val="22"/>
                </w:rPr>
                <w:t>NICE’s guideline on type 2 diabetes in adults</w:t>
              </w:r>
            </w:hyperlink>
            <w:r w:rsidR="007A089C">
              <w:rPr>
                <w:rFonts w:cs="Arial"/>
                <w:color w:val="000000"/>
                <w:kern w:val="24"/>
                <w:szCs w:val="22"/>
              </w:rPr>
              <w:t xml:space="preserve"> recommendation 1.7.1</w:t>
            </w:r>
          </w:p>
          <w:p w14:paraId="2636C1DC" w14:textId="755FA141" w:rsidR="006E0A7F" w:rsidRPr="00B341DA" w:rsidRDefault="00CE4984" w:rsidP="00022010">
            <w:pPr>
              <w:pStyle w:val="Tabletext"/>
              <w:keepNext w:val="0"/>
              <w:rPr>
                <w:rFonts w:cs="Arial"/>
                <w:szCs w:val="22"/>
              </w:rPr>
            </w:pPr>
            <w:hyperlink r:id="rId24" w:history="1">
              <w:r w:rsidR="007A089C" w:rsidRPr="009D465F">
                <w:rPr>
                  <w:rStyle w:val="Hyperlink"/>
                  <w:rFonts w:cs="Arial"/>
                  <w:kern w:val="24"/>
                  <w:szCs w:val="22"/>
                </w:rPr>
                <w:t>NICE’s guideline on diabetes (type 1 and 2) in children and young people</w:t>
              </w:r>
            </w:hyperlink>
            <w:r w:rsidR="007A089C">
              <w:rPr>
                <w:rFonts w:cs="Arial"/>
                <w:color w:val="000000"/>
                <w:kern w:val="24"/>
                <w:szCs w:val="22"/>
              </w:rPr>
              <w:t xml:space="preserve"> recommendation 1.3.52</w:t>
            </w:r>
          </w:p>
        </w:tc>
      </w:tr>
      <w:tr w:rsidR="006E0A7F" w:rsidRPr="001036A1" w14:paraId="1D9D0303" w14:textId="77777777" w:rsidTr="001D2773">
        <w:trPr>
          <w:cantSplit/>
          <w:trHeight w:val="263"/>
        </w:trPr>
        <w:tc>
          <w:tcPr>
            <w:tcW w:w="936" w:type="dxa"/>
          </w:tcPr>
          <w:p w14:paraId="7F769BD7" w14:textId="29FBB863" w:rsidR="006E0A7F" w:rsidRPr="006E0A7F" w:rsidRDefault="007A089C" w:rsidP="00022010">
            <w:pPr>
              <w:pStyle w:val="Tabletext"/>
              <w:keepNext w:val="0"/>
            </w:pPr>
            <w:r w:rsidRPr="0027670F">
              <w:t>IND</w:t>
            </w:r>
            <w:r>
              <w:t xml:space="preserve"> 2020-100</w:t>
            </w:r>
          </w:p>
        </w:tc>
        <w:tc>
          <w:tcPr>
            <w:tcW w:w="3430" w:type="dxa"/>
          </w:tcPr>
          <w:p w14:paraId="04459207" w14:textId="212A3EFD" w:rsidR="006E0A7F" w:rsidRPr="007A089C" w:rsidRDefault="007A089C" w:rsidP="00022010">
            <w:pPr>
              <w:pStyle w:val="Tabletext"/>
              <w:keepNext w:val="0"/>
              <w:rPr>
                <w:iCs/>
              </w:rPr>
            </w:pPr>
            <w:r w:rsidRPr="007A089C">
              <w:rPr>
                <w:iCs/>
              </w:rPr>
              <w:t>The proportion of eligible people with diabetes who are excluded from diabetic eye screening as they have opted out or are classed as medically unfit.</w:t>
            </w:r>
          </w:p>
        </w:tc>
        <w:tc>
          <w:tcPr>
            <w:tcW w:w="5103" w:type="dxa"/>
          </w:tcPr>
          <w:p w14:paraId="497B5995" w14:textId="77777777" w:rsidR="007A089C" w:rsidRDefault="007A089C" w:rsidP="00022010">
            <w:pPr>
              <w:pStyle w:val="Tabletext"/>
              <w:keepNext w:val="0"/>
              <w:rPr>
                <w:rFonts w:cs="Arial"/>
                <w:szCs w:val="22"/>
              </w:rPr>
            </w:pPr>
            <w:r>
              <w:rPr>
                <w:rFonts w:cs="Arial"/>
                <w:szCs w:val="22"/>
              </w:rPr>
              <w:t xml:space="preserve">Repeat annual eye screening is supported by: </w:t>
            </w:r>
          </w:p>
          <w:p w14:paraId="1C288E49" w14:textId="77777777" w:rsidR="007A089C" w:rsidRDefault="00CE4984" w:rsidP="00022010">
            <w:pPr>
              <w:pStyle w:val="Tabletext"/>
              <w:keepNext w:val="0"/>
              <w:rPr>
                <w:rFonts w:cs="Arial"/>
                <w:color w:val="000000"/>
                <w:kern w:val="24"/>
                <w:szCs w:val="22"/>
              </w:rPr>
            </w:pPr>
            <w:hyperlink r:id="rId25" w:history="1">
              <w:r w:rsidR="007A089C" w:rsidRPr="00BA5548">
                <w:rPr>
                  <w:rStyle w:val="Hyperlink"/>
                  <w:rFonts w:cs="Arial"/>
                  <w:kern w:val="24"/>
                  <w:szCs w:val="22"/>
                </w:rPr>
                <w:t>NICE’s guideline on type 1 diabetes in adults</w:t>
              </w:r>
            </w:hyperlink>
            <w:r w:rsidR="007A089C">
              <w:rPr>
                <w:rFonts w:cs="Arial"/>
                <w:color w:val="000000"/>
                <w:kern w:val="24"/>
                <w:szCs w:val="22"/>
              </w:rPr>
              <w:t xml:space="preserve"> recommendation 1.15.1</w:t>
            </w:r>
          </w:p>
          <w:p w14:paraId="5AE7423C" w14:textId="77777777" w:rsidR="007A089C" w:rsidRDefault="00CE4984" w:rsidP="00022010">
            <w:pPr>
              <w:pStyle w:val="Tabletext"/>
              <w:keepNext w:val="0"/>
              <w:rPr>
                <w:rFonts w:cs="Arial"/>
                <w:color w:val="000000"/>
                <w:kern w:val="24"/>
                <w:szCs w:val="22"/>
              </w:rPr>
            </w:pPr>
            <w:hyperlink r:id="rId26" w:history="1">
              <w:r w:rsidR="007A089C" w:rsidRPr="00BA5548">
                <w:rPr>
                  <w:rStyle w:val="Hyperlink"/>
                  <w:rFonts w:cs="Arial"/>
                  <w:kern w:val="24"/>
                  <w:szCs w:val="22"/>
                </w:rPr>
                <w:t>NICE’s guideline on type 2 diabetes in adults</w:t>
              </w:r>
            </w:hyperlink>
            <w:r w:rsidR="007A089C">
              <w:rPr>
                <w:rFonts w:cs="Arial"/>
                <w:color w:val="000000"/>
                <w:kern w:val="24"/>
                <w:szCs w:val="22"/>
              </w:rPr>
              <w:t xml:space="preserve"> recommendation 1.7.1</w:t>
            </w:r>
          </w:p>
          <w:p w14:paraId="7BFFC106" w14:textId="74E4EF14" w:rsidR="006E0A7F" w:rsidRPr="00B341DA" w:rsidRDefault="00CE4984" w:rsidP="00022010">
            <w:pPr>
              <w:pStyle w:val="Tabletext"/>
              <w:keepNext w:val="0"/>
              <w:rPr>
                <w:rFonts w:cs="Arial"/>
                <w:szCs w:val="22"/>
              </w:rPr>
            </w:pPr>
            <w:hyperlink r:id="rId27" w:history="1">
              <w:r w:rsidR="007A089C" w:rsidRPr="009D465F">
                <w:rPr>
                  <w:rStyle w:val="Hyperlink"/>
                  <w:rFonts w:cs="Arial"/>
                  <w:kern w:val="24"/>
                  <w:szCs w:val="22"/>
                </w:rPr>
                <w:t>NICE’s guideline on diabetes (type 1 and 2) in children and young people</w:t>
              </w:r>
            </w:hyperlink>
            <w:r w:rsidR="007A089C">
              <w:rPr>
                <w:rFonts w:cs="Arial"/>
                <w:color w:val="000000"/>
                <w:kern w:val="24"/>
                <w:szCs w:val="22"/>
              </w:rPr>
              <w:t xml:space="preserve"> recommendation 1.3.52</w:t>
            </w:r>
          </w:p>
        </w:tc>
      </w:tr>
    </w:tbl>
    <w:p w14:paraId="10C223D8" w14:textId="77777777" w:rsidR="00BF24FE" w:rsidRDefault="00BF24FE">
      <w:pPr>
        <w:rPr>
          <w:rFonts w:ascii="Arial" w:hAnsi="Arial" w:cs="Arial"/>
          <w:b/>
          <w:bCs/>
          <w:kern w:val="32"/>
          <w:sz w:val="28"/>
          <w:szCs w:val="28"/>
        </w:rPr>
      </w:pPr>
      <w:r>
        <w:rPr>
          <w:rFonts w:cs="Arial"/>
          <w:szCs w:val="28"/>
        </w:rPr>
        <w:br w:type="page"/>
      </w:r>
    </w:p>
    <w:p w14:paraId="7548A037" w14:textId="6C3774BF" w:rsidR="00901C0C" w:rsidRPr="0040240A" w:rsidRDefault="00DA4D88" w:rsidP="004D3451">
      <w:pPr>
        <w:pStyle w:val="Heading1"/>
      </w:pPr>
      <w:bookmarkStart w:id="4" w:name="_Toc72843422"/>
      <w:bookmarkStart w:id="5" w:name="_Toc418246137"/>
      <w:r>
        <w:lastRenderedPageBreak/>
        <w:t xml:space="preserve">General comments </w:t>
      </w:r>
    </w:p>
    <w:p w14:paraId="7E374527" w14:textId="273DA3CF" w:rsidR="00901C0C" w:rsidRPr="00C44EC8" w:rsidRDefault="00901C0C" w:rsidP="00901C0C">
      <w:pPr>
        <w:pStyle w:val="NICEnormal"/>
      </w:pPr>
      <w:bookmarkStart w:id="6" w:name="_Hlk74310542"/>
      <w:r w:rsidRPr="00914506">
        <w:t>The following is a summary of general (non-</w:t>
      </w:r>
      <w:r>
        <w:t>indicator-specific</w:t>
      </w:r>
      <w:r w:rsidRPr="00914506">
        <w:t>) comments</w:t>
      </w:r>
      <w:r w:rsidR="00DA4D88">
        <w:t>:</w:t>
      </w:r>
    </w:p>
    <w:bookmarkEnd w:id="6"/>
    <w:p w14:paraId="2964EE04" w14:textId="77777777" w:rsidR="00901C0C" w:rsidRDefault="00901C0C" w:rsidP="004D3451">
      <w:pPr>
        <w:pStyle w:val="Bullets"/>
      </w:pPr>
      <w:r>
        <w:t>Support for the indicators as a way of improving the quality of care and raising the profile of the importance of screening.</w:t>
      </w:r>
    </w:p>
    <w:p w14:paraId="200BEB3E" w14:textId="77777777" w:rsidR="00901C0C" w:rsidRDefault="00901C0C" w:rsidP="004D3451">
      <w:pPr>
        <w:pStyle w:val="Bullets"/>
      </w:pPr>
      <w:r>
        <w:t xml:space="preserve">The indicators </w:t>
      </w:r>
      <w:r w:rsidRPr="00C87A7D">
        <w:t xml:space="preserve">are </w:t>
      </w:r>
      <w:r>
        <w:t xml:space="preserve">seen as </w:t>
      </w:r>
      <w:r w:rsidRPr="00C87A7D">
        <w:t>a priority for reporting and monitoring at local level and with the local providers</w:t>
      </w:r>
      <w:r>
        <w:t>.</w:t>
      </w:r>
    </w:p>
    <w:p w14:paraId="044C708F" w14:textId="77777777" w:rsidR="00901C0C" w:rsidRDefault="00901C0C" w:rsidP="004D3451">
      <w:pPr>
        <w:pStyle w:val="Bullets"/>
      </w:pPr>
      <w:r>
        <w:t>Different outcomes that could be improved by the indicators were highlighted.</w:t>
      </w:r>
    </w:p>
    <w:p w14:paraId="0386D8EC" w14:textId="77777777" w:rsidR="00901C0C" w:rsidRDefault="00901C0C" w:rsidP="004D3451">
      <w:pPr>
        <w:pStyle w:val="Bullets"/>
      </w:pPr>
      <w:r>
        <w:t>The presentation of information in the report is not easy to follow.</w:t>
      </w:r>
    </w:p>
    <w:p w14:paraId="673C8756" w14:textId="77777777" w:rsidR="00901C0C" w:rsidRPr="00C16F65" w:rsidRDefault="00901C0C" w:rsidP="004D3451">
      <w:pPr>
        <w:pStyle w:val="Bullets"/>
      </w:pPr>
      <w:r>
        <w:t>T</w:t>
      </w:r>
      <w:r w:rsidRPr="00C16F65">
        <w:t xml:space="preserve">he </w:t>
      </w:r>
      <w:proofErr w:type="spellStart"/>
      <w:r w:rsidRPr="00C16F65">
        <w:t>newborn</w:t>
      </w:r>
      <w:proofErr w:type="spellEnd"/>
      <w:r w:rsidRPr="00C16F65">
        <w:t xml:space="preserve"> bloodspot indicators for sickle cell</w:t>
      </w:r>
      <w:r w:rsidRPr="001373CF">
        <w:t xml:space="preserve"> disease could have a differential impact </w:t>
      </w:r>
      <w:r w:rsidRPr="00C16F65">
        <w:t>on people of African or African Caribbean family origins, which could be addressed by reducing the length of time allowed to report on screen positive and negative results.</w:t>
      </w:r>
    </w:p>
    <w:p w14:paraId="1820D186" w14:textId="79390F97" w:rsidR="00901C0C" w:rsidRDefault="00901C0C" w:rsidP="00901C0C">
      <w:pPr>
        <w:rPr>
          <w:rFonts w:ascii="Arial" w:hAnsi="Arial"/>
          <w:b/>
          <w:bCs/>
          <w:sz w:val="28"/>
          <w:szCs w:val="28"/>
        </w:rPr>
      </w:pPr>
      <w:r>
        <w:rPr>
          <w:sz w:val="28"/>
          <w:szCs w:val="28"/>
        </w:rPr>
        <w:br w:type="page"/>
      </w:r>
    </w:p>
    <w:p w14:paraId="02E5DF0D" w14:textId="187342A3" w:rsidR="00F87E9D" w:rsidRPr="00E8632C" w:rsidRDefault="008D11B5" w:rsidP="004D3451">
      <w:pPr>
        <w:pStyle w:val="Heading1"/>
      </w:pPr>
      <w:r w:rsidRPr="008D11B5">
        <w:lastRenderedPageBreak/>
        <w:t>IND 2020-93: Timeliness of intervention for developmental dysplasia of the hip (DDH) risk factors</w:t>
      </w:r>
      <w:bookmarkEnd w:id="4"/>
      <w:r w:rsidR="00F34B87">
        <w:t xml:space="preserve"> </w:t>
      </w:r>
      <w:bookmarkEnd w:id="5"/>
    </w:p>
    <w:p w14:paraId="55429D1A" w14:textId="16C45C50" w:rsidR="00154516" w:rsidRDefault="008D11B5" w:rsidP="00C74D07">
      <w:pPr>
        <w:pStyle w:val="Paragraph"/>
        <w:rPr>
          <w:i/>
        </w:rPr>
      </w:pPr>
      <w:r w:rsidRPr="008D11B5">
        <w:rPr>
          <w:i/>
        </w:rPr>
        <w:t xml:space="preserve">The proportion of babies who have a negative screening test on </w:t>
      </w:r>
      <w:proofErr w:type="spellStart"/>
      <w:r w:rsidRPr="008D11B5">
        <w:rPr>
          <w:i/>
        </w:rPr>
        <w:t>newborn</w:t>
      </w:r>
      <w:proofErr w:type="spellEnd"/>
      <w:r w:rsidRPr="008D11B5">
        <w:rPr>
          <w:i/>
        </w:rPr>
        <w:t xml:space="preserve"> physical examination but have identified risk factors and undergo assessment by specialist hip ultrasound within 6 weeks of age.</w:t>
      </w:r>
    </w:p>
    <w:p w14:paraId="0C201505" w14:textId="66F9043D" w:rsidR="003C0BCE" w:rsidRPr="00CB1FAE" w:rsidRDefault="003C0BCE" w:rsidP="007139DD">
      <w:pPr>
        <w:pStyle w:val="Paragraph"/>
        <w:rPr>
          <w:kern w:val="32"/>
        </w:rPr>
      </w:pPr>
      <w:r>
        <w:rPr>
          <w:kern w:val="32"/>
        </w:rPr>
        <w:t xml:space="preserve">Reporting period: 12 months. </w:t>
      </w:r>
    </w:p>
    <w:p w14:paraId="19D17753" w14:textId="411CB94C" w:rsidR="00D42BE8" w:rsidRPr="00CB1FAE" w:rsidRDefault="00D42BE8" w:rsidP="007139DD">
      <w:pPr>
        <w:pStyle w:val="Paragraph"/>
        <w:rPr>
          <w:kern w:val="32"/>
        </w:rPr>
      </w:pPr>
      <w:r w:rsidRPr="004D3451">
        <w:rPr>
          <w:kern w:val="32"/>
        </w:rPr>
        <w:t>Indicator type</w:t>
      </w:r>
      <w:r w:rsidR="0077378A" w:rsidRPr="004D3451">
        <w:rPr>
          <w:kern w:val="32"/>
        </w:rPr>
        <w:t>:</w:t>
      </w:r>
      <w:r w:rsidR="0077378A">
        <w:rPr>
          <w:kern w:val="32"/>
        </w:rPr>
        <w:t xml:space="preserve"> </w:t>
      </w:r>
      <w:r w:rsidRPr="00CB1FAE">
        <w:rPr>
          <w:kern w:val="32"/>
        </w:rPr>
        <w:t xml:space="preserve">Clinical Commissioning Group level indicator </w:t>
      </w:r>
    </w:p>
    <w:p w14:paraId="7B4C02A0" w14:textId="2B0E6F98" w:rsidR="00907DF5" w:rsidRPr="004D3451" w:rsidRDefault="00C0570D" w:rsidP="004D3451">
      <w:pPr>
        <w:pStyle w:val="Heading2"/>
        <w:rPr>
          <w:b w:val="0"/>
          <w:bCs w:val="0"/>
        </w:rPr>
      </w:pPr>
      <w:r w:rsidRPr="004D3451">
        <w:t>Rationale</w:t>
      </w:r>
    </w:p>
    <w:p w14:paraId="09D90D3F" w14:textId="0BB95CD2" w:rsidR="00736448" w:rsidRDefault="004F60F3" w:rsidP="004E4C4B">
      <w:pPr>
        <w:pStyle w:val="Paragraph"/>
      </w:pPr>
      <w:r w:rsidRPr="004F60F3">
        <w:rPr>
          <w:rFonts w:cs="Arial"/>
        </w:rPr>
        <w:t xml:space="preserve">Approximately 1 or 2 in 1,000 babies have hip problems that require treatment. Developmental dislocation of the hip (DDH) is a condition where a baby is born with a hip joint that is not properly formed. Without treatment, DDH may lead to problems later in life, including developing a limp, hip </w:t>
      </w:r>
      <w:proofErr w:type="gramStart"/>
      <w:r w:rsidRPr="004F60F3">
        <w:rPr>
          <w:rFonts w:cs="Arial"/>
        </w:rPr>
        <w:t>pain</w:t>
      </w:r>
      <w:proofErr w:type="gramEnd"/>
      <w:r w:rsidRPr="004F60F3">
        <w:rPr>
          <w:rFonts w:cs="Arial"/>
        </w:rPr>
        <w:t xml:space="preserve"> and osteoarthritis. With early diagnosis and treatment, most children </w:t>
      </w:r>
      <w:proofErr w:type="gramStart"/>
      <w:r w:rsidRPr="004F60F3">
        <w:rPr>
          <w:rFonts w:cs="Arial"/>
        </w:rPr>
        <w:t>are able to</w:t>
      </w:r>
      <w:proofErr w:type="gramEnd"/>
      <w:r w:rsidRPr="004F60F3">
        <w:rPr>
          <w:rFonts w:cs="Arial"/>
        </w:rPr>
        <w:t xml:space="preserve"> develop normally and have a full range of movement in their hip.</w:t>
      </w:r>
      <w:r w:rsidR="00736448" w:rsidRPr="000D613E">
        <w:t xml:space="preserve"> </w:t>
      </w:r>
    </w:p>
    <w:p w14:paraId="0EBB76D6" w14:textId="77777777" w:rsidR="00811233" w:rsidRDefault="00811233" w:rsidP="004D3451">
      <w:pPr>
        <w:pStyle w:val="Heading2"/>
      </w:pPr>
      <w:r>
        <w:t xml:space="preserve">Specification </w:t>
      </w:r>
    </w:p>
    <w:p w14:paraId="14DD1FEF" w14:textId="77777777" w:rsidR="00811233" w:rsidRPr="00811233" w:rsidRDefault="00811233" w:rsidP="00811233">
      <w:pPr>
        <w:pStyle w:val="Paragraph"/>
        <w:rPr>
          <w:kern w:val="32"/>
        </w:rPr>
      </w:pPr>
      <w:r w:rsidRPr="00811233">
        <w:rPr>
          <w:kern w:val="32"/>
        </w:rPr>
        <w:t>Numerator: number of babies with an indication for specialist hip ultrasound based on risk factors only who attend for specialist hip ultrasound within 6 weeks of age.</w:t>
      </w:r>
    </w:p>
    <w:p w14:paraId="22C4776C" w14:textId="66AC5C7E" w:rsidR="00811233" w:rsidRPr="004D3451" w:rsidRDefault="00811233">
      <w:pPr>
        <w:pStyle w:val="Paragraph"/>
      </w:pPr>
      <w:r w:rsidRPr="00811233">
        <w:rPr>
          <w:kern w:val="32"/>
        </w:rPr>
        <w:t xml:space="preserve">Denominator: number of babies who have a negative screening test on </w:t>
      </w:r>
      <w:proofErr w:type="spellStart"/>
      <w:r w:rsidRPr="00811233">
        <w:rPr>
          <w:kern w:val="32"/>
        </w:rPr>
        <w:t>newborn</w:t>
      </w:r>
      <w:proofErr w:type="spellEnd"/>
      <w:r w:rsidRPr="00811233">
        <w:rPr>
          <w:kern w:val="32"/>
        </w:rPr>
        <w:t xml:space="preserve"> physical examination in the reporting period but have identified risk factors for DDH, excluding</w:t>
      </w:r>
      <w:r w:rsidR="006D5A38">
        <w:t xml:space="preserve"> </w:t>
      </w:r>
      <w:r w:rsidRPr="00900A2F">
        <w:t xml:space="preserve">babies with a hip abnormality identified on </w:t>
      </w:r>
      <w:proofErr w:type="spellStart"/>
      <w:r w:rsidRPr="00900A2F">
        <w:t>newborn</w:t>
      </w:r>
      <w:proofErr w:type="spellEnd"/>
      <w:r w:rsidRPr="00900A2F">
        <w:t xml:space="preserve"> physical examination, such as babies found to have dislocated or </w:t>
      </w:r>
      <w:proofErr w:type="spellStart"/>
      <w:r w:rsidRPr="00900A2F">
        <w:t>dislocatable</w:t>
      </w:r>
      <w:proofErr w:type="spellEnd"/>
      <w:r w:rsidRPr="00900A2F">
        <w:t xml:space="preserve"> hips on physical examination with or without risk factors (screen positive)</w:t>
      </w:r>
      <w:r w:rsidR="006D5A38">
        <w:t>.</w:t>
      </w:r>
    </w:p>
    <w:p w14:paraId="33578256" w14:textId="48CAAFBB" w:rsidR="003D5D5A" w:rsidRPr="004D3451" w:rsidRDefault="00C0570D" w:rsidP="004D3451">
      <w:pPr>
        <w:pStyle w:val="Heading2"/>
        <w:rPr>
          <w:b w:val="0"/>
          <w:bCs w:val="0"/>
        </w:rPr>
      </w:pPr>
      <w:r w:rsidRPr="004D3451">
        <w:t>Summary of consultation comments</w:t>
      </w:r>
    </w:p>
    <w:p w14:paraId="73CD210C" w14:textId="77777777" w:rsidR="00901C0C" w:rsidRDefault="00901C0C" w:rsidP="00901C0C">
      <w:pPr>
        <w:pStyle w:val="Paragraph"/>
      </w:pPr>
      <w:r>
        <w:t>Stakeholders made the following comments in relation to IND2020-93:</w:t>
      </w:r>
    </w:p>
    <w:p w14:paraId="4F91E851" w14:textId="7CA09837" w:rsidR="001B5300" w:rsidRDefault="001B5300" w:rsidP="001B5300">
      <w:pPr>
        <w:pStyle w:val="Paragraph"/>
      </w:pPr>
      <w:r>
        <w:t xml:space="preserve">Stakeholders </w:t>
      </w:r>
      <w:r w:rsidR="004C2530">
        <w:t>highlighted that selective ultrasound screening has increased estimates of the UK incidence of DDH</w:t>
      </w:r>
      <w:r>
        <w:t xml:space="preserve">. </w:t>
      </w:r>
    </w:p>
    <w:p w14:paraId="24BF1951" w14:textId="27209C3F" w:rsidR="002C7316" w:rsidRPr="004D3451" w:rsidRDefault="002D2FD2" w:rsidP="004D3451">
      <w:pPr>
        <w:pStyle w:val="Heading2"/>
        <w:rPr>
          <w:b w:val="0"/>
          <w:bCs w:val="0"/>
        </w:rPr>
      </w:pPr>
      <w:r w:rsidRPr="004D3451">
        <w:t xml:space="preserve">Considerations for the </w:t>
      </w:r>
      <w:r w:rsidR="0002231A" w:rsidRPr="004D3451">
        <w:t>a</w:t>
      </w:r>
      <w:r w:rsidRPr="004D3451">
        <w:t xml:space="preserve">dvisory </w:t>
      </w:r>
      <w:r w:rsidR="0002231A" w:rsidRPr="004D3451">
        <w:t>c</w:t>
      </w:r>
      <w:r w:rsidRPr="004D3451">
        <w:t>ommittee</w:t>
      </w:r>
    </w:p>
    <w:p w14:paraId="7F820C52" w14:textId="264D1AC9" w:rsidR="001D2675" w:rsidRPr="0077378A" w:rsidRDefault="007067D1" w:rsidP="004D3451">
      <w:pPr>
        <w:pStyle w:val="Paragraphnonumbers"/>
      </w:pPr>
      <w:r>
        <w:t>The c</w:t>
      </w:r>
      <w:r w:rsidRPr="00241410">
        <w:t>ommittee is asked to consider</w:t>
      </w:r>
      <w:r w:rsidR="006D5A38">
        <w:rPr>
          <w:rFonts w:cs="Arial"/>
        </w:rPr>
        <w:t xml:space="preserve"> n</w:t>
      </w:r>
      <w:r w:rsidR="0077378A" w:rsidRPr="0077378A">
        <w:rPr>
          <w:rFonts w:cs="Arial"/>
        </w:rPr>
        <w:t>ot progressing this indicator for inclusion on the NICE menu given the unknown but likely low numbers of patients in the denominator.</w:t>
      </w:r>
      <w:r w:rsidR="0077378A">
        <w:t xml:space="preserve"> </w:t>
      </w:r>
      <w:r w:rsidR="004C2530" w:rsidRPr="0077378A">
        <w:t xml:space="preserve">NICE CCG level indicators are intended for use where there is an average of 50 patients or more per CCG. It was not possible to calculate average numbers of patients per CCG for this indicator as the number of babies </w:t>
      </w:r>
      <w:r w:rsidR="000320AB" w:rsidRPr="0077378A">
        <w:t xml:space="preserve">in the </w:t>
      </w:r>
      <w:r w:rsidR="000320AB" w:rsidRPr="0077378A">
        <w:lastRenderedPageBreak/>
        <w:t>denominator was unknown</w:t>
      </w:r>
      <w:r w:rsidR="004C2530" w:rsidRPr="0077378A">
        <w:t xml:space="preserve">. </w:t>
      </w:r>
      <w:r w:rsidR="001D2675" w:rsidRPr="0077378A">
        <w:t>However, we can estimate that there are between 5 and 10 babies per CCG with hip problems that require treatment</w:t>
      </w:r>
      <w:r w:rsidR="001D2675">
        <w:rPr>
          <w:rStyle w:val="FootnoteReference"/>
        </w:rPr>
        <w:footnoteReference w:id="1"/>
      </w:r>
      <w:r w:rsidR="001D2675" w:rsidRPr="0077378A">
        <w:t>.</w:t>
      </w:r>
    </w:p>
    <w:p w14:paraId="7A076CF3" w14:textId="77777777" w:rsidR="003D5D5A" w:rsidRDefault="003D5D5A" w:rsidP="00D4778E">
      <w:pPr>
        <w:pStyle w:val="ListParagraph"/>
        <w:spacing w:line="276" w:lineRule="auto"/>
        <w:ind w:left="360"/>
        <w:rPr>
          <w:bCs/>
          <w:kern w:val="32"/>
        </w:rPr>
      </w:pPr>
    </w:p>
    <w:p w14:paraId="09EB9493" w14:textId="6E2D9BC6" w:rsidR="008F2FAE" w:rsidRDefault="008F2FAE">
      <w:pPr>
        <w:rPr>
          <w:rFonts w:ascii="Arial" w:hAnsi="Arial"/>
          <w:b/>
          <w:bCs/>
          <w:sz w:val="28"/>
          <w:szCs w:val="28"/>
        </w:rPr>
      </w:pPr>
      <w:bookmarkStart w:id="7" w:name="_Toc418246138"/>
      <w:r>
        <w:rPr>
          <w:sz w:val="28"/>
          <w:szCs w:val="28"/>
        </w:rPr>
        <w:br w:type="page"/>
      </w:r>
    </w:p>
    <w:p w14:paraId="2DAF8D44" w14:textId="5B7B4961" w:rsidR="00F87E9D" w:rsidRPr="00E8632C" w:rsidRDefault="008D11B5" w:rsidP="004D3451">
      <w:pPr>
        <w:pStyle w:val="Heading1"/>
      </w:pPr>
      <w:bookmarkStart w:id="8" w:name="_Toc72843423"/>
      <w:r w:rsidRPr="008D11B5">
        <w:lastRenderedPageBreak/>
        <w:t xml:space="preserve">IND 2020-94: Timeliness of results for </w:t>
      </w:r>
      <w:proofErr w:type="spellStart"/>
      <w:r w:rsidRPr="008D11B5">
        <w:t>newborn</w:t>
      </w:r>
      <w:proofErr w:type="spellEnd"/>
      <w:r w:rsidRPr="008D11B5">
        <w:t xml:space="preserve"> blood spot testing to parents for CCG responsibility at birth</w:t>
      </w:r>
      <w:bookmarkEnd w:id="8"/>
      <w:r w:rsidR="001B06E1">
        <w:t xml:space="preserve"> </w:t>
      </w:r>
      <w:bookmarkEnd w:id="7"/>
    </w:p>
    <w:p w14:paraId="715A9491" w14:textId="64634959" w:rsidR="001B06E1" w:rsidRDefault="008D11B5" w:rsidP="008D11B5">
      <w:pPr>
        <w:pStyle w:val="Paragraph"/>
        <w:rPr>
          <w:i/>
        </w:rPr>
      </w:pPr>
      <w:r w:rsidRPr="00825C6C">
        <w:rPr>
          <w:i/>
        </w:rPr>
        <w:t xml:space="preserve">The proportion of babies who have a not suspected result for all the conditions tested for </w:t>
      </w:r>
      <w:r>
        <w:rPr>
          <w:i/>
        </w:rPr>
        <w:t xml:space="preserve">by </w:t>
      </w:r>
      <w:proofErr w:type="spellStart"/>
      <w:r>
        <w:rPr>
          <w:i/>
        </w:rPr>
        <w:t>newborn</w:t>
      </w:r>
      <w:proofErr w:type="spellEnd"/>
      <w:r>
        <w:rPr>
          <w:i/>
        </w:rPr>
        <w:t xml:space="preserve"> blood spot testing </w:t>
      </w:r>
      <w:r w:rsidRPr="00825C6C">
        <w:rPr>
          <w:i/>
        </w:rPr>
        <w:t xml:space="preserve">and have a results letter sent to their parents directly from the child health information service (CHIS) </w:t>
      </w:r>
      <w:r w:rsidR="0029278F">
        <w:rPr>
          <w:i/>
        </w:rPr>
        <w:t xml:space="preserve">within </w:t>
      </w:r>
      <w:r w:rsidRPr="00825C6C">
        <w:rPr>
          <w:i/>
        </w:rPr>
        <w:t>6 weeks of birth.</w:t>
      </w:r>
      <w:r>
        <w:rPr>
          <w:i/>
        </w:rPr>
        <w:t xml:space="preserve"> </w:t>
      </w:r>
    </w:p>
    <w:p w14:paraId="59F3B95B" w14:textId="7C916EE8" w:rsidR="003C0BCE" w:rsidRPr="00CB1FAE" w:rsidRDefault="003C0BCE" w:rsidP="008D11B5">
      <w:pPr>
        <w:pStyle w:val="Paragraph"/>
        <w:rPr>
          <w:kern w:val="32"/>
        </w:rPr>
      </w:pPr>
      <w:r>
        <w:rPr>
          <w:kern w:val="32"/>
        </w:rPr>
        <w:t xml:space="preserve">Reporting period: 12 months. </w:t>
      </w:r>
    </w:p>
    <w:p w14:paraId="333AF806" w14:textId="6505C17B" w:rsidR="00D42BE8" w:rsidRPr="00931621" w:rsidRDefault="00D42BE8" w:rsidP="00D42BE8">
      <w:pPr>
        <w:pStyle w:val="Paragraph"/>
        <w:rPr>
          <w:kern w:val="32"/>
        </w:rPr>
      </w:pPr>
      <w:r w:rsidRPr="004D3451">
        <w:rPr>
          <w:kern w:val="32"/>
        </w:rPr>
        <w:t>Indicator type</w:t>
      </w:r>
      <w:r w:rsidR="0077378A" w:rsidRPr="004D3451">
        <w:rPr>
          <w:kern w:val="32"/>
        </w:rPr>
        <w:t xml:space="preserve">: </w:t>
      </w:r>
      <w:r w:rsidRPr="00931621">
        <w:rPr>
          <w:kern w:val="32"/>
        </w:rPr>
        <w:t xml:space="preserve">Clinical Commissioning Group level indicator </w:t>
      </w:r>
    </w:p>
    <w:p w14:paraId="08F9B38C" w14:textId="6362A428" w:rsidR="004E0E78" w:rsidRPr="004D3451" w:rsidRDefault="002C292E" w:rsidP="004D3451">
      <w:pPr>
        <w:pStyle w:val="Heading2"/>
        <w:rPr>
          <w:b w:val="0"/>
          <w:bCs w:val="0"/>
        </w:rPr>
      </w:pPr>
      <w:r w:rsidRPr="004D3451">
        <w:t>Rationale</w:t>
      </w:r>
    </w:p>
    <w:p w14:paraId="7F83E053" w14:textId="0C278C63" w:rsidR="001B06E1" w:rsidRDefault="004F60F3" w:rsidP="002C7316">
      <w:pPr>
        <w:pStyle w:val="Paragraph"/>
        <w:rPr>
          <w:rFonts w:cs="Arial"/>
        </w:rPr>
      </w:pPr>
      <w:r w:rsidRPr="004F60F3">
        <w:rPr>
          <w:rFonts w:cs="Arial"/>
        </w:rPr>
        <w:t xml:space="preserve">The </w:t>
      </w:r>
      <w:proofErr w:type="spellStart"/>
      <w:r w:rsidRPr="004F60F3">
        <w:rPr>
          <w:rFonts w:cs="Arial"/>
        </w:rPr>
        <w:t>newborn</w:t>
      </w:r>
      <w:proofErr w:type="spellEnd"/>
      <w:r w:rsidRPr="004F60F3">
        <w:rPr>
          <w:rFonts w:cs="Arial"/>
        </w:rPr>
        <w:t xml:space="preserve"> blood spot</w:t>
      </w:r>
      <w:r>
        <w:rPr>
          <w:rFonts w:cs="Arial"/>
        </w:rPr>
        <w:t xml:space="preserve"> (NBS)</w:t>
      </w:r>
      <w:r w:rsidRPr="004F60F3">
        <w:rPr>
          <w:rFonts w:cs="Arial"/>
        </w:rPr>
        <w:t xml:space="preserve"> screening programme enables early identification, </w:t>
      </w:r>
      <w:proofErr w:type="gramStart"/>
      <w:r w:rsidRPr="004F60F3">
        <w:rPr>
          <w:rFonts w:cs="Arial"/>
        </w:rPr>
        <w:t>referral</w:t>
      </w:r>
      <w:proofErr w:type="gramEnd"/>
      <w:r w:rsidRPr="004F60F3">
        <w:rPr>
          <w:rFonts w:cs="Arial"/>
        </w:rPr>
        <w:t xml:space="preserve"> and treatment of babies with 9 rare but serious conditions. Rapid results from the </w:t>
      </w:r>
      <w:r w:rsidR="00E965CC">
        <w:rPr>
          <w:rFonts w:cs="Arial"/>
        </w:rPr>
        <w:t>NBS</w:t>
      </w:r>
      <w:r w:rsidRPr="004F60F3">
        <w:rPr>
          <w:rFonts w:cs="Arial"/>
        </w:rPr>
        <w:t xml:space="preserve"> test</w:t>
      </w:r>
      <w:r w:rsidR="00E965CC">
        <w:rPr>
          <w:rFonts w:cs="Arial"/>
        </w:rPr>
        <w:t>ing</w:t>
      </w:r>
      <w:r w:rsidRPr="004F60F3">
        <w:rPr>
          <w:rFonts w:cs="Arial"/>
        </w:rPr>
        <w:t xml:space="preserve"> supports timely diagnosis for babies and the commencement of appropriate care and treatments. Conveying NBS screening results in a timely manner to parents will</w:t>
      </w:r>
      <w:r w:rsidR="00E965CC">
        <w:rPr>
          <w:rFonts w:cs="Arial"/>
        </w:rPr>
        <w:t xml:space="preserve"> also</w:t>
      </w:r>
      <w:r w:rsidRPr="004F60F3">
        <w:rPr>
          <w:rFonts w:cs="Arial"/>
        </w:rPr>
        <w:t xml:space="preserve"> minimise anxiety.</w:t>
      </w:r>
    </w:p>
    <w:p w14:paraId="338342CC" w14:textId="4DA6607A" w:rsidR="00811233" w:rsidRDefault="00811233" w:rsidP="004D3451">
      <w:pPr>
        <w:pStyle w:val="Heading2"/>
      </w:pPr>
      <w:r>
        <w:t xml:space="preserve">Specification </w:t>
      </w:r>
    </w:p>
    <w:p w14:paraId="6B4936B8" w14:textId="5E4971D5" w:rsidR="00811233" w:rsidRPr="00811233" w:rsidRDefault="00811233" w:rsidP="00811233">
      <w:pPr>
        <w:pStyle w:val="Paragraph"/>
        <w:rPr>
          <w:kern w:val="32"/>
        </w:rPr>
      </w:pPr>
      <w:r w:rsidRPr="00811233">
        <w:rPr>
          <w:kern w:val="32"/>
        </w:rPr>
        <w:t xml:space="preserve">Numerator: number of babies who have a not suspected result for all the conditions tested for by </w:t>
      </w:r>
      <w:proofErr w:type="spellStart"/>
      <w:r w:rsidRPr="00811233">
        <w:rPr>
          <w:kern w:val="32"/>
        </w:rPr>
        <w:t>newborn</w:t>
      </w:r>
      <w:proofErr w:type="spellEnd"/>
      <w:r w:rsidRPr="00811233">
        <w:rPr>
          <w:kern w:val="32"/>
        </w:rPr>
        <w:t xml:space="preserve"> blood spot testing and have a results letter sent to their parents directly from the CHIS </w:t>
      </w:r>
      <w:r w:rsidR="0029278F">
        <w:rPr>
          <w:kern w:val="32"/>
        </w:rPr>
        <w:t>within</w:t>
      </w:r>
      <w:r w:rsidRPr="00811233">
        <w:rPr>
          <w:kern w:val="32"/>
        </w:rPr>
        <w:t xml:space="preserve"> 6 weeks of birth.</w:t>
      </w:r>
    </w:p>
    <w:p w14:paraId="16B7F364" w14:textId="326AEFE5" w:rsidR="00811233" w:rsidRDefault="00811233" w:rsidP="00811233">
      <w:pPr>
        <w:pStyle w:val="Paragraph"/>
        <w:rPr>
          <w:kern w:val="32"/>
        </w:rPr>
      </w:pPr>
      <w:r w:rsidRPr="00811233">
        <w:rPr>
          <w:kern w:val="32"/>
        </w:rPr>
        <w:t xml:space="preserve">Denominator: number of babies who have a not suspected result for all the conditions tested for by </w:t>
      </w:r>
      <w:proofErr w:type="spellStart"/>
      <w:r w:rsidRPr="00811233">
        <w:rPr>
          <w:kern w:val="32"/>
        </w:rPr>
        <w:t>newborn</w:t>
      </w:r>
      <w:proofErr w:type="spellEnd"/>
      <w:r w:rsidRPr="00811233">
        <w:rPr>
          <w:kern w:val="32"/>
        </w:rPr>
        <w:t xml:space="preserve"> blood spot testing recorded on CHISS ≤ 6 weeks of birth.</w:t>
      </w:r>
    </w:p>
    <w:p w14:paraId="14C76A4F" w14:textId="50747C31" w:rsidR="00811233" w:rsidRPr="00811233" w:rsidRDefault="00811233" w:rsidP="00811233">
      <w:pPr>
        <w:pStyle w:val="Paragraph"/>
        <w:rPr>
          <w:kern w:val="32"/>
        </w:rPr>
      </w:pPr>
      <w:r>
        <w:rPr>
          <w:kern w:val="32"/>
        </w:rPr>
        <w:t>E</w:t>
      </w:r>
      <w:r w:rsidRPr="00811233">
        <w:rPr>
          <w:kern w:val="32"/>
        </w:rPr>
        <w:t>xclud</w:t>
      </w:r>
      <w:r>
        <w:rPr>
          <w:kern w:val="32"/>
        </w:rPr>
        <w:t>ing</w:t>
      </w:r>
      <w:r w:rsidRPr="00811233">
        <w:rPr>
          <w:kern w:val="32"/>
        </w:rPr>
        <w:t xml:space="preserve"> babies who:</w:t>
      </w:r>
    </w:p>
    <w:p w14:paraId="4146105F" w14:textId="24B582EE" w:rsidR="00811233" w:rsidRPr="004D3451" w:rsidRDefault="00811233" w:rsidP="004D3451">
      <w:pPr>
        <w:pStyle w:val="Bullets"/>
      </w:pPr>
      <w:r w:rsidRPr="004D3451">
        <w:t>have a condition suspected or carrier result for any of the conditions tested for</w:t>
      </w:r>
      <w:r>
        <w:t>.</w:t>
      </w:r>
    </w:p>
    <w:p w14:paraId="37EEE4C7" w14:textId="1516BF4C" w:rsidR="00811233" w:rsidRPr="004D3451" w:rsidRDefault="00811233" w:rsidP="004D3451">
      <w:pPr>
        <w:pStyle w:val="Bullets"/>
      </w:pPr>
      <w:r w:rsidRPr="004D3451">
        <w:t>have a status code that denotes a declined condition, a repeat required or screening incomplete</w:t>
      </w:r>
      <w:r>
        <w:t>.</w:t>
      </w:r>
    </w:p>
    <w:p w14:paraId="4B81E873" w14:textId="4BB25FEC" w:rsidR="00811233" w:rsidRPr="004D3451" w:rsidRDefault="00811233" w:rsidP="004D3451">
      <w:pPr>
        <w:pStyle w:val="Bullets"/>
      </w:pPr>
      <w:r w:rsidRPr="004D3451">
        <w:t>are covered by a CHIS that does not send results letters directly to parents (for example the results are communicated by health visitors instead)</w:t>
      </w:r>
      <w:r>
        <w:t>.</w:t>
      </w:r>
    </w:p>
    <w:p w14:paraId="75051FFD" w14:textId="0C2F896E" w:rsidR="004E0E78" w:rsidRDefault="002C292E" w:rsidP="004D3451">
      <w:pPr>
        <w:pStyle w:val="Heading2"/>
      </w:pPr>
      <w:r w:rsidRPr="004D3451">
        <w:t>Summary of consultation c</w:t>
      </w:r>
      <w:r w:rsidR="004E0E78" w:rsidRPr="004D3451">
        <w:t>omments</w:t>
      </w:r>
    </w:p>
    <w:p w14:paraId="634D07B0" w14:textId="77777777" w:rsidR="00901C0C" w:rsidRPr="00AE4CD5" w:rsidRDefault="00901C0C" w:rsidP="00901C0C">
      <w:pPr>
        <w:pStyle w:val="Paragraph"/>
        <w:rPr>
          <w:b/>
          <w:bCs/>
          <w:kern w:val="32"/>
        </w:rPr>
      </w:pPr>
      <w:r>
        <w:t>Stakeholders made the following comments in relation to IND2020-94:</w:t>
      </w:r>
    </w:p>
    <w:p w14:paraId="42FCC4C1" w14:textId="28C64C9E" w:rsidR="004C2530" w:rsidRDefault="004C2530" w:rsidP="004D3451">
      <w:pPr>
        <w:pStyle w:val="Bullets"/>
      </w:pPr>
      <w:r>
        <w:t>Stakeholders supported this indicator as a way of</w:t>
      </w:r>
      <w:r w:rsidR="00B65C7A">
        <w:t xml:space="preserve"> having robus</w:t>
      </w:r>
      <w:r w:rsidR="00475C87">
        <w:t xml:space="preserve">t timelines for notifications in place, </w:t>
      </w:r>
      <w:r>
        <w:t>reduc</w:t>
      </w:r>
      <w:r w:rsidR="00291AE4">
        <w:t>ing</w:t>
      </w:r>
      <w:r>
        <w:t xml:space="preserve"> </w:t>
      </w:r>
      <w:r w:rsidR="000320AB">
        <w:t xml:space="preserve">regional </w:t>
      </w:r>
      <w:r>
        <w:t>variation in performance</w:t>
      </w:r>
      <w:r w:rsidR="000320AB">
        <w:t xml:space="preserve"> and </w:t>
      </w:r>
      <w:r w:rsidR="000320AB">
        <w:lastRenderedPageBreak/>
        <w:t>measur</w:t>
      </w:r>
      <w:r w:rsidR="00F40BA0">
        <w:t>ing</w:t>
      </w:r>
      <w:r w:rsidR="000320AB">
        <w:t xml:space="preserve"> improvements,</w:t>
      </w:r>
      <w:r>
        <w:t xml:space="preserve"> a</w:t>
      </w:r>
      <w:r w:rsidR="000320AB">
        <w:t>s well as</w:t>
      </w:r>
      <w:r>
        <w:t xml:space="preserve"> improving quality and support regionally.</w:t>
      </w:r>
    </w:p>
    <w:p w14:paraId="02D58AAB" w14:textId="2E5472CE" w:rsidR="000320AB" w:rsidRDefault="000320AB" w:rsidP="004D3451">
      <w:pPr>
        <w:pStyle w:val="Bullets"/>
      </w:pPr>
      <w:r>
        <w:t xml:space="preserve">Stakeholders stated that this indicator would </w:t>
      </w:r>
      <w:r w:rsidRPr="000320AB">
        <w:t>enable a more collaborative approach between PHE, the Bloodspot Screening Programme</w:t>
      </w:r>
      <w:r w:rsidR="00291AE4">
        <w:t>,</w:t>
      </w:r>
      <w:r w:rsidRPr="000320AB">
        <w:t xml:space="preserve"> NHS</w:t>
      </w:r>
      <w:r w:rsidR="00291AE4">
        <w:t xml:space="preserve"> </w:t>
      </w:r>
      <w:r w:rsidRPr="000320AB">
        <w:t>E</w:t>
      </w:r>
      <w:r w:rsidR="00291AE4">
        <w:t>ngland and</w:t>
      </w:r>
      <w:r w:rsidRPr="000320AB">
        <w:t xml:space="preserve"> NICE in quality improvement</w:t>
      </w:r>
      <w:r>
        <w:t>.</w:t>
      </w:r>
    </w:p>
    <w:p w14:paraId="1AC4C34F" w14:textId="3AEF43DF" w:rsidR="000320AB" w:rsidRDefault="000320AB" w:rsidP="004D3451">
      <w:pPr>
        <w:pStyle w:val="Bullets"/>
      </w:pPr>
      <w:r>
        <w:t xml:space="preserve">The need </w:t>
      </w:r>
      <w:r w:rsidR="00F40BA0">
        <w:t>to check that</w:t>
      </w:r>
      <w:r>
        <w:t xml:space="preserve"> </w:t>
      </w:r>
      <w:r w:rsidR="00F40BA0">
        <w:t>current</w:t>
      </w:r>
      <w:r w:rsidRPr="000320AB">
        <w:t xml:space="preserve"> </w:t>
      </w:r>
      <w:r w:rsidR="00DA2BCD">
        <w:t>NBS</w:t>
      </w:r>
      <w:r w:rsidRPr="000320AB">
        <w:t xml:space="preserve"> screening programme data remains fit for purpose and </w:t>
      </w:r>
      <w:r w:rsidR="00291AE4">
        <w:t>has</w:t>
      </w:r>
      <w:r w:rsidRPr="000320AB">
        <w:t xml:space="preserve"> no existing issues</w:t>
      </w:r>
      <w:r>
        <w:t xml:space="preserve"> was raised.</w:t>
      </w:r>
    </w:p>
    <w:p w14:paraId="4EC54404" w14:textId="760436D9" w:rsidR="000320AB" w:rsidRDefault="00291AE4" w:rsidP="004D3451">
      <w:pPr>
        <w:pStyle w:val="Bullets"/>
      </w:pPr>
      <w:r>
        <w:t xml:space="preserve">Stakeholders raised a concern around </w:t>
      </w:r>
      <w:r w:rsidR="000320AB" w:rsidRPr="000320AB">
        <w:t>ensur</w:t>
      </w:r>
      <w:r>
        <w:t>ing</w:t>
      </w:r>
      <w:r w:rsidR="000320AB" w:rsidRPr="000320AB">
        <w:t xml:space="preserve"> that </w:t>
      </w:r>
      <w:r w:rsidR="00DA2BCD">
        <w:t>more</w:t>
      </w:r>
      <w:r w:rsidR="000320AB" w:rsidRPr="000320AB">
        <w:t xml:space="preserve"> indicators do not present additional burdens on regional teams in terms of data collection</w:t>
      </w:r>
      <w:r>
        <w:t>.</w:t>
      </w:r>
    </w:p>
    <w:p w14:paraId="45B06FC1" w14:textId="07A9D780" w:rsidR="00291AE4" w:rsidRDefault="00291AE4" w:rsidP="004D3451">
      <w:pPr>
        <w:pStyle w:val="Bullets"/>
      </w:pPr>
      <w:r>
        <w:t xml:space="preserve">One stakeholder highlighted that they will be consulting with </w:t>
      </w:r>
      <w:r w:rsidRPr="00291AE4">
        <w:t xml:space="preserve">users on their views on the communication of carrier/affected results and timeliness </w:t>
      </w:r>
      <w:r>
        <w:t>of results.</w:t>
      </w:r>
    </w:p>
    <w:p w14:paraId="6AA0B079" w14:textId="635CD188" w:rsidR="0006231E" w:rsidRPr="004D3451" w:rsidRDefault="0006231E" w:rsidP="004D3451">
      <w:pPr>
        <w:pStyle w:val="Heading2"/>
        <w:rPr>
          <w:b w:val="0"/>
        </w:rPr>
      </w:pPr>
      <w:r w:rsidRPr="004D3451">
        <w:t xml:space="preserve">Considerations for the </w:t>
      </w:r>
      <w:r w:rsidR="003C3023" w:rsidRPr="004D3451">
        <w:t>a</w:t>
      </w:r>
      <w:r w:rsidRPr="004D3451">
        <w:t xml:space="preserve">dvisory </w:t>
      </w:r>
      <w:r w:rsidR="003C3023" w:rsidRPr="004D3451">
        <w:t>c</w:t>
      </w:r>
      <w:r w:rsidRPr="004D3451">
        <w:t>ommittee</w:t>
      </w:r>
    </w:p>
    <w:p w14:paraId="30DAD091" w14:textId="4BC5EC7E" w:rsidR="004741B9" w:rsidRPr="004741B9" w:rsidRDefault="002C292E" w:rsidP="004D3451">
      <w:pPr>
        <w:pStyle w:val="Paragraph"/>
        <w:rPr>
          <w:b/>
          <w:bCs/>
          <w:kern w:val="32"/>
          <w:sz w:val="28"/>
          <w:szCs w:val="32"/>
        </w:rPr>
      </w:pPr>
      <w:r w:rsidRPr="00324710">
        <w:rPr>
          <w:rFonts w:cs="Arial"/>
        </w:rPr>
        <w:t>The committee is asked to consider</w:t>
      </w:r>
      <w:r w:rsidR="00264411" w:rsidRPr="00324710">
        <w:rPr>
          <w:rFonts w:cs="Arial"/>
        </w:rPr>
        <w:t xml:space="preserve"> t</w:t>
      </w:r>
      <w:r w:rsidR="004741B9">
        <w:rPr>
          <w:rFonts w:cs="Arial"/>
        </w:rPr>
        <w:t>he</w:t>
      </w:r>
      <w:r w:rsidR="004741B9" w:rsidRPr="004741B9">
        <w:rPr>
          <w:rFonts w:cs="Arial"/>
        </w:rPr>
        <w:t xml:space="preserve"> burden </w:t>
      </w:r>
      <w:r w:rsidR="004741B9">
        <w:rPr>
          <w:rFonts w:cs="Arial"/>
        </w:rPr>
        <w:t xml:space="preserve">of data collection </w:t>
      </w:r>
      <w:r w:rsidR="004741B9" w:rsidRPr="004741B9">
        <w:rPr>
          <w:rFonts w:cs="Arial"/>
        </w:rPr>
        <w:t>to regional teams</w:t>
      </w:r>
      <w:r w:rsidR="00EA0AA5">
        <w:rPr>
          <w:rFonts w:cs="Arial"/>
        </w:rPr>
        <w:t>.</w:t>
      </w:r>
    </w:p>
    <w:p w14:paraId="68853950" w14:textId="77777777" w:rsidR="00FE3AFF" w:rsidRDefault="00FE3AFF">
      <w:pPr>
        <w:rPr>
          <w:rFonts w:ascii="Arial" w:hAnsi="Arial"/>
          <w:b/>
          <w:bCs/>
          <w:sz w:val="28"/>
          <w:szCs w:val="28"/>
        </w:rPr>
      </w:pPr>
      <w:r>
        <w:rPr>
          <w:sz w:val="28"/>
          <w:szCs w:val="28"/>
        </w:rPr>
        <w:br w:type="page"/>
      </w:r>
    </w:p>
    <w:p w14:paraId="51345DE6" w14:textId="4416E2F7" w:rsidR="005243EC" w:rsidRPr="00E8632C" w:rsidRDefault="008D11B5" w:rsidP="004D3451">
      <w:pPr>
        <w:pStyle w:val="Heading1"/>
      </w:pPr>
      <w:bookmarkStart w:id="9" w:name="_Toc72843424"/>
      <w:r w:rsidRPr="008D11B5">
        <w:lastRenderedPageBreak/>
        <w:t xml:space="preserve">IND 2020-95: Timeliness of results for </w:t>
      </w:r>
      <w:proofErr w:type="spellStart"/>
      <w:r w:rsidRPr="008D11B5">
        <w:t>newborn</w:t>
      </w:r>
      <w:proofErr w:type="spellEnd"/>
      <w:r w:rsidRPr="008D11B5">
        <w:t xml:space="preserve"> blood spot testing to parents for movers in</w:t>
      </w:r>
      <w:bookmarkEnd w:id="9"/>
    </w:p>
    <w:p w14:paraId="6103100D" w14:textId="26572C23" w:rsidR="005243EC" w:rsidRDefault="008D11B5" w:rsidP="008D11B5">
      <w:pPr>
        <w:pStyle w:val="Paragraph"/>
        <w:rPr>
          <w:i/>
        </w:rPr>
      </w:pPr>
      <w:r w:rsidRPr="008D11B5">
        <w:rPr>
          <w:i/>
        </w:rPr>
        <w:t xml:space="preserve">The proportion of babies who have a not suspected result for all the conditions tested for by </w:t>
      </w:r>
      <w:proofErr w:type="spellStart"/>
      <w:r w:rsidRPr="008D11B5">
        <w:rPr>
          <w:i/>
        </w:rPr>
        <w:t>newborn</w:t>
      </w:r>
      <w:proofErr w:type="spellEnd"/>
      <w:r w:rsidRPr="008D11B5">
        <w:rPr>
          <w:i/>
        </w:rPr>
        <w:t xml:space="preserve"> blood spot testing and have a results letter sent to their parents directly from the CHIS </w:t>
      </w:r>
      <w:r w:rsidR="0029278F">
        <w:rPr>
          <w:i/>
        </w:rPr>
        <w:t>within</w:t>
      </w:r>
      <w:r w:rsidRPr="008D11B5">
        <w:rPr>
          <w:i/>
        </w:rPr>
        <w:t xml:space="preserve"> 6 weeks of notification of movement in.</w:t>
      </w:r>
      <w:r>
        <w:rPr>
          <w:i/>
        </w:rPr>
        <w:t xml:space="preserve"> </w:t>
      </w:r>
    </w:p>
    <w:p w14:paraId="4502895F" w14:textId="77777777" w:rsidR="003C0BCE" w:rsidRPr="00B14DE2" w:rsidRDefault="003C0BCE" w:rsidP="003C0BCE">
      <w:pPr>
        <w:pStyle w:val="Paragraph"/>
        <w:rPr>
          <w:kern w:val="32"/>
        </w:rPr>
      </w:pPr>
      <w:r>
        <w:rPr>
          <w:kern w:val="32"/>
        </w:rPr>
        <w:t xml:space="preserve">Reporting period: 12 months. </w:t>
      </w:r>
    </w:p>
    <w:p w14:paraId="3B1F3449" w14:textId="2E79A5F3" w:rsidR="00D42BE8" w:rsidRPr="00931621" w:rsidRDefault="00D42BE8" w:rsidP="00D42BE8">
      <w:pPr>
        <w:pStyle w:val="Paragraph"/>
        <w:rPr>
          <w:kern w:val="32"/>
        </w:rPr>
      </w:pPr>
      <w:r w:rsidRPr="004D3451">
        <w:rPr>
          <w:kern w:val="32"/>
        </w:rPr>
        <w:t>Indicator type</w:t>
      </w:r>
      <w:r w:rsidR="0077378A" w:rsidRPr="004D3451">
        <w:rPr>
          <w:kern w:val="32"/>
        </w:rPr>
        <w:t xml:space="preserve">: </w:t>
      </w:r>
      <w:r w:rsidRPr="00931621">
        <w:rPr>
          <w:kern w:val="32"/>
        </w:rPr>
        <w:t xml:space="preserve">Clinical Commissioning Group level indicator </w:t>
      </w:r>
    </w:p>
    <w:p w14:paraId="28C90240" w14:textId="77777777" w:rsidR="00C50FF0" w:rsidRPr="004D3451" w:rsidRDefault="00C50FF0" w:rsidP="004D3451">
      <w:pPr>
        <w:pStyle w:val="Heading2"/>
        <w:rPr>
          <w:b w:val="0"/>
          <w:bCs w:val="0"/>
        </w:rPr>
      </w:pPr>
      <w:r w:rsidRPr="004D3451">
        <w:t>Rationale</w:t>
      </w:r>
    </w:p>
    <w:p w14:paraId="426817FC" w14:textId="6A5767FB" w:rsidR="00C50FF0" w:rsidRDefault="00E965CC" w:rsidP="00C50FF0">
      <w:pPr>
        <w:pStyle w:val="Paragraph"/>
        <w:rPr>
          <w:rFonts w:cs="Arial"/>
        </w:rPr>
      </w:pPr>
      <w:r w:rsidRPr="004F60F3">
        <w:rPr>
          <w:rFonts w:cs="Arial"/>
        </w:rPr>
        <w:t xml:space="preserve">The </w:t>
      </w:r>
      <w:proofErr w:type="spellStart"/>
      <w:r w:rsidRPr="004F60F3">
        <w:rPr>
          <w:rFonts w:cs="Arial"/>
        </w:rPr>
        <w:t>newborn</w:t>
      </w:r>
      <w:proofErr w:type="spellEnd"/>
      <w:r w:rsidRPr="004F60F3">
        <w:rPr>
          <w:rFonts w:cs="Arial"/>
        </w:rPr>
        <w:t xml:space="preserve"> blood spot</w:t>
      </w:r>
      <w:r>
        <w:rPr>
          <w:rFonts w:cs="Arial"/>
        </w:rPr>
        <w:t xml:space="preserve"> (NBS)</w:t>
      </w:r>
      <w:r w:rsidRPr="004F60F3">
        <w:rPr>
          <w:rFonts w:cs="Arial"/>
        </w:rPr>
        <w:t xml:space="preserve"> screening programme enables early identification, </w:t>
      </w:r>
      <w:proofErr w:type="gramStart"/>
      <w:r w:rsidRPr="004F60F3">
        <w:rPr>
          <w:rFonts w:cs="Arial"/>
        </w:rPr>
        <w:t>referral</w:t>
      </w:r>
      <w:proofErr w:type="gramEnd"/>
      <w:r w:rsidRPr="004F60F3">
        <w:rPr>
          <w:rFonts w:cs="Arial"/>
        </w:rPr>
        <w:t xml:space="preserve"> and treatment of babies with 9 rare but serious conditions. Rapid results from the </w:t>
      </w:r>
      <w:r>
        <w:rPr>
          <w:rFonts w:cs="Arial"/>
        </w:rPr>
        <w:t>NBS</w:t>
      </w:r>
      <w:r w:rsidRPr="004F60F3">
        <w:rPr>
          <w:rFonts w:cs="Arial"/>
        </w:rPr>
        <w:t xml:space="preserve"> test</w:t>
      </w:r>
      <w:r>
        <w:rPr>
          <w:rFonts w:cs="Arial"/>
        </w:rPr>
        <w:t>ing</w:t>
      </w:r>
      <w:r w:rsidRPr="004F60F3">
        <w:rPr>
          <w:rFonts w:cs="Arial"/>
        </w:rPr>
        <w:t xml:space="preserve"> supports timely diagnosis for babies and the commencement of appropriate care and treatments. Conveying NBS screening results in a timely manner to parents </w:t>
      </w:r>
      <w:r w:rsidR="00DF3B4C">
        <w:rPr>
          <w:rFonts w:cs="Arial"/>
        </w:rPr>
        <w:t xml:space="preserve">after </w:t>
      </w:r>
      <w:r w:rsidR="00460FCB">
        <w:rPr>
          <w:rFonts w:cs="Arial"/>
        </w:rPr>
        <w:t xml:space="preserve">changing clinical commissioning group or </w:t>
      </w:r>
      <w:r w:rsidR="00DF3B4C">
        <w:rPr>
          <w:rFonts w:cs="Arial"/>
        </w:rPr>
        <w:t xml:space="preserve">moving </w:t>
      </w:r>
      <w:r w:rsidR="00460FCB">
        <w:rPr>
          <w:rFonts w:cs="Arial"/>
        </w:rPr>
        <w:t>from another area or country</w:t>
      </w:r>
      <w:r w:rsidR="00DF3B4C">
        <w:rPr>
          <w:rFonts w:cs="Arial"/>
        </w:rPr>
        <w:t xml:space="preserve"> </w:t>
      </w:r>
      <w:r w:rsidR="00386B23">
        <w:rPr>
          <w:rFonts w:cs="Arial"/>
        </w:rPr>
        <w:t xml:space="preserve">(“movement in”) </w:t>
      </w:r>
      <w:r w:rsidRPr="004F60F3">
        <w:rPr>
          <w:rFonts w:cs="Arial"/>
        </w:rPr>
        <w:t>will</w:t>
      </w:r>
      <w:r>
        <w:rPr>
          <w:rFonts w:cs="Arial"/>
        </w:rPr>
        <w:t xml:space="preserve"> also</w:t>
      </w:r>
      <w:r w:rsidRPr="004F60F3">
        <w:rPr>
          <w:rFonts w:cs="Arial"/>
        </w:rPr>
        <w:t xml:space="preserve"> minimise anxiety.</w:t>
      </w:r>
      <w:r w:rsidR="004F60F3">
        <w:rPr>
          <w:rFonts w:cs="Arial"/>
        </w:rPr>
        <w:t xml:space="preserve"> </w:t>
      </w:r>
    </w:p>
    <w:p w14:paraId="75C2CBEC" w14:textId="6C578CFB" w:rsidR="00811233" w:rsidRDefault="00811233" w:rsidP="004D3451">
      <w:pPr>
        <w:pStyle w:val="Heading2"/>
      </w:pPr>
      <w:r>
        <w:t xml:space="preserve">Specification </w:t>
      </w:r>
    </w:p>
    <w:p w14:paraId="3FC6901C" w14:textId="531CD2AE" w:rsidR="00811233" w:rsidRPr="00811233" w:rsidRDefault="00811233" w:rsidP="00811233">
      <w:pPr>
        <w:pStyle w:val="Paragraph"/>
        <w:rPr>
          <w:kern w:val="32"/>
        </w:rPr>
      </w:pPr>
      <w:r w:rsidRPr="00811233">
        <w:rPr>
          <w:kern w:val="32"/>
        </w:rPr>
        <w:t xml:space="preserve">Numerator: number of babies who have a not suspected result for all the conditions tested for by </w:t>
      </w:r>
      <w:proofErr w:type="spellStart"/>
      <w:r w:rsidRPr="00811233">
        <w:rPr>
          <w:kern w:val="32"/>
        </w:rPr>
        <w:t>newborn</w:t>
      </w:r>
      <w:proofErr w:type="spellEnd"/>
      <w:r w:rsidRPr="00811233">
        <w:rPr>
          <w:kern w:val="32"/>
        </w:rPr>
        <w:t xml:space="preserve"> blood spot testing and have a results letter sent to their parents directly from the CHIS </w:t>
      </w:r>
      <w:r w:rsidR="0029278F">
        <w:rPr>
          <w:kern w:val="32"/>
        </w:rPr>
        <w:t>within</w:t>
      </w:r>
      <w:r w:rsidRPr="00811233">
        <w:rPr>
          <w:kern w:val="32"/>
        </w:rPr>
        <w:t xml:space="preserve"> 6 weeks of notification of movement in.</w:t>
      </w:r>
    </w:p>
    <w:p w14:paraId="631943AD" w14:textId="469B57F2" w:rsidR="00811233" w:rsidRDefault="00811233" w:rsidP="00811233">
      <w:pPr>
        <w:pStyle w:val="Paragraph"/>
        <w:rPr>
          <w:kern w:val="32"/>
        </w:rPr>
      </w:pPr>
      <w:r w:rsidRPr="00811233">
        <w:rPr>
          <w:kern w:val="32"/>
        </w:rPr>
        <w:t xml:space="preserve">Denominator: number of babies who have a not suspected result for all the conditions tested for by </w:t>
      </w:r>
      <w:proofErr w:type="spellStart"/>
      <w:r w:rsidRPr="00811233">
        <w:rPr>
          <w:kern w:val="32"/>
        </w:rPr>
        <w:t>newborn</w:t>
      </w:r>
      <w:proofErr w:type="spellEnd"/>
      <w:r w:rsidRPr="00811233">
        <w:rPr>
          <w:kern w:val="32"/>
        </w:rPr>
        <w:t xml:space="preserve"> blood spot testing recorded on the CHISS </w:t>
      </w:r>
      <w:r w:rsidR="0029278F">
        <w:rPr>
          <w:kern w:val="32"/>
        </w:rPr>
        <w:t>within</w:t>
      </w:r>
      <w:r w:rsidRPr="00811233">
        <w:rPr>
          <w:kern w:val="32"/>
        </w:rPr>
        <w:t xml:space="preserve"> 6 weeks of notification of movement in.</w:t>
      </w:r>
    </w:p>
    <w:p w14:paraId="4CCF3EE1" w14:textId="536AB5E7" w:rsidR="00811233" w:rsidRPr="00811233" w:rsidRDefault="00811233" w:rsidP="00811233">
      <w:pPr>
        <w:pStyle w:val="Paragraph"/>
        <w:rPr>
          <w:kern w:val="32"/>
        </w:rPr>
      </w:pPr>
      <w:r>
        <w:rPr>
          <w:kern w:val="32"/>
        </w:rPr>
        <w:t>Excluding</w:t>
      </w:r>
      <w:r w:rsidRPr="00811233">
        <w:rPr>
          <w:kern w:val="32"/>
        </w:rPr>
        <w:t xml:space="preserve"> babies who:</w:t>
      </w:r>
    </w:p>
    <w:p w14:paraId="45AC1E19" w14:textId="325DFD4D" w:rsidR="00811233" w:rsidRPr="004D3451" w:rsidRDefault="00811233" w:rsidP="004D3451">
      <w:pPr>
        <w:pStyle w:val="Bullets"/>
      </w:pPr>
      <w:r w:rsidRPr="004D3451">
        <w:t>have a condition suspected or carrier result for any of the conditions tested for</w:t>
      </w:r>
      <w:r>
        <w:t>.</w:t>
      </w:r>
    </w:p>
    <w:p w14:paraId="770B6F2F" w14:textId="3349C3FC" w:rsidR="00811233" w:rsidRPr="004D3451" w:rsidRDefault="00811233" w:rsidP="004D3451">
      <w:pPr>
        <w:pStyle w:val="Bullets"/>
      </w:pPr>
      <w:r w:rsidRPr="004D3451">
        <w:t>have a status code that denotes a declined condition, a repeat required or screening incomplete</w:t>
      </w:r>
      <w:r>
        <w:t>.</w:t>
      </w:r>
    </w:p>
    <w:p w14:paraId="7F798F1A" w14:textId="2FF0579D" w:rsidR="00811233" w:rsidRPr="004D3451" w:rsidRDefault="00811233" w:rsidP="004D3451">
      <w:pPr>
        <w:pStyle w:val="Bullets"/>
      </w:pPr>
      <w:r w:rsidRPr="004D3451">
        <w:t>are covered by a CHIS that does not send results letters directly to parents (for example the results are communicated by health visitors instead)</w:t>
      </w:r>
      <w:r>
        <w:t>.</w:t>
      </w:r>
    </w:p>
    <w:p w14:paraId="2E6CE402" w14:textId="4D161465" w:rsidR="00C50FF0" w:rsidRPr="004D3451" w:rsidRDefault="00C50FF0" w:rsidP="004D3451">
      <w:pPr>
        <w:pStyle w:val="Heading2"/>
        <w:rPr>
          <w:b w:val="0"/>
          <w:bCs w:val="0"/>
        </w:rPr>
      </w:pPr>
      <w:r w:rsidRPr="004D3451">
        <w:t>Summary of consultation comments</w:t>
      </w:r>
    </w:p>
    <w:p w14:paraId="1BC72A68" w14:textId="6301290E" w:rsidR="00901C0C" w:rsidRDefault="00901C0C" w:rsidP="004D3451">
      <w:pPr>
        <w:pStyle w:val="Paragraph"/>
        <w:rPr>
          <w:rFonts w:cs="Arial"/>
        </w:rPr>
      </w:pPr>
      <w:r>
        <w:t>Stakeholders made the following comments in relation to IND2020-95:</w:t>
      </w:r>
    </w:p>
    <w:p w14:paraId="2C5ABD90" w14:textId="732CE12B" w:rsidR="00475C87" w:rsidRDefault="00475C87" w:rsidP="004D3451">
      <w:pPr>
        <w:pStyle w:val="Bullets"/>
      </w:pPr>
      <w:r>
        <w:t>Stakeholders supported this indicator as a way of ensuring quality improvement and addressing regional variation in performance.</w:t>
      </w:r>
    </w:p>
    <w:p w14:paraId="25F24430" w14:textId="701BCD0C" w:rsidR="00F40BA0" w:rsidRDefault="00F40BA0" w:rsidP="004D3451">
      <w:pPr>
        <w:pStyle w:val="Bullets"/>
      </w:pPr>
      <w:r>
        <w:lastRenderedPageBreak/>
        <w:t>Stakeholders queried whether differences in practice are due to people being missed in terms of receiving results.</w:t>
      </w:r>
    </w:p>
    <w:p w14:paraId="7C4F9564" w14:textId="4DC0FE73" w:rsidR="00475C87" w:rsidRDefault="00475C87" w:rsidP="004D3451">
      <w:pPr>
        <w:pStyle w:val="Bullets"/>
      </w:pPr>
      <w:r>
        <w:t>Stakeholders felt that the</w:t>
      </w:r>
      <w:r w:rsidRPr="00475C87">
        <w:t xml:space="preserve"> </w:t>
      </w:r>
      <w:r>
        <w:t xml:space="preserve">indicator should also include those with a positive suspected </w:t>
      </w:r>
      <w:proofErr w:type="gramStart"/>
      <w:r>
        <w:t>result</w:t>
      </w:r>
      <w:r w:rsidR="00F40BA0">
        <w:t>,</w:t>
      </w:r>
      <w:r w:rsidR="0029278F">
        <w:t xml:space="preserve"> </w:t>
      </w:r>
      <w:r>
        <w:t>and</w:t>
      </w:r>
      <w:proofErr w:type="gramEnd"/>
      <w:r>
        <w:t xml:space="preserve"> were concerned that they would not be picked up by IND202</w:t>
      </w:r>
      <w:r w:rsidR="004F33C3">
        <w:t>0</w:t>
      </w:r>
      <w:r>
        <w:t>-96.</w:t>
      </w:r>
    </w:p>
    <w:p w14:paraId="3FE42CDE" w14:textId="03D82D43" w:rsidR="00475C87" w:rsidRPr="00475C87" w:rsidRDefault="00475C87" w:rsidP="004D3451">
      <w:pPr>
        <w:pStyle w:val="Bullets"/>
        <w:rPr>
          <w:b/>
          <w:bCs/>
        </w:rPr>
      </w:pPr>
      <w:r>
        <w:t xml:space="preserve">The age of the baby </w:t>
      </w:r>
      <w:r w:rsidR="00F40BA0">
        <w:t xml:space="preserve">(possibly 1 year of age) </w:t>
      </w:r>
      <w:r w:rsidR="0073473F">
        <w:t>was raised as a</w:t>
      </w:r>
      <w:r w:rsidR="00F40BA0">
        <w:t xml:space="preserve"> </w:t>
      </w:r>
      <w:proofErr w:type="gramStart"/>
      <w:r w:rsidR="00F40BA0">
        <w:t>standard</w:t>
      </w:r>
      <w:r w:rsidR="0073473F">
        <w:t xml:space="preserve"> exclusion criteria</w:t>
      </w:r>
      <w:proofErr w:type="gramEnd"/>
      <w:r w:rsidR="0073473F">
        <w:t xml:space="preserve"> </w:t>
      </w:r>
      <w:r>
        <w:t xml:space="preserve">for </w:t>
      </w:r>
      <w:proofErr w:type="spellStart"/>
      <w:r w:rsidRPr="00475C87">
        <w:t>newborn</w:t>
      </w:r>
      <w:proofErr w:type="spellEnd"/>
      <w:r w:rsidRPr="00475C87">
        <w:t xml:space="preserve"> screening results for movers in</w:t>
      </w:r>
      <w:r w:rsidR="0073473F">
        <w:t>.</w:t>
      </w:r>
    </w:p>
    <w:p w14:paraId="67AA8FE6" w14:textId="5AE60558" w:rsidR="00C50FF0" w:rsidRPr="004D3451" w:rsidRDefault="00C50FF0" w:rsidP="004D3451">
      <w:pPr>
        <w:pStyle w:val="Heading2"/>
      </w:pPr>
      <w:r w:rsidRPr="004D3451">
        <w:t xml:space="preserve">Considerations for the </w:t>
      </w:r>
      <w:r w:rsidR="003C3023" w:rsidRPr="004D3451">
        <w:t>a</w:t>
      </w:r>
      <w:r w:rsidRPr="004D3451">
        <w:t xml:space="preserve">dvisory </w:t>
      </w:r>
      <w:r w:rsidR="003C3023" w:rsidRPr="004D3451">
        <w:t>c</w:t>
      </w:r>
      <w:r w:rsidRPr="004D3451">
        <w:t>ommittee</w:t>
      </w:r>
    </w:p>
    <w:p w14:paraId="155F5F72" w14:textId="77777777" w:rsidR="00C50FF0" w:rsidRDefault="00C50FF0" w:rsidP="00C50FF0">
      <w:pPr>
        <w:pStyle w:val="Paragraphnonumbers"/>
      </w:pPr>
      <w:r>
        <w:t>The c</w:t>
      </w:r>
      <w:r w:rsidRPr="00241410">
        <w:t>ommittee is asked to consider:</w:t>
      </w:r>
    </w:p>
    <w:p w14:paraId="1E88E592" w14:textId="0BE03352" w:rsidR="004741B9" w:rsidRPr="006D5A38" w:rsidRDefault="00BA1470" w:rsidP="004D3451">
      <w:pPr>
        <w:pStyle w:val="Bullets"/>
      </w:pPr>
      <w:r>
        <w:t>The appropriateness of including an a</w:t>
      </w:r>
      <w:r w:rsidR="004741B9">
        <w:t>ge exclusion for this indicator</w:t>
      </w:r>
      <w:r w:rsidR="00CB1FAE">
        <w:t>.</w:t>
      </w:r>
    </w:p>
    <w:p w14:paraId="06DD59AE" w14:textId="7B84258C" w:rsidR="007A089C" w:rsidRDefault="00DF3B4C" w:rsidP="004D3451">
      <w:pPr>
        <w:pStyle w:val="Bullets"/>
      </w:pPr>
      <w:r>
        <w:t>Including babies who have a positive result in this indicator.</w:t>
      </w:r>
      <w:r w:rsidDel="00DF3B4C">
        <w:t xml:space="preserve"> </w:t>
      </w:r>
    </w:p>
    <w:p w14:paraId="1B4BE0DC" w14:textId="77777777" w:rsidR="007A089C" w:rsidRDefault="007A089C">
      <w:pPr>
        <w:rPr>
          <w:rFonts w:ascii="Arial" w:hAnsi="Arial" w:cs="Arial"/>
        </w:rPr>
      </w:pPr>
      <w:r>
        <w:rPr>
          <w:rFonts w:ascii="Arial" w:hAnsi="Arial" w:cs="Arial"/>
        </w:rPr>
        <w:br w:type="page"/>
      </w:r>
    </w:p>
    <w:p w14:paraId="48FE0C12" w14:textId="2292B4F6" w:rsidR="007A089C" w:rsidRPr="00E8632C" w:rsidRDefault="008D11B5" w:rsidP="004D3451">
      <w:pPr>
        <w:pStyle w:val="Heading1"/>
      </w:pPr>
      <w:bookmarkStart w:id="10" w:name="_Toc72843425"/>
      <w:r w:rsidRPr="008D11B5">
        <w:lastRenderedPageBreak/>
        <w:t xml:space="preserve">IND 2020-96: Reporting </w:t>
      </w:r>
      <w:proofErr w:type="spellStart"/>
      <w:r w:rsidRPr="008D11B5">
        <w:t>newborn</w:t>
      </w:r>
      <w:proofErr w:type="spellEnd"/>
      <w:r w:rsidRPr="008D11B5">
        <w:t xml:space="preserve"> blood spot screen positive results to parents</w:t>
      </w:r>
      <w:bookmarkEnd w:id="10"/>
      <w:r w:rsidR="007A089C">
        <w:t xml:space="preserve"> </w:t>
      </w:r>
    </w:p>
    <w:p w14:paraId="5521F890" w14:textId="0C40D100" w:rsidR="007A089C" w:rsidRDefault="008D11B5" w:rsidP="008D11B5">
      <w:pPr>
        <w:pStyle w:val="Paragraph"/>
        <w:rPr>
          <w:i/>
        </w:rPr>
      </w:pPr>
      <w:r w:rsidRPr="008D11B5">
        <w:rPr>
          <w:i/>
        </w:rPr>
        <w:t xml:space="preserve">The proportion of parents receiving </w:t>
      </w:r>
      <w:proofErr w:type="spellStart"/>
      <w:r w:rsidRPr="008D11B5">
        <w:rPr>
          <w:i/>
        </w:rPr>
        <w:t>newborn</w:t>
      </w:r>
      <w:proofErr w:type="spellEnd"/>
      <w:r w:rsidRPr="008D11B5">
        <w:rPr>
          <w:i/>
        </w:rPr>
        <w:t xml:space="preserve"> blood spot screen positive results </w:t>
      </w:r>
      <w:r w:rsidR="0029278F">
        <w:rPr>
          <w:i/>
        </w:rPr>
        <w:t>within</w:t>
      </w:r>
      <w:r w:rsidRPr="008D11B5">
        <w:rPr>
          <w:i/>
        </w:rPr>
        <w:t xml:space="preserve"> 28 days of age.</w:t>
      </w:r>
      <w:r>
        <w:rPr>
          <w:i/>
        </w:rPr>
        <w:t xml:space="preserve"> </w:t>
      </w:r>
    </w:p>
    <w:p w14:paraId="21663333" w14:textId="77777777" w:rsidR="003C0BCE" w:rsidRPr="00B14DE2" w:rsidRDefault="003C0BCE" w:rsidP="003C0BCE">
      <w:pPr>
        <w:pStyle w:val="Paragraph"/>
        <w:rPr>
          <w:kern w:val="32"/>
        </w:rPr>
      </w:pPr>
      <w:r>
        <w:rPr>
          <w:kern w:val="32"/>
        </w:rPr>
        <w:t xml:space="preserve">Reporting period: 12 months. </w:t>
      </w:r>
    </w:p>
    <w:p w14:paraId="0C66CF74" w14:textId="10DD7A0E" w:rsidR="00D42BE8" w:rsidRPr="00931621" w:rsidRDefault="00D42BE8" w:rsidP="00D42BE8">
      <w:pPr>
        <w:pStyle w:val="Paragraph"/>
        <w:rPr>
          <w:kern w:val="32"/>
        </w:rPr>
      </w:pPr>
      <w:r w:rsidRPr="004D3451">
        <w:rPr>
          <w:kern w:val="32"/>
        </w:rPr>
        <w:t>Indicator type</w:t>
      </w:r>
      <w:r w:rsidR="0077378A" w:rsidRPr="004D3451">
        <w:rPr>
          <w:kern w:val="32"/>
        </w:rPr>
        <w:t xml:space="preserve">: </w:t>
      </w:r>
      <w:r w:rsidRPr="00931621">
        <w:rPr>
          <w:kern w:val="32"/>
        </w:rPr>
        <w:t xml:space="preserve">Clinical Commissioning Group level indicator </w:t>
      </w:r>
    </w:p>
    <w:p w14:paraId="134986FB" w14:textId="77777777" w:rsidR="007A089C" w:rsidRPr="004D3451" w:rsidRDefault="007A089C" w:rsidP="004D3451">
      <w:pPr>
        <w:pStyle w:val="Heading2"/>
        <w:rPr>
          <w:b w:val="0"/>
          <w:bCs w:val="0"/>
        </w:rPr>
      </w:pPr>
      <w:r w:rsidRPr="004D3451">
        <w:t>Rationale</w:t>
      </w:r>
    </w:p>
    <w:p w14:paraId="06CBF66C" w14:textId="5E5A40BE" w:rsidR="007A089C" w:rsidRDefault="0084744A" w:rsidP="007A089C">
      <w:pPr>
        <w:pStyle w:val="Paragraph"/>
        <w:rPr>
          <w:rFonts w:cs="Arial"/>
        </w:rPr>
      </w:pPr>
      <w:r>
        <w:rPr>
          <w:rFonts w:cs="Arial"/>
        </w:rPr>
        <w:t xml:space="preserve">Approximately 1 baby per CCG will test positive for </w:t>
      </w:r>
      <w:r w:rsidRPr="004D3451">
        <w:rPr>
          <w:rFonts w:cs="Arial"/>
        </w:rPr>
        <w:t>sickle cell disease or thalassaemia</w:t>
      </w:r>
      <w:r w:rsidR="00264411">
        <w:rPr>
          <w:rFonts w:cs="Arial"/>
        </w:rPr>
        <w:t xml:space="preserve"> in a </w:t>
      </w:r>
      <w:proofErr w:type="gramStart"/>
      <w:r w:rsidR="00264411">
        <w:rPr>
          <w:rFonts w:cs="Arial"/>
        </w:rPr>
        <w:t>12 month</w:t>
      </w:r>
      <w:proofErr w:type="gramEnd"/>
      <w:r w:rsidR="00264411">
        <w:rPr>
          <w:rFonts w:cs="Arial"/>
        </w:rPr>
        <w:t xml:space="preserve"> period</w:t>
      </w:r>
      <w:r>
        <w:rPr>
          <w:rStyle w:val="FootnoteReference"/>
          <w:rFonts w:cs="Arial"/>
        </w:rPr>
        <w:footnoteReference w:id="2"/>
      </w:r>
      <w:r w:rsidR="00065B46">
        <w:rPr>
          <w:rFonts w:cs="Arial"/>
        </w:rPr>
        <w:t xml:space="preserve">. </w:t>
      </w:r>
      <w:r w:rsidR="004F60F3" w:rsidRPr="004F60F3">
        <w:rPr>
          <w:rFonts w:cs="Arial"/>
        </w:rPr>
        <w:t>Providing timely results to parents of screen positive infants</w:t>
      </w:r>
      <w:r w:rsidR="00B03610">
        <w:rPr>
          <w:rFonts w:cs="Arial"/>
        </w:rPr>
        <w:t xml:space="preserve"> for sickle cell</w:t>
      </w:r>
      <w:r w:rsidR="004F60F3" w:rsidRPr="004F60F3">
        <w:rPr>
          <w:rFonts w:cs="Arial"/>
        </w:rPr>
        <w:t xml:space="preserve"> </w:t>
      </w:r>
      <w:r w:rsidR="00B03610">
        <w:rPr>
          <w:rFonts w:cs="Arial"/>
        </w:rPr>
        <w:t xml:space="preserve">disease or thalassaemia </w:t>
      </w:r>
      <w:r w:rsidR="004F60F3" w:rsidRPr="004F60F3">
        <w:rPr>
          <w:rFonts w:cs="Arial"/>
        </w:rPr>
        <w:t>is important so that support can be given to parents and carers</w:t>
      </w:r>
      <w:r w:rsidR="00B03610">
        <w:rPr>
          <w:rFonts w:cs="Arial"/>
        </w:rPr>
        <w:t xml:space="preserve">, </w:t>
      </w:r>
      <w:r w:rsidR="00B03610" w:rsidRPr="00B03610">
        <w:rPr>
          <w:rFonts w:cs="Arial"/>
        </w:rPr>
        <w:t>the importance of early penicillin prophylaxis can be emphasised</w:t>
      </w:r>
      <w:r w:rsidR="004F60F3" w:rsidRPr="004F60F3">
        <w:rPr>
          <w:rFonts w:cs="Arial"/>
        </w:rPr>
        <w:t xml:space="preserve"> and prompt referral into treatment is ensured.</w:t>
      </w:r>
      <w:r w:rsidR="004F60F3">
        <w:rPr>
          <w:rFonts w:cs="Arial"/>
        </w:rPr>
        <w:t xml:space="preserve"> </w:t>
      </w:r>
    </w:p>
    <w:p w14:paraId="24FA0C1D" w14:textId="77777777" w:rsidR="00811233" w:rsidRDefault="00811233" w:rsidP="004D3451">
      <w:pPr>
        <w:pStyle w:val="Heading2"/>
      </w:pPr>
      <w:r>
        <w:t xml:space="preserve">Specification </w:t>
      </w:r>
    </w:p>
    <w:p w14:paraId="2E2D693E" w14:textId="618877DF" w:rsidR="00811233" w:rsidRPr="00811233" w:rsidRDefault="00811233" w:rsidP="00811233">
      <w:pPr>
        <w:pStyle w:val="Paragraph"/>
        <w:rPr>
          <w:kern w:val="32"/>
        </w:rPr>
      </w:pPr>
      <w:r w:rsidRPr="00811233">
        <w:rPr>
          <w:kern w:val="32"/>
        </w:rPr>
        <w:t xml:space="preserve">Numerator: number of </w:t>
      </w:r>
      <w:proofErr w:type="spellStart"/>
      <w:r w:rsidRPr="00811233">
        <w:rPr>
          <w:kern w:val="32"/>
        </w:rPr>
        <w:t>newborn</w:t>
      </w:r>
      <w:proofErr w:type="spellEnd"/>
      <w:r w:rsidRPr="00811233">
        <w:rPr>
          <w:kern w:val="32"/>
        </w:rPr>
        <w:t xml:space="preserve"> infants with </w:t>
      </w:r>
      <w:proofErr w:type="spellStart"/>
      <w:r w:rsidRPr="00811233">
        <w:rPr>
          <w:kern w:val="32"/>
        </w:rPr>
        <w:t>newborn</w:t>
      </w:r>
      <w:proofErr w:type="spellEnd"/>
      <w:r w:rsidRPr="00811233">
        <w:rPr>
          <w:kern w:val="32"/>
        </w:rPr>
        <w:t xml:space="preserve"> blood spot screen positive results for whom parents receive results </w:t>
      </w:r>
      <w:r w:rsidR="0029278F">
        <w:rPr>
          <w:kern w:val="32"/>
        </w:rPr>
        <w:t xml:space="preserve">within </w:t>
      </w:r>
      <w:r w:rsidRPr="00811233">
        <w:rPr>
          <w:kern w:val="32"/>
        </w:rPr>
        <w:t>28 days of age.</w:t>
      </w:r>
    </w:p>
    <w:p w14:paraId="105B3F93" w14:textId="1F2B4744" w:rsidR="00811233" w:rsidRPr="004D3451" w:rsidRDefault="00811233" w:rsidP="00811233">
      <w:pPr>
        <w:pStyle w:val="Paragraph"/>
        <w:rPr>
          <w:kern w:val="32"/>
        </w:rPr>
      </w:pPr>
      <w:r w:rsidRPr="00811233">
        <w:rPr>
          <w:kern w:val="32"/>
        </w:rPr>
        <w:t xml:space="preserve">Denominator: number of </w:t>
      </w:r>
      <w:proofErr w:type="spellStart"/>
      <w:r w:rsidRPr="00811233">
        <w:rPr>
          <w:kern w:val="32"/>
        </w:rPr>
        <w:t>newborn</w:t>
      </w:r>
      <w:proofErr w:type="spellEnd"/>
      <w:r w:rsidRPr="00811233">
        <w:rPr>
          <w:kern w:val="32"/>
        </w:rPr>
        <w:t xml:space="preserve"> infants born within the reporting period with </w:t>
      </w:r>
      <w:proofErr w:type="spellStart"/>
      <w:r w:rsidRPr="00811233">
        <w:rPr>
          <w:kern w:val="32"/>
        </w:rPr>
        <w:t>newborn</w:t>
      </w:r>
      <w:proofErr w:type="spellEnd"/>
      <w:r w:rsidRPr="00811233">
        <w:rPr>
          <w:kern w:val="32"/>
        </w:rPr>
        <w:t xml:space="preserve"> blood spot screen positive results.</w:t>
      </w:r>
    </w:p>
    <w:p w14:paraId="59B9394A" w14:textId="27AF6FA8" w:rsidR="007A089C" w:rsidRPr="004D3451" w:rsidRDefault="007A089C" w:rsidP="004D3451">
      <w:pPr>
        <w:pStyle w:val="Heading2"/>
        <w:rPr>
          <w:b w:val="0"/>
          <w:bCs w:val="0"/>
        </w:rPr>
      </w:pPr>
      <w:r w:rsidRPr="004D3451">
        <w:t>Summary of consultation comments</w:t>
      </w:r>
    </w:p>
    <w:p w14:paraId="5FF98EEC" w14:textId="2A4F0782" w:rsidR="00901C0C" w:rsidRPr="004D3451" w:rsidRDefault="00901C0C" w:rsidP="004D3451">
      <w:pPr>
        <w:pStyle w:val="Paragraph"/>
        <w:rPr>
          <w:b/>
          <w:bCs/>
          <w:kern w:val="32"/>
        </w:rPr>
      </w:pPr>
      <w:r>
        <w:t>Stakeholders made the following comments in relation to IND2020-96:</w:t>
      </w:r>
    </w:p>
    <w:p w14:paraId="31D7C498" w14:textId="5CB9D3A7" w:rsidR="007A089C" w:rsidRDefault="0073473F" w:rsidP="004D3451">
      <w:pPr>
        <w:pStyle w:val="Bullets"/>
      </w:pPr>
      <w:r>
        <w:t xml:space="preserve">Stakeholders highlighted the importance of parents receiving results as early as possible to </w:t>
      </w:r>
      <w:r w:rsidRPr="0073473F">
        <w:t>allow the appropriate clinical care for the child</w:t>
      </w:r>
      <w:r>
        <w:t>,</w:t>
      </w:r>
      <w:r w:rsidRPr="0073473F">
        <w:t xml:space="preserve"> to </w:t>
      </w:r>
      <w:r>
        <w:t>prevent any damage and improve the child’s life chances and outlook.</w:t>
      </w:r>
    </w:p>
    <w:p w14:paraId="29425094" w14:textId="4DED7A89" w:rsidR="0073473F" w:rsidRDefault="004C3AEF" w:rsidP="004D3451">
      <w:pPr>
        <w:pStyle w:val="Bullets"/>
      </w:pPr>
      <w:r>
        <w:t>Stakeholders supported the role the indicator could play in improving performance for this standard.</w:t>
      </w:r>
    </w:p>
    <w:p w14:paraId="1A3D8A19" w14:textId="1F773F93" w:rsidR="00EA0AA5" w:rsidRDefault="00EA0AA5" w:rsidP="004D3451">
      <w:pPr>
        <w:pStyle w:val="Bullets"/>
      </w:pPr>
      <w:r>
        <w:t xml:space="preserve">Comments from some stakeholders related to the 9 conditions screened for by </w:t>
      </w:r>
      <w:proofErr w:type="spellStart"/>
      <w:r>
        <w:t>newborn</w:t>
      </w:r>
      <w:proofErr w:type="spellEnd"/>
      <w:r>
        <w:t xml:space="preserve"> blood spot testing, rather than just sickle cell disease or thalassaemia, as they thought this indicator included </w:t>
      </w:r>
      <w:proofErr w:type="gramStart"/>
      <w:r>
        <w:t>all of</w:t>
      </w:r>
      <w:proofErr w:type="gramEnd"/>
      <w:r>
        <w:t xml:space="preserve"> the</w:t>
      </w:r>
      <w:r w:rsidR="00DF3B4C">
        <w:t xml:space="preserve"> conditions</w:t>
      </w:r>
      <w:r>
        <w:t>.</w:t>
      </w:r>
    </w:p>
    <w:p w14:paraId="20170318" w14:textId="4EF15DAF" w:rsidR="004C3AEF" w:rsidRDefault="004A306E" w:rsidP="004D3451">
      <w:pPr>
        <w:pStyle w:val="Bullets"/>
      </w:pPr>
      <w:r>
        <w:t>Stakeholders felt that the timeframe of up to 28 days to give results to parents was too long</w:t>
      </w:r>
      <w:r w:rsidR="00604595">
        <w:t>,</w:t>
      </w:r>
      <w:r>
        <w:t xml:space="preserve"> as waiting causes anxiety and could detrimentally affect parental education and support.</w:t>
      </w:r>
      <w:r w:rsidR="004C3AEF">
        <w:t xml:space="preserve"> </w:t>
      </w:r>
    </w:p>
    <w:p w14:paraId="68D8AB14" w14:textId="49E17596" w:rsidR="007A089C" w:rsidRPr="004D3451" w:rsidRDefault="007A089C" w:rsidP="004D3451">
      <w:pPr>
        <w:pStyle w:val="Heading2"/>
        <w:rPr>
          <w:i w:val="0"/>
        </w:rPr>
      </w:pPr>
      <w:r w:rsidRPr="004D3451">
        <w:lastRenderedPageBreak/>
        <w:t>Specific question included at consultation</w:t>
      </w:r>
      <w:r w:rsidRPr="00901C0C">
        <w:t xml:space="preserve"> </w:t>
      </w:r>
    </w:p>
    <w:p w14:paraId="5B2813C0" w14:textId="2051E889" w:rsidR="007A089C" w:rsidRPr="008D11B5" w:rsidRDefault="007F0E1A" w:rsidP="0077378A">
      <w:pPr>
        <w:pStyle w:val="Paragraph"/>
        <w:rPr>
          <w:rFonts w:cs="Arial"/>
        </w:rPr>
      </w:pPr>
      <w:r>
        <w:t xml:space="preserve">Question: </w:t>
      </w:r>
      <w:r w:rsidR="008D11B5" w:rsidRPr="008D11B5">
        <w:rPr>
          <w:rFonts w:cs="Arial"/>
        </w:rPr>
        <w:t>The number of patients for this indicator is very small and makes the indicator unsuitable for use. Data quality issues were identified in the data source, but do the numbers of patients identified reflect the numbers you are aware of?</w:t>
      </w:r>
    </w:p>
    <w:p w14:paraId="2B8AA5C3" w14:textId="0152881F" w:rsidR="007A089C" w:rsidRDefault="0077378A" w:rsidP="004D3451">
      <w:pPr>
        <w:pStyle w:val="Paragraph"/>
      </w:pPr>
      <w:r>
        <w:rPr>
          <w:rFonts w:cs="Arial"/>
        </w:rPr>
        <w:t>Stakeholders referenced f</w:t>
      </w:r>
      <w:r w:rsidR="004C3AEF">
        <w:rPr>
          <w:rFonts w:cs="Arial"/>
        </w:rPr>
        <w:t xml:space="preserve">igures of patients diagnosed with cystic fibrosis through the </w:t>
      </w:r>
      <w:proofErr w:type="spellStart"/>
      <w:r w:rsidR="004C3AEF">
        <w:rPr>
          <w:rFonts w:cs="Arial"/>
        </w:rPr>
        <w:t>newborn</w:t>
      </w:r>
      <w:proofErr w:type="spellEnd"/>
      <w:r w:rsidR="004C3AEF">
        <w:rPr>
          <w:rFonts w:cs="Arial"/>
        </w:rPr>
        <w:t xml:space="preserve"> screening programme were provided</w:t>
      </w:r>
      <w:r w:rsidR="00712697">
        <w:rPr>
          <w:rFonts w:cs="Arial"/>
        </w:rPr>
        <w:t>.</w:t>
      </w:r>
      <w:r w:rsidR="004C3AEF">
        <w:t xml:space="preserve"> </w:t>
      </w:r>
    </w:p>
    <w:p w14:paraId="0105EABB" w14:textId="77777777" w:rsidR="007A089C" w:rsidRPr="004D3451" w:rsidRDefault="007A089C" w:rsidP="004D3451">
      <w:pPr>
        <w:pStyle w:val="Heading2"/>
        <w:rPr>
          <w:b w:val="0"/>
        </w:rPr>
      </w:pPr>
      <w:r w:rsidRPr="004D3451">
        <w:t>Considerations for the advisory committee</w:t>
      </w:r>
    </w:p>
    <w:p w14:paraId="5B0AC6F2" w14:textId="26D8710E" w:rsidR="007A089C" w:rsidRDefault="007A089C" w:rsidP="00C74D95">
      <w:pPr>
        <w:pStyle w:val="Paragraphnonumbers"/>
      </w:pPr>
      <w:r>
        <w:t>The c</w:t>
      </w:r>
      <w:r w:rsidRPr="00241410">
        <w:t>ommittee is asked to consider:</w:t>
      </w:r>
    </w:p>
    <w:p w14:paraId="4FDDA78A" w14:textId="77777777" w:rsidR="007C39F8" w:rsidRPr="008C775C" w:rsidRDefault="007C39F8" w:rsidP="004D3451">
      <w:pPr>
        <w:pStyle w:val="Bullets"/>
      </w:pPr>
      <w:r>
        <w:t>N</w:t>
      </w:r>
      <w:r w:rsidRPr="008C775C">
        <w:t>ot progressing this indicator for inclusion on the NICE menu given the very low numbers of patients included in the denominator.</w:t>
      </w:r>
    </w:p>
    <w:p w14:paraId="29916F73" w14:textId="78597231" w:rsidR="00EA0AA5" w:rsidRDefault="00264411" w:rsidP="004D3451">
      <w:pPr>
        <w:pStyle w:val="Bullets"/>
      </w:pPr>
      <w:r>
        <w:t>If progressed, a</w:t>
      </w:r>
      <w:r w:rsidR="00EA0AA5" w:rsidRPr="00EA0AA5">
        <w:t>mending the indicator wording to specify that the results are for sickle cell disease or thalassaemia</w:t>
      </w:r>
      <w:r w:rsidR="00A71D71">
        <w:t>.</w:t>
      </w:r>
      <w:r w:rsidR="00EA0AA5" w:rsidRPr="00EA0AA5">
        <w:t xml:space="preserve"> </w:t>
      </w:r>
    </w:p>
    <w:p w14:paraId="77B5C825" w14:textId="77777777" w:rsidR="00110036" w:rsidRDefault="00110036" w:rsidP="00110036">
      <w:pPr>
        <w:pStyle w:val="ListParagraph"/>
        <w:ind w:left="360"/>
        <w:rPr>
          <w:rFonts w:ascii="Arial" w:hAnsi="Arial" w:cs="Arial"/>
        </w:rPr>
      </w:pPr>
    </w:p>
    <w:p w14:paraId="477F28E7" w14:textId="1608AC74" w:rsidR="007A089C" w:rsidRPr="005243EC" w:rsidRDefault="007A089C" w:rsidP="008E3EFB">
      <w:pPr>
        <w:pStyle w:val="Paragraphnonumbers"/>
        <w:rPr>
          <w:b/>
          <w:bCs/>
          <w:kern w:val="32"/>
          <w:sz w:val="28"/>
          <w:szCs w:val="32"/>
        </w:rPr>
      </w:pPr>
    </w:p>
    <w:p w14:paraId="7450F5F0" w14:textId="77777777" w:rsidR="007A089C" w:rsidRDefault="007A089C" w:rsidP="007A089C">
      <w:pPr>
        <w:rPr>
          <w:rFonts w:ascii="Arial" w:hAnsi="Arial"/>
          <w:b/>
          <w:bCs/>
          <w:sz w:val="28"/>
          <w:szCs w:val="28"/>
        </w:rPr>
      </w:pPr>
      <w:r>
        <w:rPr>
          <w:sz w:val="28"/>
          <w:szCs w:val="28"/>
        </w:rPr>
        <w:br w:type="page"/>
      </w:r>
    </w:p>
    <w:p w14:paraId="60F7F817" w14:textId="0AC24BFB" w:rsidR="007A089C" w:rsidRPr="00E8632C" w:rsidRDefault="008D11B5" w:rsidP="004D3451">
      <w:pPr>
        <w:pStyle w:val="Heading1"/>
      </w:pPr>
      <w:bookmarkStart w:id="11" w:name="_Toc72843426"/>
      <w:r w:rsidRPr="008D11B5">
        <w:lastRenderedPageBreak/>
        <w:t>IND 2020-97: Repeat non-attendance for diabetic eye screening</w:t>
      </w:r>
      <w:bookmarkEnd w:id="11"/>
      <w:r w:rsidR="007A089C">
        <w:t xml:space="preserve"> </w:t>
      </w:r>
    </w:p>
    <w:p w14:paraId="23F56698" w14:textId="32DB7EB7" w:rsidR="007A089C" w:rsidRDefault="008D11B5" w:rsidP="008D11B5">
      <w:pPr>
        <w:pStyle w:val="Paragraph"/>
        <w:rPr>
          <w:i/>
        </w:rPr>
      </w:pPr>
      <w:r w:rsidRPr="008D11B5">
        <w:rPr>
          <w:i/>
        </w:rPr>
        <w:t>The proportion of eligible people with diabetes who have not attended for diabetic eye screening in the previous 3 years.</w:t>
      </w:r>
      <w:r>
        <w:rPr>
          <w:i/>
        </w:rPr>
        <w:t xml:space="preserve"> </w:t>
      </w:r>
    </w:p>
    <w:p w14:paraId="6C63FB06" w14:textId="77777777" w:rsidR="003C0BCE" w:rsidRPr="00B14DE2" w:rsidRDefault="003C0BCE" w:rsidP="003C0BCE">
      <w:pPr>
        <w:pStyle w:val="Paragraph"/>
        <w:rPr>
          <w:kern w:val="32"/>
        </w:rPr>
      </w:pPr>
      <w:r>
        <w:rPr>
          <w:kern w:val="32"/>
        </w:rPr>
        <w:t xml:space="preserve">Reporting period: 12 months. </w:t>
      </w:r>
    </w:p>
    <w:p w14:paraId="027EF2C5" w14:textId="7164FF3B" w:rsidR="00D42BE8" w:rsidRPr="00931621" w:rsidRDefault="00D42BE8" w:rsidP="00D42BE8">
      <w:pPr>
        <w:pStyle w:val="Paragraph"/>
        <w:rPr>
          <w:kern w:val="32"/>
        </w:rPr>
      </w:pPr>
      <w:r w:rsidRPr="004D3451">
        <w:rPr>
          <w:kern w:val="32"/>
        </w:rPr>
        <w:t>Indicator type</w:t>
      </w:r>
      <w:r w:rsidR="0077378A" w:rsidRPr="004D3451">
        <w:rPr>
          <w:kern w:val="32"/>
        </w:rPr>
        <w:t xml:space="preserve">: </w:t>
      </w:r>
      <w:r w:rsidRPr="00931621">
        <w:rPr>
          <w:kern w:val="32"/>
        </w:rPr>
        <w:t xml:space="preserve">Clinical Commissioning Group level indicator </w:t>
      </w:r>
    </w:p>
    <w:p w14:paraId="186D9FB3" w14:textId="77777777" w:rsidR="007A089C" w:rsidRPr="004D3451" w:rsidRDefault="007A089C" w:rsidP="004D3451">
      <w:pPr>
        <w:pStyle w:val="Heading2"/>
        <w:rPr>
          <w:b w:val="0"/>
          <w:bCs w:val="0"/>
        </w:rPr>
      </w:pPr>
      <w:r w:rsidRPr="004D3451">
        <w:t>Rationale</w:t>
      </w:r>
    </w:p>
    <w:p w14:paraId="40945EA2" w14:textId="65CC9330" w:rsidR="007A089C" w:rsidRDefault="004F60F3" w:rsidP="007A089C">
      <w:pPr>
        <w:pStyle w:val="Paragraph"/>
        <w:rPr>
          <w:rFonts w:cs="Arial"/>
        </w:rPr>
      </w:pPr>
      <w:r w:rsidRPr="004F60F3">
        <w:rPr>
          <w:rFonts w:cs="Arial"/>
        </w:rPr>
        <w:t xml:space="preserve">This indicator </w:t>
      </w:r>
      <w:r w:rsidR="00176940">
        <w:rPr>
          <w:rFonts w:cs="Arial"/>
        </w:rPr>
        <w:t>examines the number of</w:t>
      </w:r>
      <w:r w:rsidR="00176940" w:rsidRPr="004F60F3">
        <w:rPr>
          <w:rFonts w:cs="Arial"/>
        </w:rPr>
        <w:t xml:space="preserve"> </w:t>
      </w:r>
      <w:r w:rsidRPr="004F60F3">
        <w:rPr>
          <w:rFonts w:cs="Arial"/>
        </w:rPr>
        <w:t>people with diabetes who do not regularly attend routine digital eye screening appointments. A range of eye problems can affect people with diabetes. One of these conditions is diabetic retinopathy, caused by high blood sugar levels damaging the back of the eye (retina). Diabetic retinopathy can cause blindness if it is left undiagnosed and untreated, however if problems are caught early, treatment can help prevent or reduce vision loss.</w:t>
      </w:r>
      <w:r>
        <w:rPr>
          <w:rFonts w:cs="Arial"/>
        </w:rPr>
        <w:t xml:space="preserve"> </w:t>
      </w:r>
      <w:r w:rsidRPr="004F60F3">
        <w:rPr>
          <w:rFonts w:cs="Arial"/>
        </w:rPr>
        <w:t xml:space="preserve">This </w:t>
      </w:r>
      <w:r>
        <w:rPr>
          <w:rFonts w:cs="Arial"/>
        </w:rPr>
        <w:t xml:space="preserve">indicator </w:t>
      </w:r>
      <w:r w:rsidRPr="004F60F3">
        <w:rPr>
          <w:rFonts w:cs="Arial"/>
        </w:rPr>
        <w:t>will</w:t>
      </w:r>
      <w:r>
        <w:rPr>
          <w:rFonts w:cs="Arial"/>
        </w:rPr>
        <w:t xml:space="preserve"> also</w:t>
      </w:r>
      <w:r w:rsidRPr="004F60F3">
        <w:rPr>
          <w:rFonts w:cs="Arial"/>
        </w:rPr>
        <w:t xml:space="preserve"> enable providers to identify and implement interventions to increase participation in this cohort.</w:t>
      </w:r>
    </w:p>
    <w:p w14:paraId="0AAA8C47" w14:textId="77777777" w:rsidR="00811233" w:rsidRDefault="00811233" w:rsidP="004D3451">
      <w:pPr>
        <w:pStyle w:val="Heading2"/>
      </w:pPr>
      <w:r>
        <w:t xml:space="preserve">Specification </w:t>
      </w:r>
    </w:p>
    <w:p w14:paraId="2552DE8C" w14:textId="796698AB" w:rsidR="00811233" w:rsidRPr="004D3451" w:rsidRDefault="00811233" w:rsidP="00811233">
      <w:pPr>
        <w:pStyle w:val="Paragraph"/>
        <w:rPr>
          <w:kern w:val="32"/>
        </w:rPr>
      </w:pPr>
      <w:r w:rsidRPr="004D3451">
        <w:rPr>
          <w:kern w:val="32"/>
        </w:rPr>
        <w:t>Numerator: number of people with diabetes on the diabetic eye screening pathway who have not attended screening within the previous 3 years and have been on the register for at least 3 years.</w:t>
      </w:r>
    </w:p>
    <w:p w14:paraId="2854FD81" w14:textId="445332CD" w:rsidR="00811233" w:rsidRPr="004D3451" w:rsidRDefault="00811233" w:rsidP="00811233">
      <w:pPr>
        <w:pStyle w:val="Paragraph"/>
        <w:rPr>
          <w:kern w:val="32"/>
        </w:rPr>
      </w:pPr>
      <w:r w:rsidRPr="004D3451">
        <w:rPr>
          <w:kern w:val="32"/>
        </w:rPr>
        <w:t>Denominator: number of people with diabetes on the diabetic eye screening pathway who have been on the register for at least 3 years.</w:t>
      </w:r>
    </w:p>
    <w:p w14:paraId="16FF4711" w14:textId="4BD43DD5" w:rsidR="007A089C" w:rsidRPr="004D3451" w:rsidRDefault="007A089C" w:rsidP="004D3451">
      <w:pPr>
        <w:pStyle w:val="Heading2"/>
        <w:rPr>
          <w:b w:val="0"/>
          <w:bCs w:val="0"/>
        </w:rPr>
      </w:pPr>
      <w:r w:rsidRPr="004D3451">
        <w:t>Summary of consultation comments</w:t>
      </w:r>
    </w:p>
    <w:p w14:paraId="13DF4AE7" w14:textId="19524C08" w:rsidR="00901C0C" w:rsidRPr="004D3451" w:rsidRDefault="00901C0C" w:rsidP="004D3451">
      <w:pPr>
        <w:pStyle w:val="Paragraph"/>
        <w:rPr>
          <w:b/>
          <w:bCs/>
          <w:kern w:val="32"/>
        </w:rPr>
      </w:pPr>
      <w:r>
        <w:t>Stakeholders made the following comments in relation to IND2020-97:</w:t>
      </w:r>
    </w:p>
    <w:p w14:paraId="51B6F040" w14:textId="2109E693" w:rsidR="00727EB2" w:rsidRDefault="00727EB2" w:rsidP="004D3451">
      <w:pPr>
        <w:pStyle w:val="Bullets"/>
      </w:pPr>
      <w:r>
        <w:t xml:space="preserve">Stakeholders supported this indicator as a way of making this data more </w:t>
      </w:r>
      <w:proofErr w:type="gramStart"/>
      <w:r>
        <w:t>accessible, and</w:t>
      </w:r>
      <w:proofErr w:type="gramEnd"/>
      <w:r>
        <w:t xml:space="preserve"> helping primary care to support people who are not attending to take up screening.</w:t>
      </w:r>
    </w:p>
    <w:p w14:paraId="3762E9E2" w14:textId="52E17FF6" w:rsidR="00727EB2" w:rsidRDefault="00727EB2" w:rsidP="004D3451">
      <w:pPr>
        <w:pStyle w:val="Bullets"/>
      </w:pPr>
      <w:r>
        <w:t xml:space="preserve">Stakeholders highlighted that </w:t>
      </w:r>
      <w:r w:rsidRPr="00727EB2">
        <w:t xml:space="preserve">the screening provider holds the data relating to diabetic eye screening at CCG level, </w:t>
      </w:r>
      <w:r w:rsidR="008520F7">
        <w:t xml:space="preserve">and </w:t>
      </w:r>
      <w:r w:rsidRPr="00727EB2">
        <w:t xml:space="preserve">non-attendance details are forwarded to primary care in paper format. </w:t>
      </w:r>
      <w:r w:rsidR="008520F7">
        <w:t>They felt that data would need to be sent to primary care electronically to allow</w:t>
      </w:r>
      <w:r w:rsidRPr="00727EB2">
        <w:t xml:space="preserve"> data extract</w:t>
      </w:r>
      <w:r w:rsidR="008520F7">
        <w:t>ion</w:t>
      </w:r>
      <w:r w:rsidRPr="00727EB2">
        <w:t xml:space="preserve"> from primary care systems.</w:t>
      </w:r>
    </w:p>
    <w:p w14:paraId="2FF6F2C9" w14:textId="01C80E43" w:rsidR="008520F7" w:rsidRDefault="008520F7" w:rsidP="004D3451">
      <w:pPr>
        <w:pStyle w:val="Bullets"/>
      </w:pPr>
      <w:r>
        <w:t xml:space="preserve">Stakeholders stated that the indicator </w:t>
      </w:r>
      <w:r w:rsidRPr="008520F7">
        <w:t>should make it easier to identify repeat non-attenders from all groups at all ages</w:t>
      </w:r>
      <w:r>
        <w:t>.</w:t>
      </w:r>
    </w:p>
    <w:p w14:paraId="72D7D037" w14:textId="05E88BAB" w:rsidR="008520F7" w:rsidRDefault="008520F7" w:rsidP="004D3451">
      <w:pPr>
        <w:pStyle w:val="Bullets"/>
      </w:pPr>
      <w:r>
        <w:t xml:space="preserve">Stakeholders </w:t>
      </w:r>
      <w:r w:rsidR="00247E7E">
        <w:t>highlighted</w:t>
      </w:r>
      <w:r>
        <w:t xml:space="preserve"> that the indicator could have </w:t>
      </w:r>
      <w:r w:rsidRPr="008520F7">
        <w:t xml:space="preserve">an adverse effect on the elderly or other individuals who are no longer eligible or </w:t>
      </w:r>
      <w:r>
        <w:t xml:space="preserve">have </w:t>
      </w:r>
      <w:r w:rsidRPr="008520F7">
        <w:t xml:space="preserve">been </w:t>
      </w:r>
      <w:r w:rsidRPr="008520F7">
        <w:lastRenderedPageBreak/>
        <w:t>excluded from screening on clinical grounds, and whose records have not been updated</w:t>
      </w:r>
      <w:r>
        <w:t>.</w:t>
      </w:r>
    </w:p>
    <w:p w14:paraId="5A562553" w14:textId="53CA480B" w:rsidR="007A089C" w:rsidRPr="00247E7E" w:rsidRDefault="00247E7E" w:rsidP="004D3451">
      <w:pPr>
        <w:pStyle w:val="Bullets"/>
      </w:pPr>
      <w:r>
        <w:t xml:space="preserve">Stakeholders raised a concern that GPs might be penalised for patient non-attendance even if it is due to informed choice of the patient. They suggested dividing non-attendance into </w:t>
      </w:r>
      <w:r w:rsidRPr="00247E7E">
        <w:t>patients who have been contacted</w:t>
      </w:r>
      <w:r>
        <w:t>,</w:t>
      </w:r>
      <w:r w:rsidRPr="00247E7E">
        <w:t xml:space="preserve"> those </w:t>
      </w:r>
      <w:r>
        <w:t>who it was not possible</w:t>
      </w:r>
      <w:r w:rsidRPr="00247E7E">
        <w:t xml:space="preserve"> to contact and those who have declined despite </w:t>
      </w:r>
      <w:r>
        <w:t xml:space="preserve">being </w:t>
      </w:r>
      <w:r w:rsidRPr="00247E7E">
        <w:t>informed</w:t>
      </w:r>
      <w:r>
        <w:t>.</w:t>
      </w:r>
    </w:p>
    <w:p w14:paraId="018D804F" w14:textId="77777777" w:rsidR="007A089C" w:rsidRPr="004D3451" w:rsidRDefault="007A089C" w:rsidP="004D3451">
      <w:pPr>
        <w:pStyle w:val="Heading2"/>
        <w:rPr>
          <w:b w:val="0"/>
        </w:rPr>
      </w:pPr>
      <w:r w:rsidRPr="004D3451">
        <w:t>Considerations for the advisory committee</w:t>
      </w:r>
    </w:p>
    <w:p w14:paraId="2C7FF98B" w14:textId="77777777" w:rsidR="007A089C" w:rsidRDefault="007A089C" w:rsidP="007A089C">
      <w:pPr>
        <w:pStyle w:val="Paragraphnonumbers"/>
      </w:pPr>
      <w:r>
        <w:t>The c</w:t>
      </w:r>
      <w:r w:rsidRPr="00241410">
        <w:t>ommittee is asked to consider:</w:t>
      </w:r>
    </w:p>
    <w:p w14:paraId="0BA594EF" w14:textId="08A8C179" w:rsidR="00B03610" w:rsidRPr="004741B9" w:rsidRDefault="00176940" w:rsidP="004D3451">
      <w:pPr>
        <w:pStyle w:val="Bullets"/>
        <w:rPr>
          <w:b/>
          <w:bCs/>
          <w:kern w:val="32"/>
          <w:sz w:val="28"/>
          <w:szCs w:val="32"/>
        </w:rPr>
      </w:pPr>
      <w:r>
        <w:t xml:space="preserve">The feasibility of </w:t>
      </w:r>
      <w:r w:rsidR="00EA0AA5">
        <w:t xml:space="preserve">the </w:t>
      </w:r>
      <w:r>
        <w:t xml:space="preserve">indicator given potential </w:t>
      </w:r>
      <w:r w:rsidR="00B03610">
        <w:t xml:space="preserve">issues with data sharing between the screening provider and primary care that </w:t>
      </w:r>
      <w:r w:rsidR="00110036">
        <w:t>could</w:t>
      </w:r>
      <w:r w:rsidR="00B03610">
        <w:t xml:space="preserve"> make it difficult to implement</w:t>
      </w:r>
      <w:r>
        <w:t>.</w:t>
      </w:r>
    </w:p>
    <w:p w14:paraId="18795A36" w14:textId="3F05018E" w:rsidR="00110036" w:rsidRPr="00110036" w:rsidRDefault="00176940" w:rsidP="004D3451">
      <w:pPr>
        <w:pStyle w:val="Bullets"/>
        <w:rPr>
          <w:b/>
          <w:bCs/>
          <w:kern w:val="32"/>
          <w:sz w:val="28"/>
          <w:szCs w:val="32"/>
        </w:rPr>
      </w:pPr>
      <w:r>
        <w:t xml:space="preserve">The potential unintended consequence of </w:t>
      </w:r>
      <w:r w:rsidR="004741B9">
        <w:t>GPs being penalised for non-attendance</w:t>
      </w:r>
      <w:r w:rsidR="00CB1FAE">
        <w:t>.</w:t>
      </w:r>
    </w:p>
    <w:p w14:paraId="2562FAFB" w14:textId="28EE4B8E" w:rsidR="007A089C" w:rsidRPr="00B03610" w:rsidRDefault="00110036" w:rsidP="004D3451">
      <w:pPr>
        <w:pStyle w:val="Bullets"/>
        <w:rPr>
          <w:b/>
          <w:bCs/>
          <w:kern w:val="32"/>
          <w:sz w:val="28"/>
          <w:szCs w:val="32"/>
        </w:rPr>
      </w:pPr>
      <w:r w:rsidRPr="00110036">
        <w:t>How th</w:t>
      </w:r>
      <w:r w:rsidR="00D652B7">
        <w:t xml:space="preserve">e results of this indicator </w:t>
      </w:r>
      <w:r w:rsidRPr="00110036">
        <w:t>should be used.</w:t>
      </w:r>
      <w:r w:rsidR="007A089C" w:rsidRPr="00B03610">
        <w:rPr>
          <w:sz w:val="28"/>
          <w:szCs w:val="28"/>
        </w:rPr>
        <w:br w:type="page"/>
      </w:r>
    </w:p>
    <w:p w14:paraId="614345A6" w14:textId="62841104" w:rsidR="007A089C" w:rsidRPr="00E8632C" w:rsidRDefault="008D11B5" w:rsidP="004D3451">
      <w:pPr>
        <w:pStyle w:val="Heading1"/>
      </w:pPr>
      <w:bookmarkStart w:id="12" w:name="_Toc72843427"/>
      <w:r w:rsidRPr="008D11B5">
        <w:lastRenderedPageBreak/>
        <w:t>IND 2020-98: Offer of routine digital diabetic eye screening</w:t>
      </w:r>
      <w:bookmarkEnd w:id="12"/>
      <w:r w:rsidR="007A089C">
        <w:t xml:space="preserve"> </w:t>
      </w:r>
    </w:p>
    <w:p w14:paraId="6CD3E2AB" w14:textId="3DB9DD99" w:rsidR="007A089C" w:rsidRDefault="008D11B5" w:rsidP="008D11B5">
      <w:pPr>
        <w:pStyle w:val="Paragraph"/>
        <w:rPr>
          <w:i/>
        </w:rPr>
      </w:pPr>
      <w:r w:rsidRPr="008D11B5">
        <w:rPr>
          <w:i/>
        </w:rPr>
        <w:t>The proportion of eligible people</w:t>
      </w:r>
      <w:r w:rsidR="009170A6">
        <w:rPr>
          <w:rStyle w:val="FootnoteReference"/>
          <w:i/>
        </w:rPr>
        <w:footnoteReference w:id="3"/>
      </w:r>
      <w:r w:rsidRPr="008D11B5">
        <w:rPr>
          <w:i/>
        </w:rPr>
        <w:t xml:space="preserve"> with diabetes who are offered an appointment for diabetic eye screening.</w:t>
      </w:r>
      <w:r>
        <w:rPr>
          <w:i/>
        </w:rPr>
        <w:t xml:space="preserve"> </w:t>
      </w:r>
    </w:p>
    <w:p w14:paraId="6EBAC0E8" w14:textId="23B01243" w:rsidR="003C0BCE" w:rsidRPr="00CB1FAE" w:rsidRDefault="003C0BCE" w:rsidP="008D11B5">
      <w:pPr>
        <w:pStyle w:val="Paragraph"/>
        <w:rPr>
          <w:kern w:val="32"/>
        </w:rPr>
      </w:pPr>
      <w:r>
        <w:rPr>
          <w:kern w:val="32"/>
        </w:rPr>
        <w:t xml:space="preserve">Reporting period: 12 months. </w:t>
      </w:r>
    </w:p>
    <w:p w14:paraId="7AE64685" w14:textId="076E497C" w:rsidR="00D42BE8" w:rsidRPr="00931621" w:rsidRDefault="00D42BE8" w:rsidP="00D42BE8">
      <w:pPr>
        <w:pStyle w:val="Paragraph"/>
        <w:rPr>
          <w:kern w:val="32"/>
        </w:rPr>
      </w:pPr>
      <w:r w:rsidRPr="004D3451">
        <w:rPr>
          <w:kern w:val="32"/>
        </w:rPr>
        <w:t>Indicator type</w:t>
      </w:r>
      <w:r w:rsidR="0077378A" w:rsidRPr="004D3451">
        <w:rPr>
          <w:kern w:val="32"/>
        </w:rPr>
        <w:t xml:space="preserve">: </w:t>
      </w:r>
      <w:r w:rsidRPr="0077378A">
        <w:rPr>
          <w:kern w:val="32"/>
        </w:rPr>
        <w:t>Clinical</w:t>
      </w:r>
      <w:r w:rsidRPr="00931621">
        <w:rPr>
          <w:kern w:val="32"/>
        </w:rPr>
        <w:t xml:space="preserve"> Commissioning Group level indicator </w:t>
      </w:r>
    </w:p>
    <w:p w14:paraId="17ABB382" w14:textId="77777777" w:rsidR="007A089C" w:rsidRPr="004D3451" w:rsidRDefault="007A089C" w:rsidP="004D3451">
      <w:pPr>
        <w:pStyle w:val="Heading2"/>
        <w:rPr>
          <w:b w:val="0"/>
          <w:bCs w:val="0"/>
        </w:rPr>
      </w:pPr>
      <w:r w:rsidRPr="004D3451">
        <w:t>Rationale</w:t>
      </w:r>
    </w:p>
    <w:p w14:paraId="169D02C6" w14:textId="04F61758" w:rsidR="004F60F3" w:rsidRDefault="004F60F3" w:rsidP="007A089C">
      <w:pPr>
        <w:pStyle w:val="Paragraph"/>
        <w:rPr>
          <w:rFonts w:cs="Arial"/>
        </w:rPr>
      </w:pPr>
      <w:r w:rsidRPr="004F60F3">
        <w:rPr>
          <w:rFonts w:cs="Arial"/>
        </w:rPr>
        <w:t xml:space="preserve">To maximise the impact of the </w:t>
      </w:r>
      <w:r>
        <w:rPr>
          <w:rFonts w:cs="Arial"/>
        </w:rPr>
        <w:t xml:space="preserve">diabetic eye </w:t>
      </w:r>
      <w:r w:rsidRPr="004F60F3">
        <w:rPr>
          <w:rFonts w:cs="Arial"/>
        </w:rPr>
        <w:t xml:space="preserve">screening programme, all eligible people should be offered an </w:t>
      </w:r>
      <w:r w:rsidR="00273430">
        <w:rPr>
          <w:rFonts w:cs="Arial"/>
        </w:rPr>
        <w:t xml:space="preserve">annual </w:t>
      </w:r>
      <w:r w:rsidRPr="004F60F3">
        <w:rPr>
          <w:rFonts w:cs="Arial"/>
        </w:rPr>
        <w:t>appointment for routine digital screening (RDS), unless they are suspended or excluded.</w:t>
      </w:r>
      <w:r>
        <w:rPr>
          <w:rFonts w:cs="Arial"/>
        </w:rPr>
        <w:t xml:space="preserve"> </w:t>
      </w:r>
    </w:p>
    <w:p w14:paraId="31123F98" w14:textId="08D61CCF" w:rsidR="007A089C" w:rsidRDefault="004F60F3" w:rsidP="007A089C">
      <w:pPr>
        <w:pStyle w:val="Paragraph"/>
        <w:rPr>
          <w:rFonts w:cs="Arial"/>
        </w:rPr>
      </w:pPr>
      <w:r w:rsidRPr="004F60F3">
        <w:rPr>
          <w:rFonts w:cs="Arial"/>
        </w:rPr>
        <w:t>A range of eye problems can affect people with diabetes. One of these conditions is diabetic retinopathy, caused by high blood sugar levels damaging the back of the eye (retina). Diabetic retinopathy can cause blindness if it is left undiagnosed and untreated, however if problems are caught early, treatment can help prevent or reduce vision loss.</w:t>
      </w:r>
      <w:r>
        <w:rPr>
          <w:rFonts w:cs="Arial"/>
        </w:rPr>
        <w:t xml:space="preserve"> </w:t>
      </w:r>
    </w:p>
    <w:p w14:paraId="525C0925" w14:textId="6CBFE30F" w:rsidR="00811233" w:rsidRDefault="00811233" w:rsidP="004D3451">
      <w:pPr>
        <w:pStyle w:val="Heading2"/>
      </w:pPr>
      <w:r>
        <w:t xml:space="preserve">Specification </w:t>
      </w:r>
    </w:p>
    <w:p w14:paraId="598E9DF6" w14:textId="7A1D3E21" w:rsidR="00900A2F" w:rsidRPr="00900A2F" w:rsidRDefault="00900A2F" w:rsidP="00900A2F">
      <w:pPr>
        <w:pStyle w:val="Paragraph"/>
        <w:rPr>
          <w:kern w:val="32"/>
        </w:rPr>
      </w:pPr>
      <w:r w:rsidRPr="00900A2F">
        <w:rPr>
          <w:kern w:val="32"/>
        </w:rPr>
        <w:t>Numerator: number of eligible people with diabetes, offered an appointment for diabetic eye screening during the reporting period (programme performance report.</w:t>
      </w:r>
    </w:p>
    <w:p w14:paraId="18769815" w14:textId="4FE47829" w:rsidR="00811233" w:rsidRPr="004D3451" w:rsidRDefault="00900A2F" w:rsidP="00900A2F">
      <w:pPr>
        <w:pStyle w:val="Paragraph"/>
        <w:rPr>
          <w:kern w:val="32"/>
        </w:rPr>
      </w:pPr>
      <w:r w:rsidRPr="00900A2F">
        <w:rPr>
          <w:kern w:val="32"/>
        </w:rPr>
        <w:t>Denominator: number of eligible people with diabetes, on the final day of the reporting period</w:t>
      </w:r>
      <w:r>
        <w:rPr>
          <w:kern w:val="32"/>
        </w:rPr>
        <w:t>.</w:t>
      </w:r>
    </w:p>
    <w:p w14:paraId="241E7AFE" w14:textId="46D0C680" w:rsidR="007A089C" w:rsidRPr="004D3451" w:rsidRDefault="007A089C" w:rsidP="004D3451">
      <w:pPr>
        <w:pStyle w:val="Heading2"/>
        <w:rPr>
          <w:b w:val="0"/>
          <w:bCs w:val="0"/>
        </w:rPr>
      </w:pPr>
      <w:r w:rsidRPr="004D3451">
        <w:t>Summary of consultation comments</w:t>
      </w:r>
    </w:p>
    <w:p w14:paraId="2B3FA132" w14:textId="3CAAF36F" w:rsidR="00901C0C" w:rsidRDefault="00901C0C" w:rsidP="004D3451">
      <w:pPr>
        <w:pStyle w:val="Paragraph"/>
        <w:rPr>
          <w:rFonts w:cs="Arial"/>
        </w:rPr>
      </w:pPr>
      <w:r>
        <w:t>Stakeholders made the following comments in relation to IND2020-98:</w:t>
      </w:r>
    </w:p>
    <w:p w14:paraId="63DB7826" w14:textId="689EB2D6" w:rsidR="00056FE7" w:rsidRDefault="00247E7E" w:rsidP="004D3451">
      <w:pPr>
        <w:pStyle w:val="Bullets"/>
      </w:pPr>
      <w:r>
        <w:t xml:space="preserve">Stakeholders supported this indicator as a way of </w:t>
      </w:r>
      <w:r w:rsidR="00056FE7">
        <w:t>improving the variation in practice and increas</w:t>
      </w:r>
      <w:r w:rsidR="004741B9">
        <w:t>ing</w:t>
      </w:r>
      <w:r w:rsidR="00056FE7">
        <w:t xml:space="preserve"> the number of offers.</w:t>
      </w:r>
    </w:p>
    <w:p w14:paraId="406134C5" w14:textId="0473F0D1" w:rsidR="007A089C" w:rsidRDefault="00247E7E" w:rsidP="004D3451">
      <w:pPr>
        <w:pStyle w:val="Bullets"/>
      </w:pPr>
      <w:r>
        <w:t xml:space="preserve">Stakeholders raised a concern that the specification for the indicator states that it will be counted as an offer if an eligible person attends a walk-in </w:t>
      </w:r>
      <w:proofErr w:type="gramStart"/>
      <w:r>
        <w:t xml:space="preserve">clinic, </w:t>
      </w:r>
      <w:r w:rsidR="004741B9">
        <w:t>when</w:t>
      </w:r>
      <w:proofErr w:type="gramEnd"/>
      <w:r>
        <w:t xml:space="preserve"> they might not be attending for diabetes-related care or offered screening</w:t>
      </w:r>
      <w:r w:rsidR="004741B9">
        <w:t xml:space="preserve"> at the clinic</w:t>
      </w:r>
      <w:r>
        <w:t>.</w:t>
      </w:r>
    </w:p>
    <w:p w14:paraId="2316D63B" w14:textId="2DE7962F" w:rsidR="00247E7E" w:rsidRDefault="00247E7E" w:rsidP="004D3451">
      <w:pPr>
        <w:pStyle w:val="Bullets"/>
      </w:pPr>
      <w:r>
        <w:t xml:space="preserve">Stakeholders highlighted that </w:t>
      </w:r>
      <w:r w:rsidRPr="00247E7E">
        <w:t>screening for diabetic retinopathy in ophthalmology is often done as part of normal clinical investigations to detect eye disease</w:t>
      </w:r>
      <w:r>
        <w:t>.</w:t>
      </w:r>
    </w:p>
    <w:p w14:paraId="287960D1" w14:textId="182D4755" w:rsidR="00077682" w:rsidRDefault="00077682" w:rsidP="004D3451">
      <w:pPr>
        <w:pStyle w:val="Bullets"/>
      </w:pPr>
      <w:r>
        <w:t xml:space="preserve">Stakeholders mentioned that </w:t>
      </w:r>
      <w:r w:rsidRPr="00077682">
        <w:t xml:space="preserve">the screening provider holds the data relating to diabetic eye screening at a CCG </w:t>
      </w:r>
      <w:proofErr w:type="gramStart"/>
      <w:r w:rsidRPr="00077682">
        <w:t>level</w:t>
      </w:r>
      <w:proofErr w:type="gramEnd"/>
      <w:r w:rsidRPr="00077682">
        <w:t xml:space="preserve"> but it is not included in </w:t>
      </w:r>
      <w:r w:rsidRPr="00077682">
        <w:lastRenderedPageBreak/>
        <w:t>the National Diabetes Audit results</w:t>
      </w:r>
      <w:r>
        <w:t xml:space="preserve">. They suggested that, as </w:t>
      </w:r>
      <w:r w:rsidRPr="00077682">
        <w:t>the CCG does not receive this information directly</w:t>
      </w:r>
      <w:r>
        <w:t xml:space="preserve">, </w:t>
      </w:r>
      <w:r w:rsidRPr="00077682">
        <w:t>the data source would need to be identified and appropriate governance procedures followed in implementing th</w:t>
      </w:r>
      <w:r>
        <w:t>e</w:t>
      </w:r>
      <w:r w:rsidRPr="00077682">
        <w:t xml:space="preserve"> indicator.</w:t>
      </w:r>
    </w:p>
    <w:p w14:paraId="1C163BF5" w14:textId="2565A979" w:rsidR="00077682" w:rsidRDefault="00077682" w:rsidP="004D3451">
      <w:pPr>
        <w:pStyle w:val="Bullets"/>
      </w:pPr>
      <w:r>
        <w:t xml:space="preserve">A differential impact raised was that the indicator </w:t>
      </w:r>
      <w:r w:rsidRPr="00077682">
        <w:t>might help to highlight different groups not obvious at a practice level and assist in reducing health inequalities</w:t>
      </w:r>
      <w:r>
        <w:t>.</w:t>
      </w:r>
    </w:p>
    <w:p w14:paraId="31B5C946" w14:textId="713CF3E5" w:rsidR="00247E7E" w:rsidRDefault="00077682" w:rsidP="004D3451">
      <w:pPr>
        <w:pStyle w:val="Bullets"/>
      </w:pPr>
      <w:r>
        <w:t xml:space="preserve">One stakeholder </w:t>
      </w:r>
      <w:r w:rsidR="007C39F8">
        <w:t xml:space="preserve">questioned the focus on annual screening (NHSEI are potentially extending the interval to 2 years: </w:t>
      </w:r>
      <w:hyperlink r:id="rId28" w:history="1">
        <w:r w:rsidR="007C39F8" w:rsidRPr="002E4C33">
          <w:rPr>
            <w:rStyle w:val="Hyperlink"/>
          </w:rPr>
          <w:t>ht</w:t>
        </w:r>
      </w:hyperlink>
      <w:hyperlink r:id="rId29" w:history="1">
        <w:r w:rsidR="007C39F8" w:rsidRPr="002E4C33">
          <w:rPr>
            <w:rStyle w:val="Hyperlink"/>
          </w:rPr>
          <w:t>tps://phescreening.blog.gov.uk/2020/01/15/diabetic-eye-extended-screening-intervals-what-information-do-we-really-need/</w:t>
        </w:r>
      </w:hyperlink>
      <w:r w:rsidR="007C39F8">
        <w:rPr>
          <w:rStyle w:val="Hyperlink"/>
        </w:rPr>
        <w:t>)</w:t>
      </w:r>
      <w:r>
        <w:t xml:space="preserve">. </w:t>
      </w:r>
    </w:p>
    <w:p w14:paraId="4F5CB4E9" w14:textId="77777777" w:rsidR="007A089C" w:rsidRPr="004D3451" w:rsidRDefault="007A089C" w:rsidP="004D3451">
      <w:pPr>
        <w:pStyle w:val="Heading2"/>
        <w:rPr>
          <w:b w:val="0"/>
        </w:rPr>
      </w:pPr>
      <w:r w:rsidRPr="004D3451">
        <w:t>Considerations for the advisory committee</w:t>
      </w:r>
    </w:p>
    <w:p w14:paraId="32953825" w14:textId="3AA0740C" w:rsidR="007A089C" w:rsidRDefault="007A089C" w:rsidP="007A089C">
      <w:pPr>
        <w:pStyle w:val="Paragraphnonumbers"/>
      </w:pPr>
      <w:r>
        <w:t>The c</w:t>
      </w:r>
      <w:r w:rsidRPr="00241410">
        <w:t>ommittee is asked to consider:</w:t>
      </w:r>
    </w:p>
    <w:p w14:paraId="11221161" w14:textId="0C5B8B7A" w:rsidR="006D5A38" w:rsidRDefault="006D5A38" w:rsidP="006D5A38">
      <w:pPr>
        <w:pStyle w:val="Bullets"/>
      </w:pPr>
      <w:r>
        <w:t>The acceptability of counting attendance at a walk-in clinic as an offer of an appointment.</w:t>
      </w:r>
    </w:p>
    <w:p w14:paraId="63016C69" w14:textId="0F10A00F" w:rsidR="006D5A38" w:rsidRDefault="006D5A38" w:rsidP="006D5A38">
      <w:pPr>
        <w:pStyle w:val="Bullets"/>
      </w:pPr>
      <w:r>
        <w:t>The indicator is currently valid, but the frequency of screening may need to be amended if there are changes to the recommended interval.</w:t>
      </w:r>
    </w:p>
    <w:p w14:paraId="3890D43D" w14:textId="2161A3A7" w:rsidR="006D5A38" w:rsidRDefault="006D5A38" w:rsidP="006D5A38">
      <w:pPr>
        <w:pStyle w:val="Bullets"/>
      </w:pPr>
      <w:r>
        <w:t>The feasibility of the indicator given potential issues with data sharing between the screening provider and CCGs that could make it difficult to implement.</w:t>
      </w:r>
    </w:p>
    <w:p w14:paraId="53D55562" w14:textId="2AAAEDF9" w:rsidR="007A089C" w:rsidRDefault="007A089C" w:rsidP="007A089C">
      <w:pPr>
        <w:rPr>
          <w:rFonts w:ascii="Arial" w:hAnsi="Arial"/>
          <w:b/>
          <w:bCs/>
          <w:sz w:val="28"/>
          <w:szCs w:val="28"/>
        </w:rPr>
      </w:pPr>
      <w:r>
        <w:rPr>
          <w:sz w:val="28"/>
          <w:szCs w:val="28"/>
        </w:rPr>
        <w:br w:type="page"/>
      </w:r>
    </w:p>
    <w:p w14:paraId="3A396067" w14:textId="10CF9A39" w:rsidR="007A089C" w:rsidRPr="00E8632C" w:rsidRDefault="008D11B5" w:rsidP="004D3451">
      <w:pPr>
        <w:pStyle w:val="Heading1"/>
      </w:pPr>
      <w:bookmarkStart w:id="13" w:name="_Toc72843428"/>
      <w:r w:rsidRPr="008D11B5">
        <w:lastRenderedPageBreak/>
        <w:t>IND 2020-99: Suspended from diabetic eye screening</w:t>
      </w:r>
      <w:bookmarkEnd w:id="13"/>
      <w:r w:rsidR="007A089C">
        <w:t xml:space="preserve"> </w:t>
      </w:r>
    </w:p>
    <w:p w14:paraId="4634140D" w14:textId="34B94AE3" w:rsidR="007A089C" w:rsidRDefault="008D11B5" w:rsidP="008D11B5">
      <w:pPr>
        <w:pStyle w:val="Paragraph"/>
        <w:rPr>
          <w:i/>
        </w:rPr>
      </w:pPr>
      <w:r w:rsidRPr="008D11B5">
        <w:rPr>
          <w:i/>
        </w:rPr>
        <w:t>The proportion of eligible people with diabetes who are suspended from diabetic eye screening due to previous screening results.</w:t>
      </w:r>
      <w:r>
        <w:rPr>
          <w:i/>
        </w:rPr>
        <w:t xml:space="preserve"> </w:t>
      </w:r>
    </w:p>
    <w:p w14:paraId="5889327D" w14:textId="77777777" w:rsidR="003C0BCE" w:rsidRPr="00B14DE2" w:rsidRDefault="003C0BCE" w:rsidP="003C0BCE">
      <w:pPr>
        <w:pStyle w:val="Paragraph"/>
        <w:rPr>
          <w:kern w:val="32"/>
        </w:rPr>
      </w:pPr>
      <w:r>
        <w:rPr>
          <w:kern w:val="32"/>
        </w:rPr>
        <w:t xml:space="preserve">Reporting period: 12 months. </w:t>
      </w:r>
    </w:p>
    <w:p w14:paraId="12DDB7F7" w14:textId="50AD963E" w:rsidR="00D42BE8" w:rsidRPr="00931621" w:rsidRDefault="00D42BE8" w:rsidP="00D42BE8">
      <w:pPr>
        <w:pStyle w:val="Paragraph"/>
        <w:rPr>
          <w:kern w:val="32"/>
        </w:rPr>
      </w:pPr>
      <w:r w:rsidRPr="004D3451">
        <w:rPr>
          <w:kern w:val="32"/>
        </w:rPr>
        <w:t>Indicator type</w:t>
      </w:r>
      <w:r w:rsidR="0077378A" w:rsidRPr="004D3451">
        <w:rPr>
          <w:kern w:val="32"/>
        </w:rPr>
        <w:t xml:space="preserve">: </w:t>
      </w:r>
      <w:r w:rsidRPr="00931621">
        <w:rPr>
          <w:kern w:val="32"/>
        </w:rPr>
        <w:t xml:space="preserve">Clinical Commissioning Group level indicator </w:t>
      </w:r>
    </w:p>
    <w:p w14:paraId="56F21F3F" w14:textId="77777777" w:rsidR="007A089C" w:rsidRPr="004D3451" w:rsidRDefault="007A089C" w:rsidP="004D3451">
      <w:pPr>
        <w:pStyle w:val="Heading2"/>
        <w:rPr>
          <w:b w:val="0"/>
          <w:bCs w:val="0"/>
        </w:rPr>
      </w:pPr>
      <w:r w:rsidRPr="004D3451">
        <w:t>Rationale</w:t>
      </w:r>
    </w:p>
    <w:p w14:paraId="00816E64" w14:textId="77651B8A" w:rsidR="004F60F3" w:rsidRPr="004F60F3" w:rsidRDefault="004F60F3" w:rsidP="004F60F3">
      <w:pPr>
        <w:pStyle w:val="Paragraph"/>
        <w:rPr>
          <w:rFonts w:cs="Arial"/>
        </w:rPr>
      </w:pPr>
      <w:r w:rsidRPr="004F60F3">
        <w:rPr>
          <w:rFonts w:cs="Arial"/>
        </w:rPr>
        <w:t xml:space="preserve">To maximise the impact of the </w:t>
      </w:r>
      <w:r>
        <w:rPr>
          <w:rFonts w:cs="Arial"/>
        </w:rPr>
        <w:t xml:space="preserve">diabetic eye </w:t>
      </w:r>
      <w:r w:rsidRPr="004F60F3">
        <w:rPr>
          <w:rFonts w:cs="Arial"/>
        </w:rPr>
        <w:t>screening programme, all eligible people should be offered an appointment for routine digital screening, unless they are suspended or excluded.</w:t>
      </w:r>
    </w:p>
    <w:p w14:paraId="21A59CA3" w14:textId="7BF17B37" w:rsidR="007A089C" w:rsidRDefault="004F60F3" w:rsidP="004F60F3">
      <w:pPr>
        <w:pStyle w:val="Paragraph"/>
        <w:rPr>
          <w:rFonts w:cs="Arial"/>
        </w:rPr>
      </w:pPr>
      <w:r w:rsidRPr="004F60F3">
        <w:rPr>
          <w:rFonts w:cs="Arial"/>
        </w:rPr>
        <w:t>Monitoring the proportion of suspended and excluded people in the eligible population should help ensure that people are not being suspended or excluded unnecessarily.</w:t>
      </w:r>
      <w:r>
        <w:rPr>
          <w:rFonts w:cs="Arial"/>
        </w:rPr>
        <w:t xml:space="preserve"> </w:t>
      </w:r>
    </w:p>
    <w:p w14:paraId="025E370F" w14:textId="77777777" w:rsidR="00900A2F" w:rsidRDefault="00900A2F" w:rsidP="004D3451">
      <w:pPr>
        <w:pStyle w:val="Heading2"/>
      </w:pPr>
      <w:r>
        <w:t xml:space="preserve">Specification </w:t>
      </w:r>
    </w:p>
    <w:p w14:paraId="571954DC" w14:textId="0528DE39" w:rsidR="00900A2F" w:rsidRPr="00900A2F" w:rsidRDefault="00900A2F" w:rsidP="00900A2F">
      <w:pPr>
        <w:pStyle w:val="Paragraph"/>
        <w:rPr>
          <w:kern w:val="32"/>
        </w:rPr>
      </w:pPr>
      <w:r w:rsidRPr="00900A2F">
        <w:rPr>
          <w:kern w:val="32"/>
        </w:rPr>
        <w:t>Numerator: number of eligible people with diabetes who are suspended from diabetic eye screening due to previous screening results on the final day of the reporting period.</w:t>
      </w:r>
    </w:p>
    <w:p w14:paraId="19AE7F54" w14:textId="40C51394" w:rsidR="00900A2F" w:rsidRPr="004D3451" w:rsidRDefault="00900A2F" w:rsidP="00900A2F">
      <w:pPr>
        <w:pStyle w:val="Paragraph"/>
        <w:rPr>
          <w:kern w:val="32"/>
        </w:rPr>
      </w:pPr>
      <w:r w:rsidRPr="00900A2F">
        <w:rPr>
          <w:kern w:val="32"/>
        </w:rPr>
        <w:t>Denominator: number of eligible people with diabetes on the final day of the reporting period.</w:t>
      </w:r>
    </w:p>
    <w:p w14:paraId="6976F081" w14:textId="7372E455" w:rsidR="007A089C" w:rsidRPr="004D3451" w:rsidRDefault="007A089C" w:rsidP="004D3451">
      <w:pPr>
        <w:pStyle w:val="Heading2"/>
        <w:rPr>
          <w:b w:val="0"/>
          <w:bCs w:val="0"/>
        </w:rPr>
      </w:pPr>
      <w:r w:rsidRPr="004D3451">
        <w:t>Summary of consultation comments</w:t>
      </w:r>
    </w:p>
    <w:p w14:paraId="6D093EF0" w14:textId="435EE85F" w:rsidR="006B31F4" w:rsidRPr="004D3451" w:rsidRDefault="006B31F4" w:rsidP="004D3451">
      <w:pPr>
        <w:pStyle w:val="Paragraph"/>
        <w:rPr>
          <w:b/>
          <w:bCs/>
          <w:kern w:val="32"/>
        </w:rPr>
      </w:pPr>
      <w:r>
        <w:t>Stakeholders made the following comments in relation to IND2020-99:</w:t>
      </w:r>
    </w:p>
    <w:p w14:paraId="12F57628" w14:textId="2C73AEE5" w:rsidR="007A089C" w:rsidRDefault="00B9786C" w:rsidP="004D3451">
      <w:pPr>
        <w:pStyle w:val="Bullets"/>
      </w:pPr>
      <w:r>
        <w:t>Stakeholders supported this indicator as a way of ensuring quality assurance</w:t>
      </w:r>
      <w:r w:rsidR="00F76B54">
        <w:t xml:space="preserve"> and identifying variation between units and screening areas</w:t>
      </w:r>
      <w:r>
        <w:t>.</w:t>
      </w:r>
    </w:p>
    <w:p w14:paraId="5BA3DA8E" w14:textId="4872DA28" w:rsidR="00501034" w:rsidRDefault="00F76B54" w:rsidP="004D3451">
      <w:pPr>
        <w:pStyle w:val="Bullets"/>
      </w:pPr>
      <w:r>
        <w:t>Stakeholders highlighted that this information is not currently</w:t>
      </w:r>
      <w:r w:rsidR="00386B23">
        <w:t xml:space="preserve"> made publicly</w:t>
      </w:r>
      <w:r>
        <w:t xml:space="preserve"> available. </w:t>
      </w:r>
    </w:p>
    <w:p w14:paraId="33C22189" w14:textId="5BB16C51" w:rsidR="00F76B54" w:rsidRDefault="00501034" w:rsidP="004D3451">
      <w:pPr>
        <w:pStyle w:val="Bullets"/>
      </w:pPr>
      <w:r>
        <w:t>Stakeholders mentioned that appropriate</w:t>
      </w:r>
      <w:r w:rsidR="00F76B54">
        <w:t xml:space="preserve"> record</w:t>
      </w:r>
      <w:r>
        <w:t>ing of people</w:t>
      </w:r>
      <w:r w:rsidR="00F76B54">
        <w:t xml:space="preserve"> as suspended could depend on </w:t>
      </w:r>
      <w:r w:rsidR="00F76B54" w:rsidRPr="00F76B54">
        <w:t>the provider receiving relevant information from the treating eye unit/hospital ophthalmology department</w:t>
      </w:r>
      <w:r>
        <w:t>.</w:t>
      </w:r>
    </w:p>
    <w:p w14:paraId="565297AE" w14:textId="77777777" w:rsidR="00F76B54" w:rsidRDefault="00F76B54" w:rsidP="004D3451">
      <w:pPr>
        <w:pStyle w:val="Bullets"/>
      </w:pPr>
      <w:r>
        <w:t xml:space="preserve">Stakeholders raised the potential for this indicator to </w:t>
      </w:r>
      <w:r w:rsidRPr="00F76B54">
        <w:t xml:space="preserve">reduce the number of patients being invited for eye screening when they have been suspended whilst undergoing treatment and the screening provider has not been informed. </w:t>
      </w:r>
    </w:p>
    <w:p w14:paraId="49560D51" w14:textId="221F5835" w:rsidR="00F76B54" w:rsidRDefault="00F76B54" w:rsidP="004D3451">
      <w:pPr>
        <w:pStyle w:val="Bullets"/>
      </w:pPr>
      <w:r>
        <w:t>Stakeholders felt that t</w:t>
      </w:r>
      <w:r w:rsidRPr="00F76B54">
        <w:t>his</w:t>
      </w:r>
      <w:r>
        <w:t xml:space="preserve"> indicator</w:t>
      </w:r>
      <w:r w:rsidRPr="00F76B54">
        <w:t xml:space="preserve"> could reduce the number of appointments that individuals are asked to attend and improve patient flow for the service</w:t>
      </w:r>
      <w:r>
        <w:t>.</w:t>
      </w:r>
    </w:p>
    <w:p w14:paraId="43666A49" w14:textId="514153FD" w:rsidR="00F76B54" w:rsidRDefault="00F76B54" w:rsidP="004D3451">
      <w:pPr>
        <w:pStyle w:val="Bullets"/>
      </w:pPr>
      <w:r>
        <w:lastRenderedPageBreak/>
        <w:t>Stakeholders stated that it was difficult to assess whether this indicator has the potential for differential impact</w:t>
      </w:r>
      <w:r w:rsidR="00D652B7">
        <w:t xml:space="preserve"> on protected groups</w:t>
      </w:r>
      <w:r>
        <w:t>.</w:t>
      </w:r>
    </w:p>
    <w:p w14:paraId="1A3DF078" w14:textId="4744802A" w:rsidR="00F76B54" w:rsidRDefault="00F76B54" w:rsidP="004D3451">
      <w:pPr>
        <w:pStyle w:val="Bullets"/>
      </w:pPr>
      <w:r>
        <w:t xml:space="preserve">A potential adverse impact was raised around the </w:t>
      </w:r>
      <w:r w:rsidR="00501034">
        <w:t>need for</w:t>
      </w:r>
      <w:r>
        <w:t xml:space="preserve"> clear communication that an individual needs to re-join the screening programme when they have completed treatment, and that </w:t>
      </w:r>
      <w:r w:rsidR="00501034">
        <w:t>there might be an issue</w:t>
      </w:r>
      <w:r>
        <w:t xml:space="preserve"> for groups where English is not their first language.</w:t>
      </w:r>
    </w:p>
    <w:p w14:paraId="0FFD734C" w14:textId="77777777" w:rsidR="007A089C" w:rsidRPr="004D3451" w:rsidRDefault="007A089C" w:rsidP="004D3451">
      <w:pPr>
        <w:pStyle w:val="Heading2"/>
        <w:rPr>
          <w:b w:val="0"/>
        </w:rPr>
      </w:pPr>
      <w:r w:rsidRPr="004D3451">
        <w:t>Considerations for the advisory committee</w:t>
      </w:r>
    </w:p>
    <w:p w14:paraId="093CD865" w14:textId="0B4007AD" w:rsidR="007A089C" w:rsidRDefault="007A089C" w:rsidP="007A089C">
      <w:pPr>
        <w:pStyle w:val="Paragraphnonumbers"/>
      </w:pPr>
      <w:r>
        <w:t>The c</w:t>
      </w:r>
      <w:r w:rsidRPr="00241410">
        <w:t>ommittee is asked to consider:</w:t>
      </w:r>
    </w:p>
    <w:p w14:paraId="219B8FE6" w14:textId="463E034D" w:rsidR="006D5A38" w:rsidRDefault="006D5A38" w:rsidP="006D5A38">
      <w:pPr>
        <w:pStyle w:val="Bullets"/>
      </w:pPr>
      <w:r>
        <w:t xml:space="preserve">The feasibility of indicator given potential data sharing issues between services that could cause issues with implementing this indicator. </w:t>
      </w:r>
    </w:p>
    <w:p w14:paraId="3273245B" w14:textId="3E4807BC" w:rsidR="006D5A38" w:rsidRDefault="006D5A38" w:rsidP="006D5A38">
      <w:pPr>
        <w:pStyle w:val="Bullets"/>
      </w:pPr>
      <w:r>
        <w:t>How the results of this indicator should be used.</w:t>
      </w:r>
    </w:p>
    <w:p w14:paraId="6A17BA74" w14:textId="77777777" w:rsidR="007A089C" w:rsidRDefault="007A089C" w:rsidP="007A089C">
      <w:pPr>
        <w:rPr>
          <w:rFonts w:ascii="Arial" w:hAnsi="Arial"/>
          <w:b/>
          <w:bCs/>
          <w:sz w:val="28"/>
          <w:szCs w:val="28"/>
        </w:rPr>
      </w:pPr>
      <w:r>
        <w:rPr>
          <w:sz w:val="28"/>
          <w:szCs w:val="28"/>
        </w:rPr>
        <w:br w:type="page"/>
      </w:r>
    </w:p>
    <w:p w14:paraId="2B58F2B2" w14:textId="26D14E8C" w:rsidR="007A089C" w:rsidRPr="00E8632C" w:rsidRDefault="008D11B5" w:rsidP="004D3451">
      <w:pPr>
        <w:pStyle w:val="Heading1"/>
      </w:pPr>
      <w:bookmarkStart w:id="14" w:name="_Toc72843429"/>
      <w:r w:rsidRPr="008D11B5">
        <w:lastRenderedPageBreak/>
        <w:t>IND 2020-100: Excluded from diabetic eye screening</w:t>
      </w:r>
      <w:bookmarkEnd w:id="14"/>
      <w:r w:rsidR="007A089C">
        <w:t xml:space="preserve"> </w:t>
      </w:r>
    </w:p>
    <w:p w14:paraId="0E63687D" w14:textId="41DF8575" w:rsidR="007A089C" w:rsidRDefault="008D11B5" w:rsidP="008D11B5">
      <w:pPr>
        <w:pStyle w:val="Paragraph"/>
        <w:rPr>
          <w:i/>
        </w:rPr>
      </w:pPr>
      <w:r w:rsidRPr="008D11B5">
        <w:rPr>
          <w:i/>
        </w:rPr>
        <w:t>The proportion of eligible people with diabetes who are excluded from diabetic eye screening as they have opted out or are classed as medically unfit.</w:t>
      </w:r>
      <w:r>
        <w:rPr>
          <w:i/>
        </w:rPr>
        <w:t xml:space="preserve"> </w:t>
      </w:r>
    </w:p>
    <w:p w14:paraId="370FA4A8" w14:textId="414F4266" w:rsidR="003C0BCE" w:rsidRPr="00CB1FAE" w:rsidRDefault="003C0BCE" w:rsidP="008D11B5">
      <w:pPr>
        <w:pStyle w:val="Paragraph"/>
        <w:rPr>
          <w:kern w:val="32"/>
        </w:rPr>
      </w:pPr>
      <w:r>
        <w:rPr>
          <w:kern w:val="32"/>
        </w:rPr>
        <w:t xml:space="preserve">Reporting period: 12 months. </w:t>
      </w:r>
    </w:p>
    <w:p w14:paraId="66CE694D" w14:textId="25897B54" w:rsidR="00D42BE8" w:rsidRPr="00931621" w:rsidRDefault="00D42BE8" w:rsidP="00D42BE8">
      <w:pPr>
        <w:pStyle w:val="Paragraph"/>
        <w:rPr>
          <w:kern w:val="32"/>
        </w:rPr>
      </w:pPr>
      <w:r w:rsidRPr="004D3451">
        <w:rPr>
          <w:kern w:val="32"/>
        </w:rPr>
        <w:t>Indicator type</w:t>
      </w:r>
      <w:r w:rsidR="0077378A" w:rsidRPr="004D3451">
        <w:rPr>
          <w:kern w:val="32"/>
        </w:rPr>
        <w:t xml:space="preserve">: </w:t>
      </w:r>
      <w:r w:rsidRPr="0077378A">
        <w:rPr>
          <w:kern w:val="32"/>
        </w:rPr>
        <w:t>Clinical</w:t>
      </w:r>
      <w:r w:rsidRPr="00931621">
        <w:rPr>
          <w:kern w:val="32"/>
        </w:rPr>
        <w:t xml:space="preserve"> Commissioning Group level indicator </w:t>
      </w:r>
    </w:p>
    <w:p w14:paraId="16AC4460" w14:textId="77777777" w:rsidR="007A089C" w:rsidRPr="004D3451" w:rsidRDefault="007A089C" w:rsidP="004D3451">
      <w:pPr>
        <w:pStyle w:val="Heading2"/>
        <w:rPr>
          <w:b w:val="0"/>
          <w:bCs w:val="0"/>
        </w:rPr>
      </w:pPr>
      <w:r w:rsidRPr="004D3451">
        <w:t>Rationale</w:t>
      </w:r>
    </w:p>
    <w:p w14:paraId="6FC4862C" w14:textId="77777777" w:rsidR="004F60F3" w:rsidRPr="004F60F3" w:rsidRDefault="004F60F3" w:rsidP="004F60F3">
      <w:pPr>
        <w:pStyle w:val="Paragraph"/>
        <w:rPr>
          <w:rFonts w:cs="Arial"/>
        </w:rPr>
      </w:pPr>
      <w:r w:rsidRPr="004F60F3">
        <w:rPr>
          <w:rFonts w:cs="Arial"/>
        </w:rPr>
        <w:t xml:space="preserve">To maximise the impact of the </w:t>
      </w:r>
      <w:r>
        <w:rPr>
          <w:rFonts w:cs="Arial"/>
        </w:rPr>
        <w:t xml:space="preserve">diabetic eye </w:t>
      </w:r>
      <w:r w:rsidRPr="004F60F3">
        <w:rPr>
          <w:rFonts w:cs="Arial"/>
        </w:rPr>
        <w:t>screening programme, all eligible people should be offered an appointment for routine digital screening, unless they are suspended or excluded.</w:t>
      </w:r>
    </w:p>
    <w:p w14:paraId="615C36F9" w14:textId="77777777" w:rsidR="004F60F3" w:rsidRDefault="004F60F3" w:rsidP="004F60F3">
      <w:pPr>
        <w:pStyle w:val="Paragraph"/>
        <w:rPr>
          <w:rFonts w:cs="Arial"/>
        </w:rPr>
      </w:pPr>
      <w:r w:rsidRPr="004F60F3">
        <w:rPr>
          <w:rFonts w:cs="Arial"/>
        </w:rPr>
        <w:t>Monitoring the proportion of suspended and excluded people in the eligible population should help ensure that people are not being suspended or excluded unnecessarily.</w:t>
      </w:r>
      <w:r>
        <w:rPr>
          <w:rFonts w:cs="Arial"/>
        </w:rPr>
        <w:t xml:space="preserve"> </w:t>
      </w:r>
    </w:p>
    <w:p w14:paraId="30DE3FA7" w14:textId="0986B1F3" w:rsidR="00900A2F" w:rsidRDefault="00900A2F" w:rsidP="004D3451">
      <w:pPr>
        <w:pStyle w:val="Heading2"/>
      </w:pPr>
      <w:r>
        <w:t xml:space="preserve">Specification </w:t>
      </w:r>
    </w:p>
    <w:p w14:paraId="1C00B8B9" w14:textId="5BEE55C3" w:rsidR="00900A2F" w:rsidRPr="00900A2F" w:rsidRDefault="00900A2F" w:rsidP="00900A2F">
      <w:pPr>
        <w:pStyle w:val="Paragraph"/>
        <w:rPr>
          <w:kern w:val="32"/>
        </w:rPr>
      </w:pPr>
      <w:r w:rsidRPr="00900A2F">
        <w:rPr>
          <w:kern w:val="32"/>
        </w:rPr>
        <w:t>Numerator: number of eligible people with diabetes who are excluded from diabetic eye screening as they have opted out or are classed as medically unfit on the final day of the reporting period.</w:t>
      </w:r>
    </w:p>
    <w:p w14:paraId="0F657ED6" w14:textId="33188072" w:rsidR="00900A2F" w:rsidRPr="004D3451" w:rsidRDefault="00900A2F" w:rsidP="00900A2F">
      <w:pPr>
        <w:pStyle w:val="Paragraph"/>
        <w:rPr>
          <w:kern w:val="32"/>
        </w:rPr>
      </w:pPr>
      <w:r w:rsidRPr="00900A2F">
        <w:rPr>
          <w:kern w:val="32"/>
        </w:rPr>
        <w:t>Denominator: number of eligible people with diabetes on the final day of the reporting period.</w:t>
      </w:r>
    </w:p>
    <w:p w14:paraId="3370B06D" w14:textId="638CEFF4" w:rsidR="007A089C" w:rsidRPr="004D3451" w:rsidRDefault="007A089C" w:rsidP="004D3451">
      <w:pPr>
        <w:pStyle w:val="Heading2"/>
        <w:rPr>
          <w:b w:val="0"/>
          <w:bCs w:val="0"/>
        </w:rPr>
      </w:pPr>
      <w:r w:rsidRPr="004D3451">
        <w:t>Summary of consultation comments</w:t>
      </w:r>
    </w:p>
    <w:p w14:paraId="111C4927" w14:textId="77777777" w:rsidR="006B31F4" w:rsidRPr="00AE4CD5" w:rsidRDefault="006B31F4" w:rsidP="006B31F4">
      <w:pPr>
        <w:pStyle w:val="Paragraph"/>
        <w:rPr>
          <w:b/>
          <w:bCs/>
          <w:kern w:val="32"/>
        </w:rPr>
      </w:pPr>
      <w:r>
        <w:t>Stakeholders made the following comments in relation to IND2020-100:</w:t>
      </w:r>
    </w:p>
    <w:p w14:paraId="052D0A89" w14:textId="6B66879C" w:rsidR="007A089C" w:rsidRDefault="00B9786C" w:rsidP="007A089C">
      <w:pPr>
        <w:pStyle w:val="Paragraph"/>
      </w:pPr>
      <w:r>
        <w:rPr>
          <w:rFonts w:cs="Arial"/>
        </w:rPr>
        <w:t>None received.</w:t>
      </w:r>
    </w:p>
    <w:p w14:paraId="31E564CC" w14:textId="77777777" w:rsidR="007A089C" w:rsidRPr="004D3451" w:rsidRDefault="007A089C" w:rsidP="004D3451">
      <w:pPr>
        <w:pStyle w:val="Heading2"/>
        <w:rPr>
          <w:b w:val="0"/>
        </w:rPr>
      </w:pPr>
      <w:r w:rsidRPr="004D3451">
        <w:t>Considerations for the advisory committee</w:t>
      </w:r>
    </w:p>
    <w:p w14:paraId="4858AF2A" w14:textId="06E7F68F" w:rsidR="007A089C" w:rsidRDefault="007A089C" w:rsidP="007A089C">
      <w:pPr>
        <w:pStyle w:val="Paragraphnonumbers"/>
      </w:pPr>
      <w:r>
        <w:t>The c</w:t>
      </w:r>
      <w:r w:rsidRPr="00241410">
        <w:t>ommittee is asked to consider:</w:t>
      </w:r>
    </w:p>
    <w:p w14:paraId="53137EE1" w14:textId="0F2E0BF7" w:rsidR="006D5A38" w:rsidRDefault="006D5A38" w:rsidP="006D5A38">
      <w:pPr>
        <w:pStyle w:val="Bullets"/>
      </w:pPr>
      <w:r>
        <w:t>Should development of this indicator continue?</w:t>
      </w:r>
    </w:p>
    <w:p w14:paraId="0BEA8CC4" w14:textId="7E3482A9" w:rsidR="006D5A38" w:rsidRDefault="006D5A38" w:rsidP="006D5A38">
      <w:pPr>
        <w:pStyle w:val="Bullets"/>
      </w:pPr>
      <w:r>
        <w:t>How the results of this indicator should be used.</w:t>
      </w:r>
    </w:p>
    <w:p w14:paraId="166E5755" w14:textId="3C8B0498" w:rsidR="00DC0A1C" w:rsidRPr="00A71D71" w:rsidRDefault="007A089C" w:rsidP="00CB1FAE">
      <w:pPr>
        <w:rPr>
          <w:rFonts w:ascii="Arial" w:hAnsi="Arial"/>
          <w:b/>
          <w:bCs/>
          <w:kern w:val="32"/>
          <w:sz w:val="28"/>
          <w:szCs w:val="32"/>
        </w:rPr>
        <w:sectPr w:rsidR="00DC0A1C" w:rsidRPr="00A71D71" w:rsidSect="009F1902">
          <w:headerReference w:type="default" r:id="rId30"/>
          <w:footerReference w:type="default" r:id="rId31"/>
          <w:pgSz w:w="11907" w:h="16840" w:code="9"/>
          <w:pgMar w:top="1440" w:right="1440" w:bottom="1440" w:left="1440" w:header="709" w:footer="709" w:gutter="0"/>
          <w:pgNumType w:chapStyle="1"/>
          <w:cols w:space="708"/>
          <w:docGrid w:linePitch="360"/>
        </w:sectPr>
      </w:pPr>
      <w:r w:rsidRPr="008E3EFB">
        <w:rPr>
          <w:sz w:val="28"/>
          <w:szCs w:val="28"/>
        </w:rPr>
        <w:br w:type="page"/>
      </w:r>
    </w:p>
    <w:p w14:paraId="59A8387E" w14:textId="1382D06F" w:rsidR="002B0C24" w:rsidRDefault="00C130C8" w:rsidP="0008363D">
      <w:pPr>
        <w:pStyle w:val="Heading1"/>
      </w:pPr>
      <w:bookmarkStart w:id="15" w:name="_Toc72843430"/>
      <w:r>
        <w:lastRenderedPageBreak/>
        <w:t>Appendix A</w:t>
      </w:r>
      <w:r w:rsidR="00BB716A">
        <w:t>: C</w:t>
      </w:r>
      <w:r>
        <w:t>onsultation comments</w:t>
      </w:r>
      <w:bookmarkEnd w:id="15"/>
      <w:r>
        <w:t xml:space="preserve"> </w:t>
      </w:r>
      <w:bookmarkStart w:id="16" w:name="_Toc418246141"/>
    </w:p>
    <w:p w14:paraId="36FCF134" w14:textId="0D2ED205" w:rsidR="005F1882" w:rsidRPr="003C42C4" w:rsidRDefault="005F1882" w:rsidP="001D2773">
      <w:pPr>
        <w:pStyle w:val="Heading2"/>
      </w:pPr>
      <w:r w:rsidRPr="003C42C4">
        <w:t>General comments</w:t>
      </w:r>
    </w:p>
    <w:tbl>
      <w:tblPr>
        <w:tblStyle w:val="TableGrid"/>
        <w:tblW w:w="5000" w:type="pct"/>
        <w:tblLayout w:type="fixed"/>
        <w:tblLook w:val="04A0" w:firstRow="1" w:lastRow="0" w:firstColumn="1" w:lastColumn="0" w:noHBand="0" w:noVBand="1"/>
        <w:tblCaption w:val="Appendix A - Table of consultation comments - General comments"/>
        <w:tblDescription w:val="A table of the general comments received during the consultation process of the screening indicators"/>
      </w:tblPr>
      <w:tblGrid>
        <w:gridCol w:w="561"/>
        <w:gridCol w:w="1727"/>
        <w:gridCol w:w="8339"/>
        <w:gridCol w:w="3323"/>
      </w:tblGrid>
      <w:tr w:rsidR="00A22B35" w:rsidRPr="00C87A7D" w14:paraId="348F38B1" w14:textId="392C3777" w:rsidTr="00B929DA">
        <w:trPr>
          <w:cantSplit/>
          <w:tblHeader/>
        </w:trPr>
        <w:tc>
          <w:tcPr>
            <w:tcW w:w="201" w:type="pct"/>
            <w:tcBorders>
              <w:bottom w:val="single" w:sz="4" w:space="0" w:color="000000"/>
            </w:tcBorders>
            <w:noWrap/>
            <w:hideMark/>
          </w:tcPr>
          <w:p w14:paraId="258C0ED2" w14:textId="77777777" w:rsidR="00A22B35" w:rsidRPr="00C87A7D" w:rsidRDefault="00A22B35" w:rsidP="00022010">
            <w:pPr>
              <w:spacing w:after="240"/>
              <w:rPr>
                <w:rFonts w:ascii="Arial" w:hAnsi="Arial" w:cs="Arial"/>
                <w:b/>
                <w:sz w:val="22"/>
                <w:szCs w:val="22"/>
                <w:lang w:val="en-US"/>
              </w:rPr>
            </w:pPr>
            <w:r w:rsidRPr="00C87A7D">
              <w:rPr>
                <w:rFonts w:ascii="Arial" w:hAnsi="Arial" w:cs="Arial"/>
                <w:b/>
                <w:sz w:val="22"/>
                <w:szCs w:val="22"/>
                <w:lang w:val="en-US"/>
              </w:rPr>
              <w:t>ID</w:t>
            </w:r>
          </w:p>
        </w:tc>
        <w:tc>
          <w:tcPr>
            <w:tcW w:w="619" w:type="pct"/>
            <w:tcBorders>
              <w:bottom w:val="single" w:sz="4" w:space="0" w:color="000000"/>
            </w:tcBorders>
            <w:noWrap/>
            <w:hideMark/>
          </w:tcPr>
          <w:p w14:paraId="092147FD" w14:textId="77777777" w:rsidR="00A22B35" w:rsidRPr="00A81647" w:rsidRDefault="00A22B35" w:rsidP="00022010">
            <w:pPr>
              <w:spacing w:after="240"/>
              <w:rPr>
                <w:rFonts w:ascii="Arial" w:hAnsi="Arial" w:cs="Arial"/>
                <w:b/>
                <w:sz w:val="22"/>
                <w:szCs w:val="22"/>
                <w:lang w:val="en-US"/>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Borders>
              <w:bottom w:val="single" w:sz="4" w:space="0" w:color="000000"/>
            </w:tcBorders>
            <w:hideMark/>
          </w:tcPr>
          <w:p w14:paraId="5CD36324" w14:textId="77777777" w:rsidR="00A22B35" w:rsidRPr="00C87A7D" w:rsidRDefault="00A22B35" w:rsidP="00022010">
            <w:pPr>
              <w:spacing w:after="240"/>
              <w:rPr>
                <w:rFonts w:ascii="Arial" w:hAnsi="Arial" w:cs="Arial"/>
                <w:b/>
                <w:sz w:val="22"/>
                <w:szCs w:val="22"/>
                <w:lang w:val="en-US"/>
              </w:rPr>
            </w:pPr>
            <w:r w:rsidRPr="00C87A7D">
              <w:rPr>
                <w:rFonts w:ascii="Arial" w:hAnsi="Arial" w:cs="Arial"/>
                <w:b/>
                <w:sz w:val="22"/>
                <w:szCs w:val="22"/>
                <w:lang w:val="en-US"/>
              </w:rPr>
              <w:t>Comment</w:t>
            </w:r>
          </w:p>
        </w:tc>
        <w:tc>
          <w:tcPr>
            <w:tcW w:w="1191" w:type="pct"/>
            <w:tcBorders>
              <w:bottom w:val="single" w:sz="4" w:space="0" w:color="000000"/>
            </w:tcBorders>
          </w:tcPr>
          <w:p w14:paraId="705893AA" w14:textId="7E5728E7" w:rsidR="00A22B35" w:rsidRPr="00C87A7D" w:rsidRDefault="00A22B35" w:rsidP="00022010">
            <w:pPr>
              <w:spacing w:after="240"/>
              <w:rPr>
                <w:rFonts w:ascii="Arial" w:hAnsi="Arial" w:cs="Arial"/>
                <w:b/>
                <w:sz w:val="22"/>
                <w:szCs w:val="22"/>
                <w:lang w:val="en-US"/>
              </w:rPr>
            </w:pPr>
            <w:r>
              <w:rPr>
                <w:rFonts w:ascii="Arial" w:hAnsi="Arial" w:cs="Arial"/>
                <w:b/>
                <w:sz w:val="22"/>
                <w:szCs w:val="22"/>
                <w:lang w:val="en-US"/>
              </w:rPr>
              <w:t>NICE Response</w:t>
            </w:r>
          </w:p>
        </w:tc>
      </w:tr>
      <w:tr w:rsidR="003D0277" w:rsidRPr="00C87A7D" w14:paraId="1696AF58" w14:textId="1125CCE2" w:rsidTr="00D304C3">
        <w:trPr>
          <w:cantSplit/>
          <w:trHeight w:val="2997"/>
        </w:trPr>
        <w:tc>
          <w:tcPr>
            <w:tcW w:w="201" w:type="pct"/>
            <w:tcBorders>
              <w:right w:val="single" w:sz="4" w:space="0" w:color="auto"/>
            </w:tcBorders>
            <w:shd w:val="clear" w:color="auto" w:fill="auto"/>
          </w:tcPr>
          <w:p w14:paraId="757EA541" w14:textId="0765B359" w:rsidR="003D0277" w:rsidRPr="00A81647" w:rsidRDefault="003D0277" w:rsidP="0008363D">
            <w:pPr>
              <w:spacing w:after="240"/>
              <w:rPr>
                <w:rFonts w:ascii="Arial" w:hAnsi="Arial" w:cs="Arial"/>
                <w:b/>
                <w:sz w:val="22"/>
                <w:szCs w:val="22"/>
              </w:rPr>
            </w:pPr>
            <w:r w:rsidRPr="0008363D">
              <w:rPr>
                <w:rFonts w:ascii="Arial" w:hAnsi="Arial" w:cs="Arial"/>
                <w:bCs/>
                <w:sz w:val="22"/>
                <w:szCs w:val="22"/>
                <w:lang w:val="en-US"/>
              </w:rPr>
              <w:t>1</w:t>
            </w:r>
          </w:p>
        </w:tc>
        <w:tc>
          <w:tcPr>
            <w:tcW w:w="619" w:type="pct"/>
            <w:tcBorders>
              <w:left w:val="single" w:sz="4" w:space="0" w:color="auto"/>
              <w:right w:val="single" w:sz="4" w:space="0" w:color="auto"/>
            </w:tcBorders>
            <w:shd w:val="clear" w:color="auto" w:fill="auto"/>
          </w:tcPr>
          <w:p w14:paraId="725033D8" w14:textId="1C684F76" w:rsidR="003D0277" w:rsidRPr="00A81647" w:rsidRDefault="003D0277" w:rsidP="00022010">
            <w:pPr>
              <w:spacing w:after="240"/>
              <w:rPr>
                <w:rFonts w:ascii="Arial" w:hAnsi="Arial" w:cs="Arial"/>
                <w:b/>
                <w:sz w:val="22"/>
                <w:szCs w:val="22"/>
              </w:rPr>
            </w:pPr>
            <w:proofErr w:type="spellStart"/>
            <w:r w:rsidRPr="00D74341">
              <w:rPr>
                <w:rFonts w:ascii="Arial" w:hAnsi="Arial" w:cs="Arial"/>
                <w:bCs/>
                <w:sz w:val="22"/>
                <w:szCs w:val="22"/>
                <w:lang w:val="en-US"/>
              </w:rPr>
              <w:t>ArchAngel</w:t>
            </w:r>
            <w:proofErr w:type="spellEnd"/>
            <w:r w:rsidRPr="00D74341">
              <w:rPr>
                <w:rFonts w:ascii="Arial" w:hAnsi="Arial" w:cs="Arial"/>
                <w:bCs/>
                <w:sz w:val="22"/>
                <w:szCs w:val="22"/>
                <w:lang w:val="en-US"/>
              </w:rPr>
              <w:t xml:space="preserve"> MLD Trust</w:t>
            </w:r>
          </w:p>
        </w:tc>
        <w:tc>
          <w:tcPr>
            <w:tcW w:w="2989" w:type="pct"/>
            <w:tcBorders>
              <w:left w:val="single" w:sz="4" w:space="0" w:color="auto"/>
            </w:tcBorders>
            <w:shd w:val="clear" w:color="auto" w:fill="auto"/>
          </w:tcPr>
          <w:p w14:paraId="031F5002" w14:textId="77777777" w:rsidR="003D0277" w:rsidRPr="00C87A7D" w:rsidRDefault="003D0277" w:rsidP="00022010">
            <w:pPr>
              <w:spacing w:after="240"/>
              <w:rPr>
                <w:rFonts w:ascii="Arial" w:hAnsi="Arial" w:cs="Arial"/>
                <w:bCs/>
                <w:sz w:val="22"/>
                <w:szCs w:val="22"/>
                <w:lang w:val="en-US"/>
              </w:rPr>
            </w:pPr>
            <w:r w:rsidRPr="00C87A7D">
              <w:rPr>
                <w:rFonts w:ascii="Arial" w:hAnsi="Arial" w:cs="Arial"/>
                <w:bCs/>
                <w:sz w:val="22"/>
                <w:szCs w:val="22"/>
                <w:lang w:val="en-US"/>
              </w:rPr>
              <w:t xml:space="preserve">Please note that Indicators in respect of physical examination and dysplasia of the hip and diabetic eye screening are not within our field of expertise and therefore it is not appropriate for us to comment. </w:t>
            </w:r>
          </w:p>
          <w:p w14:paraId="634D1525" w14:textId="77777777" w:rsidR="003D0277" w:rsidRPr="00C87A7D" w:rsidRDefault="003D0277" w:rsidP="00022010">
            <w:pPr>
              <w:spacing w:after="240"/>
              <w:rPr>
                <w:rFonts w:ascii="Arial" w:hAnsi="Arial" w:cs="Arial"/>
                <w:bCs/>
                <w:sz w:val="22"/>
                <w:szCs w:val="22"/>
                <w:lang w:val="en-US"/>
              </w:rPr>
            </w:pPr>
            <w:r w:rsidRPr="00C87A7D">
              <w:rPr>
                <w:rFonts w:ascii="Arial" w:hAnsi="Arial" w:cs="Arial"/>
                <w:bCs/>
                <w:sz w:val="22"/>
                <w:szCs w:val="22"/>
                <w:lang w:val="en-US"/>
              </w:rPr>
              <w:t>Please also note that in the time available we have not had the opportunity to consult with colleagues in the patient organisations to check if identification of dysplasia of the hip is an early indication in the diagnosis of a rare disorder (</w:t>
            </w:r>
            <w:proofErr w:type="gramStart"/>
            <w:r w:rsidRPr="00C87A7D">
              <w:rPr>
                <w:rFonts w:ascii="Arial" w:hAnsi="Arial" w:cs="Arial"/>
                <w:bCs/>
                <w:sz w:val="22"/>
                <w:szCs w:val="22"/>
                <w:lang w:val="en-US"/>
              </w:rPr>
              <w:t>i.e.</w:t>
            </w:r>
            <w:proofErr w:type="gramEnd"/>
            <w:r w:rsidRPr="00C87A7D">
              <w:rPr>
                <w:rFonts w:ascii="Arial" w:hAnsi="Arial" w:cs="Arial"/>
                <w:bCs/>
                <w:sz w:val="22"/>
                <w:szCs w:val="22"/>
                <w:lang w:val="en-US"/>
              </w:rPr>
              <w:t xml:space="preserve"> where NBS is not available for that disease).  If this was the </w:t>
            </w:r>
            <w:proofErr w:type="gramStart"/>
            <w:r w:rsidRPr="00C87A7D">
              <w:rPr>
                <w:rFonts w:ascii="Arial" w:hAnsi="Arial" w:cs="Arial"/>
                <w:bCs/>
                <w:sz w:val="22"/>
                <w:szCs w:val="22"/>
                <w:lang w:val="en-US"/>
              </w:rPr>
              <w:t>case</w:t>
            </w:r>
            <w:proofErr w:type="gramEnd"/>
            <w:r w:rsidRPr="00C87A7D">
              <w:rPr>
                <w:rFonts w:ascii="Arial" w:hAnsi="Arial" w:cs="Arial"/>
                <w:bCs/>
                <w:sz w:val="22"/>
                <w:szCs w:val="22"/>
                <w:lang w:val="en-US"/>
              </w:rPr>
              <w:t xml:space="preserve"> then we might wish to give further consideration to the impact of a proposed NICE CCG indicator.</w:t>
            </w:r>
          </w:p>
          <w:p w14:paraId="224CB9B4" w14:textId="1F312408" w:rsidR="003D0277" w:rsidRPr="00A81647" w:rsidRDefault="003D0277" w:rsidP="00022010">
            <w:pPr>
              <w:spacing w:after="240"/>
              <w:rPr>
                <w:rFonts w:ascii="Arial" w:hAnsi="Arial" w:cs="Arial"/>
                <w:b/>
                <w:sz w:val="22"/>
                <w:szCs w:val="22"/>
              </w:rPr>
            </w:pPr>
            <w:proofErr w:type="gramStart"/>
            <w:r w:rsidRPr="00C87A7D">
              <w:rPr>
                <w:rFonts w:ascii="Arial" w:hAnsi="Arial" w:cs="Arial"/>
                <w:bCs/>
                <w:sz w:val="22"/>
                <w:szCs w:val="22"/>
                <w:lang w:val="en-US"/>
              </w:rPr>
              <w:t>Consequently</w:t>
            </w:r>
            <w:proofErr w:type="gramEnd"/>
            <w:r w:rsidRPr="00C87A7D">
              <w:rPr>
                <w:rFonts w:ascii="Arial" w:hAnsi="Arial" w:cs="Arial"/>
                <w:bCs/>
                <w:sz w:val="22"/>
                <w:szCs w:val="22"/>
                <w:lang w:val="en-US"/>
              </w:rPr>
              <w:t xml:space="preserve"> our comments are on the Newborn Bloodspot Testing Areas.</w:t>
            </w:r>
          </w:p>
        </w:tc>
        <w:tc>
          <w:tcPr>
            <w:tcW w:w="1191" w:type="pct"/>
            <w:shd w:val="clear" w:color="auto" w:fill="auto"/>
          </w:tcPr>
          <w:p w14:paraId="7231B1C5" w14:textId="1C1134D7" w:rsidR="003D0277" w:rsidRPr="00A81647" w:rsidRDefault="003D0277" w:rsidP="00022010">
            <w:pPr>
              <w:spacing w:after="240"/>
              <w:rPr>
                <w:rFonts w:ascii="Arial" w:hAnsi="Arial" w:cs="Arial"/>
                <w:b/>
                <w:sz w:val="22"/>
                <w:szCs w:val="22"/>
              </w:rPr>
            </w:pPr>
            <w:r>
              <w:rPr>
                <w:rFonts w:ascii="Arial" w:hAnsi="Arial" w:cs="Arial"/>
                <w:bCs/>
                <w:sz w:val="22"/>
                <w:szCs w:val="22"/>
                <w:lang w:val="en-US"/>
              </w:rPr>
              <w:t>Thank you for clarifying the focus of your comments.</w:t>
            </w:r>
          </w:p>
        </w:tc>
      </w:tr>
      <w:tr w:rsidR="00A22B35" w:rsidRPr="00C87A7D" w14:paraId="3598698E" w14:textId="1A748AAA" w:rsidTr="00B929DA">
        <w:trPr>
          <w:cantSplit/>
          <w:tblHeader/>
        </w:trPr>
        <w:tc>
          <w:tcPr>
            <w:tcW w:w="201" w:type="pct"/>
            <w:noWrap/>
            <w:vAlign w:val="center"/>
          </w:tcPr>
          <w:p w14:paraId="19563E53" w14:textId="4C0B283C"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t>2</w:t>
            </w:r>
          </w:p>
        </w:tc>
        <w:tc>
          <w:tcPr>
            <w:tcW w:w="619" w:type="pct"/>
            <w:noWrap/>
          </w:tcPr>
          <w:p w14:paraId="1CA1B04D"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lang w:val="en-US"/>
              </w:rPr>
              <w:t xml:space="preserve">British Society for </w:t>
            </w:r>
            <w:proofErr w:type="spellStart"/>
            <w:r w:rsidRPr="00D74341">
              <w:rPr>
                <w:rFonts w:ascii="Arial" w:hAnsi="Arial" w:cs="Arial"/>
                <w:bCs/>
                <w:sz w:val="22"/>
                <w:szCs w:val="22"/>
                <w:lang w:val="en-US"/>
              </w:rPr>
              <w:t>Paediatric</w:t>
            </w:r>
            <w:proofErr w:type="spellEnd"/>
            <w:r w:rsidRPr="00D74341">
              <w:rPr>
                <w:rFonts w:ascii="Arial" w:hAnsi="Arial" w:cs="Arial"/>
                <w:bCs/>
                <w:sz w:val="22"/>
                <w:szCs w:val="22"/>
                <w:lang w:val="en-US"/>
              </w:rPr>
              <w:t xml:space="preserve"> Endocrinology and Diabetes (BSPED)</w:t>
            </w:r>
          </w:p>
        </w:tc>
        <w:tc>
          <w:tcPr>
            <w:tcW w:w="2989" w:type="pct"/>
          </w:tcPr>
          <w:p w14:paraId="01F52BA7" w14:textId="77777777" w:rsidR="00A22B35" w:rsidRPr="0008363D" w:rsidRDefault="00A22B35" w:rsidP="00022010">
            <w:pPr>
              <w:spacing w:after="240"/>
              <w:rPr>
                <w:rFonts w:ascii="Arial" w:hAnsi="Arial" w:cs="Arial"/>
                <w:bCs/>
                <w:sz w:val="22"/>
                <w:szCs w:val="22"/>
                <w:lang w:val="en-US"/>
              </w:rPr>
            </w:pPr>
            <w:r w:rsidRPr="0008363D">
              <w:rPr>
                <w:rFonts w:ascii="Arial" w:hAnsi="Arial" w:cs="Arial"/>
                <w:bCs/>
                <w:sz w:val="22"/>
                <w:szCs w:val="22"/>
                <w:lang w:val="en-US"/>
              </w:rPr>
              <w:t>No comment.</w:t>
            </w:r>
          </w:p>
        </w:tc>
        <w:tc>
          <w:tcPr>
            <w:tcW w:w="1191" w:type="pct"/>
          </w:tcPr>
          <w:p w14:paraId="03F860D8" w14:textId="36174CCF" w:rsidR="00A22B35" w:rsidRPr="0008363D" w:rsidRDefault="00B929DA" w:rsidP="00022010">
            <w:pPr>
              <w:spacing w:after="240"/>
              <w:rPr>
                <w:rFonts w:ascii="Arial" w:hAnsi="Arial" w:cs="Arial"/>
                <w:bCs/>
                <w:sz w:val="22"/>
                <w:szCs w:val="22"/>
                <w:lang w:val="en-US"/>
              </w:rPr>
            </w:pPr>
            <w:r>
              <w:rPr>
                <w:rFonts w:ascii="Arial" w:hAnsi="Arial" w:cs="Arial"/>
                <w:bCs/>
                <w:sz w:val="22"/>
                <w:szCs w:val="22"/>
                <w:lang w:val="en-US"/>
              </w:rPr>
              <w:t>N/A</w:t>
            </w:r>
          </w:p>
        </w:tc>
      </w:tr>
      <w:tr w:rsidR="00A22B35" w:rsidRPr="00C87A7D" w14:paraId="46BC334C" w14:textId="6AA80413" w:rsidTr="00B929DA">
        <w:trPr>
          <w:cantSplit/>
          <w:tblHeader/>
        </w:trPr>
        <w:tc>
          <w:tcPr>
            <w:tcW w:w="201" w:type="pct"/>
            <w:noWrap/>
            <w:vAlign w:val="center"/>
          </w:tcPr>
          <w:p w14:paraId="331635CB" w14:textId="63135FA2"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t>3</w:t>
            </w:r>
          </w:p>
        </w:tc>
        <w:tc>
          <w:tcPr>
            <w:tcW w:w="619" w:type="pct"/>
            <w:noWrap/>
            <w:vAlign w:val="center"/>
          </w:tcPr>
          <w:p w14:paraId="761A88FB"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rPr>
              <w:t>The College of Optometrists</w:t>
            </w:r>
          </w:p>
        </w:tc>
        <w:tc>
          <w:tcPr>
            <w:tcW w:w="2989" w:type="pct"/>
            <w:vAlign w:val="center"/>
          </w:tcPr>
          <w:p w14:paraId="7305F606" w14:textId="77777777" w:rsidR="00A22B35" w:rsidRPr="00C87A7D" w:rsidRDefault="00A22B35" w:rsidP="00022010">
            <w:pPr>
              <w:spacing w:after="240"/>
              <w:rPr>
                <w:rFonts w:ascii="Arial" w:hAnsi="Arial" w:cs="Arial"/>
                <w:b/>
                <w:sz w:val="22"/>
                <w:szCs w:val="22"/>
                <w:lang w:val="en-US"/>
              </w:rPr>
            </w:pPr>
            <w:r w:rsidRPr="00C87A7D">
              <w:rPr>
                <w:rFonts w:ascii="Arial" w:hAnsi="Arial" w:cs="Arial"/>
                <w:sz w:val="22"/>
                <w:szCs w:val="22"/>
              </w:rPr>
              <w:t>We welcome the proposed new NICE indicators for Diabetic eye screening as they will help reflect the quality of care across the UK which can help identifying health inequalities.</w:t>
            </w:r>
          </w:p>
        </w:tc>
        <w:tc>
          <w:tcPr>
            <w:tcW w:w="1191" w:type="pct"/>
          </w:tcPr>
          <w:p w14:paraId="4AB1434A" w14:textId="283731B9" w:rsidR="00A22B35" w:rsidRPr="00C87A7D" w:rsidRDefault="00A22B35" w:rsidP="00022010">
            <w:pPr>
              <w:spacing w:after="240"/>
              <w:rPr>
                <w:rFonts w:ascii="Arial" w:hAnsi="Arial" w:cs="Arial"/>
                <w:sz w:val="22"/>
                <w:szCs w:val="22"/>
              </w:rPr>
            </w:pPr>
            <w:r>
              <w:rPr>
                <w:rFonts w:ascii="Arial" w:hAnsi="Arial" w:cs="Arial"/>
                <w:sz w:val="22"/>
                <w:szCs w:val="22"/>
              </w:rPr>
              <w:t xml:space="preserve">Thank you for your support for the proposed indicators for </w:t>
            </w:r>
            <w:r w:rsidR="00410FC7">
              <w:rPr>
                <w:rFonts w:ascii="Arial" w:hAnsi="Arial" w:cs="Arial"/>
                <w:sz w:val="22"/>
                <w:szCs w:val="22"/>
              </w:rPr>
              <w:t>diabetic eye screening.</w:t>
            </w:r>
          </w:p>
        </w:tc>
      </w:tr>
      <w:tr w:rsidR="00A22B35" w:rsidRPr="00C87A7D" w14:paraId="28D810C7" w14:textId="0D6F476D" w:rsidTr="00B929DA">
        <w:trPr>
          <w:cantSplit/>
          <w:tblHeader/>
        </w:trPr>
        <w:tc>
          <w:tcPr>
            <w:tcW w:w="201" w:type="pct"/>
            <w:noWrap/>
            <w:vAlign w:val="center"/>
          </w:tcPr>
          <w:p w14:paraId="3D08D2D6" w14:textId="7948C1E2"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lastRenderedPageBreak/>
              <w:t>4</w:t>
            </w:r>
          </w:p>
        </w:tc>
        <w:tc>
          <w:tcPr>
            <w:tcW w:w="619" w:type="pct"/>
            <w:noWrap/>
            <w:vAlign w:val="center"/>
          </w:tcPr>
          <w:p w14:paraId="168D289F" w14:textId="77777777" w:rsidR="00A22B35" w:rsidRPr="00D74341" w:rsidRDefault="00A22B35" w:rsidP="00022010">
            <w:pPr>
              <w:spacing w:after="240"/>
              <w:rPr>
                <w:rFonts w:ascii="Arial" w:hAnsi="Arial" w:cs="Arial"/>
                <w:bCs/>
                <w:sz w:val="22"/>
                <w:szCs w:val="22"/>
              </w:rPr>
            </w:pPr>
            <w:r w:rsidRPr="00D74341">
              <w:rPr>
                <w:rFonts w:ascii="Arial" w:hAnsi="Arial" w:cs="Arial"/>
                <w:bCs/>
                <w:sz w:val="22"/>
                <w:szCs w:val="22"/>
              </w:rPr>
              <w:t>Cystic Fibrosis Trust</w:t>
            </w:r>
          </w:p>
        </w:tc>
        <w:tc>
          <w:tcPr>
            <w:tcW w:w="2989" w:type="pct"/>
            <w:vAlign w:val="center"/>
          </w:tcPr>
          <w:p w14:paraId="405C1D2D" w14:textId="77777777" w:rsidR="00A22B35" w:rsidRPr="00C87A7D" w:rsidRDefault="00A22B35" w:rsidP="00022010">
            <w:pPr>
              <w:spacing w:after="240"/>
              <w:rPr>
                <w:rFonts w:ascii="Arial" w:hAnsi="Arial" w:cs="Arial"/>
                <w:sz w:val="22"/>
                <w:szCs w:val="22"/>
              </w:rPr>
            </w:pPr>
            <w:r w:rsidRPr="00C87A7D">
              <w:rPr>
                <w:rFonts w:ascii="Arial" w:hAnsi="Arial" w:cs="Arial"/>
                <w:sz w:val="22"/>
                <w:szCs w:val="22"/>
              </w:rPr>
              <w:t xml:space="preserve">We welcome the proposed NICE indicators for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testing. We hope the indicators will act to support and improve the quality of care available to babies and their families, especially where a positive diagnosis for one of the nine conditions is suspected. Rapid results from the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test supports timely, early diagnosis for babies with cystic fibrosis and the commencement of appropriate care and treatments. Since the nationwide roll-out of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testing, the average age at diagnosis has fallen to below 30 days. The median age at diagnosis for patients aged under 16 in 2019 was 22 days (UK CF Registry Annual Report 2019, 2020).</w:t>
            </w:r>
          </w:p>
        </w:tc>
        <w:tc>
          <w:tcPr>
            <w:tcW w:w="1191" w:type="pct"/>
          </w:tcPr>
          <w:p w14:paraId="0113D666" w14:textId="5B831620" w:rsidR="00A22B35" w:rsidRPr="00C87A7D" w:rsidRDefault="00A12A77" w:rsidP="00022010">
            <w:pPr>
              <w:spacing w:after="240"/>
              <w:rPr>
                <w:rFonts w:ascii="Arial" w:hAnsi="Arial" w:cs="Arial"/>
                <w:sz w:val="22"/>
                <w:szCs w:val="22"/>
              </w:rPr>
            </w:pPr>
            <w:r>
              <w:rPr>
                <w:rFonts w:ascii="Arial" w:hAnsi="Arial" w:cs="Arial"/>
                <w:sz w:val="22"/>
                <w:szCs w:val="22"/>
              </w:rPr>
              <w:t xml:space="preserve">Thank you for your support for the proposed indicators for </w:t>
            </w:r>
            <w:proofErr w:type="spellStart"/>
            <w:r>
              <w:rPr>
                <w:rFonts w:ascii="Arial" w:hAnsi="Arial" w:cs="Arial"/>
                <w:sz w:val="22"/>
                <w:szCs w:val="22"/>
              </w:rPr>
              <w:t>newborn</w:t>
            </w:r>
            <w:proofErr w:type="spellEnd"/>
            <w:r>
              <w:rPr>
                <w:rFonts w:ascii="Arial" w:hAnsi="Arial" w:cs="Arial"/>
                <w:sz w:val="22"/>
                <w:szCs w:val="22"/>
              </w:rPr>
              <w:t xml:space="preserve"> blood spot testing.</w:t>
            </w:r>
          </w:p>
        </w:tc>
      </w:tr>
      <w:tr w:rsidR="00A22B35" w:rsidRPr="00C87A7D" w14:paraId="00897914" w14:textId="7114CA90" w:rsidTr="00B929DA">
        <w:trPr>
          <w:cantSplit/>
          <w:tblHeader/>
        </w:trPr>
        <w:tc>
          <w:tcPr>
            <w:tcW w:w="201" w:type="pct"/>
            <w:noWrap/>
            <w:vAlign w:val="center"/>
          </w:tcPr>
          <w:p w14:paraId="04087C70" w14:textId="7742FADA"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t>5</w:t>
            </w:r>
          </w:p>
        </w:tc>
        <w:tc>
          <w:tcPr>
            <w:tcW w:w="619" w:type="pct"/>
            <w:noWrap/>
            <w:vAlign w:val="center"/>
          </w:tcPr>
          <w:p w14:paraId="549A7581"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rPr>
              <w:t>Royal College of Nursing</w:t>
            </w:r>
          </w:p>
        </w:tc>
        <w:tc>
          <w:tcPr>
            <w:tcW w:w="2989" w:type="pct"/>
            <w:vAlign w:val="center"/>
          </w:tcPr>
          <w:p w14:paraId="449AC522" w14:textId="77777777" w:rsidR="00A22B35" w:rsidRPr="00C87A7D" w:rsidRDefault="00A22B35" w:rsidP="00022010">
            <w:pPr>
              <w:spacing w:after="240"/>
              <w:rPr>
                <w:rFonts w:ascii="Arial" w:hAnsi="Arial" w:cs="Arial"/>
                <w:b/>
                <w:sz w:val="22"/>
                <w:szCs w:val="22"/>
                <w:lang w:val="en-US"/>
              </w:rPr>
            </w:pPr>
            <w:r w:rsidRPr="00C87A7D">
              <w:rPr>
                <w:rFonts w:ascii="Arial" w:hAnsi="Arial" w:cs="Arial"/>
                <w:sz w:val="22"/>
                <w:szCs w:val="22"/>
              </w:rPr>
              <w:t xml:space="preserve">The Royal College of Nursing welcome these draft screening indicators and welcome the opportunity to comment on them.  </w:t>
            </w:r>
          </w:p>
        </w:tc>
        <w:tc>
          <w:tcPr>
            <w:tcW w:w="1191" w:type="pct"/>
          </w:tcPr>
          <w:p w14:paraId="45ABE967" w14:textId="33AD04AB" w:rsidR="00A22B35" w:rsidRPr="00C87A7D" w:rsidRDefault="00E81F05" w:rsidP="00022010">
            <w:pPr>
              <w:spacing w:after="240"/>
              <w:rPr>
                <w:rFonts w:ascii="Arial" w:hAnsi="Arial" w:cs="Arial"/>
                <w:sz w:val="22"/>
                <w:szCs w:val="22"/>
              </w:rPr>
            </w:pPr>
            <w:r>
              <w:rPr>
                <w:rFonts w:ascii="Arial" w:hAnsi="Arial" w:cs="Arial"/>
                <w:sz w:val="22"/>
                <w:szCs w:val="22"/>
              </w:rPr>
              <w:t>Thank you for your support for the proposed screening indicators.</w:t>
            </w:r>
          </w:p>
        </w:tc>
      </w:tr>
      <w:tr w:rsidR="00A22B35" w:rsidRPr="00C87A7D" w14:paraId="62188AD1" w14:textId="6F25F9CB" w:rsidTr="00B929DA">
        <w:trPr>
          <w:cantSplit/>
          <w:tblHeader/>
        </w:trPr>
        <w:tc>
          <w:tcPr>
            <w:tcW w:w="201" w:type="pct"/>
            <w:noWrap/>
            <w:vAlign w:val="center"/>
          </w:tcPr>
          <w:p w14:paraId="34F6B1EF" w14:textId="5F9E71DB"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t>6</w:t>
            </w:r>
          </w:p>
        </w:tc>
        <w:tc>
          <w:tcPr>
            <w:tcW w:w="619" w:type="pct"/>
            <w:noWrap/>
            <w:vAlign w:val="center"/>
          </w:tcPr>
          <w:p w14:paraId="7714E41B"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rPr>
              <w:t>Royal College of Nursing</w:t>
            </w:r>
          </w:p>
        </w:tc>
        <w:tc>
          <w:tcPr>
            <w:tcW w:w="2989" w:type="pct"/>
            <w:vAlign w:val="center"/>
          </w:tcPr>
          <w:p w14:paraId="777FD3AF" w14:textId="77777777" w:rsidR="00A22B35" w:rsidRPr="00C87A7D" w:rsidRDefault="00A22B35" w:rsidP="00022010">
            <w:pPr>
              <w:pStyle w:val="TableText1"/>
              <w:rPr>
                <w:rFonts w:cs="Arial"/>
                <w:szCs w:val="22"/>
              </w:rPr>
            </w:pPr>
            <w:r w:rsidRPr="00C87A7D">
              <w:rPr>
                <w:rFonts w:cs="Arial"/>
                <w:szCs w:val="22"/>
              </w:rPr>
              <w:t xml:space="preserve">These are all essential indicators and must be reported. </w:t>
            </w:r>
          </w:p>
          <w:p w14:paraId="7DE8CA25" w14:textId="77777777" w:rsidR="00A22B35" w:rsidRPr="00C87A7D" w:rsidRDefault="00A22B35" w:rsidP="00022010">
            <w:pPr>
              <w:pStyle w:val="TableText1"/>
              <w:rPr>
                <w:rFonts w:cs="Arial"/>
                <w:szCs w:val="22"/>
              </w:rPr>
            </w:pPr>
          </w:p>
          <w:p w14:paraId="669FEB18" w14:textId="77777777" w:rsidR="00A22B35" w:rsidRPr="00C87A7D" w:rsidRDefault="00A22B35" w:rsidP="00022010">
            <w:pPr>
              <w:pStyle w:val="TableText1"/>
              <w:rPr>
                <w:rFonts w:cs="Arial"/>
                <w:szCs w:val="22"/>
              </w:rPr>
            </w:pPr>
            <w:r w:rsidRPr="00C87A7D">
              <w:rPr>
                <w:rFonts w:cs="Arial"/>
                <w:szCs w:val="22"/>
              </w:rPr>
              <w:t>With the changes to the clinical commissioning group (CCG) structures moving to wider integrated care system, these indicators are a priority for reporting and monitoring at local level and with the local providers.</w:t>
            </w:r>
          </w:p>
          <w:p w14:paraId="200AE916" w14:textId="77777777" w:rsidR="00A22B35" w:rsidRPr="00C87A7D" w:rsidRDefault="00A22B35" w:rsidP="00022010">
            <w:pPr>
              <w:pStyle w:val="TableText1"/>
              <w:rPr>
                <w:rFonts w:cs="Arial"/>
                <w:szCs w:val="22"/>
              </w:rPr>
            </w:pPr>
          </w:p>
          <w:p w14:paraId="5D9CC403" w14:textId="77777777" w:rsidR="00A22B35" w:rsidRPr="00C87A7D" w:rsidRDefault="00A22B35" w:rsidP="00022010">
            <w:pPr>
              <w:spacing w:after="240"/>
              <w:rPr>
                <w:rFonts w:ascii="Arial" w:hAnsi="Arial" w:cs="Arial"/>
                <w:b/>
                <w:sz w:val="22"/>
                <w:szCs w:val="22"/>
                <w:lang w:val="en-US"/>
              </w:rPr>
            </w:pPr>
            <w:r w:rsidRPr="00C87A7D">
              <w:rPr>
                <w:rFonts w:ascii="Arial" w:hAnsi="Arial" w:cs="Arial"/>
                <w:sz w:val="22"/>
                <w:szCs w:val="22"/>
              </w:rPr>
              <w:t>Not monitoring any of these properly at 100% is a potential huge risk to the system.</w:t>
            </w:r>
          </w:p>
        </w:tc>
        <w:tc>
          <w:tcPr>
            <w:tcW w:w="1191" w:type="pct"/>
          </w:tcPr>
          <w:p w14:paraId="1EECD7BC" w14:textId="2735A37C" w:rsidR="00A22B35" w:rsidRPr="00C87A7D" w:rsidRDefault="00750649" w:rsidP="00022010">
            <w:pPr>
              <w:pStyle w:val="TableText1"/>
              <w:rPr>
                <w:rFonts w:cs="Arial"/>
                <w:szCs w:val="22"/>
              </w:rPr>
            </w:pPr>
            <w:r>
              <w:rPr>
                <w:rFonts w:cs="Arial"/>
                <w:szCs w:val="22"/>
              </w:rPr>
              <w:t xml:space="preserve">Thank you for your comment. </w:t>
            </w:r>
            <w:r w:rsidR="00954CB0">
              <w:rPr>
                <w:rFonts w:cs="Arial"/>
                <w:szCs w:val="22"/>
              </w:rPr>
              <w:t xml:space="preserve">The </w:t>
            </w:r>
            <w:r w:rsidR="004F1040">
              <w:rPr>
                <w:rFonts w:cs="Arial"/>
                <w:szCs w:val="22"/>
              </w:rPr>
              <w:t>June 2021 Indicator Advisory Committee agreed that these indicators are suitable for use at CCG level. NICE is currently developing plans to consider indicators that can be used at integrated care system (ICS) level.</w:t>
            </w:r>
          </w:p>
        </w:tc>
      </w:tr>
      <w:tr w:rsidR="00A22B35" w:rsidRPr="00C87A7D" w14:paraId="61E45FB5" w14:textId="7F1D0BDA" w:rsidTr="00B929DA">
        <w:trPr>
          <w:cantSplit/>
          <w:tblHeader/>
        </w:trPr>
        <w:tc>
          <w:tcPr>
            <w:tcW w:w="201" w:type="pct"/>
            <w:noWrap/>
            <w:vAlign w:val="center"/>
          </w:tcPr>
          <w:p w14:paraId="62926B0F" w14:textId="5C82D7B7"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t>7</w:t>
            </w:r>
          </w:p>
        </w:tc>
        <w:tc>
          <w:tcPr>
            <w:tcW w:w="619" w:type="pct"/>
            <w:noWrap/>
            <w:vAlign w:val="center"/>
          </w:tcPr>
          <w:p w14:paraId="2622174F"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rPr>
              <w:t>The Royal College of Ophthalmologists</w:t>
            </w:r>
          </w:p>
        </w:tc>
        <w:tc>
          <w:tcPr>
            <w:tcW w:w="2989" w:type="pct"/>
            <w:vAlign w:val="center"/>
          </w:tcPr>
          <w:p w14:paraId="04E50B05" w14:textId="77777777" w:rsidR="00A22B35" w:rsidRPr="00C87A7D" w:rsidRDefault="00A22B35" w:rsidP="00022010">
            <w:pPr>
              <w:spacing w:after="240"/>
              <w:rPr>
                <w:rFonts w:ascii="Arial" w:hAnsi="Arial" w:cs="Arial"/>
                <w:b/>
                <w:sz w:val="22"/>
                <w:szCs w:val="22"/>
                <w:lang w:val="en-US"/>
              </w:rPr>
            </w:pPr>
            <w:r w:rsidRPr="00C87A7D">
              <w:rPr>
                <w:rFonts w:ascii="Arial" w:hAnsi="Arial" w:cs="Arial"/>
                <w:sz w:val="22"/>
                <w:szCs w:val="22"/>
              </w:rPr>
              <w:t>The Royal College of Ophthalmologists supports the indicators suggested by NICE in this consultation and welcomes the opportunity to raise the profile of the importance of diabetic eye screening.</w:t>
            </w:r>
          </w:p>
        </w:tc>
        <w:tc>
          <w:tcPr>
            <w:tcW w:w="1191" w:type="pct"/>
          </w:tcPr>
          <w:p w14:paraId="185CB21E" w14:textId="0F796874" w:rsidR="00A22B35" w:rsidRPr="00C87A7D" w:rsidRDefault="00E257A0" w:rsidP="00022010">
            <w:pPr>
              <w:spacing w:after="240"/>
              <w:rPr>
                <w:rFonts w:ascii="Arial" w:hAnsi="Arial" w:cs="Arial"/>
                <w:sz w:val="22"/>
                <w:szCs w:val="22"/>
              </w:rPr>
            </w:pPr>
            <w:r w:rsidRPr="00E257A0">
              <w:rPr>
                <w:rFonts w:ascii="Arial" w:hAnsi="Arial" w:cs="Arial"/>
                <w:sz w:val="22"/>
                <w:szCs w:val="22"/>
              </w:rPr>
              <w:t>Thank you for your support for the proposed indicators for diabetic eye screening.</w:t>
            </w:r>
          </w:p>
        </w:tc>
      </w:tr>
      <w:tr w:rsidR="00A22B35" w:rsidRPr="00C87A7D" w14:paraId="00E1276C" w14:textId="3729EF8F" w:rsidTr="00B929DA">
        <w:trPr>
          <w:cantSplit/>
          <w:tblHeader/>
        </w:trPr>
        <w:tc>
          <w:tcPr>
            <w:tcW w:w="201" w:type="pct"/>
            <w:noWrap/>
            <w:vAlign w:val="center"/>
          </w:tcPr>
          <w:p w14:paraId="113898FE" w14:textId="229A7CAC"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lastRenderedPageBreak/>
              <w:t>8</w:t>
            </w:r>
          </w:p>
        </w:tc>
        <w:tc>
          <w:tcPr>
            <w:tcW w:w="619" w:type="pct"/>
            <w:noWrap/>
            <w:vAlign w:val="center"/>
          </w:tcPr>
          <w:p w14:paraId="435213E0"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rPr>
              <w:t>Royal College of Paediatrics and Child Health</w:t>
            </w:r>
          </w:p>
        </w:tc>
        <w:tc>
          <w:tcPr>
            <w:tcW w:w="2989" w:type="pct"/>
            <w:vAlign w:val="center"/>
          </w:tcPr>
          <w:p w14:paraId="3ED15CC8" w14:textId="77777777" w:rsidR="00A22B35" w:rsidRPr="00C87A7D" w:rsidRDefault="00A22B35" w:rsidP="00022010">
            <w:pPr>
              <w:spacing w:after="240"/>
              <w:rPr>
                <w:rFonts w:ascii="Arial" w:hAnsi="Arial" w:cs="Arial"/>
                <w:b/>
                <w:sz w:val="22"/>
                <w:szCs w:val="22"/>
                <w:lang w:val="en-US"/>
              </w:rPr>
            </w:pPr>
            <w:r w:rsidRPr="00C87A7D">
              <w:rPr>
                <w:rFonts w:ascii="Arial" w:hAnsi="Arial" w:cs="Arial"/>
                <w:sz w:val="22"/>
                <w:szCs w:val="22"/>
              </w:rPr>
              <w:t xml:space="preserve">These indicators are very important the from the viewpoint of families, </w:t>
            </w:r>
            <w:proofErr w:type="gramStart"/>
            <w:r w:rsidRPr="00C87A7D">
              <w:rPr>
                <w:rFonts w:ascii="Arial" w:hAnsi="Arial" w:cs="Arial"/>
                <w:sz w:val="22"/>
                <w:szCs w:val="22"/>
              </w:rPr>
              <w:t>patients</w:t>
            </w:r>
            <w:proofErr w:type="gramEnd"/>
            <w:r w:rsidRPr="00C87A7D">
              <w:rPr>
                <w:rFonts w:ascii="Arial" w:hAnsi="Arial" w:cs="Arial"/>
                <w:sz w:val="22"/>
                <w:szCs w:val="22"/>
              </w:rPr>
              <w:t xml:space="preserve"> and society. Implementing these indicators may prevent disability or prevent a serious outcome of many metabolic disorders or developmental deformities.</w:t>
            </w:r>
          </w:p>
        </w:tc>
        <w:tc>
          <w:tcPr>
            <w:tcW w:w="1191" w:type="pct"/>
          </w:tcPr>
          <w:p w14:paraId="5ED7FF70" w14:textId="0B515DCF" w:rsidR="00A22B35" w:rsidRPr="00C87A7D" w:rsidRDefault="00E257A0" w:rsidP="00022010">
            <w:pPr>
              <w:spacing w:after="240"/>
              <w:rPr>
                <w:rFonts w:ascii="Arial" w:hAnsi="Arial" w:cs="Arial"/>
                <w:sz w:val="22"/>
                <w:szCs w:val="22"/>
              </w:rPr>
            </w:pPr>
            <w:r>
              <w:rPr>
                <w:rFonts w:ascii="Arial" w:hAnsi="Arial" w:cs="Arial"/>
                <w:sz w:val="22"/>
                <w:szCs w:val="22"/>
              </w:rPr>
              <w:t>Thank you for your support for the proposed screening indicators.</w:t>
            </w:r>
          </w:p>
        </w:tc>
      </w:tr>
      <w:tr w:rsidR="00A22B35" w:rsidRPr="00C87A7D" w14:paraId="77F21BF1" w14:textId="1F6F5843" w:rsidTr="00B929DA">
        <w:trPr>
          <w:cantSplit/>
          <w:tblHeader/>
        </w:trPr>
        <w:tc>
          <w:tcPr>
            <w:tcW w:w="201" w:type="pct"/>
            <w:noWrap/>
            <w:vAlign w:val="center"/>
          </w:tcPr>
          <w:p w14:paraId="58B207A4" w14:textId="1BAD8942"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t>9</w:t>
            </w:r>
          </w:p>
        </w:tc>
        <w:tc>
          <w:tcPr>
            <w:tcW w:w="619" w:type="pct"/>
            <w:noWrap/>
            <w:vAlign w:val="center"/>
          </w:tcPr>
          <w:p w14:paraId="40DBFB44"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rPr>
              <w:t>Royal College of Paediatrics and Child Health</w:t>
            </w:r>
          </w:p>
        </w:tc>
        <w:tc>
          <w:tcPr>
            <w:tcW w:w="2989" w:type="pct"/>
            <w:vAlign w:val="center"/>
          </w:tcPr>
          <w:p w14:paraId="52433917" w14:textId="77777777" w:rsidR="00A22B35" w:rsidRPr="00C87A7D" w:rsidRDefault="00A22B35" w:rsidP="00022010">
            <w:pPr>
              <w:spacing w:after="240"/>
              <w:rPr>
                <w:rFonts w:ascii="Arial" w:hAnsi="Arial" w:cs="Arial"/>
                <w:b/>
                <w:sz w:val="22"/>
                <w:szCs w:val="22"/>
                <w:lang w:val="en-US"/>
              </w:rPr>
            </w:pPr>
            <w:r w:rsidRPr="00C87A7D">
              <w:rPr>
                <w:rFonts w:ascii="Arial" w:hAnsi="Arial" w:cs="Arial"/>
                <w:sz w:val="22"/>
                <w:szCs w:val="22"/>
              </w:rPr>
              <w:t>It was noted that the way NICE have presented the information is not easy to follow, the clearer the questions that are being asked and the less unnecessary words on the page the better. A distilled series of questions with links which allows those who want to delve more, would be most beneficial, otherwise NICE may put people off which misses the opportunity for greater feedback.</w:t>
            </w:r>
          </w:p>
        </w:tc>
        <w:tc>
          <w:tcPr>
            <w:tcW w:w="1191" w:type="pct"/>
          </w:tcPr>
          <w:p w14:paraId="0D99BD63" w14:textId="0E862944" w:rsidR="00A22B35" w:rsidRPr="00C87A7D" w:rsidRDefault="00855A17" w:rsidP="00022010">
            <w:pPr>
              <w:spacing w:after="240"/>
              <w:rPr>
                <w:rFonts w:ascii="Arial" w:hAnsi="Arial" w:cs="Arial"/>
                <w:sz w:val="22"/>
                <w:szCs w:val="22"/>
              </w:rPr>
            </w:pPr>
            <w:r>
              <w:rPr>
                <w:rFonts w:ascii="Arial" w:hAnsi="Arial" w:cs="Arial"/>
                <w:sz w:val="22"/>
                <w:szCs w:val="22"/>
              </w:rPr>
              <w:t>Thank you for your comment. NICE is currently wor</w:t>
            </w:r>
            <w:r w:rsidR="00E82960">
              <w:rPr>
                <w:rFonts w:ascii="Arial" w:hAnsi="Arial" w:cs="Arial"/>
                <w:sz w:val="22"/>
                <w:szCs w:val="22"/>
              </w:rPr>
              <w:t>king to improve the approach to consultation, and we have shared your feedback with the team working on this.</w:t>
            </w:r>
          </w:p>
        </w:tc>
      </w:tr>
      <w:tr w:rsidR="00A22B35" w:rsidRPr="00C87A7D" w14:paraId="07352725" w14:textId="5E033789" w:rsidTr="00B929DA">
        <w:trPr>
          <w:cantSplit/>
          <w:tblHeader/>
        </w:trPr>
        <w:tc>
          <w:tcPr>
            <w:tcW w:w="201" w:type="pct"/>
            <w:noWrap/>
            <w:vAlign w:val="center"/>
          </w:tcPr>
          <w:p w14:paraId="1E26DEAB" w14:textId="619D8C36"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t>10</w:t>
            </w:r>
          </w:p>
        </w:tc>
        <w:tc>
          <w:tcPr>
            <w:tcW w:w="619" w:type="pct"/>
            <w:noWrap/>
            <w:vAlign w:val="center"/>
          </w:tcPr>
          <w:p w14:paraId="5439122C"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rPr>
              <w:t>Royal College of Paediatrics and Child Health</w:t>
            </w:r>
          </w:p>
        </w:tc>
        <w:tc>
          <w:tcPr>
            <w:tcW w:w="2989" w:type="pct"/>
            <w:vAlign w:val="center"/>
          </w:tcPr>
          <w:p w14:paraId="2C7B09D6" w14:textId="77777777" w:rsidR="00A22B35" w:rsidRPr="00C87A7D" w:rsidRDefault="00A22B35" w:rsidP="00022010">
            <w:pPr>
              <w:spacing w:after="240"/>
              <w:rPr>
                <w:rFonts w:ascii="Arial" w:hAnsi="Arial" w:cs="Arial"/>
                <w:b/>
                <w:sz w:val="22"/>
                <w:szCs w:val="22"/>
                <w:lang w:val="en-US"/>
              </w:rPr>
            </w:pPr>
            <w:r w:rsidRPr="00C87A7D">
              <w:rPr>
                <w:rFonts w:ascii="Arial" w:hAnsi="Arial" w:cs="Arial"/>
                <w:sz w:val="22"/>
                <w:szCs w:val="22"/>
              </w:rPr>
              <w:t>The reviewer was happy with this guideline.</w:t>
            </w:r>
          </w:p>
        </w:tc>
        <w:tc>
          <w:tcPr>
            <w:tcW w:w="1191" w:type="pct"/>
          </w:tcPr>
          <w:p w14:paraId="3C7661EE" w14:textId="7DADB5B4" w:rsidR="00A22B35" w:rsidRPr="00C87A7D" w:rsidRDefault="00E82960" w:rsidP="00022010">
            <w:pPr>
              <w:spacing w:after="240"/>
              <w:rPr>
                <w:rFonts w:ascii="Arial" w:hAnsi="Arial" w:cs="Arial"/>
                <w:sz w:val="22"/>
                <w:szCs w:val="22"/>
              </w:rPr>
            </w:pPr>
            <w:r>
              <w:rPr>
                <w:rFonts w:ascii="Arial" w:hAnsi="Arial" w:cs="Arial"/>
                <w:sz w:val="22"/>
                <w:szCs w:val="22"/>
              </w:rPr>
              <w:t>Thank you for your comment.</w:t>
            </w:r>
          </w:p>
        </w:tc>
      </w:tr>
      <w:tr w:rsidR="00A22B35" w:rsidRPr="00C87A7D" w14:paraId="7CB32347" w14:textId="2497B52A" w:rsidTr="00B929DA">
        <w:trPr>
          <w:cantSplit/>
          <w:tblHeader/>
        </w:trPr>
        <w:tc>
          <w:tcPr>
            <w:tcW w:w="201" w:type="pct"/>
            <w:tcBorders>
              <w:bottom w:val="single" w:sz="4" w:space="0" w:color="000000"/>
            </w:tcBorders>
            <w:noWrap/>
            <w:vAlign w:val="center"/>
          </w:tcPr>
          <w:p w14:paraId="1D2B6619" w14:textId="774C8AA3" w:rsidR="00A22B35" w:rsidRPr="0008363D" w:rsidRDefault="00A22B35" w:rsidP="0008363D">
            <w:pPr>
              <w:spacing w:after="240"/>
              <w:rPr>
                <w:rFonts w:ascii="Arial" w:hAnsi="Arial" w:cs="Arial"/>
                <w:bCs/>
                <w:sz w:val="22"/>
                <w:szCs w:val="22"/>
                <w:lang w:val="en-US"/>
              </w:rPr>
            </w:pPr>
            <w:r w:rsidRPr="0008363D">
              <w:rPr>
                <w:rFonts w:ascii="Arial" w:hAnsi="Arial" w:cs="Arial"/>
                <w:bCs/>
                <w:sz w:val="22"/>
                <w:szCs w:val="22"/>
                <w:lang w:val="en-US"/>
              </w:rPr>
              <w:lastRenderedPageBreak/>
              <w:t>11</w:t>
            </w:r>
          </w:p>
        </w:tc>
        <w:tc>
          <w:tcPr>
            <w:tcW w:w="619" w:type="pct"/>
            <w:tcBorders>
              <w:bottom w:val="single" w:sz="4" w:space="0" w:color="000000"/>
            </w:tcBorders>
            <w:noWrap/>
            <w:vAlign w:val="center"/>
          </w:tcPr>
          <w:p w14:paraId="24F894A4" w14:textId="77777777" w:rsidR="00A22B35" w:rsidRPr="00D74341" w:rsidRDefault="00A22B35" w:rsidP="00022010">
            <w:pPr>
              <w:spacing w:after="240"/>
              <w:rPr>
                <w:rFonts w:ascii="Arial" w:hAnsi="Arial" w:cs="Arial"/>
                <w:bCs/>
                <w:sz w:val="22"/>
                <w:szCs w:val="22"/>
                <w:lang w:val="en-US"/>
              </w:rPr>
            </w:pPr>
            <w:r w:rsidRPr="00D74341">
              <w:rPr>
                <w:rFonts w:ascii="Arial" w:hAnsi="Arial" w:cs="Arial"/>
                <w:bCs/>
                <w:sz w:val="22"/>
                <w:szCs w:val="22"/>
              </w:rPr>
              <w:t>Sickle Cell Society</w:t>
            </w:r>
          </w:p>
        </w:tc>
        <w:tc>
          <w:tcPr>
            <w:tcW w:w="2989" w:type="pct"/>
            <w:tcBorders>
              <w:bottom w:val="single" w:sz="4" w:space="0" w:color="000000"/>
            </w:tcBorders>
            <w:vAlign w:val="center"/>
          </w:tcPr>
          <w:p w14:paraId="6F6B1CF6" w14:textId="69967D4C" w:rsidR="00A22B35" w:rsidRDefault="00A22B35" w:rsidP="00565D9A">
            <w:pPr>
              <w:pStyle w:val="Paragraph"/>
              <w:spacing w:before="0" w:after="0" w:line="240" w:lineRule="auto"/>
              <w:rPr>
                <w:rFonts w:cs="Arial"/>
                <w:sz w:val="22"/>
                <w:szCs w:val="22"/>
              </w:rPr>
            </w:pPr>
            <w:r w:rsidRPr="00C87A7D">
              <w:rPr>
                <w:rFonts w:cs="Arial"/>
                <w:sz w:val="22"/>
                <w:szCs w:val="22"/>
              </w:rPr>
              <w:t>General comments including from the Sickle Cell Society:</w:t>
            </w:r>
          </w:p>
          <w:p w14:paraId="4D51CB76" w14:textId="77777777" w:rsidR="00565D9A" w:rsidRPr="00C87A7D" w:rsidRDefault="00565D9A" w:rsidP="00565D9A">
            <w:pPr>
              <w:pStyle w:val="Paragraph"/>
              <w:spacing w:before="0" w:after="0" w:line="240" w:lineRule="auto"/>
              <w:rPr>
                <w:rFonts w:cs="Arial"/>
                <w:sz w:val="22"/>
                <w:szCs w:val="22"/>
              </w:rPr>
            </w:pPr>
          </w:p>
          <w:p w14:paraId="14DB1804" w14:textId="3F7A9297" w:rsidR="00A22B35" w:rsidRDefault="00A22B35" w:rsidP="00565D9A">
            <w:pPr>
              <w:rPr>
                <w:rFonts w:ascii="Arial" w:hAnsi="Arial" w:cs="Arial"/>
                <w:color w:val="000000"/>
                <w:sz w:val="22"/>
                <w:szCs w:val="22"/>
              </w:rPr>
            </w:pPr>
            <w:r w:rsidRPr="00C87A7D">
              <w:rPr>
                <w:rFonts w:ascii="Arial" w:hAnsi="Arial" w:cs="Arial"/>
                <w:sz w:val="22"/>
                <w:szCs w:val="22"/>
              </w:rPr>
              <w:t xml:space="preserve">It is good to see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bloodspot screening standards for sickle cell being included as part of the draft NICE indicators. However, all three indicators </w:t>
            </w:r>
            <w:r w:rsidRPr="00C87A7D">
              <w:rPr>
                <w:rFonts w:ascii="Arial" w:hAnsi="Arial" w:cs="Arial"/>
                <w:bCs/>
                <w:sz w:val="22"/>
                <w:szCs w:val="22"/>
              </w:rPr>
              <w:t xml:space="preserve">have potential unintended consequences for </w:t>
            </w:r>
            <w:proofErr w:type="spellStart"/>
            <w:r w:rsidRPr="00C87A7D">
              <w:rPr>
                <w:rFonts w:ascii="Arial" w:hAnsi="Arial" w:cs="Arial"/>
                <w:bCs/>
                <w:sz w:val="22"/>
                <w:szCs w:val="22"/>
              </w:rPr>
              <w:t>newborn</w:t>
            </w:r>
            <w:proofErr w:type="spellEnd"/>
            <w:r w:rsidRPr="00C87A7D">
              <w:rPr>
                <w:rFonts w:ascii="Arial" w:hAnsi="Arial" w:cs="Arial"/>
                <w:bCs/>
                <w:sz w:val="22"/>
                <w:szCs w:val="22"/>
              </w:rPr>
              <w:t xml:space="preserve"> babies and their families. </w:t>
            </w:r>
            <w:proofErr w:type="gramStart"/>
            <w:r w:rsidRPr="00C87A7D">
              <w:rPr>
                <w:rFonts w:ascii="Arial" w:hAnsi="Arial" w:cs="Arial"/>
                <w:bCs/>
                <w:sz w:val="22"/>
                <w:szCs w:val="22"/>
              </w:rPr>
              <w:t>In particular, these</w:t>
            </w:r>
            <w:proofErr w:type="gramEnd"/>
            <w:r w:rsidRPr="00C87A7D">
              <w:rPr>
                <w:rFonts w:ascii="Arial" w:hAnsi="Arial" w:cs="Arial"/>
                <w:bCs/>
                <w:sz w:val="22"/>
                <w:szCs w:val="22"/>
              </w:rPr>
              <w:t xml:space="preserve"> indicators have potential for differential impact on people of African or African Caribbean family origins who are most affected by sickle cell disease and who are impacted</w:t>
            </w:r>
            <w:r w:rsidRPr="00C87A7D">
              <w:rPr>
                <w:rFonts w:ascii="Arial" w:hAnsi="Arial" w:cs="Arial"/>
                <w:sz w:val="22"/>
                <w:szCs w:val="22"/>
              </w:rPr>
              <w:t xml:space="preserve"> by significant health inequalities. One way to address this would be to reduce the length of time allowed in reporting screen positive results and screen negative results. However</w:t>
            </w:r>
            <w:r w:rsidR="0029278F">
              <w:rPr>
                <w:rFonts w:ascii="Arial" w:hAnsi="Arial" w:cs="Arial"/>
                <w:sz w:val="22"/>
                <w:szCs w:val="22"/>
              </w:rPr>
              <w:t>,</w:t>
            </w:r>
            <w:r w:rsidRPr="00C87A7D">
              <w:rPr>
                <w:rFonts w:ascii="Arial" w:hAnsi="Arial" w:cs="Arial"/>
                <w:sz w:val="22"/>
                <w:szCs w:val="22"/>
              </w:rPr>
              <w:t xml:space="preserve"> we realise </w:t>
            </w:r>
            <w:r w:rsidRPr="00C87A7D">
              <w:rPr>
                <w:rFonts w:ascii="Arial" w:hAnsi="Arial" w:cs="Arial"/>
                <w:color w:val="000000"/>
                <w:sz w:val="22"/>
                <w:szCs w:val="22"/>
              </w:rPr>
              <w:t xml:space="preserve">that though each indicator is measured and has to have an ultimate time </w:t>
            </w:r>
            <w:proofErr w:type="gramStart"/>
            <w:r w:rsidRPr="00C87A7D">
              <w:rPr>
                <w:rFonts w:ascii="Arial" w:hAnsi="Arial" w:cs="Arial"/>
                <w:color w:val="000000"/>
                <w:sz w:val="22"/>
                <w:szCs w:val="22"/>
              </w:rPr>
              <w:t>i</w:t>
            </w:r>
            <w:r w:rsidR="0029278F">
              <w:rPr>
                <w:rFonts w:ascii="Arial" w:hAnsi="Arial" w:cs="Arial"/>
                <w:color w:val="000000"/>
                <w:sz w:val="22"/>
                <w:szCs w:val="22"/>
              </w:rPr>
              <w:t>.</w:t>
            </w:r>
            <w:r w:rsidRPr="00C87A7D">
              <w:rPr>
                <w:rFonts w:ascii="Arial" w:hAnsi="Arial" w:cs="Arial"/>
                <w:color w:val="000000"/>
                <w:sz w:val="22"/>
                <w:szCs w:val="22"/>
              </w:rPr>
              <w:t>e</w:t>
            </w:r>
            <w:r w:rsidR="0029278F">
              <w:rPr>
                <w:rFonts w:ascii="Arial" w:hAnsi="Arial" w:cs="Arial"/>
                <w:color w:val="000000"/>
                <w:sz w:val="22"/>
                <w:szCs w:val="22"/>
              </w:rPr>
              <w:t>.</w:t>
            </w:r>
            <w:proofErr w:type="gramEnd"/>
            <w:r w:rsidRPr="00C87A7D">
              <w:rPr>
                <w:rFonts w:ascii="Arial" w:hAnsi="Arial" w:cs="Arial"/>
                <w:color w:val="000000"/>
                <w:sz w:val="22"/>
                <w:szCs w:val="22"/>
              </w:rPr>
              <w:t xml:space="preserve"> </w:t>
            </w:r>
            <w:r w:rsidR="0029278F">
              <w:rPr>
                <w:rFonts w:ascii="Arial" w:hAnsi="Arial" w:cs="Arial"/>
                <w:color w:val="000000"/>
                <w:sz w:val="22"/>
                <w:szCs w:val="22"/>
              </w:rPr>
              <w:t>less than</w:t>
            </w:r>
            <w:r w:rsidRPr="00C87A7D">
              <w:rPr>
                <w:rFonts w:ascii="Arial" w:hAnsi="Arial" w:cs="Arial"/>
                <w:color w:val="000000"/>
                <w:sz w:val="22"/>
                <w:szCs w:val="22"/>
              </w:rPr>
              <w:t xml:space="preserve"> or </w:t>
            </w:r>
            <w:r w:rsidR="0029278F">
              <w:rPr>
                <w:rFonts w:ascii="Arial" w:hAnsi="Arial" w:cs="Arial"/>
                <w:color w:val="000000"/>
                <w:sz w:val="22"/>
                <w:szCs w:val="22"/>
              </w:rPr>
              <w:t>equal to</w:t>
            </w:r>
            <w:r w:rsidRPr="00C87A7D">
              <w:rPr>
                <w:rFonts w:ascii="Arial" w:hAnsi="Arial" w:cs="Arial"/>
                <w:color w:val="000000"/>
                <w:sz w:val="22"/>
                <w:szCs w:val="22"/>
              </w:rPr>
              <w:t xml:space="preserve"> 28</w:t>
            </w:r>
            <w:r w:rsidR="0029278F">
              <w:rPr>
                <w:rFonts w:ascii="Arial" w:hAnsi="Arial" w:cs="Arial"/>
                <w:color w:val="000000"/>
                <w:sz w:val="22"/>
                <w:szCs w:val="22"/>
              </w:rPr>
              <w:t xml:space="preserve"> </w:t>
            </w:r>
            <w:r w:rsidRPr="00C87A7D">
              <w:rPr>
                <w:rFonts w:ascii="Arial" w:hAnsi="Arial" w:cs="Arial"/>
                <w:color w:val="000000"/>
                <w:sz w:val="22"/>
                <w:szCs w:val="22"/>
              </w:rPr>
              <w:t xml:space="preserve">days or </w:t>
            </w:r>
            <w:r w:rsidR="0029278F">
              <w:rPr>
                <w:rFonts w:ascii="Arial" w:hAnsi="Arial" w:cs="Arial"/>
                <w:color w:val="000000"/>
                <w:sz w:val="22"/>
                <w:szCs w:val="22"/>
              </w:rPr>
              <w:t>less than</w:t>
            </w:r>
            <w:r w:rsidRPr="00C87A7D">
              <w:rPr>
                <w:rFonts w:ascii="Arial" w:hAnsi="Arial" w:cs="Arial"/>
                <w:color w:val="000000"/>
                <w:sz w:val="22"/>
                <w:szCs w:val="22"/>
              </w:rPr>
              <w:t xml:space="preserve"> or</w:t>
            </w:r>
            <w:r w:rsidR="0029278F">
              <w:rPr>
                <w:rFonts w:ascii="Arial" w:hAnsi="Arial" w:cs="Arial"/>
                <w:color w:val="000000"/>
                <w:sz w:val="22"/>
                <w:szCs w:val="22"/>
              </w:rPr>
              <w:t xml:space="preserve"> equal to</w:t>
            </w:r>
            <w:r w:rsidRPr="00C87A7D">
              <w:rPr>
                <w:rFonts w:ascii="Arial" w:hAnsi="Arial" w:cs="Arial"/>
                <w:color w:val="000000"/>
                <w:sz w:val="22"/>
                <w:szCs w:val="22"/>
              </w:rPr>
              <w:t xml:space="preserve"> 6 weeks, this doesn't mean that results take that long and that the choice of the indicator for timeliness is probably a pragmatic one and a time that is reasonable to achieve.</w:t>
            </w:r>
            <w:r w:rsidR="008E12C4" w:rsidRPr="00A81647">
              <w:rPr>
                <w:rFonts w:ascii="Arial" w:hAnsi="Arial" w:cs="Arial"/>
                <w:b/>
                <w:sz w:val="22"/>
                <w:szCs w:val="22"/>
              </w:rPr>
              <w:t xml:space="preserve"> </w:t>
            </w:r>
          </w:p>
          <w:p w14:paraId="51386CCF" w14:textId="0D807A28" w:rsidR="00565D9A" w:rsidRPr="00C87A7D" w:rsidRDefault="00565D9A" w:rsidP="00565D9A">
            <w:pPr>
              <w:rPr>
                <w:rFonts w:ascii="Arial" w:hAnsi="Arial" w:cs="Arial"/>
                <w:b/>
                <w:sz w:val="22"/>
                <w:szCs w:val="22"/>
                <w:lang w:val="en-US"/>
              </w:rPr>
            </w:pPr>
          </w:p>
        </w:tc>
        <w:tc>
          <w:tcPr>
            <w:tcW w:w="1191" w:type="pct"/>
            <w:tcBorders>
              <w:bottom w:val="single" w:sz="4" w:space="0" w:color="000000"/>
            </w:tcBorders>
          </w:tcPr>
          <w:p w14:paraId="6B0DCD98" w14:textId="4297A4E3" w:rsidR="00A22B35" w:rsidRPr="00C87A7D" w:rsidRDefault="00565D9A" w:rsidP="00565D9A">
            <w:pPr>
              <w:pStyle w:val="Paragraph"/>
              <w:spacing w:before="0" w:after="0" w:line="240" w:lineRule="auto"/>
              <w:rPr>
                <w:rFonts w:cs="Arial"/>
                <w:sz w:val="22"/>
                <w:szCs w:val="22"/>
              </w:rPr>
            </w:pPr>
            <w:r w:rsidRPr="00565D9A">
              <w:rPr>
                <w:rFonts w:cs="Arial"/>
                <w:sz w:val="22"/>
                <w:szCs w:val="22"/>
              </w:rPr>
              <w:t>Thank you for your comment. The June 2021 Indicator Advisory Committee</w:t>
            </w:r>
            <w:r>
              <w:rPr>
                <w:rFonts w:cs="Arial"/>
                <w:sz w:val="22"/>
                <w:szCs w:val="22"/>
              </w:rPr>
              <w:t xml:space="preserve"> noted </w:t>
            </w:r>
            <w:r w:rsidR="00682D11">
              <w:rPr>
                <w:rFonts w:cs="Arial"/>
                <w:sz w:val="22"/>
                <w:szCs w:val="22"/>
              </w:rPr>
              <w:t xml:space="preserve">your suggestion to consider </w:t>
            </w:r>
            <w:r w:rsidR="0085573D">
              <w:rPr>
                <w:rFonts w:cs="Arial"/>
                <w:sz w:val="22"/>
                <w:szCs w:val="22"/>
              </w:rPr>
              <w:t xml:space="preserve">a reduction in the length of time for reporting results </w:t>
            </w:r>
            <w:r w:rsidR="00223C70">
              <w:rPr>
                <w:rFonts w:cs="Arial"/>
                <w:sz w:val="22"/>
                <w:szCs w:val="22"/>
              </w:rPr>
              <w:t>to</w:t>
            </w:r>
            <w:r w:rsidR="00682D11">
              <w:rPr>
                <w:rFonts w:cs="Arial"/>
                <w:sz w:val="22"/>
                <w:szCs w:val="22"/>
              </w:rPr>
              <w:t xml:space="preserve"> people of African or African Caribbean family origin</w:t>
            </w:r>
            <w:r w:rsidR="00223C70">
              <w:rPr>
                <w:rFonts w:cs="Arial"/>
                <w:sz w:val="22"/>
                <w:szCs w:val="22"/>
              </w:rPr>
              <w:t xml:space="preserve">. </w:t>
            </w:r>
            <w:r w:rsidR="00E70B36">
              <w:rPr>
                <w:rFonts w:cs="Arial"/>
                <w:sz w:val="22"/>
                <w:szCs w:val="22"/>
              </w:rPr>
              <w:t>Unfortunately,</w:t>
            </w:r>
            <w:r w:rsidR="00223C70">
              <w:rPr>
                <w:rFonts w:cs="Arial"/>
                <w:sz w:val="22"/>
                <w:szCs w:val="22"/>
              </w:rPr>
              <w:t xml:space="preserve"> the population size would not support </w:t>
            </w:r>
            <w:r w:rsidR="00E70B36">
              <w:rPr>
                <w:rFonts w:cs="Arial"/>
                <w:sz w:val="22"/>
                <w:szCs w:val="22"/>
              </w:rPr>
              <w:t>separate</w:t>
            </w:r>
            <w:r w:rsidR="00223C70">
              <w:rPr>
                <w:rFonts w:cs="Arial"/>
                <w:sz w:val="22"/>
                <w:szCs w:val="22"/>
              </w:rPr>
              <w:t xml:space="preserve"> reporting for population sub-groups for th</w:t>
            </w:r>
            <w:r w:rsidR="00E70B36">
              <w:rPr>
                <w:rFonts w:cs="Arial"/>
                <w:sz w:val="22"/>
                <w:szCs w:val="22"/>
              </w:rPr>
              <w:t>ese</w:t>
            </w:r>
            <w:r w:rsidR="00223C70">
              <w:rPr>
                <w:rFonts w:cs="Arial"/>
                <w:sz w:val="22"/>
                <w:szCs w:val="22"/>
              </w:rPr>
              <w:t xml:space="preserve"> indicator</w:t>
            </w:r>
            <w:r w:rsidR="00E70B36">
              <w:rPr>
                <w:rFonts w:cs="Arial"/>
                <w:sz w:val="22"/>
                <w:szCs w:val="22"/>
              </w:rPr>
              <w:t>s</w:t>
            </w:r>
            <w:r w:rsidR="00223C70">
              <w:rPr>
                <w:rFonts w:cs="Arial"/>
                <w:sz w:val="22"/>
                <w:szCs w:val="22"/>
              </w:rPr>
              <w:t xml:space="preserve"> at CCG level.</w:t>
            </w:r>
            <w:r w:rsidR="00E70B36">
              <w:rPr>
                <w:rFonts w:cs="Arial"/>
                <w:sz w:val="22"/>
                <w:szCs w:val="22"/>
              </w:rPr>
              <w:t xml:space="preserve"> The timescales are those used for the </w:t>
            </w:r>
            <w:hyperlink r:id="rId32" w:history="1">
              <w:proofErr w:type="spellStart"/>
              <w:r w:rsidR="00E70B36" w:rsidRPr="00E70B36">
                <w:rPr>
                  <w:rStyle w:val="Hyperlink"/>
                  <w:rFonts w:cs="Arial"/>
                  <w:sz w:val="22"/>
                  <w:szCs w:val="22"/>
                </w:rPr>
                <w:t>newborn</w:t>
              </w:r>
              <w:proofErr w:type="spellEnd"/>
              <w:r w:rsidR="00E70B36" w:rsidRPr="00E70B36">
                <w:rPr>
                  <w:rStyle w:val="Hyperlink"/>
                  <w:rFonts w:cs="Arial"/>
                  <w:sz w:val="22"/>
                  <w:szCs w:val="22"/>
                </w:rPr>
                <w:t xml:space="preserve"> blood spot screening data collection and performance analysis</w:t>
              </w:r>
            </w:hyperlink>
            <w:r w:rsidR="00E70B36">
              <w:rPr>
                <w:rFonts w:cs="Arial"/>
                <w:sz w:val="22"/>
                <w:szCs w:val="22"/>
              </w:rPr>
              <w:t>.</w:t>
            </w:r>
          </w:p>
        </w:tc>
      </w:tr>
    </w:tbl>
    <w:p w14:paraId="0D7D089A" w14:textId="77777777" w:rsidR="003D0277" w:rsidRDefault="003D0277"/>
    <w:p w14:paraId="10BFA323" w14:textId="7FBA207C" w:rsidR="003D0277" w:rsidRPr="003C42C4" w:rsidRDefault="008E12C4" w:rsidP="001D2773">
      <w:pPr>
        <w:pStyle w:val="Heading2"/>
      </w:pPr>
      <w:bookmarkStart w:id="17" w:name="_Hlk68876079"/>
      <w:r w:rsidRPr="003C42C4">
        <w:t>Question 1: Do you think there are any barriers to implementing the care described by these indicators?</w:t>
      </w:r>
    </w:p>
    <w:p w14:paraId="227D3B8C" w14:textId="77777777" w:rsidR="008E12C4" w:rsidRDefault="008E12C4"/>
    <w:tbl>
      <w:tblPr>
        <w:tblStyle w:val="TableGrid"/>
        <w:tblW w:w="5000" w:type="pct"/>
        <w:tblLayout w:type="fixed"/>
        <w:tblLook w:val="04A0" w:firstRow="1" w:lastRow="0" w:firstColumn="1" w:lastColumn="0" w:noHBand="0" w:noVBand="1"/>
        <w:tblCaption w:val="Appendix A - Table of consultation comments - Question 1"/>
        <w:tblDescription w:val="A table of comments in relation to question 1 of the screening consultation received during the screening indicators process"/>
      </w:tblPr>
      <w:tblGrid>
        <w:gridCol w:w="561"/>
        <w:gridCol w:w="1727"/>
        <w:gridCol w:w="8339"/>
        <w:gridCol w:w="3323"/>
      </w:tblGrid>
      <w:tr w:rsidR="008162F3" w:rsidRPr="00C87A7D" w14:paraId="7D6A961E" w14:textId="77777777" w:rsidTr="003E10AB">
        <w:trPr>
          <w:cantSplit/>
          <w:tblHeader/>
        </w:trPr>
        <w:tc>
          <w:tcPr>
            <w:tcW w:w="201" w:type="pct"/>
            <w:tcBorders>
              <w:bottom w:val="single" w:sz="4" w:space="0" w:color="000000"/>
            </w:tcBorders>
            <w:vAlign w:val="center"/>
          </w:tcPr>
          <w:p w14:paraId="6DB607DA" w14:textId="09C13D9C" w:rsidR="008162F3" w:rsidRDefault="008162F3" w:rsidP="0008363D">
            <w:pPr>
              <w:rPr>
                <w:rFonts w:ascii="Arial" w:hAnsi="Arial" w:cs="Arial"/>
                <w:sz w:val="22"/>
                <w:szCs w:val="22"/>
              </w:rPr>
            </w:pPr>
            <w:r w:rsidRPr="00C87A7D">
              <w:rPr>
                <w:rFonts w:ascii="Arial" w:hAnsi="Arial" w:cs="Arial"/>
                <w:b/>
                <w:sz w:val="22"/>
                <w:szCs w:val="22"/>
                <w:lang w:val="en-US"/>
              </w:rPr>
              <w:t>ID</w:t>
            </w:r>
          </w:p>
        </w:tc>
        <w:tc>
          <w:tcPr>
            <w:tcW w:w="619" w:type="pct"/>
            <w:tcBorders>
              <w:bottom w:val="single" w:sz="4" w:space="0" w:color="000000"/>
            </w:tcBorders>
          </w:tcPr>
          <w:p w14:paraId="7B581B58" w14:textId="09B66A86" w:rsidR="008162F3" w:rsidRPr="00D74341" w:rsidRDefault="008162F3" w:rsidP="00022010">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Borders>
              <w:bottom w:val="single" w:sz="4" w:space="0" w:color="000000"/>
            </w:tcBorders>
          </w:tcPr>
          <w:p w14:paraId="7E1E078F" w14:textId="093DF94E" w:rsidR="008162F3" w:rsidRPr="00C87A7D" w:rsidRDefault="008162F3" w:rsidP="00022010">
            <w:pPr>
              <w:rPr>
                <w:rFonts w:ascii="Arial" w:hAnsi="Arial" w:cs="Arial"/>
                <w:sz w:val="22"/>
                <w:szCs w:val="22"/>
              </w:rPr>
            </w:pPr>
            <w:r w:rsidRPr="00C87A7D">
              <w:rPr>
                <w:rFonts w:ascii="Arial" w:hAnsi="Arial" w:cs="Arial"/>
                <w:b/>
                <w:sz w:val="22"/>
                <w:szCs w:val="22"/>
                <w:lang w:val="en-US"/>
              </w:rPr>
              <w:t>Comment</w:t>
            </w:r>
          </w:p>
        </w:tc>
        <w:tc>
          <w:tcPr>
            <w:tcW w:w="1191" w:type="pct"/>
            <w:tcBorders>
              <w:bottom w:val="single" w:sz="4" w:space="0" w:color="000000"/>
            </w:tcBorders>
          </w:tcPr>
          <w:p w14:paraId="6114FE3F" w14:textId="3A8CCA38" w:rsidR="008162F3" w:rsidRPr="00973376" w:rsidRDefault="008162F3" w:rsidP="00022010">
            <w:pPr>
              <w:rPr>
                <w:rFonts w:ascii="Arial" w:hAnsi="Arial" w:cs="Arial"/>
                <w:sz w:val="22"/>
                <w:szCs w:val="22"/>
              </w:rPr>
            </w:pPr>
            <w:r>
              <w:rPr>
                <w:rFonts w:ascii="Arial" w:hAnsi="Arial" w:cs="Arial"/>
                <w:b/>
                <w:sz w:val="22"/>
                <w:szCs w:val="22"/>
                <w:lang w:val="en-US"/>
              </w:rPr>
              <w:t>NICE Response</w:t>
            </w:r>
          </w:p>
        </w:tc>
      </w:tr>
      <w:bookmarkEnd w:id="17"/>
      <w:tr w:rsidR="00A22B35" w:rsidRPr="00C87A7D" w14:paraId="49B1AD6A" w14:textId="6559AFA7" w:rsidTr="00B929DA">
        <w:trPr>
          <w:cantSplit/>
        </w:trPr>
        <w:tc>
          <w:tcPr>
            <w:tcW w:w="201" w:type="pct"/>
            <w:tcBorders>
              <w:bottom w:val="single" w:sz="4" w:space="0" w:color="000000"/>
            </w:tcBorders>
            <w:vAlign w:val="center"/>
            <w:hideMark/>
          </w:tcPr>
          <w:p w14:paraId="5ED5092C" w14:textId="79D88470" w:rsidR="00A22B35" w:rsidRPr="00C87A7D" w:rsidRDefault="00A22B35" w:rsidP="0008363D">
            <w:pPr>
              <w:rPr>
                <w:rFonts w:ascii="Arial" w:hAnsi="Arial" w:cs="Arial"/>
                <w:color w:val="000000"/>
                <w:sz w:val="22"/>
                <w:szCs w:val="22"/>
              </w:rPr>
            </w:pPr>
            <w:r>
              <w:rPr>
                <w:rFonts w:ascii="Arial" w:hAnsi="Arial" w:cs="Arial"/>
                <w:sz w:val="22"/>
                <w:szCs w:val="22"/>
              </w:rPr>
              <w:t>12</w:t>
            </w:r>
          </w:p>
        </w:tc>
        <w:tc>
          <w:tcPr>
            <w:tcW w:w="619" w:type="pct"/>
            <w:tcBorders>
              <w:bottom w:val="single" w:sz="4" w:space="0" w:color="000000"/>
            </w:tcBorders>
          </w:tcPr>
          <w:p w14:paraId="2DCDD253" w14:textId="77777777" w:rsidR="00A22B35" w:rsidRPr="00D74341" w:rsidRDefault="00A22B35" w:rsidP="00022010">
            <w:pPr>
              <w:rPr>
                <w:rFonts w:ascii="Arial" w:hAnsi="Arial" w:cs="Arial"/>
                <w:bCs/>
                <w:sz w:val="22"/>
                <w:szCs w:val="22"/>
              </w:rPr>
            </w:pPr>
            <w:r w:rsidRPr="00D74341">
              <w:rPr>
                <w:rFonts w:ascii="Arial" w:hAnsi="Arial" w:cs="Arial"/>
                <w:bCs/>
                <w:sz w:val="22"/>
                <w:szCs w:val="22"/>
              </w:rPr>
              <w:t>Cystic Fibrosis Trust</w:t>
            </w:r>
          </w:p>
        </w:tc>
        <w:tc>
          <w:tcPr>
            <w:tcW w:w="2989" w:type="pct"/>
            <w:tcBorders>
              <w:bottom w:val="single" w:sz="4" w:space="0" w:color="000000"/>
            </w:tcBorders>
          </w:tcPr>
          <w:p w14:paraId="4C0A7EDC" w14:textId="0F5AE7DA" w:rsidR="00A22B35" w:rsidRPr="00C87A7D" w:rsidRDefault="00A22B35" w:rsidP="00022010">
            <w:pPr>
              <w:rPr>
                <w:rFonts w:ascii="Arial" w:hAnsi="Arial" w:cs="Arial"/>
                <w:sz w:val="22"/>
                <w:szCs w:val="22"/>
              </w:rPr>
            </w:pPr>
            <w:r w:rsidRPr="00C87A7D">
              <w:rPr>
                <w:rFonts w:ascii="Arial" w:hAnsi="Arial" w:cs="Arial"/>
                <w:sz w:val="22"/>
                <w:szCs w:val="22"/>
              </w:rPr>
              <w:t>None</w:t>
            </w:r>
            <w:r w:rsidR="008E12C4">
              <w:rPr>
                <w:rFonts w:ascii="Arial" w:hAnsi="Arial" w:cs="Arial"/>
                <w:sz w:val="22"/>
                <w:szCs w:val="22"/>
              </w:rPr>
              <w:t xml:space="preserve"> </w:t>
            </w:r>
          </w:p>
        </w:tc>
        <w:tc>
          <w:tcPr>
            <w:tcW w:w="1191" w:type="pct"/>
            <w:tcBorders>
              <w:bottom w:val="single" w:sz="4" w:space="0" w:color="000000"/>
            </w:tcBorders>
          </w:tcPr>
          <w:p w14:paraId="3CB4887D" w14:textId="4BBF1E88" w:rsidR="00A22B35" w:rsidRPr="00C87A7D" w:rsidRDefault="00973376" w:rsidP="00022010">
            <w:pPr>
              <w:rPr>
                <w:rFonts w:ascii="Arial" w:hAnsi="Arial" w:cs="Arial"/>
                <w:sz w:val="22"/>
                <w:szCs w:val="22"/>
              </w:rPr>
            </w:pPr>
            <w:r w:rsidRPr="00973376">
              <w:rPr>
                <w:rFonts w:ascii="Arial" w:hAnsi="Arial" w:cs="Arial"/>
                <w:sz w:val="22"/>
                <w:szCs w:val="22"/>
              </w:rPr>
              <w:t>Thank you for your comment.</w:t>
            </w:r>
          </w:p>
        </w:tc>
      </w:tr>
    </w:tbl>
    <w:p w14:paraId="22E2291E" w14:textId="77777777" w:rsidR="003D0277" w:rsidRDefault="003D0277"/>
    <w:p w14:paraId="6721FEA9" w14:textId="77777777" w:rsidR="00755FCE" w:rsidRDefault="00755FCE">
      <w:pPr>
        <w:rPr>
          <w:rFonts w:ascii="Arial" w:hAnsi="Arial" w:cs="Arial"/>
          <w:b/>
          <w:sz w:val="22"/>
          <w:szCs w:val="22"/>
        </w:rPr>
      </w:pPr>
    </w:p>
    <w:p w14:paraId="3B05E65C" w14:textId="77777777" w:rsidR="00755FCE" w:rsidRDefault="00755FCE">
      <w:pPr>
        <w:rPr>
          <w:rFonts w:ascii="Arial" w:hAnsi="Arial" w:cs="Arial"/>
          <w:b/>
          <w:sz w:val="22"/>
          <w:szCs w:val="22"/>
        </w:rPr>
      </w:pPr>
    </w:p>
    <w:p w14:paraId="59502E9A" w14:textId="1E338F1C" w:rsidR="003D0277" w:rsidRPr="003C42C4" w:rsidRDefault="008E12C4" w:rsidP="001D2773">
      <w:pPr>
        <w:pStyle w:val="Heading2"/>
      </w:pPr>
      <w:r w:rsidRPr="003C42C4">
        <w:lastRenderedPageBreak/>
        <w:t>Question 2: Do you think there are potential unintended consequences to implementing/ using any of these indicators?</w:t>
      </w:r>
    </w:p>
    <w:p w14:paraId="6174EDAA" w14:textId="77777777" w:rsidR="008E12C4" w:rsidRDefault="008E12C4"/>
    <w:tbl>
      <w:tblPr>
        <w:tblStyle w:val="TableGrid"/>
        <w:tblW w:w="5000" w:type="pct"/>
        <w:tblLayout w:type="fixed"/>
        <w:tblLook w:val="04A0" w:firstRow="1" w:lastRow="0" w:firstColumn="1" w:lastColumn="0" w:noHBand="0" w:noVBand="1"/>
        <w:tblCaption w:val="Appendix A - Table of consultation comments - Question 2"/>
        <w:tblDescription w:val="A table of comments in relation to question 2 of the screening consultation received during the screening indicators process"/>
      </w:tblPr>
      <w:tblGrid>
        <w:gridCol w:w="561"/>
        <w:gridCol w:w="1727"/>
        <w:gridCol w:w="8339"/>
        <w:gridCol w:w="3323"/>
      </w:tblGrid>
      <w:tr w:rsidR="008162F3" w:rsidRPr="00C87A7D" w14:paraId="514BB6E6" w14:textId="77777777" w:rsidTr="00C34AA5">
        <w:trPr>
          <w:cantSplit/>
          <w:tblHeader/>
        </w:trPr>
        <w:tc>
          <w:tcPr>
            <w:tcW w:w="201" w:type="pct"/>
            <w:tcBorders>
              <w:bottom w:val="single" w:sz="4" w:space="0" w:color="000000"/>
            </w:tcBorders>
            <w:vAlign w:val="center"/>
          </w:tcPr>
          <w:p w14:paraId="255A64E9" w14:textId="4FACA185"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Borders>
              <w:bottom w:val="single" w:sz="4" w:space="0" w:color="000000"/>
            </w:tcBorders>
          </w:tcPr>
          <w:p w14:paraId="17DE1438" w14:textId="2CBD5591"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Borders>
              <w:bottom w:val="single" w:sz="4" w:space="0" w:color="000000"/>
            </w:tcBorders>
          </w:tcPr>
          <w:p w14:paraId="3DBA5D18" w14:textId="768864E1"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Borders>
              <w:bottom w:val="single" w:sz="4" w:space="0" w:color="000000"/>
            </w:tcBorders>
          </w:tcPr>
          <w:p w14:paraId="319236C3" w14:textId="6992F755" w:rsidR="008162F3" w:rsidRPr="00973376"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583536ED" w14:textId="678EC5FD" w:rsidTr="00B929DA">
        <w:trPr>
          <w:cantSplit/>
        </w:trPr>
        <w:tc>
          <w:tcPr>
            <w:tcW w:w="201" w:type="pct"/>
            <w:tcBorders>
              <w:bottom w:val="single" w:sz="4" w:space="0" w:color="000000"/>
            </w:tcBorders>
            <w:vAlign w:val="center"/>
            <w:hideMark/>
          </w:tcPr>
          <w:p w14:paraId="78151501" w14:textId="5F8E6F2B" w:rsidR="008162F3" w:rsidRPr="00C87A7D" w:rsidRDefault="008162F3" w:rsidP="008162F3">
            <w:pPr>
              <w:rPr>
                <w:rFonts w:ascii="Arial" w:hAnsi="Arial" w:cs="Arial"/>
                <w:color w:val="000000"/>
                <w:sz w:val="22"/>
                <w:szCs w:val="22"/>
              </w:rPr>
            </w:pPr>
            <w:r>
              <w:rPr>
                <w:rFonts w:ascii="Arial" w:hAnsi="Arial" w:cs="Arial"/>
                <w:sz w:val="22"/>
                <w:szCs w:val="22"/>
              </w:rPr>
              <w:t>13</w:t>
            </w:r>
          </w:p>
        </w:tc>
        <w:tc>
          <w:tcPr>
            <w:tcW w:w="619" w:type="pct"/>
            <w:tcBorders>
              <w:bottom w:val="single" w:sz="4" w:space="0" w:color="000000"/>
            </w:tcBorders>
          </w:tcPr>
          <w:p w14:paraId="5BD3CB89"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tcBorders>
              <w:bottom w:val="single" w:sz="4" w:space="0" w:color="000000"/>
            </w:tcBorders>
          </w:tcPr>
          <w:p w14:paraId="6734307E" w14:textId="1F00A075" w:rsidR="008162F3" w:rsidRPr="00C87A7D" w:rsidRDefault="008162F3" w:rsidP="008162F3">
            <w:pPr>
              <w:rPr>
                <w:rFonts w:ascii="Arial" w:hAnsi="Arial" w:cs="Arial"/>
                <w:sz w:val="22"/>
                <w:szCs w:val="22"/>
              </w:rPr>
            </w:pPr>
            <w:r w:rsidRPr="00C87A7D">
              <w:rPr>
                <w:rFonts w:ascii="Arial" w:hAnsi="Arial" w:cs="Arial"/>
                <w:sz w:val="22"/>
                <w:szCs w:val="22"/>
              </w:rPr>
              <w:t>None</w:t>
            </w:r>
            <w:r w:rsidRPr="00A81647">
              <w:rPr>
                <w:rFonts w:ascii="Arial" w:hAnsi="Arial" w:cs="Arial"/>
                <w:b/>
                <w:color w:val="000000"/>
                <w:sz w:val="22"/>
                <w:szCs w:val="22"/>
              </w:rPr>
              <w:t xml:space="preserve"> </w:t>
            </w:r>
          </w:p>
        </w:tc>
        <w:tc>
          <w:tcPr>
            <w:tcW w:w="1191" w:type="pct"/>
            <w:tcBorders>
              <w:bottom w:val="single" w:sz="4" w:space="0" w:color="000000"/>
            </w:tcBorders>
          </w:tcPr>
          <w:p w14:paraId="6B4E5905" w14:textId="79DAD489" w:rsidR="008162F3" w:rsidRPr="00C87A7D" w:rsidRDefault="008162F3" w:rsidP="008162F3">
            <w:pPr>
              <w:rPr>
                <w:rFonts w:ascii="Arial" w:hAnsi="Arial" w:cs="Arial"/>
                <w:sz w:val="22"/>
                <w:szCs w:val="22"/>
              </w:rPr>
            </w:pPr>
            <w:r w:rsidRPr="00973376">
              <w:rPr>
                <w:rFonts w:ascii="Arial" w:hAnsi="Arial" w:cs="Arial"/>
                <w:sz w:val="22"/>
                <w:szCs w:val="22"/>
              </w:rPr>
              <w:t>Thank you for your comment.</w:t>
            </w:r>
          </w:p>
        </w:tc>
      </w:tr>
    </w:tbl>
    <w:p w14:paraId="47ABCA27" w14:textId="77777777" w:rsidR="007C6C58" w:rsidRDefault="007C6C58"/>
    <w:p w14:paraId="63A14603" w14:textId="20AFD0CC" w:rsidR="003D0277" w:rsidRPr="003C42C4" w:rsidRDefault="007C6C58" w:rsidP="001D2773">
      <w:pPr>
        <w:pStyle w:val="Heading2"/>
      </w:pPr>
      <w:r w:rsidRPr="003C42C4">
        <w:t>Question 3: 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13E9DAFC" w14:textId="77777777" w:rsidR="007C6C58" w:rsidRDefault="007C6C58"/>
    <w:tbl>
      <w:tblPr>
        <w:tblStyle w:val="TableGrid"/>
        <w:tblW w:w="5000" w:type="pct"/>
        <w:tblLayout w:type="fixed"/>
        <w:tblLook w:val="04A0" w:firstRow="1" w:lastRow="0" w:firstColumn="1" w:lastColumn="0" w:noHBand="0" w:noVBand="1"/>
        <w:tblCaption w:val="Appendix A - Table of consultation comments - Question 3"/>
        <w:tblDescription w:val="A table of comments in relation to question 3 of the screening consultation received during the screening indicators process"/>
      </w:tblPr>
      <w:tblGrid>
        <w:gridCol w:w="561"/>
        <w:gridCol w:w="1727"/>
        <w:gridCol w:w="8339"/>
        <w:gridCol w:w="3323"/>
      </w:tblGrid>
      <w:tr w:rsidR="008162F3" w:rsidRPr="00C87A7D" w14:paraId="493B150B" w14:textId="77777777" w:rsidTr="00C34AA5">
        <w:trPr>
          <w:cantSplit/>
          <w:tblHeader/>
        </w:trPr>
        <w:tc>
          <w:tcPr>
            <w:tcW w:w="201" w:type="pct"/>
            <w:tcBorders>
              <w:bottom w:val="single" w:sz="4" w:space="0" w:color="000000"/>
            </w:tcBorders>
            <w:vAlign w:val="center"/>
          </w:tcPr>
          <w:p w14:paraId="7399FF53" w14:textId="2039FFB8"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Borders>
              <w:bottom w:val="single" w:sz="4" w:space="0" w:color="000000"/>
            </w:tcBorders>
          </w:tcPr>
          <w:p w14:paraId="75E4F60E" w14:textId="6C140231"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Borders>
              <w:bottom w:val="single" w:sz="4" w:space="0" w:color="000000"/>
            </w:tcBorders>
          </w:tcPr>
          <w:p w14:paraId="6BC06E4B" w14:textId="56A51586"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Borders>
              <w:bottom w:val="single" w:sz="4" w:space="0" w:color="000000"/>
            </w:tcBorders>
          </w:tcPr>
          <w:p w14:paraId="50543326" w14:textId="16379C1C" w:rsidR="008162F3" w:rsidRPr="00973376"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48889BF1" w14:textId="372B9EC8" w:rsidTr="00B929DA">
        <w:trPr>
          <w:cantSplit/>
        </w:trPr>
        <w:tc>
          <w:tcPr>
            <w:tcW w:w="201" w:type="pct"/>
            <w:tcBorders>
              <w:bottom w:val="single" w:sz="4" w:space="0" w:color="000000"/>
            </w:tcBorders>
            <w:vAlign w:val="center"/>
            <w:hideMark/>
          </w:tcPr>
          <w:p w14:paraId="59B40C48" w14:textId="51AC1208" w:rsidR="008162F3" w:rsidRPr="00C87A7D" w:rsidRDefault="008162F3" w:rsidP="008162F3">
            <w:pPr>
              <w:rPr>
                <w:rFonts w:ascii="Arial" w:hAnsi="Arial" w:cs="Arial"/>
                <w:color w:val="000000"/>
                <w:sz w:val="22"/>
                <w:szCs w:val="22"/>
              </w:rPr>
            </w:pPr>
            <w:r>
              <w:rPr>
                <w:rFonts w:ascii="Arial" w:hAnsi="Arial" w:cs="Arial"/>
                <w:sz w:val="22"/>
                <w:szCs w:val="22"/>
              </w:rPr>
              <w:t>14</w:t>
            </w:r>
          </w:p>
        </w:tc>
        <w:tc>
          <w:tcPr>
            <w:tcW w:w="619" w:type="pct"/>
            <w:tcBorders>
              <w:bottom w:val="single" w:sz="4" w:space="0" w:color="000000"/>
            </w:tcBorders>
          </w:tcPr>
          <w:p w14:paraId="6B481DAA"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tcBorders>
              <w:bottom w:val="single" w:sz="4" w:space="0" w:color="000000"/>
            </w:tcBorders>
          </w:tcPr>
          <w:p w14:paraId="48A6F818" w14:textId="05974935" w:rsidR="008162F3" w:rsidRPr="00C87A7D" w:rsidRDefault="008162F3" w:rsidP="008162F3">
            <w:pPr>
              <w:rPr>
                <w:rFonts w:ascii="Arial" w:hAnsi="Arial" w:cs="Arial"/>
                <w:sz w:val="22"/>
                <w:szCs w:val="22"/>
              </w:rPr>
            </w:pPr>
            <w:r w:rsidRPr="00C87A7D">
              <w:rPr>
                <w:rFonts w:ascii="Arial" w:hAnsi="Arial" w:cs="Arial"/>
                <w:sz w:val="22"/>
                <w:szCs w:val="22"/>
              </w:rPr>
              <w:t>None</w:t>
            </w:r>
            <w:r w:rsidRPr="00A81647">
              <w:rPr>
                <w:rFonts w:ascii="Arial" w:hAnsi="Arial" w:cs="Arial"/>
                <w:b/>
                <w:color w:val="000000"/>
                <w:sz w:val="22"/>
                <w:szCs w:val="22"/>
              </w:rPr>
              <w:t xml:space="preserve"> </w:t>
            </w:r>
          </w:p>
        </w:tc>
        <w:tc>
          <w:tcPr>
            <w:tcW w:w="1191" w:type="pct"/>
            <w:tcBorders>
              <w:bottom w:val="single" w:sz="4" w:space="0" w:color="000000"/>
            </w:tcBorders>
          </w:tcPr>
          <w:p w14:paraId="1F771D86" w14:textId="07790879" w:rsidR="008162F3" w:rsidRPr="00C87A7D" w:rsidRDefault="008162F3" w:rsidP="008162F3">
            <w:pPr>
              <w:rPr>
                <w:rFonts w:ascii="Arial" w:hAnsi="Arial" w:cs="Arial"/>
                <w:sz w:val="22"/>
                <w:szCs w:val="22"/>
              </w:rPr>
            </w:pPr>
            <w:r w:rsidRPr="00973376">
              <w:rPr>
                <w:rFonts w:ascii="Arial" w:hAnsi="Arial" w:cs="Arial"/>
                <w:sz w:val="22"/>
                <w:szCs w:val="22"/>
              </w:rPr>
              <w:t>Thank you for your comment.</w:t>
            </w:r>
          </w:p>
        </w:tc>
      </w:tr>
    </w:tbl>
    <w:p w14:paraId="026452E1" w14:textId="77777777" w:rsidR="007C6C58" w:rsidRDefault="007C6C58">
      <w:pPr>
        <w:rPr>
          <w:rFonts w:ascii="Arial" w:hAnsi="Arial" w:cs="Arial"/>
          <w:b/>
          <w:color w:val="000000"/>
          <w:sz w:val="22"/>
          <w:szCs w:val="22"/>
        </w:rPr>
      </w:pPr>
    </w:p>
    <w:p w14:paraId="7DA065F1" w14:textId="7182A5FA" w:rsidR="00701C95" w:rsidRPr="003C42C4" w:rsidRDefault="007C6C58" w:rsidP="00701C95">
      <w:pPr>
        <w:pStyle w:val="Heading2"/>
      </w:pPr>
      <w:r w:rsidRPr="003C42C4">
        <w:t>Question 4: If you think any of these indicators may have an adverse impact in different groups in the community, can you suggest how the indicator might be delivered differently to different groups to reduce health inequalities?</w:t>
      </w:r>
    </w:p>
    <w:p w14:paraId="3D07D767" w14:textId="77777777" w:rsidR="003D0277" w:rsidRDefault="003D0277"/>
    <w:tbl>
      <w:tblPr>
        <w:tblStyle w:val="TableGrid"/>
        <w:tblW w:w="5000" w:type="pct"/>
        <w:tblLayout w:type="fixed"/>
        <w:tblLook w:val="04A0" w:firstRow="1" w:lastRow="0" w:firstColumn="1" w:lastColumn="0" w:noHBand="0" w:noVBand="1"/>
        <w:tblCaption w:val="Appendix A - Table of consultation comments - Question 4"/>
        <w:tblDescription w:val="A table of comments in relation to question 4 of the screening consultation received during the screening indicators process"/>
      </w:tblPr>
      <w:tblGrid>
        <w:gridCol w:w="561"/>
        <w:gridCol w:w="1727"/>
        <w:gridCol w:w="8339"/>
        <w:gridCol w:w="3323"/>
      </w:tblGrid>
      <w:tr w:rsidR="008162F3" w:rsidRPr="00C87A7D" w14:paraId="7F6DB69B" w14:textId="77777777" w:rsidTr="00C34AA5">
        <w:trPr>
          <w:cantSplit/>
          <w:tblHeader/>
        </w:trPr>
        <w:tc>
          <w:tcPr>
            <w:tcW w:w="201" w:type="pct"/>
            <w:tcBorders>
              <w:bottom w:val="single" w:sz="4" w:space="0" w:color="000000"/>
            </w:tcBorders>
            <w:vAlign w:val="center"/>
          </w:tcPr>
          <w:p w14:paraId="16F22AA8" w14:textId="2A3350EB"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Borders>
              <w:bottom w:val="single" w:sz="4" w:space="0" w:color="000000"/>
            </w:tcBorders>
          </w:tcPr>
          <w:p w14:paraId="635B3F81" w14:textId="0DB40FC1"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Borders>
              <w:bottom w:val="single" w:sz="4" w:space="0" w:color="000000"/>
            </w:tcBorders>
          </w:tcPr>
          <w:p w14:paraId="3EA014DA" w14:textId="4FCD246C"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Borders>
              <w:bottom w:val="single" w:sz="4" w:space="0" w:color="000000"/>
            </w:tcBorders>
          </w:tcPr>
          <w:p w14:paraId="1E4CB2A2" w14:textId="0BFB1DC0" w:rsidR="008162F3" w:rsidRPr="00973376"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56EEA482" w14:textId="77777777" w:rsidTr="00B929DA">
        <w:trPr>
          <w:cantSplit/>
        </w:trPr>
        <w:tc>
          <w:tcPr>
            <w:tcW w:w="201" w:type="pct"/>
            <w:tcBorders>
              <w:bottom w:val="single" w:sz="4" w:space="0" w:color="000000"/>
            </w:tcBorders>
            <w:vAlign w:val="center"/>
          </w:tcPr>
          <w:p w14:paraId="5F951673" w14:textId="02E24453" w:rsidR="008162F3" w:rsidRDefault="008162F3" w:rsidP="008162F3">
            <w:pPr>
              <w:rPr>
                <w:rFonts w:ascii="Arial" w:hAnsi="Arial" w:cs="Arial"/>
                <w:sz w:val="22"/>
                <w:szCs w:val="22"/>
              </w:rPr>
            </w:pPr>
            <w:r>
              <w:rPr>
                <w:rFonts w:ascii="Arial" w:hAnsi="Arial" w:cs="Arial"/>
                <w:sz w:val="22"/>
                <w:szCs w:val="22"/>
              </w:rPr>
              <w:t>15</w:t>
            </w:r>
          </w:p>
        </w:tc>
        <w:tc>
          <w:tcPr>
            <w:tcW w:w="619" w:type="pct"/>
            <w:tcBorders>
              <w:bottom w:val="single" w:sz="4" w:space="0" w:color="000000"/>
            </w:tcBorders>
          </w:tcPr>
          <w:p w14:paraId="758B27D8" w14:textId="3D63E5A4"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tcBorders>
              <w:bottom w:val="single" w:sz="4" w:space="0" w:color="000000"/>
            </w:tcBorders>
          </w:tcPr>
          <w:p w14:paraId="76848326" w14:textId="50494B84" w:rsidR="008162F3" w:rsidRPr="00C87A7D" w:rsidRDefault="008162F3" w:rsidP="008162F3">
            <w:pPr>
              <w:rPr>
                <w:rFonts w:ascii="Arial" w:hAnsi="Arial" w:cs="Arial"/>
                <w:sz w:val="22"/>
                <w:szCs w:val="22"/>
              </w:rPr>
            </w:pPr>
            <w:r w:rsidRPr="00C87A7D">
              <w:rPr>
                <w:rFonts w:ascii="Arial" w:hAnsi="Arial" w:cs="Arial"/>
                <w:sz w:val="22"/>
                <w:szCs w:val="22"/>
              </w:rPr>
              <w:t>None</w:t>
            </w:r>
            <w:r w:rsidRPr="00A81647">
              <w:rPr>
                <w:rFonts w:ascii="Arial" w:hAnsi="Arial" w:cs="Arial"/>
                <w:b/>
                <w:color w:val="000000"/>
                <w:sz w:val="22"/>
                <w:szCs w:val="22"/>
              </w:rPr>
              <w:t xml:space="preserve"> </w:t>
            </w:r>
          </w:p>
        </w:tc>
        <w:tc>
          <w:tcPr>
            <w:tcW w:w="1191" w:type="pct"/>
            <w:tcBorders>
              <w:bottom w:val="single" w:sz="4" w:space="0" w:color="000000"/>
            </w:tcBorders>
          </w:tcPr>
          <w:p w14:paraId="54A84868" w14:textId="52F927D7" w:rsidR="008162F3" w:rsidRPr="00973376" w:rsidRDefault="008162F3" w:rsidP="008162F3">
            <w:pPr>
              <w:rPr>
                <w:rFonts w:ascii="Arial" w:hAnsi="Arial" w:cs="Arial"/>
                <w:sz w:val="22"/>
                <w:szCs w:val="22"/>
              </w:rPr>
            </w:pPr>
            <w:r w:rsidRPr="00973376">
              <w:rPr>
                <w:rFonts w:ascii="Arial" w:hAnsi="Arial" w:cs="Arial"/>
                <w:sz w:val="22"/>
                <w:szCs w:val="22"/>
              </w:rPr>
              <w:t>Thank you for your comment.</w:t>
            </w:r>
          </w:p>
        </w:tc>
      </w:tr>
    </w:tbl>
    <w:p w14:paraId="76A5E254" w14:textId="77777777" w:rsidR="00755FCE" w:rsidRDefault="00755FCE">
      <w:pPr>
        <w:rPr>
          <w:rFonts w:ascii="Arial" w:hAnsi="Arial" w:cs="Arial"/>
          <w:b/>
          <w:color w:val="000000"/>
          <w:sz w:val="22"/>
          <w:szCs w:val="22"/>
        </w:rPr>
      </w:pPr>
    </w:p>
    <w:p w14:paraId="70DF5CFC" w14:textId="3ADE2107" w:rsidR="003D0277" w:rsidRPr="003C42C4" w:rsidRDefault="007C6C58" w:rsidP="001D2773">
      <w:pPr>
        <w:pStyle w:val="Heading2"/>
      </w:pPr>
      <w:r w:rsidRPr="003C42C4">
        <w:lastRenderedPageBreak/>
        <w:t>Question 5: The number of patients for this indicator (IND2020-96) is very small and makes the indicator unsuitable for use. Data quality issues were identified in the data source, but do the numbers of patients identified reflect the numbers you are aware of?</w:t>
      </w:r>
    </w:p>
    <w:p w14:paraId="39F31D55" w14:textId="77777777" w:rsidR="007C6C58" w:rsidRDefault="007C6C58"/>
    <w:tbl>
      <w:tblPr>
        <w:tblStyle w:val="TableGrid"/>
        <w:tblW w:w="5000" w:type="pct"/>
        <w:tblLayout w:type="fixed"/>
        <w:tblLook w:val="04A0" w:firstRow="1" w:lastRow="0" w:firstColumn="1" w:lastColumn="0" w:noHBand="0" w:noVBand="1"/>
        <w:tblCaption w:val="Appendix A - Table of consultation comments - Question 5"/>
        <w:tblDescription w:val="A table of comments in relation to question 5 of the screening consultation received during the screening indicators process"/>
      </w:tblPr>
      <w:tblGrid>
        <w:gridCol w:w="561"/>
        <w:gridCol w:w="1727"/>
        <w:gridCol w:w="8339"/>
        <w:gridCol w:w="3323"/>
      </w:tblGrid>
      <w:tr w:rsidR="008162F3" w:rsidRPr="00C87A7D" w14:paraId="4133EC0E" w14:textId="77777777" w:rsidTr="00C34AA5">
        <w:trPr>
          <w:cantSplit/>
          <w:tblHeader/>
        </w:trPr>
        <w:tc>
          <w:tcPr>
            <w:tcW w:w="201" w:type="pct"/>
            <w:tcBorders>
              <w:bottom w:val="single" w:sz="4" w:space="0" w:color="000000"/>
            </w:tcBorders>
            <w:vAlign w:val="center"/>
          </w:tcPr>
          <w:p w14:paraId="67B32C59" w14:textId="0B8F816D"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Borders>
              <w:bottom w:val="single" w:sz="4" w:space="0" w:color="000000"/>
            </w:tcBorders>
          </w:tcPr>
          <w:p w14:paraId="5FB93FDE" w14:textId="1B64E95F"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Borders>
              <w:bottom w:val="single" w:sz="4" w:space="0" w:color="000000"/>
            </w:tcBorders>
          </w:tcPr>
          <w:p w14:paraId="60D407A1" w14:textId="0959B2E3"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Borders>
              <w:bottom w:val="single" w:sz="4" w:space="0" w:color="000000"/>
            </w:tcBorders>
          </w:tcPr>
          <w:p w14:paraId="41359F7A" w14:textId="51306BFB" w:rsidR="008162F3" w:rsidRPr="00973376"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7C592B10" w14:textId="2FE23E66" w:rsidTr="00B929DA">
        <w:trPr>
          <w:cantSplit/>
        </w:trPr>
        <w:tc>
          <w:tcPr>
            <w:tcW w:w="201" w:type="pct"/>
            <w:tcBorders>
              <w:bottom w:val="single" w:sz="4" w:space="0" w:color="000000"/>
            </w:tcBorders>
            <w:vAlign w:val="center"/>
            <w:hideMark/>
          </w:tcPr>
          <w:p w14:paraId="60A532CB" w14:textId="34CF50B9" w:rsidR="008162F3" w:rsidRPr="00C87A7D" w:rsidRDefault="008162F3" w:rsidP="008162F3">
            <w:pPr>
              <w:rPr>
                <w:rFonts w:ascii="Arial" w:hAnsi="Arial" w:cs="Arial"/>
                <w:color w:val="000000"/>
                <w:sz w:val="22"/>
                <w:szCs w:val="22"/>
              </w:rPr>
            </w:pPr>
            <w:r>
              <w:rPr>
                <w:rFonts w:ascii="Arial" w:hAnsi="Arial" w:cs="Arial"/>
                <w:sz w:val="22"/>
                <w:szCs w:val="22"/>
              </w:rPr>
              <w:t>16</w:t>
            </w:r>
          </w:p>
        </w:tc>
        <w:tc>
          <w:tcPr>
            <w:tcW w:w="619" w:type="pct"/>
            <w:tcBorders>
              <w:bottom w:val="single" w:sz="4" w:space="0" w:color="000000"/>
            </w:tcBorders>
            <w:vAlign w:val="center"/>
          </w:tcPr>
          <w:p w14:paraId="3C9A85EA"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 xml:space="preserve">Inherited Metabolic Disorders </w:t>
            </w:r>
            <w:proofErr w:type="spellStart"/>
            <w:r w:rsidRPr="00D74341">
              <w:rPr>
                <w:rFonts w:ascii="Arial" w:hAnsi="Arial" w:cs="Arial"/>
                <w:bCs/>
                <w:sz w:val="22"/>
                <w:szCs w:val="22"/>
              </w:rPr>
              <w:t>Newborn</w:t>
            </w:r>
            <w:proofErr w:type="spellEnd"/>
            <w:r w:rsidRPr="00D74341">
              <w:rPr>
                <w:rFonts w:ascii="Arial" w:hAnsi="Arial" w:cs="Arial"/>
                <w:bCs/>
                <w:sz w:val="22"/>
                <w:szCs w:val="22"/>
              </w:rPr>
              <w:t xml:space="preserve"> Screening Advisory Board and British Inherited Metabolic Disease Group</w:t>
            </w:r>
          </w:p>
        </w:tc>
        <w:tc>
          <w:tcPr>
            <w:tcW w:w="2989" w:type="pct"/>
            <w:tcBorders>
              <w:bottom w:val="single" w:sz="4" w:space="0" w:color="000000"/>
            </w:tcBorders>
            <w:vAlign w:val="center"/>
          </w:tcPr>
          <w:p w14:paraId="0F1038A1"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Please refer this question to the Sickle cell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Screening advisory board</w:t>
            </w:r>
          </w:p>
        </w:tc>
        <w:tc>
          <w:tcPr>
            <w:tcW w:w="1191" w:type="pct"/>
            <w:tcBorders>
              <w:bottom w:val="single" w:sz="4" w:space="0" w:color="000000"/>
            </w:tcBorders>
          </w:tcPr>
          <w:p w14:paraId="15809D48" w14:textId="3BE3C59F" w:rsidR="008162F3" w:rsidRPr="00C87A7D" w:rsidRDefault="008162F3" w:rsidP="008162F3">
            <w:pPr>
              <w:rPr>
                <w:rFonts w:ascii="Arial" w:hAnsi="Arial" w:cs="Arial"/>
                <w:sz w:val="22"/>
                <w:szCs w:val="22"/>
              </w:rPr>
            </w:pPr>
            <w:r w:rsidRPr="00973376">
              <w:rPr>
                <w:rFonts w:ascii="Arial" w:hAnsi="Arial" w:cs="Arial"/>
                <w:sz w:val="22"/>
                <w:szCs w:val="22"/>
              </w:rPr>
              <w:t>Thank you for your comment.</w:t>
            </w:r>
            <w:r>
              <w:rPr>
                <w:rFonts w:ascii="Arial" w:hAnsi="Arial" w:cs="Arial"/>
                <w:sz w:val="22"/>
                <w:szCs w:val="22"/>
              </w:rPr>
              <w:t xml:space="preserve"> We did not receive a response to this question from the </w:t>
            </w:r>
            <w:r w:rsidRPr="00E24EE9">
              <w:rPr>
                <w:rFonts w:ascii="Arial" w:hAnsi="Arial" w:cs="Arial"/>
                <w:sz w:val="22"/>
                <w:szCs w:val="22"/>
              </w:rPr>
              <w:t xml:space="preserve">Sickle </w:t>
            </w:r>
            <w:r>
              <w:rPr>
                <w:rFonts w:ascii="Arial" w:hAnsi="Arial" w:cs="Arial"/>
                <w:sz w:val="22"/>
                <w:szCs w:val="22"/>
              </w:rPr>
              <w:t>C</w:t>
            </w:r>
            <w:r w:rsidRPr="00E24EE9">
              <w:rPr>
                <w:rFonts w:ascii="Arial" w:hAnsi="Arial" w:cs="Arial"/>
                <w:sz w:val="22"/>
                <w:szCs w:val="22"/>
              </w:rPr>
              <w:t xml:space="preserve">ell </w:t>
            </w:r>
            <w:proofErr w:type="spellStart"/>
            <w:r>
              <w:rPr>
                <w:rFonts w:ascii="Arial" w:hAnsi="Arial" w:cs="Arial"/>
                <w:sz w:val="22"/>
                <w:szCs w:val="22"/>
              </w:rPr>
              <w:t>N</w:t>
            </w:r>
            <w:r w:rsidRPr="00E24EE9">
              <w:rPr>
                <w:rFonts w:ascii="Arial" w:hAnsi="Arial" w:cs="Arial"/>
                <w:sz w:val="22"/>
                <w:szCs w:val="22"/>
              </w:rPr>
              <w:t>ewborn</w:t>
            </w:r>
            <w:proofErr w:type="spellEnd"/>
            <w:r w:rsidRPr="00E24EE9">
              <w:rPr>
                <w:rFonts w:ascii="Arial" w:hAnsi="Arial" w:cs="Arial"/>
                <w:sz w:val="22"/>
                <w:szCs w:val="22"/>
              </w:rPr>
              <w:t xml:space="preserve"> Screening </w:t>
            </w:r>
            <w:r>
              <w:rPr>
                <w:rFonts w:ascii="Arial" w:hAnsi="Arial" w:cs="Arial"/>
                <w:sz w:val="22"/>
                <w:szCs w:val="22"/>
              </w:rPr>
              <w:t>A</w:t>
            </w:r>
            <w:r w:rsidRPr="00E24EE9">
              <w:rPr>
                <w:rFonts w:ascii="Arial" w:hAnsi="Arial" w:cs="Arial"/>
                <w:sz w:val="22"/>
                <w:szCs w:val="22"/>
              </w:rPr>
              <w:t xml:space="preserve">dvisory </w:t>
            </w:r>
            <w:r>
              <w:rPr>
                <w:rFonts w:ascii="Arial" w:hAnsi="Arial" w:cs="Arial"/>
                <w:sz w:val="22"/>
                <w:szCs w:val="22"/>
              </w:rPr>
              <w:t>B</w:t>
            </w:r>
            <w:r w:rsidRPr="00E24EE9">
              <w:rPr>
                <w:rFonts w:ascii="Arial" w:hAnsi="Arial" w:cs="Arial"/>
                <w:sz w:val="22"/>
                <w:szCs w:val="22"/>
              </w:rPr>
              <w:t>oard</w:t>
            </w:r>
            <w:r>
              <w:rPr>
                <w:rFonts w:ascii="Arial" w:hAnsi="Arial" w:cs="Arial"/>
                <w:sz w:val="22"/>
                <w:szCs w:val="22"/>
              </w:rPr>
              <w:t>.</w:t>
            </w:r>
            <w:r w:rsidRPr="00A81647">
              <w:rPr>
                <w:rFonts w:ascii="Arial" w:hAnsi="Arial" w:cs="Arial"/>
                <w:b/>
                <w:color w:val="000000"/>
                <w:sz w:val="22"/>
                <w:szCs w:val="22"/>
              </w:rPr>
              <w:t xml:space="preserve"> </w:t>
            </w:r>
          </w:p>
        </w:tc>
      </w:tr>
    </w:tbl>
    <w:p w14:paraId="2A111C6A" w14:textId="77777777" w:rsidR="007C6C58" w:rsidRDefault="007C6C58"/>
    <w:p w14:paraId="1DC2168A" w14:textId="1B184ED4" w:rsidR="007C6C58" w:rsidRPr="003C42C4" w:rsidRDefault="007C6C58" w:rsidP="001D2773">
      <w:pPr>
        <w:pStyle w:val="Heading2"/>
      </w:pPr>
      <w:r w:rsidRPr="003C42C4">
        <w:t>Indicator 2020-93</w:t>
      </w:r>
    </w:p>
    <w:p w14:paraId="1D72200A" w14:textId="77777777" w:rsidR="00BE31EF" w:rsidRDefault="00BE31EF"/>
    <w:tbl>
      <w:tblPr>
        <w:tblStyle w:val="TableGrid"/>
        <w:tblW w:w="5000" w:type="pct"/>
        <w:tblLayout w:type="fixed"/>
        <w:tblLook w:val="04A0" w:firstRow="1" w:lastRow="0" w:firstColumn="1" w:lastColumn="0" w:noHBand="0" w:noVBand="1"/>
        <w:tblCaption w:val="Appendix A - Table of consultation comments - Indicator 2020-93"/>
        <w:tblDescription w:val="A table of comments in relation to indicator 2020-93 received during the screening consultation process"/>
      </w:tblPr>
      <w:tblGrid>
        <w:gridCol w:w="561"/>
        <w:gridCol w:w="1727"/>
        <w:gridCol w:w="8339"/>
        <w:gridCol w:w="3323"/>
      </w:tblGrid>
      <w:tr w:rsidR="008162F3" w:rsidRPr="00C87A7D" w14:paraId="67A7A15E" w14:textId="77777777" w:rsidTr="00C34AA5">
        <w:trPr>
          <w:cantSplit/>
          <w:tblHeader/>
        </w:trPr>
        <w:tc>
          <w:tcPr>
            <w:tcW w:w="201" w:type="pct"/>
            <w:tcBorders>
              <w:bottom w:val="single" w:sz="4" w:space="0" w:color="000000"/>
            </w:tcBorders>
            <w:noWrap/>
            <w:vAlign w:val="center"/>
          </w:tcPr>
          <w:p w14:paraId="7495AD3E" w14:textId="3B1C82C3" w:rsidR="008162F3" w:rsidRPr="0008363D" w:rsidRDefault="008162F3" w:rsidP="008162F3">
            <w:pPr>
              <w:spacing w:after="240"/>
              <w:rPr>
                <w:rFonts w:ascii="Arial" w:hAnsi="Arial" w:cs="Arial"/>
                <w:bCs/>
                <w:sz w:val="22"/>
                <w:szCs w:val="22"/>
                <w:lang w:val="en-US"/>
              </w:rPr>
            </w:pPr>
            <w:r w:rsidRPr="00C87A7D">
              <w:rPr>
                <w:rFonts w:ascii="Arial" w:hAnsi="Arial" w:cs="Arial"/>
                <w:b/>
                <w:sz w:val="22"/>
                <w:szCs w:val="22"/>
                <w:lang w:val="en-US"/>
              </w:rPr>
              <w:t>ID</w:t>
            </w:r>
          </w:p>
        </w:tc>
        <w:tc>
          <w:tcPr>
            <w:tcW w:w="619" w:type="pct"/>
            <w:tcBorders>
              <w:bottom w:val="single" w:sz="4" w:space="0" w:color="000000"/>
            </w:tcBorders>
            <w:noWrap/>
          </w:tcPr>
          <w:p w14:paraId="2D2417AA" w14:textId="4FD14E1A" w:rsidR="008162F3" w:rsidRPr="00D74341" w:rsidRDefault="008162F3" w:rsidP="008162F3">
            <w:pPr>
              <w:spacing w:after="240"/>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Borders>
              <w:bottom w:val="single" w:sz="4" w:space="0" w:color="000000"/>
            </w:tcBorders>
          </w:tcPr>
          <w:p w14:paraId="5CAC9D36" w14:textId="2BAE1E6D" w:rsidR="008162F3" w:rsidRPr="00C87A7D" w:rsidRDefault="008162F3" w:rsidP="008162F3">
            <w:pPr>
              <w:rPr>
                <w:rFonts w:ascii="Arial" w:hAnsi="Arial" w:cs="Arial"/>
                <w:color w:val="000000"/>
                <w:sz w:val="22"/>
                <w:szCs w:val="22"/>
                <w:shd w:val="clear" w:color="auto" w:fill="FFFFFF"/>
              </w:rPr>
            </w:pPr>
            <w:r w:rsidRPr="00C87A7D">
              <w:rPr>
                <w:rFonts w:ascii="Arial" w:hAnsi="Arial" w:cs="Arial"/>
                <w:b/>
                <w:sz w:val="22"/>
                <w:szCs w:val="22"/>
                <w:lang w:val="en-US"/>
              </w:rPr>
              <w:t>Comment</w:t>
            </w:r>
          </w:p>
        </w:tc>
        <w:tc>
          <w:tcPr>
            <w:tcW w:w="1191" w:type="pct"/>
            <w:tcBorders>
              <w:bottom w:val="single" w:sz="4" w:space="0" w:color="000000"/>
            </w:tcBorders>
          </w:tcPr>
          <w:p w14:paraId="65181341" w14:textId="51D2136A" w:rsidR="008162F3" w:rsidRDefault="008162F3" w:rsidP="008162F3">
            <w:pPr>
              <w:rPr>
                <w:rFonts w:ascii="Arial" w:hAnsi="Arial" w:cs="Arial"/>
                <w:color w:val="000000"/>
                <w:sz w:val="22"/>
                <w:szCs w:val="22"/>
                <w:shd w:val="clear" w:color="auto" w:fill="FFFFFF"/>
              </w:rPr>
            </w:pPr>
            <w:r>
              <w:rPr>
                <w:rFonts w:ascii="Arial" w:hAnsi="Arial" w:cs="Arial"/>
                <w:b/>
                <w:sz w:val="22"/>
                <w:szCs w:val="22"/>
                <w:lang w:val="en-US"/>
              </w:rPr>
              <w:t>NICE Response</w:t>
            </w:r>
          </w:p>
        </w:tc>
      </w:tr>
      <w:tr w:rsidR="008162F3" w:rsidRPr="00C87A7D" w14:paraId="62E58D7F" w14:textId="372DE0A6" w:rsidTr="00B929DA">
        <w:trPr>
          <w:cantSplit/>
        </w:trPr>
        <w:tc>
          <w:tcPr>
            <w:tcW w:w="201" w:type="pct"/>
            <w:tcBorders>
              <w:bottom w:val="single" w:sz="4" w:space="0" w:color="000000"/>
            </w:tcBorders>
            <w:noWrap/>
            <w:vAlign w:val="center"/>
          </w:tcPr>
          <w:p w14:paraId="174B0CBC" w14:textId="3411EDEB" w:rsidR="008162F3" w:rsidRPr="0008363D" w:rsidRDefault="008162F3" w:rsidP="008162F3">
            <w:pPr>
              <w:spacing w:after="240"/>
              <w:rPr>
                <w:rFonts w:ascii="Arial" w:hAnsi="Arial" w:cs="Arial"/>
                <w:bCs/>
                <w:sz w:val="22"/>
                <w:szCs w:val="22"/>
                <w:lang w:val="en-US"/>
              </w:rPr>
            </w:pPr>
            <w:r w:rsidRPr="0008363D">
              <w:rPr>
                <w:rFonts w:ascii="Arial" w:hAnsi="Arial" w:cs="Arial"/>
                <w:bCs/>
                <w:sz w:val="22"/>
                <w:szCs w:val="22"/>
                <w:lang w:val="en-US"/>
              </w:rPr>
              <w:t>17</w:t>
            </w:r>
          </w:p>
        </w:tc>
        <w:tc>
          <w:tcPr>
            <w:tcW w:w="619" w:type="pct"/>
            <w:tcBorders>
              <w:bottom w:val="single" w:sz="4" w:space="0" w:color="000000"/>
            </w:tcBorders>
            <w:noWrap/>
          </w:tcPr>
          <w:p w14:paraId="35344FB4" w14:textId="77777777" w:rsidR="008162F3" w:rsidRPr="00D74341" w:rsidRDefault="008162F3" w:rsidP="008162F3">
            <w:pPr>
              <w:spacing w:after="240"/>
              <w:rPr>
                <w:rFonts w:ascii="Arial" w:hAnsi="Arial" w:cs="Arial"/>
                <w:bCs/>
                <w:sz w:val="22"/>
                <w:szCs w:val="22"/>
              </w:rPr>
            </w:pPr>
            <w:r w:rsidRPr="00D74341">
              <w:rPr>
                <w:rFonts w:ascii="Arial" w:hAnsi="Arial" w:cs="Arial"/>
                <w:bCs/>
                <w:sz w:val="22"/>
                <w:szCs w:val="22"/>
              </w:rPr>
              <w:t>Royal College of Midwives</w:t>
            </w:r>
          </w:p>
        </w:tc>
        <w:tc>
          <w:tcPr>
            <w:tcW w:w="2989" w:type="pct"/>
            <w:tcBorders>
              <w:bottom w:val="single" w:sz="4" w:space="0" w:color="000000"/>
            </w:tcBorders>
          </w:tcPr>
          <w:p w14:paraId="32E28A34" w14:textId="64C2CD90" w:rsidR="008162F3" w:rsidRPr="00C87A7D" w:rsidRDefault="008162F3" w:rsidP="008162F3">
            <w:pPr>
              <w:rPr>
                <w:rFonts w:ascii="Arial" w:hAnsi="Arial" w:cs="Arial"/>
                <w:color w:val="000000"/>
                <w:sz w:val="22"/>
                <w:szCs w:val="22"/>
                <w:shd w:val="clear" w:color="auto" w:fill="FFFFFF"/>
              </w:rPr>
            </w:pPr>
            <w:r w:rsidRPr="00C87A7D">
              <w:rPr>
                <w:rFonts w:ascii="Arial" w:hAnsi="Arial" w:cs="Arial"/>
                <w:color w:val="000000"/>
                <w:sz w:val="22"/>
                <w:szCs w:val="22"/>
                <w:shd w:val="clear" w:color="auto" w:fill="FFFFFF"/>
              </w:rPr>
              <w:t>The incidence in the UK before ultrasound screening became available was quoted as 1</w:t>
            </w:r>
            <w:r>
              <w:rPr>
                <w:rFonts w:ascii="Arial" w:hAnsi="Arial" w:cs="Arial"/>
                <w:color w:val="000000"/>
                <w:sz w:val="22"/>
                <w:szCs w:val="22"/>
                <w:shd w:val="clear" w:color="auto" w:fill="FFFFFF"/>
              </w:rPr>
              <w:t xml:space="preserve"> and </w:t>
            </w:r>
            <w:r w:rsidRPr="00C87A7D">
              <w:rPr>
                <w:rFonts w:ascii="Arial" w:hAnsi="Arial" w:cs="Arial"/>
                <w:color w:val="000000"/>
                <w:sz w:val="22"/>
                <w:szCs w:val="22"/>
                <w:shd w:val="clear" w:color="auto" w:fill="FFFFFF"/>
              </w:rPr>
              <w:t>2 per 1000. Since the advent of selective ultrasound screening, which selectively scans the hips of babies who are thought to be at high risk of DDH, estimates of the UK incidence have increased and range from 5−30 per 1000</w:t>
            </w:r>
          </w:p>
          <w:p w14:paraId="28626C68" w14:textId="256B07BB" w:rsidR="008162F3" w:rsidRPr="00C87A7D" w:rsidRDefault="008162F3" w:rsidP="008162F3">
            <w:pPr>
              <w:rPr>
                <w:rFonts w:ascii="Arial" w:hAnsi="Arial" w:cs="Arial"/>
                <w:sz w:val="22"/>
                <w:szCs w:val="22"/>
              </w:rPr>
            </w:pPr>
            <w:r w:rsidRPr="00C87A7D">
              <w:rPr>
                <w:rFonts w:ascii="Arial" w:hAnsi="Arial" w:cs="Arial"/>
                <w:color w:val="303030"/>
                <w:sz w:val="22"/>
                <w:szCs w:val="22"/>
                <w:shd w:val="clear" w:color="auto" w:fill="FFFFFF"/>
              </w:rPr>
              <w:t xml:space="preserve">Developmental dysplasia of the </w:t>
            </w:r>
            <w:proofErr w:type="spellStart"/>
            <w:proofErr w:type="gramStart"/>
            <w:r w:rsidRPr="00C87A7D">
              <w:rPr>
                <w:rFonts w:ascii="Arial" w:hAnsi="Arial" w:cs="Arial"/>
                <w:color w:val="303030"/>
                <w:sz w:val="22"/>
                <w:szCs w:val="22"/>
                <w:shd w:val="clear" w:color="auto" w:fill="FFFFFF"/>
              </w:rPr>
              <w:t>hip.</w:t>
            </w:r>
            <w:r w:rsidRPr="00C87A7D">
              <w:rPr>
                <w:rFonts w:ascii="Arial" w:hAnsi="Arial" w:cs="Arial"/>
                <w:i/>
                <w:iCs/>
                <w:color w:val="303030"/>
                <w:sz w:val="22"/>
                <w:szCs w:val="22"/>
              </w:rPr>
              <w:t>Sewell</w:t>
            </w:r>
            <w:proofErr w:type="spellEnd"/>
            <w:proofErr w:type="gramEnd"/>
            <w:r w:rsidRPr="00C87A7D">
              <w:rPr>
                <w:rFonts w:ascii="Arial" w:hAnsi="Arial" w:cs="Arial"/>
                <w:i/>
                <w:iCs/>
                <w:color w:val="303030"/>
                <w:sz w:val="22"/>
                <w:szCs w:val="22"/>
              </w:rPr>
              <w:t xml:space="preserve"> MD, Rosendahl K, Eastwood DM BMJ. 2009 Nov 24; 339(</w:t>
            </w:r>
            <w:proofErr w:type="gramStart"/>
            <w:r w:rsidRPr="00C87A7D">
              <w:rPr>
                <w:rFonts w:ascii="Arial" w:hAnsi="Arial" w:cs="Arial"/>
                <w:i/>
                <w:iCs/>
                <w:color w:val="303030"/>
                <w:sz w:val="22"/>
                <w:szCs w:val="22"/>
              </w:rPr>
              <w:t>):b</w:t>
            </w:r>
            <w:proofErr w:type="gramEnd"/>
            <w:r w:rsidRPr="00C87A7D">
              <w:rPr>
                <w:rFonts w:ascii="Arial" w:hAnsi="Arial" w:cs="Arial"/>
                <w:i/>
                <w:iCs/>
                <w:color w:val="303030"/>
                <w:sz w:val="22"/>
                <w:szCs w:val="22"/>
              </w:rPr>
              <w:t>4454.</w:t>
            </w:r>
          </w:p>
        </w:tc>
        <w:tc>
          <w:tcPr>
            <w:tcW w:w="1191" w:type="pct"/>
            <w:tcBorders>
              <w:bottom w:val="single" w:sz="4" w:space="0" w:color="000000"/>
            </w:tcBorders>
          </w:tcPr>
          <w:p w14:paraId="76100576" w14:textId="0D3DE0FF" w:rsidR="008162F3" w:rsidRPr="00C87A7D" w:rsidRDefault="008162F3" w:rsidP="008162F3">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Thank you for this information which was shared with the </w:t>
            </w:r>
            <w:r w:rsidRPr="00E21D20">
              <w:rPr>
                <w:rFonts w:ascii="Arial" w:hAnsi="Arial" w:cs="Arial"/>
                <w:color w:val="000000"/>
                <w:sz w:val="22"/>
                <w:szCs w:val="22"/>
                <w:shd w:val="clear" w:color="auto" w:fill="FFFFFF"/>
              </w:rPr>
              <w:t>June 2021 Indicator Advisory Committee</w:t>
            </w:r>
            <w:r>
              <w:rPr>
                <w:rFonts w:ascii="Arial" w:hAnsi="Arial" w:cs="Arial"/>
                <w:color w:val="000000"/>
                <w:sz w:val="22"/>
                <w:szCs w:val="22"/>
                <w:shd w:val="clear" w:color="auto" w:fill="FFFFFF"/>
              </w:rPr>
              <w:t xml:space="preserve">. </w:t>
            </w:r>
          </w:p>
        </w:tc>
      </w:tr>
    </w:tbl>
    <w:p w14:paraId="6CA085AD" w14:textId="77777777" w:rsidR="003D0277" w:rsidRDefault="003D0277"/>
    <w:p w14:paraId="6E330CDA" w14:textId="3D6EBEE6" w:rsidR="007C6C58" w:rsidRPr="003C42C4" w:rsidRDefault="007C6C58" w:rsidP="001D2773">
      <w:pPr>
        <w:pStyle w:val="Heading2"/>
      </w:pPr>
      <w:r w:rsidRPr="003C42C4">
        <w:lastRenderedPageBreak/>
        <w:t>Indicator 2020-94</w:t>
      </w:r>
    </w:p>
    <w:p w14:paraId="40FB2D4F" w14:textId="77777777" w:rsidR="007C6C58" w:rsidRDefault="007C6C58"/>
    <w:tbl>
      <w:tblPr>
        <w:tblStyle w:val="TableGrid"/>
        <w:tblW w:w="5000" w:type="pct"/>
        <w:tblLayout w:type="fixed"/>
        <w:tblLook w:val="04A0" w:firstRow="1" w:lastRow="0" w:firstColumn="1" w:lastColumn="0" w:noHBand="0" w:noVBand="1"/>
        <w:tblCaption w:val="Appendix A - Table of consultation comments - Indicator 2020-94"/>
        <w:tblDescription w:val="A table of comments in relation to indicator 2020-94 received during the screening consultation process"/>
      </w:tblPr>
      <w:tblGrid>
        <w:gridCol w:w="561"/>
        <w:gridCol w:w="1727"/>
        <w:gridCol w:w="8339"/>
        <w:gridCol w:w="3323"/>
      </w:tblGrid>
      <w:tr w:rsidR="008162F3" w:rsidRPr="00C87A7D" w14:paraId="1E1228EF" w14:textId="77777777" w:rsidTr="003E10AB">
        <w:trPr>
          <w:cantSplit/>
          <w:tblHeader/>
        </w:trPr>
        <w:tc>
          <w:tcPr>
            <w:tcW w:w="201" w:type="pct"/>
            <w:vAlign w:val="center"/>
          </w:tcPr>
          <w:p w14:paraId="054700CD" w14:textId="23BEE11D"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Pr>
          <w:p w14:paraId="0FF6698E" w14:textId="6CCECBB5"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Pr>
          <w:p w14:paraId="7B3C1F16" w14:textId="5469C51B"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Pr>
          <w:p w14:paraId="4C81792A" w14:textId="78BB7B71" w:rsidR="008162F3"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06BA1C8E" w14:textId="7328EE19" w:rsidTr="00B929DA">
        <w:trPr>
          <w:cantSplit/>
        </w:trPr>
        <w:tc>
          <w:tcPr>
            <w:tcW w:w="201" w:type="pct"/>
            <w:vAlign w:val="center"/>
          </w:tcPr>
          <w:p w14:paraId="6CF4DC31" w14:textId="0F9305FD" w:rsidR="008162F3" w:rsidRPr="00C87A7D" w:rsidRDefault="008162F3" w:rsidP="008162F3">
            <w:pPr>
              <w:rPr>
                <w:rFonts w:ascii="Arial" w:hAnsi="Arial" w:cs="Arial"/>
                <w:sz w:val="22"/>
                <w:szCs w:val="22"/>
              </w:rPr>
            </w:pPr>
            <w:r>
              <w:rPr>
                <w:rFonts w:ascii="Arial" w:hAnsi="Arial" w:cs="Arial"/>
                <w:sz w:val="22"/>
                <w:szCs w:val="22"/>
              </w:rPr>
              <w:t>18</w:t>
            </w:r>
          </w:p>
        </w:tc>
        <w:tc>
          <w:tcPr>
            <w:tcW w:w="619" w:type="pct"/>
            <w:vAlign w:val="center"/>
          </w:tcPr>
          <w:p w14:paraId="08B0322D" w14:textId="77777777" w:rsidR="008162F3" w:rsidRPr="00D74341" w:rsidRDefault="008162F3" w:rsidP="008162F3">
            <w:pPr>
              <w:rPr>
                <w:rFonts w:ascii="Arial" w:hAnsi="Arial" w:cs="Arial"/>
                <w:bCs/>
                <w:sz w:val="22"/>
                <w:szCs w:val="22"/>
              </w:rPr>
            </w:pPr>
            <w:proofErr w:type="spellStart"/>
            <w:r w:rsidRPr="00D74341">
              <w:rPr>
                <w:rFonts w:ascii="Arial" w:hAnsi="Arial" w:cs="Arial"/>
                <w:bCs/>
                <w:sz w:val="22"/>
                <w:szCs w:val="22"/>
              </w:rPr>
              <w:t>ArchAngel</w:t>
            </w:r>
            <w:proofErr w:type="spellEnd"/>
            <w:r w:rsidRPr="00D74341">
              <w:rPr>
                <w:rFonts w:ascii="Arial" w:hAnsi="Arial" w:cs="Arial"/>
                <w:bCs/>
                <w:sz w:val="22"/>
                <w:szCs w:val="22"/>
              </w:rPr>
              <w:t xml:space="preserve"> MLD Trust</w:t>
            </w:r>
          </w:p>
        </w:tc>
        <w:tc>
          <w:tcPr>
            <w:tcW w:w="2989" w:type="pct"/>
            <w:vAlign w:val="center"/>
          </w:tcPr>
          <w:p w14:paraId="6A818AE3"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The time immediately after birth is challenging for many parents.  We work on the assumption that guidelines are followed and that parents are fully informed by health workers of the purpose of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bloodspot screening during pregnancy to ensure consent.  Any delay between the test taking place and the receipt of results is a stressful time.  It is important that robust timelines for notification of results are in place.  We were unaware of the regional variations in England outlined in reporting results to parents.  We would concur that meeting the target is truly important.  Introducing NICE indicators to ensure improvement in quality and support at a more regional CCG level would be of benefit.</w:t>
            </w:r>
          </w:p>
        </w:tc>
        <w:tc>
          <w:tcPr>
            <w:tcW w:w="1191" w:type="pct"/>
          </w:tcPr>
          <w:p w14:paraId="04432BD9" w14:textId="3F375E38" w:rsidR="008162F3" w:rsidRPr="00C87A7D" w:rsidRDefault="008162F3" w:rsidP="008162F3">
            <w:pPr>
              <w:rPr>
                <w:rFonts w:ascii="Arial" w:hAnsi="Arial" w:cs="Arial"/>
                <w:sz w:val="22"/>
                <w:szCs w:val="22"/>
              </w:rPr>
            </w:pPr>
            <w:r>
              <w:rPr>
                <w:rFonts w:ascii="Arial" w:hAnsi="Arial" w:cs="Arial"/>
                <w:sz w:val="22"/>
                <w:szCs w:val="22"/>
              </w:rPr>
              <w:t>Thank you for your comments and support for this indicator. The committee agreed it is important to ensure that robust timescales for notification of results of blood spot testing are in place.</w:t>
            </w:r>
          </w:p>
        </w:tc>
      </w:tr>
      <w:tr w:rsidR="008162F3" w:rsidRPr="00C87A7D" w14:paraId="51640CF1" w14:textId="1FF5D390" w:rsidTr="00B929DA">
        <w:trPr>
          <w:cantSplit/>
        </w:trPr>
        <w:tc>
          <w:tcPr>
            <w:tcW w:w="201" w:type="pct"/>
            <w:vAlign w:val="center"/>
          </w:tcPr>
          <w:p w14:paraId="2CE63141" w14:textId="034816F9" w:rsidR="008162F3" w:rsidRPr="00C87A7D" w:rsidRDefault="008162F3" w:rsidP="008162F3">
            <w:pPr>
              <w:rPr>
                <w:rFonts w:ascii="Arial" w:hAnsi="Arial" w:cs="Arial"/>
                <w:sz w:val="22"/>
                <w:szCs w:val="22"/>
              </w:rPr>
            </w:pPr>
            <w:r>
              <w:rPr>
                <w:rFonts w:ascii="Arial" w:hAnsi="Arial" w:cs="Arial"/>
                <w:sz w:val="22"/>
                <w:szCs w:val="22"/>
              </w:rPr>
              <w:t>19</w:t>
            </w:r>
          </w:p>
        </w:tc>
        <w:tc>
          <w:tcPr>
            <w:tcW w:w="619" w:type="pct"/>
            <w:vAlign w:val="center"/>
          </w:tcPr>
          <w:p w14:paraId="15FC50E6" w14:textId="77777777" w:rsidR="008162F3" w:rsidRPr="00D74341" w:rsidRDefault="008162F3" w:rsidP="008162F3">
            <w:pPr>
              <w:rPr>
                <w:rFonts w:ascii="Arial" w:hAnsi="Arial" w:cs="Arial"/>
                <w:bCs/>
                <w:sz w:val="22"/>
                <w:szCs w:val="22"/>
              </w:rPr>
            </w:pPr>
            <w:proofErr w:type="spellStart"/>
            <w:r w:rsidRPr="00D74341">
              <w:rPr>
                <w:rFonts w:ascii="Arial" w:hAnsi="Arial" w:cs="Arial"/>
                <w:bCs/>
                <w:sz w:val="22"/>
                <w:szCs w:val="22"/>
              </w:rPr>
              <w:t>ArchAngel</w:t>
            </w:r>
            <w:proofErr w:type="spellEnd"/>
            <w:r w:rsidRPr="00D74341">
              <w:rPr>
                <w:rFonts w:ascii="Arial" w:hAnsi="Arial" w:cs="Arial"/>
                <w:bCs/>
                <w:sz w:val="22"/>
                <w:szCs w:val="22"/>
              </w:rPr>
              <w:t xml:space="preserve"> MLD Trust</w:t>
            </w:r>
          </w:p>
        </w:tc>
        <w:tc>
          <w:tcPr>
            <w:tcW w:w="2989" w:type="pct"/>
            <w:vAlign w:val="center"/>
          </w:tcPr>
          <w:p w14:paraId="0BB84992" w14:textId="77777777" w:rsidR="008162F3" w:rsidRPr="00C87A7D" w:rsidRDefault="008162F3" w:rsidP="008162F3">
            <w:pPr>
              <w:rPr>
                <w:rFonts w:ascii="Arial" w:hAnsi="Arial" w:cs="Arial"/>
                <w:sz w:val="22"/>
                <w:szCs w:val="22"/>
              </w:rPr>
            </w:pPr>
            <w:r w:rsidRPr="00C87A7D">
              <w:rPr>
                <w:rFonts w:ascii="Arial" w:hAnsi="Arial" w:cs="Arial"/>
                <w:sz w:val="22"/>
                <w:szCs w:val="22"/>
              </w:rPr>
              <w:t>We agree that introducing a further indicator would enable a further tier of comparison of regional variations and enable specific improvement plans to be put in place and effective measurement of the improvements.</w:t>
            </w:r>
          </w:p>
          <w:p w14:paraId="37EB1A7D" w14:textId="77777777" w:rsidR="008162F3" w:rsidRPr="00C87A7D" w:rsidRDefault="008162F3" w:rsidP="008162F3">
            <w:pPr>
              <w:rPr>
                <w:rFonts w:ascii="Arial" w:hAnsi="Arial" w:cs="Arial"/>
                <w:sz w:val="22"/>
                <w:szCs w:val="22"/>
              </w:rPr>
            </w:pPr>
            <w:r w:rsidRPr="00C87A7D">
              <w:rPr>
                <w:rFonts w:ascii="Arial" w:hAnsi="Arial" w:cs="Arial"/>
                <w:sz w:val="22"/>
                <w:szCs w:val="22"/>
              </w:rPr>
              <w:t>It will enable a more collaborative approach between PHE, the Bloodspot Screening Programme and NHSE NICE in quality improvement.</w:t>
            </w:r>
          </w:p>
        </w:tc>
        <w:tc>
          <w:tcPr>
            <w:tcW w:w="1191" w:type="pct"/>
          </w:tcPr>
          <w:p w14:paraId="34C209D7" w14:textId="6594FD8F" w:rsidR="008162F3" w:rsidRPr="00C87A7D" w:rsidRDefault="008162F3" w:rsidP="008162F3">
            <w:pPr>
              <w:rPr>
                <w:rFonts w:ascii="Arial" w:hAnsi="Arial" w:cs="Arial"/>
                <w:sz w:val="22"/>
                <w:szCs w:val="22"/>
              </w:rPr>
            </w:pPr>
            <w:r>
              <w:rPr>
                <w:rFonts w:ascii="Arial" w:hAnsi="Arial" w:cs="Arial"/>
                <w:sz w:val="22"/>
                <w:szCs w:val="22"/>
              </w:rPr>
              <w:t>Thank you for your comment and support for this indicator.</w:t>
            </w:r>
          </w:p>
        </w:tc>
      </w:tr>
      <w:tr w:rsidR="008162F3" w:rsidRPr="00C87A7D" w14:paraId="58258825" w14:textId="13003E5F" w:rsidTr="00B929DA">
        <w:trPr>
          <w:cantSplit/>
        </w:trPr>
        <w:tc>
          <w:tcPr>
            <w:tcW w:w="201" w:type="pct"/>
            <w:vAlign w:val="center"/>
          </w:tcPr>
          <w:p w14:paraId="06516A19" w14:textId="1DE4682A" w:rsidR="008162F3" w:rsidRPr="00BA27B8" w:rsidRDefault="008162F3" w:rsidP="008162F3">
            <w:pPr>
              <w:rPr>
                <w:rFonts w:ascii="Arial" w:hAnsi="Arial" w:cs="Arial"/>
                <w:sz w:val="22"/>
                <w:szCs w:val="22"/>
              </w:rPr>
            </w:pPr>
            <w:r w:rsidRPr="00BA27B8">
              <w:rPr>
                <w:rFonts w:ascii="Arial" w:hAnsi="Arial" w:cs="Arial"/>
                <w:sz w:val="22"/>
                <w:szCs w:val="22"/>
              </w:rPr>
              <w:t>20</w:t>
            </w:r>
          </w:p>
        </w:tc>
        <w:tc>
          <w:tcPr>
            <w:tcW w:w="619" w:type="pct"/>
            <w:vAlign w:val="center"/>
          </w:tcPr>
          <w:p w14:paraId="7C5FEDD0" w14:textId="77777777" w:rsidR="008162F3" w:rsidRPr="00BA27B8" w:rsidRDefault="008162F3" w:rsidP="008162F3">
            <w:pPr>
              <w:rPr>
                <w:rFonts w:ascii="Arial" w:hAnsi="Arial" w:cs="Arial"/>
                <w:bCs/>
                <w:sz w:val="22"/>
                <w:szCs w:val="22"/>
              </w:rPr>
            </w:pPr>
            <w:proofErr w:type="spellStart"/>
            <w:r w:rsidRPr="00BA27B8">
              <w:rPr>
                <w:rFonts w:ascii="Arial" w:hAnsi="Arial" w:cs="Arial"/>
                <w:bCs/>
                <w:sz w:val="22"/>
                <w:szCs w:val="22"/>
              </w:rPr>
              <w:t>ArchAngel</w:t>
            </w:r>
            <w:proofErr w:type="spellEnd"/>
            <w:r w:rsidRPr="00BA27B8">
              <w:rPr>
                <w:rFonts w:ascii="Arial" w:hAnsi="Arial" w:cs="Arial"/>
                <w:bCs/>
                <w:sz w:val="22"/>
                <w:szCs w:val="22"/>
              </w:rPr>
              <w:t xml:space="preserve"> MLD Trust</w:t>
            </w:r>
          </w:p>
        </w:tc>
        <w:tc>
          <w:tcPr>
            <w:tcW w:w="2989" w:type="pct"/>
            <w:vAlign w:val="center"/>
          </w:tcPr>
          <w:p w14:paraId="51A8E9FE" w14:textId="1FD03210" w:rsidR="008162F3" w:rsidRPr="00BA27B8" w:rsidRDefault="008162F3" w:rsidP="008162F3">
            <w:pPr>
              <w:rPr>
                <w:rFonts w:ascii="Arial" w:hAnsi="Arial" w:cs="Arial"/>
                <w:sz w:val="22"/>
                <w:szCs w:val="22"/>
              </w:rPr>
            </w:pPr>
            <w:r w:rsidRPr="00BA27B8">
              <w:rPr>
                <w:rFonts w:ascii="Arial" w:hAnsi="Arial" w:cs="Arial"/>
                <w:sz w:val="22"/>
                <w:szCs w:val="22"/>
              </w:rPr>
              <w:t xml:space="preserve">Although it appears that the data collected by the </w:t>
            </w:r>
            <w:proofErr w:type="spellStart"/>
            <w:r w:rsidRPr="00BA27B8">
              <w:rPr>
                <w:rFonts w:ascii="Arial" w:hAnsi="Arial" w:cs="Arial"/>
                <w:sz w:val="22"/>
                <w:szCs w:val="22"/>
              </w:rPr>
              <w:t>newborn</w:t>
            </w:r>
            <w:proofErr w:type="spellEnd"/>
            <w:r w:rsidRPr="00BA27B8">
              <w:rPr>
                <w:rFonts w:ascii="Arial" w:hAnsi="Arial" w:cs="Arial"/>
                <w:sz w:val="22"/>
                <w:szCs w:val="22"/>
              </w:rPr>
              <w:t xml:space="preserve"> bloodspot screening programme is repeatable, looking at the possibility of further NICE indicators maybe does allow a further opportunity to look at that existing data to determine that it remains fit for purpose and there are no existing issues. We anticipate that you will do this, however it is not clear.</w:t>
            </w:r>
          </w:p>
        </w:tc>
        <w:tc>
          <w:tcPr>
            <w:tcW w:w="1191" w:type="pct"/>
          </w:tcPr>
          <w:p w14:paraId="0B657E02" w14:textId="5640B3B8" w:rsidR="008162F3" w:rsidRPr="00BA27B8" w:rsidRDefault="008162F3" w:rsidP="008162F3">
            <w:pPr>
              <w:rPr>
                <w:rFonts w:ascii="Arial" w:hAnsi="Arial" w:cs="Arial"/>
                <w:sz w:val="22"/>
                <w:szCs w:val="22"/>
              </w:rPr>
            </w:pPr>
            <w:r w:rsidRPr="00BA27B8">
              <w:rPr>
                <w:rFonts w:ascii="Arial" w:hAnsi="Arial" w:cs="Arial"/>
                <w:sz w:val="22"/>
                <w:szCs w:val="22"/>
              </w:rPr>
              <w:t>Thank you for your comment.</w:t>
            </w:r>
            <w:r>
              <w:t xml:space="preserve">  </w:t>
            </w:r>
            <w:r w:rsidRPr="00A17B08">
              <w:rPr>
                <w:rFonts w:ascii="Arial" w:hAnsi="Arial" w:cs="Arial"/>
                <w:sz w:val="22"/>
                <w:szCs w:val="22"/>
              </w:rPr>
              <w:t>T</w:t>
            </w:r>
            <w:r w:rsidRPr="003574B9">
              <w:rPr>
                <w:rFonts w:ascii="Arial" w:hAnsi="Arial" w:cs="Arial"/>
                <w:sz w:val="22"/>
                <w:szCs w:val="22"/>
              </w:rPr>
              <w:t>he June 2021 Indicator Advisory Committee</w:t>
            </w:r>
            <w:r>
              <w:rPr>
                <w:rFonts w:ascii="Arial" w:hAnsi="Arial" w:cs="Arial"/>
                <w:sz w:val="22"/>
                <w:szCs w:val="22"/>
              </w:rPr>
              <w:t xml:space="preserve"> were satisfied that t</w:t>
            </w:r>
            <w:r w:rsidRPr="00A17B08">
              <w:rPr>
                <w:rFonts w:ascii="Arial" w:hAnsi="Arial" w:cs="Arial"/>
                <w:sz w:val="22"/>
                <w:szCs w:val="22"/>
              </w:rPr>
              <w:t xml:space="preserve">he NHS </w:t>
            </w:r>
            <w:proofErr w:type="spellStart"/>
            <w:r w:rsidRPr="00A17B08">
              <w:rPr>
                <w:rFonts w:ascii="Arial" w:hAnsi="Arial" w:cs="Arial"/>
                <w:sz w:val="22"/>
                <w:szCs w:val="22"/>
              </w:rPr>
              <w:t>newborn</w:t>
            </w:r>
            <w:proofErr w:type="spellEnd"/>
            <w:r w:rsidRPr="00A17B08">
              <w:rPr>
                <w:rFonts w:ascii="Arial" w:hAnsi="Arial" w:cs="Arial"/>
                <w:sz w:val="22"/>
                <w:szCs w:val="22"/>
              </w:rPr>
              <w:t xml:space="preserve"> blood spot screening programme operates under published standards and quality assurance frameworks.</w:t>
            </w:r>
            <w:r>
              <w:rPr>
                <w:rFonts w:ascii="Arial" w:hAnsi="Arial" w:cs="Arial"/>
                <w:sz w:val="22"/>
                <w:szCs w:val="22"/>
              </w:rPr>
              <w:t xml:space="preserve"> </w:t>
            </w:r>
          </w:p>
        </w:tc>
      </w:tr>
      <w:tr w:rsidR="008162F3" w:rsidRPr="00C87A7D" w14:paraId="7544930E" w14:textId="4F9FCEBE" w:rsidTr="00B929DA">
        <w:trPr>
          <w:cantSplit/>
        </w:trPr>
        <w:tc>
          <w:tcPr>
            <w:tcW w:w="201" w:type="pct"/>
            <w:vAlign w:val="center"/>
          </w:tcPr>
          <w:p w14:paraId="32E4C93C" w14:textId="0C7400CA" w:rsidR="008162F3" w:rsidRPr="00C87A7D" w:rsidRDefault="008162F3" w:rsidP="008162F3">
            <w:pPr>
              <w:rPr>
                <w:rFonts w:ascii="Arial" w:hAnsi="Arial" w:cs="Arial"/>
                <w:sz w:val="22"/>
                <w:szCs w:val="22"/>
              </w:rPr>
            </w:pPr>
            <w:r>
              <w:rPr>
                <w:rFonts w:ascii="Arial" w:hAnsi="Arial" w:cs="Arial"/>
                <w:sz w:val="22"/>
                <w:szCs w:val="22"/>
              </w:rPr>
              <w:lastRenderedPageBreak/>
              <w:t xml:space="preserve"> 21</w:t>
            </w:r>
          </w:p>
        </w:tc>
        <w:tc>
          <w:tcPr>
            <w:tcW w:w="619" w:type="pct"/>
            <w:vAlign w:val="center"/>
          </w:tcPr>
          <w:p w14:paraId="0E08DBD1" w14:textId="77777777" w:rsidR="008162F3" w:rsidRPr="00D74341" w:rsidRDefault="008162F3" w:rsidP="008162F3">
            <w:pPr>
              <w:rPr>
                <w:rFonts w:ascii="Arial" w:hAnsi="Arial" w:cs="Arial"/>
                <w:bCs/>
                <w:sz w:val="22"/>
                <w:szCs w:val="22"/>
              </w:rPr>
            </w:pPr>
            <w:proofErr w:type="spellStart"/>
            <w:r w:rsidRPr="00D74341">
              <w:rPr>
                <w:rFonts w:ascii="Arial" w:hAnsi="Arial" w:cs="Arial"/>
                <w:bCs/>
                <w:sz w:val="22"/>
                <w:szCs w:val="22"/>
              </w:rPr>
              <w:t>ArchAngel</w:t>
            </w:r>
            <w:proofErr w:type="spellEnd"/>
            <w:r w:rsidRPr="00D74341">
              <w:rPr>
                <w:rFonts w:ascii="Arial" w:hAnsi="Arial" w:cs="Arial"/>
                <w:bCs/>
                <w:sz w:val="22"/>
                <w:szCs w:val="22"/>
              </w:rPr>
              <w:t xml:space="preserve"> MLD Trust</w:t>
            </w:r>
          </w:p>
        </w:tc>
        <w:tc>
          <w:tcPr>
            <w:tcW w:w="2989" w:type="pct"/>
            <w:vAlign w:val="center"/>
          </w:tcPr>
          <w:p w14:paraId="04E58C50" w14:textId="77777777" w:rsidR="008162F3" w:rsidRPr="00C87A7D" w:rsidRDefault="008162F3" w:rsidP="008162F3">
            <w:pPr>
              <w:rPr>
                <w:rFonts w:ascii="Arial" w:hAnsi="Arial" w:cs="Arial"/>
                <w:sz w:val="22"/>
                <w:szCs w:val="22"/>
              </w:rPr>
            </w:pPr>
            <w:r w:rsidRPr="00C87A7D">
              <w:rPr>
                <w:rFonts w:ascii="Arial" w:hAnsi="Arial" w:cs="Arial"/>
                <w:sz w:val="22"/>
                <w:szCs w:val="22"/>
              </w:rPr>
              <w:t>In terms of consequences. we need to ensure that initiating further indicators does not present additional burdens on already challenged regional teams in terms of data collection.  A need to avoid the risk of an adverse effect and less robust information being collected.</w:t>
            </w:r>
          </w:p>
        </w:tc>
        <w:tc>
          <w:tcPr>
            <w:tcW w:w="1191" w:type="pct"/>
          </w:tcPr>
          <w:p w14:paraId="40CB3BD2" w14:textId="373F1402" w:rsidR="008162F3" w:rsidRPr="00C87A7D" w:rsidRDefault="008162F3" w:rsidP="008162F3">
            <w:pPr>
              <w:rPr>
                <w:rFonts w:ascii="Arial" w:hAnsi="Arial" w:cs="Arial"/>
                <w:sz w:val="22"/>
                <w:szCs w:val="22"/>
              </w:rPr>
            </w:pPr>
            <w:r w:rsidRPr="00A02114">
              <w:rPr>
                <w:rFonts w:ascii="Arial" w:hAnsi="Arial" w:cs="Arial"/>
                <w:sz w:val="22"/>
                <w:szCs w:val="22"/>
              </w:rPr>
              <w:t>Thank you for your comment.  The June 2021 Indicator Advisory Committee</w:t>
            </w:r>
            <w:r>
              <w:rPr>
                <w:rFonts w:ascii="Arial" w:hAnsi="Arial" w:cs="Arial"/>
                <w:sz w:val="22"/>
                <w:szCs w:val="22"/>
              </w:rPr>
              <w:t xml:space="preserve"> considered the burden of data collection on regional teams but on balance felt the </w:t>
            </w:r>
            <w:r w:rsidRPr="00A02114">
              <w:rPr>
                <w:rFonts w:ascii="Arial" w:hAnsi="Arial" w:cs="Arial"/>
                <w:sz w:val="22"/>
                <w:szCs w:val="22"/>
              </w:rPr>
              <w:t xml:space="preserve">indicator </w:t>
            </w:r>
            <w:r>
              <w:rPr>
                <w:rFonts w:ascii="Arial" w:hAnsi="Arial" w:cs="Arial"/>
                <w:sz w:val="22"/>
                <w:szCs w:val="22"/>
              </w:rPr>
              <w:t xml:space="preserve">is important </w:t>
            </w:r>
            <w:r w:rsidRPr="00A02114">
              <w:rPr>
                <w:rFonts w:ascii="Arial" w:hAnsi="Arial" w:cs="Arial"/>
                <w:sz w:val="22"/>
                <w:szCs w:val="22"/>
              </w:rPr>
              <w:t xml:space="preserve">and </w:t>
            </w:r>
            <w:r>
              <w:rPr>
                <w:rFonts w:ascii="Arial" w:hAnsi="Arial" w:cs="Arial"/>
                <w:sz w:val="22"/>
                <w:szCs w:val="22"/>
              </w:rPr>
              <w:t xml:space="preserve">has </w:t>
            </w:r>
            <w:r w:rsidRPr="00A02114">
              <w:rPr>
                <w:rFonts w:ascii="Arial" w:hAnsi="Arial" w:cs="Arial"/>
                <w:sz w:val="22"/>
                <w:szCs w:val="22"/>
              </w:rPr>
              <w:t>the potential to support joining up of data flows into primary care</w:t>
            </w:r>
            <w:r>
              <w:rPr>
                <w:rFonts w:ascii="Arial" w:hAnsi="Arial" w:cs="Arial"/>
                <w:sz w:val="22"/>
                <w:szCs w:val="22"/>
              </w:rPr>
              <w:t>.</w:t>
            </w:r>
          </w:p>
        </w:tc>
      </w:tr>
      <w:tr w:rsidR="008162F3" w:rsidRPr="00C87A7D" w14:paraId="72E075D3" w14:textId="4FC2B73D" w:rsidTr="00B929DA">
        <w:trPr>
          <w:cantSplit/>
        </w:trPr>
        <w:tc>
          <w:tcPr>
            <w:tcW w:w="201" w:type="pct"/>
            <w:vAlign w:val="center"/>
          </w:tcPr>
          <w:p w14:paraId="62CA708D" w14:textId="74A9EEDB" w:rsidR="008162F3" w:rsidRPr="00C87A7D" w:rsidRDefault="008162F3" w:rsidP="008162F3">
            <w:pPr>
              <w:rPr>
                <w:rFonts w:ascii="Arial" w:hAnsi="Arial" w:cs="Arial"/>
                <w:sz w:val="22"/>
                <w:szCs w:val="22"/>
              </w:rPr>
            </w:pPr>
            <w:r>
              <w:rPr>
                <w:rFonts w:ascii="Arial" w:hAnsi="Arial" w:cs="Arial"/>
                <w:sz w:val="22"/>
                <w:szCs w:val="22"/>
              </w:rPr>
              <w:t>22</w:t>
            </w:r>
          </w:p>
        </w:tc>
        <w:tc>
          <w:tcPr>
            <w:tcW w:w="619" w:type="pct"/>
            <w:vAlign w:val="center"/>
          </w:tcPr>
          <w:p w14:paraId="0B4CC3CB" w14:textId="77777777" w:rsidR="008162F3" w:rsidRPr="00D74341" w:rsidRDefault="008162F3" w:rsidP="008162F3">
            <w:pPr>
              <w:rPr>
                <w:rFonts w:ascii="Arial" w:hAnsi="Arial" w:cs="Arial"/>
                <w:bCs/>
                <w:sz w:val="22"/>
                <w:szCs w:val="22"/>
              </w:rPr>
            </w:pPr>
            <w:proofErr w:type="spellStart"/>
            <w:r w:rsidRPr="00D74341">
              <w:rPr>
                <w:rFonts w:ascii="Arial" w:hAnsi="Arial" w:cs="Arial"/>
                <w:bCs/>
                <w:sz w:val="22"/>
                <w:szCs w:val="22"/>
              </w:rPr>
              <w:t>ArchAngel</w:t>
            </w:r>
            <w:proofErr w:type="spellEnd"/>
            <w:r w:rsidRPr="00D74341">
              <w:rPr>
                <w:rFonts w:ascii="Arial" w:hAnsi="Arial" w:cs="Arial"/>
                <w:bCs/>
                <w:sz w:val="22"/>
                <w:szCs w:val="22"/>
              </w:rPr>
              <w:t xml:space="preserve"> MLD Trust</w:t>
            </w:r>
          </w:p>
        </w:tc>
        <w:tc>
          <w:tcPr>
            <w:tcW w:w="2989" w:type="pct"/>
            <w:vAlign w:val="center"/>
          </w:tcPr>
          <w:p w14:paraId="1AFFEBCF" w14:textId="77777777" w:rsidR="008162F3" w:rsidRPr="00C87A7D" w:rsidRDefault="008162F3" w:rsidP="008162F3">
            <w:pPr>
              <w:rPr>
                <w:rFonts w:ascii="Arial" w:hAnsi="Arial" w:cs="Arial"/>
                <w:sz w:val="22"/>
                <w:szCs w:val="22"/>
              </w:rPr>
            </w:pPr>
            <w:r w:rsidRPr="00C87A7D">
              <w:rPr>
                <w:rFonts w:ascii="Arial" w:hAnsi="Arial" w:cs="Arial"/>
                <w:sz w:val="22"/>
                <w:szCs w:val="22"/>
              </w:rPr>
              <w:t>We cannot foresee any barriers to implementing the care described, however anticipate that other stakeholders will have greater experience and perhaps more comments.</w:t>
            </w:r>
          </w:p>
          <w:p w14:paraId="67062C5A" w14:textId="77777777" w:rsidR="008162F3" w:rsidRPr="00C87A7D" w:rsidRDefault="008162F3" w:rsidP="008162F3">
            <w:pPr>
              <w:rPr>
                <w:rFonts w:ascii="Arial" w:hAnsi="Arial" w:cs="Arial"/>
                <w:sz w:val="22"/>
                <w:szCs w:val="22"/>
              </w:rPr>
            </w:pPr>
            <w:r w:rsidRPr="00C87A7D">
              <w:rPr>
                <w:rFonts w:ascii="Arial" w:hAnsi="Arial" w:cs="Arial"/>
                <w:sz w:val="22"/>
                <w:szCs w:val="22"/>
              </w:rPr>
              <w:t>We cannot identify any potential for differential impact.</w:t>
            </w:r>
          </w:p>
        </w:tc>
        <w:tc>
          <w:tcPr>
            <w:tcW w:w="1191" w:type="pct"/>
          </w:tcPr>
          <w:p w14:paraId="7BFC71BA" w14:textId="5428CCE3" w:rsidR="008162F3" w:rsidRPr="00C87A7D" w:rsidRDefault="008162F3" w:rsidP="008162F3">
            <w:pPr>
              <w:rPr>
                <w:rFonts w:ascii="Arial" w:hAnsi="Arial" w:cs="Arial"/>
                <w:sz w:val="22"/>
                <w:szCs w:val="22"/>
              </w:rPr>
            </w:pPr>
            <w:r w:rsidRPr="00A02114">
              <w:rPr>
                <w:rFonts w:ascii="Arial" w:hAnsi="Arial" w:cs="Arial"/>
                <w:sz w:val="22"/>
                <w:szCs w:val="22"/>
              </w:rPr>
              <w:t xml:space="preserve">Thank you for your comment.  </w:t>
            </w:r>
          </w:p>
        </w:tc>
      </w:tr>
      <w:tr w:rsidR="008162F3" w:rsidRPr="00C87A7D" w14:paraId="387F783C" w14:textId="1EA3F338" w:rsidTr="00B929DA">
        <w:trPr>
          <w:cantSplit/>
        </w:trPr>
        <w:tc>
          <w:tcPr>
            <w:tcW w:w="201" w:type="pct"/>
            <w:vAlign w:val="center"/>
          </w:tcPr>
          <w:p w14:paraId="28150688" w14:textId="67757B7B" w:rsidR="008162F3" w:rsidRPr="00C87A7D" w:rsidRDefault="008162F3" w:rsidP="008162F3">
            <w:pPr>
              <w:rPr>
                <w:rFonts w:ascii="Arial" w:hAnsi="Arial" w:cs="Arial"/>
                <w:sz w:val="22"/>
                <w:szCs w:val="22"/>
              </w:rPr>
            </w:pPr>
            <w:r>
              <w:rPr>
                <w:rFonts w:ascii="Arial" w:hAnsi="Arial" w:cs="Arial"/>
                <w:sz w:val="22"/>
                <w:szCs w:val="22"/>
              </w:rPr>
              <w:t>23</w:t>
            </w:r>
          </w:p>
        </w:tc>
        <w:tc>
          <w:tcPr>
            <w:tcW w:w="619" w:type="pct"/>
          </w:tcPr>
          <w:p w14:paraId="49A85204"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tcPr>
          <w:p w14:paraId="595F4FA6"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We have no further comments on indicator “IND 2020-94: Timeliness of results for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testing to parents for CCG responsibility at birth” for those who are not suspected to have one of the nine conditions screened for as part of the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test.</w:t>
            </w:r>
          </w:p>
        </w:tc>
        <w:tc>
          <w:tcPr>
            <w:tcW w:w="1191" w:type="pct"/>
          </w:tcPr>
          <w:p w14:paraId="12B66E8F" w14:textId="5192B0A4" w:rsidR="008162F3" w:rsidRPr="00C87A7D" w:rsidRDefault="008162F3" w:rsidP="008162F3">
            <w:pPr>
              <w:rPr>
                <w:rFonts w:ascii="Arial" w:hAnsi="Arial" w:cs="Arial"/>
                <w:sz w:val="22"/>
                <w:szCs w:val="22"/>
              </w:rPr>
            </w:pPr>
            <w:r w:rsidRPr="001B1C63">
              <w:rPr>
                <w:rFonts w:ascii="Arial" w:hAnsi="Arial" w:cs="Arial"/>
                <w:sz w:val="22"/>
                <w:szCs w:val="22"/>
              </w:rPr>
              <w:t xml:space="preserve">Thank you for your comment.  </w:t>
            </w:r>
          </w:p>
        </w:tc>
      </w:tr>
      <w:tr w:rsidR="008162F3" w:rsidRPr="00C87A7D" w14:paraId="0962CF85" w14:textId="7BBC14CD" w:rsidTr="00B929DA">
        <w:trPr>
          <w:cantSplit/>
        </w:trPr>
        <w:tc>
          <w:tcPr>
            <w:tcW w:w="201" w:type="pct"/>
            <w:vAlign w:val="center"/>
          </w:tcPr>
          <w:p w14:paraId="0D3462FA" w14:textId="574BB511" w:rsidR="008162F3" w:rsidRPr="00C87A7D" w:rsidRDefault="008162F3" w:rsidP="008162F3">
            <w:pPr>
              <w:rPr>
                <w:rFonts w:ascii="Arial" w:hAnsi="Arial" w:cs="Arial"/>
                <w:sz w:val="22"/>
                <w:szCs w:val="22"/>
              </w:rPr>
            </w:pPr>
            <w:r>
              <w:rPr>
                <w:rFonts w:ascii="Arial" w:hAnsi="Arial" w:cs="Arial"/>
                <w:sz w:val="22"/>
                <w:szCs w:val="22"/>
              </w:rPr>
              <w:t>24</w:t>
            </w:r>
          </w:p>
        </w:tc>
        <w:tc>
          <w:tcPr>
            <w:tcW w:w="619" w:type="pct"/>
            <w:vAlign w:val="center"/>
          </w:tcPr>
          <w:p w14:paraId="2DC5C7BF"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 xml:space="preserve">Inherited Metabolic Disorders </w:t>
            </w:r>
            <w:proofErr w:type="spellStart"/>
            <w:r w:rsidRPr="00D74341">
              <w:rPr>
                <w:rFonts w:ascii="Arial" w:hAnsi="Arial" w:cs="Arial"/>
                <w:bCs/>
                <w:sz w:val="22"/>
                <w:szCs w:val="22"/>
              </w:rPr>
              <w:t>Newborn</w:t>
            </w:r>
            <w:proofErr w:type="spellEnd"/>
            <w:r w:rsidRPr="00D74341">
              <w:rPr>
                <w:rFonts w:ascii="Arial" w:hAnsi="Arial" w:cs="Arial"/>
                <w:bCs/>
                <w:sz w:val="22"/>
                <w:szCs w:val="22"/>
              </w:rPr>
              <w:t xml:space="preserve"> Screening Advisory Board and British Inherited Metabolic Disease Group</w:t>
            </w:r>
          </w:p>
        </w:tc>
        <w:tc>
          <w:tcPr>
            <w:tcW w:w="2989" w:type="pct"/>
            <w:vAlign w:val="center"/>
          </w:tcPr>
          <w:p w14:paraId="178CA356" w14:textId="77777777" w:rsidR="008162F3" w:rsidRPr="00C87A7D" w:rsidRDefault="008162F3" w:rsidP="008162F3">
            <w:pPr>
              <w:rPr>
                <w:rFonts w:ascii="Arial" w:hAnsi="Arial" w:cs="Arial"/>
                <w:sz w:val="22"/>
                <w:szCs w:val="22"/>
              </w:rPr>
            </w:pPr>
            <w:r w:rsidRPr="00C87A7D">
              <w:rPr>
                <w:rFonts w:ascii="Arial" w:hAnsi="Arial" w:cs="Arial"/>
                <w:sz w:val="22"/>
                <w:szCs w:val="22"/>
              </w:rPr>
              <w:t>No comment.</w:t>
            </w:r>
          </w:p>
        </w:tc>
        <w:tc>
          <w:tcPr>
            <w:tcW w:w="1191" w:type="pct"/>
          </w:tcPr>
          <w:p w14:paraId="7976E6CB" w14:textId="73D8211B" w:rsidR="008162F3" w:rsidRPr="00C87A7D" w:rsidRDefault="008162F3" w:rsidP="008162F3">
            <w:pPr>
              <w:rPr>
                <w:rFonts w:ascii="Arial" w:hAnsi="Arial" w:cs="Arial"/>
                <w:sz w:val="22"/>
                <w:szCs w:val="22"/>
              </w:rPr>
            </w:pPr>
            <w:r w:rsidRPr="001B1C63">
              <w:rPr>
                <w:rFonts w:ascii="Arial" w:hAnsi="Arial" w:cs="Arial"/>
                <w:sz w:val="22"/>
                <w:szCs w:val="22"/>
              </w:rPr>
              <w:t xml:space="preserve">Thank you for your comment.  </w:t>
            </w:r>
          </w:p>
        </w:tc>
      </w:tr>
      <w:tr w:rsidR="008162F3" w:rsidRPr="00C87A7D" w14:paraId="7CD77AC5" w14:textId="6180F05B" w:rsidTr="00B929DA">
        <w:trPr>
          <w:cantSplit/>
        </w:trPr>
        <w:tc>
          <w:tcPr>
            <w:tcW w:w="201" w:type="pct"/>
            <w:tcBorders>
              <w:bottom w:val="single" w:sz="4" w:space="0" w:color="000000"/>
            </w:tcBorders>
            <w:vAlign w:val="center"/>
          </w:tcPr>
          <w:p w14:paraId="2EBFDA6A" w14:textId="319C847B" w:rsidR="008162F3" w:rsidRPr="00C87A7D" w:rsidRDefault="008162F3" w:rsidP="008162F3">
            <w:pPr>
              <w:rPr>
                <w:rFonts w:ascii="Arial" w:hAnsi="Arial" w:cs="Arial"/>
                <w:sz w:val="22"/>
                <w:szCs w:val="22"/>
              </w:rPr>
            </w:pPr>
            <w:r>
              <w:rPr>
                <w:rFonts w:ascii="Arial" w:hAnsi="Arial" w:cs="Arial"/>
                <w:sz w:val="22"/>
                <w:szCs w:val="22"/>
              </w:rPr>
              <w:lastRenderedPageBreak/>
              <w:t>25</w:t>
            </w:r>
          </w:p>
        </w:tc>
        <w:tc>
          <w:tcPr>
            <w:tcW w:w="619" w:type="pct"/>
            <w:tcBorders>
              <w:bottom w:val="single" w:sz="4" w:space="0" w:color="000000"/>
            </w:tcBorders>
            <w:vAlign w:val="center"/>
          </w:tcPr>
          <w:p w14:paraId="112AD7B9"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Sickle Cell Society</w:t>
            </w:r>
          </w:p>
        </w:tc>
        <w:tc>
          <w:tcPr>
            <w:tcW w:w="2989" w:type="pct"/>
            <w:tcBorders>
              <w:bottom w:val="single" w:sz="4" w:space="0" w:color="000000"/>
            </w:tcBorders>
            <w:vAlign w:val="center"/>
          </w:tcPr>
          <w:p w14:paraId="33A28510" w14:textId="0C0C7F4C" w:rsidR="008162F3" w:rsidRPr="00C87A7D" w:rsidRDefault="008162F3" w:rsidP="008162F3">
            <w:pPr>
              <w:rPr>
                <w:rFonts w:ascii="Arial" w:hAnsi="Arial" w:cs="Arial"/>
                <w:sz w:val="22"/>
                <w:szCs w:val="22"/>
              </w:rPr>
            </w:pPr>
            <w:r w:rsidRPr="00C87A7D">
              <w:rPr>
                <w:rFonts w:ascii="Arial" w:hAnsi="Arial" w:cs="Arial"/>
                <w:sz w:val="22"/>
                <w:szCs w:val="22"/>
              </w:rPr>
              <w:t>It is good to note that this standard excludes babies who might have sickle cell trait and that these results are expected to be given to parents in less than 6 weeks. The SCS will be embarking on a project on behalf of the Screening Programme to consult with users on their views on the communication of carrier /affected results and we hope to find out what they think of the timeliness too.</w:t>
            </w:r>
            <w:r w:rsidRPr="00A81647">
              <w:rPr>
                <w:rFonts w:ascii="Arial" w:hAnsi="Arial" w:cs="Arial"/>
                <w:b/>
                <w:color w:val="000000"/>
                <w:sz w:val="22"/>
                <w:szCs w:val="22"/>
              </w:rPr>
              <w:t xml:space="preserve"> </w:t>
            </w:r>
          </w:p>
        </w:tc>
        <w:tc>
          <w:tcPr>
            <w:tcW w:w="1191" w:type="pct"/>
            <w:tcBorders>
              <w:bottom w:val="single" w:sz="4" w:space="0" w:color="000000"/>
            </w:tcBorders>
          </w:tcPr>
          <w:p w14:paraId="2A91C194" w14:textId="14A36166" w:rsidR="008162F3" w:rsidRPr="00C87A7D" w:rsidRDefault="008162F3" w:rsidP="008162F3">
            <w:pPr>
              <w:rPr>
                <w:rFonts w:ascii="Arial" w:hAnsi="Arial" w:cs="Arial"/>
                <w:sz w:val="22"/>
                <w:szCs w:val="22"/>
              </w:rPr>
            </w:pPr>
            <w:r w:rsidRPr="001B1C63">
              <w:rPr>
                <w:rFonts w:ascii="Arial" w:hAnsi="Arial" w:cs="Arial"/>
                <w:sz w:val="22"/>
                <w:szCs w:val="22"/>
              </w:rPr>
              <w:t xml:space="preserve">Thank you for your comment.  </w:t>
            </w:r>
            <w:r>
              <w:rPr>
                <w:rFonts w:ascii="Arial" w:hAnsi="Arial" w:cs="Arial"/>
                <w:sz w:val="22"/>
                <w:szCs w:val="22"/>
              </w:rPr>
              <w:t xml:space="preserve">Any changes to timelines for the </w:t>
            </w:r>
            <w:proofErr w:type="spellStart"/>
            <w:r>
              <w:rPr>
                <w:rFonts w:ascii="Arial" w:hAnsi="Arial" w:cs="Arial"/>
                <w:sz w:val="22"/>
                <w:szCs w:val="22"/>
              </w:rPr>
              <w:t>newborn</w:t>
            </w:r>
            <w:proofErr w:type="spellEnd"/>
            <w:r>
              <w:rPr>
                <w:rFonts w:ascii="Arial" w:hAnsi="Arial" w:cs="Arial"/>
                <w:sz w:val="22"/>
                <w:szCs w:val="22"/>
              </w:rPr>
              <w:t xml:space="preserve"> blood spot screening programme in the future can be reflected in future updates of this indicator.</w:t>
            </w:r>
          </w:p>
        </w:tc>
      </w:tr>
    </w:tbl>
    <w:p w14:paraId="3781006E" w14:textId="77777777" w:rsidR="007C6C58" w:rsidRDefault="007C6C58"/>
    <w:p w14:paraId="65353462" w14:textId="47418F73" w:rsidR="003D0277" w:rsidRPr="003C42C4" w:rsidRDefault="007C6C58" w:rsidP="001D2773">
      <w:pPr>
        <w:pStyle w:val="Heading2"/>
      </w:pPr>
      <w:r w:rsidRPr="003C42C4">
        <w:t>Indicator 2020-95</w:t>
      </w:r>
    </w:p>
    <w:p w14:paraId="211D06BE" w14:textId="77777777" w:rsidR="007C6C58" w:rsidRDefault="007C6C58"/>
    <w:tbl>
      <w:tblPr>
        <w:tblStyle w:val="TableGrid"/>
        <w:tblW w:w="5000" w:type="pct"/>
        <w:tblLayout w:type="fixed"/>
        <w:tblLook w:val="04A0" w:firstRow="1" w:lastRow="0" w:firstColumn="1" w:lastColumn="0" w:noHBand="0" w:noVBand="1"/>
        <w:tblCaption w:val="Appendix A - Table of consultation comments - Indicator 2020-95 "/>
        <w:tblDescription w:val="A table of comments in relation to indicator 2020-95 received during the screening consultation process"/>
      </w:tblPr>
      <w:tblGrid>
        <w:gridCol w:w="561"/>
        <w:gridCol w:w="1727"/>
        <w:gridCol w:w="8339"/>
        <w:gridCol w:w="3323"/>
      </w:tblGrid>
      <w:tr w:rsidR="008162F3" w:rsidRPr="00C87A7D" w14:paraId="1B4CD0C3" w14:textId="77777777" w:rsidTr="003E10AB">
        <w:trPr>
          <w:cantSplit/>
          <w:tblHeader/>
        </w:trPr>
        <w:tc>
          <w:tcPr>
            <w:tcW w:w="201" w:type="pct"/>
            <w:vAlign w:val="center"/>
          </w:tcPr>
          <w:p w14:paraId="145E39A1" w14:textId="58A5E3EA"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Pr>
          <w:p w14:paraId="7DD58344" w14:textId="6F256631"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Pr>
          <w:p w14:paraId="0319C73C" w14:textId="08CE4C02"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Pr>
          <w:p w14:paraId="0EFD0245" w14:textId="6D4692E9" w:rsidR="008162F3" w:rsidRPr="00003A28"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6A136A22" w14:textId="51F1C40E" w:rsidTr="00B929DA">
        <w:trPr>
          <w:cantSplit/>
        </w:trPr>
        <w:tc>
          <w:tcPr>
            <w:tcW w:w="201" w:type="pct"/>
            <w:vAlign w:val="center"/>
          </w:tcPr>
          <w:p w14:paraId="7A04CB78" w14:textId="1704582D" w:rsidR="008162F3" w:rsidRPr="00C87A7D" w:rsidRDefault="008162F3" w:rsidP="008162F3">
            <w:pPr>
              <w:rPr>
                <w:rFonts w:ascii="Arial" w:hAnsi="Arial" w:cs="Arial"/>
                <w:sz w:val="22"/>
                <w:szCs w:val="22"/>
              </w:rPr>
            </w:pPr>
            <w:r>
              <w:rPr>
                <w:rFonts w:ascii="Arial" w:hAnsi="Arial" w:cs="Arial"/>
                <w:sz w:val="22"/>
                <w:szCs w:val="22"/>
              </w:rPr>
              <w:t>26</w:t>
            </w:r>
          </w:p>
        </w:tc>
        <w:tc>
          <w:tcPr>
            <w:tcW w:w="619" w:type="pct"/>
            <w:vAlign w:val="center"/>
          </w:tcPr>
          <w:p w14:paraId="24FEA3F2" w14:textId="77777777" w:rsidR="008162F3" w:rsidRPr="00D74341" w:rsidRDefault="008162F3" w:rsidP="008162F3">
            <w:pPr>
              <w:rPr>
                <w:rFonts w:ascii="Arial" w:hAnsi="Arial" w:cs="Arial"/>
                <w:bCs/>
                <w:sz w:val="22"/>
                <w:szCs w:val="22"/>
              </w:rPr>
            </w:pPr>
            <w:proofErr w:type="spellStart"/>
            <w:r w:rsidRPr="00D74341">
              <w:rPr>
                <w:rFonts w:ascii="Arial" w:hAnsi="Arial" w:cs="Arial"/>
                <w:bCs/>
                <w:sz w:val="22"/>
                <w:szCs w:val="22"/>
              </w:rPr>
              <w:t>ArchAngel</w:t>
            </w:r>
            <w:proofErr w:type="spellEnd"/>
            <w:r w:rsidRPr="00D74341">
              <w:rPr>
                <w:rFonts w:ascii="Arial" w:hAnsi="Arial" w:cs="Arial"/>
                <w:bCs/>
                <w:sz w:val="22"/>
                <w:szCs w:val="22"/>
              </w:rPr>
              <w:t xml:space="preserve"> MLD Trust</w:t>
            </w:r>
          </w:p>
        </w:tc>
        <w:tc>
          <w:tcPr>
            <w:tcW w:w="2989" w:type="pct"/>
            <w:vAlign w:val="center"/>
          </w:tcPr>
          <w:p w14:paraId="57E43D60"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We have noted the performance on results being conveyed to parents who are movers in.  There are significant gaps in performance as you point out and we note that the issues appear to be around problems at a regional and area level.  When you indicate such a difference in practice it always prompts an alert to whether </w:t>
            </w:r>
            <w:proofErr w:type="gramStart"/>
            <w:r w:rsidRPr="00C87A7D">
              <w:rPr>
                <w:rFonts w:ascii="Arial" w:hAnsi="Arial" w:cs="Arial"/>
                <w:sz w:val="22"/>
                <w:szCs w:val="22"/>
              </w:rPr>
              <w:t>actually some</w:t>
            </w:r>
            <w:proofErr w:type="gramEnd"/>
            <w:r w:rsidRPr="00C87A7D">
              <w:rPr>
                <w:rFonts w:ascii="Arial" w:hAnsi="Arial" w:cs="Arial"/>
                <w:sz w:val="22"/>
                <w:szCs w:val="22"/>
              </w:rPr>
              <w:t xml:space="preserve"> people are actually being missed in terms of receiving results.  We do not know if this has been an issue.  </w:t>
            </w:r>
            <w:proofErr w:type="gramStart"/>
            <w:r w:rsidRPr="00C87A7D">
              <w:rPr>
                <w:rFonts w:ascii="Arial" w:hAnsi="Arial" w:cs="Arial"/>
                <w:sz w:val="22"/>
                <w:szCs w:val="22"/>
              </w:rPr>
              <w:t>However</w:t>
            </w:r>
            <w:proofErr w:type="gramEnd"/>
            <w:r w:rsidRPr="00C87A7D">
              <w:rPr>
                <w:rFonts w:ascii="Arial" w:hAnsi="Arial" w:cs="Arial"/>
                <w:sz w:val="22"/>
                <w:szCs w:val="22"/>
              </w:rPr>
              <w:t xml:space="preserve"> our thoughts are that a NICE CCG indicator is perhaps the best way of addressing such regional variations and ensuring quality improvement.  </w:t>
            </w:r>
          </w:p>
        </w:tc>
        <w:tc>
          <w:tcPr>
            <w:tcW w:w="1191" w:type="pct"/>
          </w:tcPr>
          <w:p w14:paraId="42FB3250" w14:textId="02FCA8A3" w:rsidR="008162F3" w:rsidRPr="00C87A7D" w:rsidRDefault="008162F3" w:rsidP="008162F3">
            <w:pPr>
              <w:rPr>
                <w:rFonts w:ascii="Arial" w:hAnsi="Arial" w:cs="Arial"/>
                <w:sz w:val="22"/>
                <w:szCs w:val="22"/>
              </w:rPr>
            </w:pPr>
            <w:r w:rsidRPr="00003A28">
              <w:rPr>
                <w:rFonts w:ascii="Arial" w:hAnsi="Arial" w:cs="Arial"/>
                <w:sz w:val="22"/>
                <w:szCs w:val="22"/>
              </w:rPr>
              <w:t>Thank you for your comment</w:t>
            </w:r>
            <w:r>
              <w:rPr>
                <w:rFonts w:ascii="Arial" w:hAnsi="Arial" w:cs="Arial"/>
                <w:sz w:val="22"/>
                <w:szCs w:val="22"/>
              </w:rPr>
              <w:t xml:space="preserve">. </w:t>
            </w:r>
            <w:r w:rsidRPr="00003A28">
              <w:rPr>
                <w:rFonts w:ascii="Arial" w:hAnsi="Arial" w:cs="Arial"/>
                <w:sz w:val="22"/>
                <w:szCs w:val="22"/>
              </w:rPr>
              <w:t>The June 2021 Indicator Advisory Committee</w:t>
            </w:r>
            <w:r>
              <w:rPr>
                <w:rFonts w:ascii="Arial" w:hAnsi="Arial" w:cs="Arial"/>
                <w:sz w:val="22"/>
                <w:szCs w:val="22"/>
              </w:rPr>
              <w:t xml:space="preserve"> agreed this is an important indicator that will </w:t>
            </w:r>
            <w:r w:rsidRPr="00003A28">
              <w:rPr>
                <w:rFonts w:ascii="Arial" w:hAnsi="Arial" w:cs="Arial"/>
                <w:sz w:val="22"/>
                <w:szCs w:val="22"/>
              </w:rPr>
              <w:t>pick up ‘movers in’, or babies who have changed CCGs or moved from abroad</w:t>
            </w:r>
            <w:r>
              <w:rPr>
                <w:rFonts w:ascii="Arial" w:hAnsi="Arial" w:cs="Arial"/>
                <w:sz w:val="22"/>
                <w:szCs w:val="22"/>
              </w:rPr>
              <w:t>.</w:t>
            </w:r>
          </w:p>
        </w:tc>
      </w:tr>
      <w:tr w:rsidR="008162F3" w:rsidRPr="00C87A7D" w14:paraId="49889CDF" w14:textId="39C6101D" w:rsidTr="00B929DA">
        <w:trPr>
          <w:cantSplit/>
        </w:trPr>
        <w:tc>
          <w:tcPr>
            <w:tcW w:w="201" w:type="pct"/>
            <w:vAlign w:val="center"/>
          </w:tcPr>
          <w:p w14:paraId="05DB8787" w14:textId="425E0118" w:rsidR="008162F3" w:rsidRPr="00C87A7D" w:rsidRDefault="008162F3" w:rsidP="008162F3">
            <w:pPr>
              <w:rPr>
                <w:rFonts w:ascii="Arial" w:hAnsi="Arial" w:cs="Arial"/>
                <w:sz w:val="22"/>
                <w:szCs w:val="22"/>
              </w:rPr>
            </w:pPr>
            <w:r>
              <w:rPr>
                <w:rFonts w:ascii="Arial" w:hAnsi="Arial" w:cs="Arial"/>
                <w:sz w:val="22"/>
                <w:szCs w:val="22"/>
              </w:rPr>
              <w:lastRenderedPageBreak/>
              <w:t>27</w:t>
            </w:r>
          </w:p>
        </w:tc>
        <w:tc>
          <w:tcPr>
            <w:tcW w:w="619" w:type="pct"/>
            <w:vAlign w:val="center"/>
          </w:tcPr>
          <w:p w14:paraId="51EAEC1B"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vAlign w:val="center"/>
          </w:tcPr>
          <w:p w14:paraId="3C70AC23"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Whilst we welcome the focus on “movers-in” within indicator IND 2020-95, we are disappointed that it </w:t>
            </w:r>
            <w:bookmarkStart w:id="18" w:name="_Hlk69915211"/>
            <w:r w:rsidRPr="00C87A7D">
              <w:rPr>
                <w:rFonts w:ascii="Arial" w:hAnsi="Arial" w:cs="Arial"/>
                <w:sz w:val="22"/>
                <w:szCs w:val="22"/>
              </w:rPr>
              <w:t xml:space="preserve">only focuses on those who have a not suspected result </w:t>
            </w:r>
            <w:bookmarkEnd w:id="18"/>
            <w:r w:rsidRPr="00C87A7D">
              <w:rPr>
                <w:rFonts w:ascii="Arial" w:hAnsi="Arial" w:cs="Arial"/>
                <w:sz w:val="22"/>
                <w:szCs w:val="22"/>
              </w:rPr>
              <w:t xml:space="preserve">for all the conditions tested for by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testing. It is vital that there is an equal focus and provision for movers in who also have a positive suspected result. This is not part of indicator IND 2020-96, which covers those with a positive suspected result and means that the speed at which “movers-in” receive notification of a suspected positive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screen is not monitored.</w:t>
            </w:r>
          </w:p>
        </w:tc>
        <w:tc>
          <w:tcPr>
            <w:tcW w:w="1191" w:type="pct"/>
          </w:tcPr>
          <w:p w14:paraId="7E64F555" w14:textId="0B3B89CA" w:rsidR="008162F3" w:rsidRPr="00C87A7D" w:rsidRDefault="008162F3" w:rsidP="008162F3">
            <w:pPr>
              <w:rPr>
                <w:rFonts w:ascii="Arial" w:hAnsi="Arial" w:cs="Arial"/>
                <w:sz w:val="22"/>
                <w:szCs w:val="22"/>
              </w:rPr>
            </w:pPr>
            <w:r w:rsidRPr="00572E69">
              <w:rPr>
                <w:rFonts w:ascii="Arial" w:hAnsi="Arial" w:cs="Arial"/>
                <w:sz w:val="22"/>
                <w:szCs w:val="22"/>
              </w:rPr>
              <w:t>Thank you for your comment.</w:t>
            </w:r>
            <w:r>
              <w:rPr>
                <w:rFonts w:ascii="Arial" w:hAnsi="Arial" w:cs="Arial"/>
                <w:sz w:val="22"/>
                <w:szCs w:val="22"/>
              </w:rPr>
              <w:t xml:space="preserve"> As timescales for positive results are different to not suspected results it requires a separate indicator and cannot be included within IND 2020-95. Please note that t</w:t>
            </w:r>
            <w:r w:rsidRPr="002E327C">
              <w:rPr>
                <w:rFonts w:ascii="Arial" w:hAnsi="Arial" w:cs="Arial"/>
                <w:sz w:val="22"/>
                <w:szCs w:val="22"/>
              </w:rPr>
              <w:t xml:space="preserve">he June 2021 Indicator Advisory Committee agreed not to progress IND 2020-96 </w:t>
            </w:r>
            <w:r>
              <w:rPr>
                <w:rFonts w:ascii="Arial" w:hAnsi="Arial" w:cs="Arial"/>
                <w:sz w:val="22"/>
                <w:szCs w:val="22"/>
              </w:rPr>
              <w:t xml:space="preserve">on reporting for positive results </w:t>
            </w:r>
            <w:r w:rsidRPr="002E327C">
              <w:rPr>
                <w:rFonts w:ascii="Arial" w:hAnsi="Arial" w:cs="Arial"/>
                <w:sz w:val="22"/>
                <w:szCs w:val="22"/>
              </w:rPr>
              <w:t>due to small numbers not allowing comparison at CCG level.</w:t>
            </w:r>
            <w:r>
              <w:rPr>
                <w:rFonts w:ascii="Arial" w:hAnsi="Arial" w:cs="Arial"/>
                <w:sz w:val="22"/>
                <w:szCs w:val="22"/>
              </w:rPr>
              <w:t xml:space="preserve"> </w:t>
            </w:r>
          </w:p>
        </w:tc>
      </w:tr>
      <w:tr w:rsidR="008162F3" w:rsidRPr="00C87A7D" w14:paraId="25181A97" w14:textId="0224C50E" w:rsidTr="00B929DA">
        <w:trPr>
          <w:cantSplit/>
        </w:trPr>
        <w:tc>
          <w:tcPr>
            <w:tcW w:w="201" w:type="pct"/>
            <w:tcBorders>
              <w:bottom w:val="single" w:sz="4" w:space="0" w:color="000000"/>
            </w:tcBorders>
            <w:vAlign w:val="center"/>
          </w:tcPr>
          <w:p w14:paraId="18F6EEE8" w14:textId="2137A246" w:rsidR="008162F3" w:rsidRPr="00C87A7D" w:rsidRDefault="008162F3" w:rsidP="008162F3">
            <w:pPr>
              <w:rPr>
                <w:rFonts w:ascii="Arial" w:hAnsi="Arial" w:cs="Arial"/>
                <w:sz w:val="22"/>
                <w:szCs w:val="22"/>
              </w:rPr>
            </w:pPr>
            <w:r>
              <w:rPr>
                <w:rFonts w:ascii="Arial" w:hAnsi="Arial" w:cs="Arial"/>
                <w:sz w:val="22"/>
                <w:szCs w:val="22"/>
              </w:rPr>
              <w:t>28</w:t>
            </w:r>
          </w:p>
        </w:tc>
        <w:tc>
          <w:tcPr>
            <w:tcW w:w="619" w:type="pct"/>
            <w:tcBorders>
              <w:bottom w:val="single" w:sz="4" w:space="0" w:color="000000"/>
            </w:tcBorders>
            <w:vAlign w:val="center"/>
          </w:tcPr>
          <w:p w14:paraId="5437F03B"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 xml:space="preserve">Inherited Metabolic Disorders </w:t>
            </w:r>
            <w:proofErr w:type="spellStart"/>
            <w:r w:rsidRPr="00D74341">
              <w:rPr>
                <w:rFonts w:ascii="Arial" w:hAnsi="Arial" w:cs="Arial"/>
                <w:bCs/>
                <w:sz w:val="22"/>
                <w:szCs w:val="22"/>
              </w:rPr>
              <w:t>Newborn</w:t>
            </w:r>
            <w:proofErr w:type="spellEnd"/>
            <w:r w:rsidRPr="00D74341">
              <w:rPr>
                <w:rFonts w:ascii="Arial" w:hAnsi="Arial" w:cs="Arial"/>
                <w:bCs/>
                <w:sz w:val="22"/>
                <w:szCs w:val="22"/>
              </w:rPr>
              <w:t xml:space="preserve"> Screening Advisory Board and British Inherited Metabolic Disease Group</w:t>
            </w:r>
          </w:p>
        </w:tc>
        <w:tc>
          <w:tcPr>
            <w:tcW w:w="2989" w:type="pct"/>
            <w:tcBorders>
              <w:bottom w:val="single" w:sz="4" w:space="0" w:color="000000"/>
            </w:tcBorders>
            <w:vAlign w:val="center"/>
          </w:tcPr>
          <w:p w14:paraId="0107D8E3" w14:textId="4A48F49F" w:rsidR="008162F3" w:rsidRPr="00C87A7D" w:rsidRDefault="008162F3" w:rsidP="008162F3">
            <w:pPr>
              <w:rPr>
                <w:rFonts w:ascii="Arial" w:hAnsi="Arial" w:cs="Arial"/>
                <w:sz w:val="22"/>
                <w:szCs w:val="22"/>
              </w:rPr>
            </w:pPr>
            <w:r w:rsidRPr="00C87A7D">
              <w:rPr>
                <w:rFonts w:ascii="Arial" w:hAnsi="Arial" w:cs="Arial"/>
                <w:sz w:val="22"/>
                <w:szCs w:val="22"/>
              </w:rPr>
              <w:t xml:space="preserve">Standard exclusion criteria for </w:t>
            </w:r>
            <w:bookmarkStart w:id="19" w:name="_Hlk69915581"/>
            <w:proofErr w:type="spellStart"/>
            <w:r w:rsidRPr="00C87A7D">
              <w:rPr>
                <w:rFonts w:ascii="Arial" w:hAnsi="Arial" w:cs="Arial"/>
                <w:sz w:val="22"/>
                <w:szCs w:val="22"/>
              </w:rPr>
              <w:t>newborn</w:t>
            </w:r>
            <w:proofErr w:type="spellEnd"/>
            <w:r w:rsidRPr="00C87A7D">
              <w:rPr>
                <w:rFonts w:ascii="Arial" w:hAnsi="Arial" w:cs="Arial"/>
                <w:sz w:val="22"/>
                <w:szCs w:val="22"/>
              </w:rPr>
              <w:t xml:space="preserve"> screening results for movers in</w:t>
            </w:r>
            <w:bookmarkEnd w:id="19"/>
            <w:r w:rsidRPr="00C87A7D">
              <w:rPr>
                <w:rFonts w:ascii="Arial" w:hAnsi="Arial" w:cs="Arial"/>
                <w:sz w:val="22"/>
                <w:szCs w:val="22"/>
              </w:rPr>
              <w:t xml:space="preserve">: I believe there is an age </w:t>
            </w:r>
            <w:proofErr w:type="spellStart"/>
            <w:r w:rsidRPr="00C87A7D">
              <w:rPr>
                <w:rFonts w:ascii="Arial" w:hAnsi="Arial" w:cs="Arial"/>
                <w:sz w:val="22"/>
                <w:szCs w:val="22"/>
              </w:rPr>
              <w:t>cutoff</w:t>
            </w:r>
            <w:proofErr w:type="spellEnd"/>
            <w:r w:rsidRPr="00C87A7D">
              <w:rPr>
                <w:rFonts w:ascii="Arial" w:hAnsi="Arial" w:cs="Arial"/>
                <w:sz w:val="22"/>
                <w:szCs w:val="22"/>
              </w:rPr>
              <w:t xml:space="preserve"> for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screening that is done on movers in (I think this is 1 year, but please check). Children above this cut</w:t>
            </w:r>
            <w:r>
              <w:rPr>
                <w:rFonts w:ascii="Arial" w:hAnsi="Arial" w:cs="Arial"/>
                <w:sz w:val="22"/>
                <w:szCs w:val="22"/>
              </w:rPr>
              <w:t>-</w:t>
            </w:r>
            <w:r w:rsidRPr="00C87A7D">
              <w:rPr>
                <w:rFonts w:ascii="Arial" w:hAnsi="Arial" w:cs="Arial"/>
                <w:sz w:val="22"/>
                <w:szCs w:val="22"/>
              </w:rPr>
              <w:t>off age should be excluded from this indicator.</w:t>
            </w:r>
            <w:r w:rsidRPr="00A81647">
              <w:rPr>
                <w:rFonts w:ascii="Arial" w:hAnsi="Arial" w:cs="Arial"/>
                <w:b/>
                <w:color w:val="000000"/>
                <w:sz w:val="22"/>
                <w:szCs w:val="22"/>
              </w:rPr>
              <w:t xml:space="preserve"> </w:t>
            </w:r>
          </w:p>
        </w:tc>
        <w:tc>
          <w:tcPr>
            <w:tcW w:w="1191" w:type="pct"/>
            <w:tcBorders>
              <w:bottom w:val="single" w:sz="4" w:space="0" w:color="000000"/>
            </w:tcBorders>
          </w:tcPr>
          <w:p w14:paraId="57A85146" w14:textId="3C9A80AB" w:rsidR="008162F3" w:rsidRPr="00C87A7D" w:rsidRDefault="008162F3" w:rsidP="008162F3">
            <w:pPr>
              <w:rPr>
                <w:rFonts w:ascii="Arial" w:hAnsi="Arial" w:cs="Arial"/>
                <w:sz w:val="22"/>
                <w:szCs w:val="22"/>
              </w:rPr>
            </w:pPr>
            <w:r w:rsidRPr="008809CC">
              <w:rPr>
                <w:rFonts w:ascii="Arial" w:hAnsi="Arial" w:cs="Arial"/>
                <w:sz w:val="22"/>
                <w:szCs w:val="22"/>
              </w:rPr>
              <w:t>Thank you for your comment</w:t>
            </w:r>
            <w:r>
              <w:rPr>
                <w:rFonts w:ascii="Arial" w:hAnsi="Arial" w:cs="Arial"/>
                <w:sz w:val="22"/>
                <w:szCs w:val="22"/>
              </w:rPr>
              <w:t xml:space="preserve">. We have added information to the validity assessment for this indicator to confirm the age limit for screening. </w:t>
            </w:r>
          </w:p>
        </w:tc>
      </w:tr>
    </w:tbl>
    <w:p w14:paraId="2E5125D1" w14:textId="77777777" w:rsidR="007C6C58" w:rsidRDefault="007C6C58">
      <w:pPr>
        <w:rPr>
          <w:rFonts w:ascii="Arial" w:hAnsi="Arial" w:cs="Arial"/>
          <w:b/>
          <w:color w:val="000000"/>
          <w:sz w:val="22"/>
          <w:szCs w:val="22"/>
        </w:rPr>
      </w:pPr>
    </w:p>
    <w:p w14:paraId="00F931C1" w14:textId="77777777" w:rsidR="003E10AB" w:rsidRDefault="003E10AB" w:rsidP="00926BA3">
      <w:pPr>
        <w:pStyle w:val="Paragraph"/>
      </w:pPr>
    </w:p>
    <w:p w14:paraId="6AFA51E7" w14:textId="2D9D274B" w:rsidR="007C6C58" w:rsidRPr="003C42C4" w:rsidRDefault="007C6C58" w:rsidP="001D2773">
      <w:pPr>
        <w:pStyle w:val="Heading2"/>
      </w:pPr>
      <w:r w:rsidRPr="003C42C4">
        <w:lastRenderedPageBreak/>
        <w:t>Indicator 2020-96</w:t>
      </w:r>
    </w:p>
    <w:p w14:paraId="45277B3A" w14:textId="77777777" w:rsidR="003D0277" w:rsidRDefault="003D0277"/>
    <w:tbl>
      <w:tblPr>
        <w:tblStyle w:val="TableGrid"/>
        <w:tblW w:w="5000" w:type="pct"/>
        <w:tblLayout w:type="fixed"/>
        <w:tblLook w:val="04A0" w:firstRow="1" w:lastRow="0" w:firstColumn="1" w:lastColumn="0" w:noHBand="0" w:noVBand="1"/>
        <w:tblCaption w:val="Appendix A - Table of consultation comments - Indicator 2020-96"/>
        <w:tblDescription w:val="A table of comments in relation to indicator 2020-96 received during the screening consultation process"/>
      </w:tblPr>
      <w:tblGrid>
        <w:gridCol w:w="561"/>
        <w:gridCol w:w="1727"/>
        <w:gridCol w:w="8339"/>
        <w:gridCol w:w="3323"/>
      </w:tblGrid>
      <w:tr w:rsidR="008162F3" w:rsidRPr="00C87A7D" w14:paraId="6BF55A20" w14:textId="77777777" w:rsidTr="003E10AB">
        <w:trPr>
          <w:cantSplit/>
          <w:tblHeader/>
        </w:trPr>
        <w:tc>
          <w:tcPr>
            <w:tcW w:w="201" w:type="pct"/>
            <w:vAlign w:val="center"/>
          </w:tcPr>
          <w:p w14:paraId="5F83479C" w14:textId="3E23CD05"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Pr>
          <w:p w14:paraId="4A5F0F7A" w14:textId="7E7D1281"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Pr>
          <w:p w14:paraId="3BE19310" w14:textId="1F3BC8F7"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Pr>
          <w:p w14:paraId="57D39B30" w14:textId="539966FF" w:rsidR="008162F3" w:rsidRPr="001E3940"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46196609" w14:textId="59CEA674" w:rsidTr="00B929DA">
        <w:trPr>
          <w:cantSplit/>
        </w:trPr>
        <w:tc>
          <w:tcPr>
            <w:tcW w:w="201" w:type="pct"/>
            <w:vAlign w:val="center"/>
          </w:tcPr>
          <w:p w14:paraId="1A8165AB" w14:textId="68F018DB" w:rsidR="008162F3" w:rsidRPr="00C87A7D" w:rsidRDefault="008162F3" w:rsidP="008162F3">
            <w:pPr>
              <w:rPr>
                <w:rFonts w:ascii="Arial" w:hAnsi="Arial" w:cs="Arial"/>
                <w:sz w:val="22"/>
                <w:szCs w:val="22"/>
              </w:rPr>
            </w:pPr>
            <w:r>
              <w:rPr>
                <w:rFonts w:ascii="Arial" w:hAnsi="Arial" w:cs="Arial"/>
                <w:sz w:val="22"/>
                <w:szCs w:val="22"/>
              </w:rPr>
              <w:t>29</w:t>
            </w:r>
          </w:p>
        </w:tc>
        <w:tc>
          <w:tcPr>
            <w:tcW w:w="619" w:type="pct"/>
            <w:vAlign w:val="center"/>
          </w:tcPr>
          <w:p w14:paraId="71262381" w14:textId="77777777" w:rsidR="008162F3" w:rsidRPr="00D74341" w:rsidRDefault="008162F3" w:rsidP="008162F3">
            <w:pPr>
              <w:rPr>
                <w:rFonts w:ascii="Arial" w:hAnsi="Arial" w:cs="Arial"/>
                <w:bCs/>
                <w:sz w:val="22"/>
                <w:szCs w:val="22"/>
              </w:rPr>
            </w:pPr>
            <w:proofErr w:type="spellStart"/>
            <w:r w:rsidRPr="00D74341">
              <w:rPr>
                <w:rFonts w:ascii="Arial" w:hAnsi="Arial" w:cs="Arial"/>
                <w:bCs/>
                <w:sz w:val="22"/>
                <w:szCs w:val="22"/>
              </w:rPr>
              <w:t>ArchAngel</w:t>
            </w:r>
            <w:proofErr w:type="spellEnd"/>
            <w:r w:rsidRPr="00D74341">
              <w:rPr>
                <w:rFonts w:ascii="Arial" w:hAnsi="Arial" w:cs="Arial"/>
                <w:bCs/>
                <w:sz w:val="22"/>
                <w:szCs w:val="22"/>
              </w:rPr>
              <w:t xml:space="preserve"> MLD Trust</w:t>
            </w:r>
          </w:p>
        </w:tc>
        <w:tc>
          <w:tcPr>
            <w:tcW w:w="2989" w:type="pct"/>
            <w:vAlign w:val="center"/>
          </w:tcPr>
          <w:p w14:paraId="5F2CEDE8" w14:textId="77777777" w:rsidR="008162F3" w:rsidRPr="00C87A7D" w:rsidRDefault="008162F3" w:rsidP="008162F3">
            <w:pPr>
              <w:rPr>
                <w:rFonts w:ascii="Arial" w:hAnsi="Arial" w:cs="Arial"/>
                <w:sz w:val="22"/>
                <w:szCs w:val="22"/>
              </w:rPr>
            </w:pPr>
            <w:r w:rsidRPr="00C87A7D">
              <w:rPr>
                <w:rFonts w:ascii="Arial" w:hAnsi="Arial" w:cs="Arial"/>
                <w:sz w:val="22"/>
                <w:szCs w:val="22"/>
              </w:rPr>
              <w:t>We acknowledge that PPV stakeholders with detailed familiarity with Sickle Cell and thalassaemia will be in a better position to comment on this proposed indicator, including the question of a differential or adverse impact on groups in the community.</w:t>
            </w:r>
          </w:p>
          <w:p w14:paraId="59AFBE03"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Our more general comment is the criticality of parents receiving any positive screen tests at the earliest opportunity to </w:t>
            </w:r>
            <w:bookmarkStart w:id="20" w:name="_Hlk69916084"/>
            <w:r w:rsidRPr="00C87A7D">
              <w:rPr>
                <w:rFonts w:ascii="Arial" w:hAnsi="Arial" w:cs="Arial"/>
                <w:sz w:val="22"/>
                <w:szCs w:val="22"/>
              </w:rPr>
              <w:t>allow the appropriate clinical care for their child and to alleviate suffering</w:t>
            </w:r>
            <w:bookmarkEnd w:id="20"/>
            <w:r w:rsidRPr="00C87A7D">
              <w:rPr>
                <w:rFonts w:ascii="Arial" w:hAnsi="Arial" w:cs="Arial"/>
                <w:sz w:val="22"/>
                <w:szCs w:val="22"/>
              </w:rPr>
              <w:t>. The impact of this cannot be underestimated, especially in conditions where a 2</w:t>
            </w:r>
            <w:r w:rsidRPr="00C87A7D">
              <w:rPr>
                <w:rFonts w:ascii="Arial" w:hAnsi="Arial" w:cs="Arial"/>
                <w:sz w:val="22"/>
                <w:szCs w:val="22"/>
                <w:vertAlign w:val="superscript"/>
              </w:rPr>
              <w:t>nd</w:t>
            </w:r>
            <w:r w:rsidRPr="00C87A7D">
              <w:rPr>
                <w:rFonts w:ascii="Arial" w:hAnsi="Arial" w:cs="Arial"/>
                <w:sz w:val="22"/>
                <w:szCs w:val="22"/>
              </w:rPr>
              <w:t xml:space="preserve"> tier confirmation requires recall of the child.</w:t>
            </w:r>
          </w:p>
        </w:tc>
        <w:tc>
          <w:tcPr>
            <w:tcW w:w="1191" w:type="pct"/>
          </w:tcPr>
          <w:p w14:paraId="67D4A540" w14:textId="5B35B68B" w:rsidR="008162F3" w:rsidRPr="00C87A7D" w:rsidRDefault="008162F3" w:rsidP="008162F3">
            <w:pPr>
              <w:rPr>
                <w:rFonts w:ascii="Arial" w:hAnsi="Arial" w:cs="Arial"/>
                <w:sz w:val="22"/>
                <w:szCs w:val="22"/>
              </w:rPr>
            </w:pPr>
            <w:r w:rsidRPr="001E3940">
              <w:rPr>
                <w:rFonts w:ascii="Arial" w:hAnsi="Arial" w:cs="Arial"/>
                <w:sz w:val="22"/>
                <w:szCs w:val="22"/>
              </w:rPr>
              <w:t>Thank you for your comment.</w:t>
            </w:r>
            <w:r>
              <w:t xml:space="preserve"> </w:t>
            </w:r>
            <w:r w:rsidRPr="001E3940">
              <w:rPr>
                <w:rFonts w:ascii="Arial" w:hAnsi="Arial" w:cs="Arial"/>
                <w:sz w:val="22"/>
                <w:szCs w:val="22"/>
              </w:rPr>
              <w:t xml:space="preserve">Please note that the June 2021 Indicator Advisory Committee agreed </w:t>
            </w:r>
            <w:r>
              <w:rPr>
                <w:rFonts w:ascii="Arial" w:hAnsi="Arial" w:cs="Arial"/>
                <w:sz w:val="22"/>
                <w:szCs w:val="22"/>
              </w:rPr>
              <w:t xml:space="preserve">that this is important but agreed </w:t>
            </w:r>
            <w:r w:rsidRPr="001E3940">
              <w:rPr>
                <w:rFonts w:ascii="Arial" w:hAnsi="Arial" w:cs="Arial"/>
                <w:sz w:val="22"/>
                <w:szCs w:val="22"/>
              </w:rPr>
              <w:t>not to progress IND 2020-96 on reporting for positive results due to small numbers not allowing comparison at CCG level</w:t>
            </w:r>
            <w:r>
              <w:rPr>
                <w:rFonts w:ascii="Arial" w:hAnsi="Arial" w:cs="Arial"/>
                <w:sz w:val="22"/>
                <w:szCs w:val="22"/>
              </w:rPr>
              <w:t>.</w:t>
            </w:r>
          </w:p>
        </w:tc>
      </w:tr>
      <w:tr w:rsidR="008162F3" w:rsidRPr="00C87A7D" w14:paraId="4558085B" w14:textId="63D484C7" w:rsidTr="00B929DA">
        <w:trPr>
          <w:cantSplit/>
        </w:trPr>
        <w:tc>
          <w:tcPr>
            <w:tcW w:w="201" w:type="pct"/>
            <w:vAlign w:val="center"/>
          </w:tcPr>
          <w:p w14:paraId="576C4527" w14:textId="54946095" w:rsidR="008162F3" w:rsidRPr="00C87A7D" w:rsidRDefault="008162F3" w:rsidP="008162F3">
            <w:pPr>
              <w:rPr>
                <w:rFonts w:ascii="Arial" w:hAnsi="Arial" w:cs="Arial"/>
                <w:sz w:val="22"/>
                <w:szCs w:val="22"/>
              </w:rPr>
            </w:pPr>
            <w:r>
              <w:rPr>
                <w:rFonts w:ascii="Arial" w:hAnsi="Arial" w:cs="Arial"/>
                <w:sz w:val="22"/>
                <w:szCs w:val="22"/>
              </w:rPr>
              <w:t>30</w:t>
            </w:r>
          </w:p>
        </w:tc>
        <w:tc>
          <w:tcPr>
            <w:tcW w:w="619" w:type="pct"/>
            <w:vAlign w:val="center"/>
          </w:tcPr>
          <w:p w14:paraId="6FA5D9DC"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vAlign w:val="center"/>
          </w:tcPr>
          <w:p w14:paraId="48A3ADF4"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The Cystic Fibrosis Trust welcome the proposed indicator on “IND 2020-96 Reporting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screen positive results to parents: </w:t>
            </w:r>
          </w:p>
          <w:p w14:paraId="4A554C2C" w14:textId="72E1B693" w:rsidR="008162F3" w:rsidRPr="00C87A7D" w:rsidRDefault="008162F3" w:rsidP="008162F3">
            <w:pPr>
              <w:rPr>
                <w:rFonts w:ascii="Arial" w:hAnsi="Arial" w:cs="Arial"/>
                <w:sz w:val="22"/>
                <w:szCs w:val="22"/>
              </w:rPr>
            </w:pPr>
            <w:r w:rsidRPr="00C87A7D">
              <w:rPr>
                <w:rFonts w:ascii="Arial" w:hAnsi="Arial" w:cs="Arial"/>
                <w:sz w:val="22"/>
                <w:szCs w:val="22"/>
              </w:rPr>
              <w:t xml:space="preserve">The proportion of parents receiving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spot screen positive results </w:t>
            </w:r>
            <w:r w:rsidR="002E7A92">
              <w:rPr>
                <w:rFonts w:ascii="Arial" w:hAnsi="Arial" w:cs="Arial"/>
                <w:sz w:val="22"/>
                <w:szCs w:val="22"/>
              </w:rPr>
              <w:t>within</w:t>
            </w:r>
            <w:r w:rsidRPr="00C87A7D">
              <w:rPr>
                <w:rFonts w:ascii="Arial" w:hAnsi="Arial" w:cs="Arial"/>
                <w:sz w:val="22"/>
                <w:szCs w:val="22"/>
              </w:rPr>
              <w:t xml:space="preserve"> 28 days of age.” Diagnosis as early as possible is critical to support timely care and to prevent the onset of damage that is the cause of morbidity and mortality in cystic fibrosis. With the introduction of highly effective CFTR modulators at an earlier and earlier age (currently Kalydeco is available for babies with responsive mutations from the age of 4 months), diagnosis at the earliest possible point supports the outlook and life chances of a baby born with cystic fibrosis. We are concerned that the existing data from the Antenatal screening standards: data report 1 April 2017 to 31 March 2018 reports that the performance for this standard in England was only 65.9</w:t>
            </w:r>
            <w:r w:rsidR="002E7A92">
              <w:rPr>
                <w:rFonts w:ascii="Arial" w:hAnsi="Arial" w:cs="Arial"/>
                <w:sz w:val="22"/>
                <w:szCs w:val="22"/>
              </w:rPr>
              <w:t xml:space="preserve"> percent</w:t>
            </w:r>
            <w:r w:rsidRPr="00C87A7D">
              <w:rPr>
                <w:rFonts w:ascii="Arial" w:hAnsi="Arial" w:cs="Arial"/>
                <w:sz w:val="22"/>
                <w:szCs w:val="22"/>
              </w:rPr>
              <w:t xml:space="preserve"> and this indicates the scope for improvement and the role this indicator could play.</w:t>
            </w:r>
          </w:p>
        </w:tc>
        <w:tc>
          <w:tcPr>
            <w:tcW w:w="1191" w:type="pct"/>
          </w:tcPr>
          <w:p w14:paraId="6AF6C226" w14:textId="67F0AA60" w:rsidR="008162F3" w:rsidRPr="00C87A7D" w:rsidRDefault="008162F3" w:rsidP="008162F3">
            <w:pPr>
              <w:rPr>
                <w:rFonts w:ascii="Arial" w:hAnsi="Arial" w:cs="Arial"/>
                <w:sz w:val="22"/>
                <w:szCs w:val="22"/>
              </w:rPr>
            </w:pPr>
            <w:r w:rsidRPr="001E3940">
              <w:rPr>
                <w:rFonts w:ascii="Arial" w:hAnsi="Arial" w:cs="Arial"/>
                <w:sz w:val="22"/>
                <w:szCs w:val="22"/>
              </w:rPr>
              <w:t xml:space="preserve">Thank you for your comment. Please note that the June 2021 Indicator Advisory Committee agreed </w:t>
            </w:r>
            <w:r>
              <w:rPr>
                <w:rFonts w:ascii="Arial" w:hAnsi="Arial" w:cs="Arial"/>
                <w:sz w:val="22"/>
                <w:szCs w:val="22"/>
              </w:rPr>
              <w:t xml:space="preserve">that this is important but agreed </w:t>
            </w:r>
            <w:r w:rsidRPr="001E3940">
              <w:rPr>
                <w:rFonts w:ascii="Arial" w:hAnsi="Arial" w:cs="Arial"/>
                <w:sz w:val="22"/>
                <w:szCs w:val="22"/>
              </w:rPr>
              <w:t>not to progress IND 2020-96 on reporting for positive results due to small numbers not allowing comparison at CCG level</w:t>
            </w:r>
            <w:r>
              <w:rPr>
                <w:rFonts w:ascii="Arial" w:hAnsi="Arial" w:cs="Arial"/>
                <w:sz w:val="22"/>
                <w:szCs w:val="22"/>
              </w:rPr>
              <w:t>.</w:t>
            </w:r>
          </w:p>
        </w:tc>
      </w:tr>
      <w:tr w:rsidR="008162F3" w:rsidRPr="00C87A7D" w14:paraId="32CA1306" w14:textId="17830F50" w:rsidTr="00B929DA">
        <w:trPr>
          <w:cantSplit/>
        </w:trPr>
        <w:tc>
          <w:tcPr>
            <w:tcW w:w="201" w:type="pct"/>
            <w:vAlign w:val="center"/>
          </w:tcPr>
          <w:p w14:paraId="5D4552C3" w14:textId="43FDE9A5" w:rsidR="008162F3" w:rsidRPr="00C87A7D" w:rsidRDefault="008162F3" w:rsidP="008162F3">
            <w:pPr>
              <w:rPr>
                <w:rFonts w:ascii="Arial" w:hAnsi="Arial" w:cs="Arial"/>
                <w:sz w:val="22"/>
                <w:szCs w:val="22"/>
              </w:rPr>
            </w:pPr>
            <w:r>
              <w:rPr>
                <w:rFonts w:ascii="Arial" w:hAnsi="Arial" w:cs="Arial"/>
                <w:sz w:val="22"/>
                <w:szCs w:val="22"/>
              </w:rPr>
              <w:lastRenderedPageBreak/>
              <w:t>31</w:t>
            </w:r>
          </w:p>
        </w:tc>
        <w:tc>
          <w:tcPr>
            <w:tcW w:w="619" w:type="pct"/>
            <w:vAlign w:val="center"/>
          </w:tcPr>
          <w:p w14:paraId="4784FC86"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vAlign w:val="center"/>
          </w:tcPr>
          <w:p w14:paraId="53D879EB" w14:textId="6D37E08D" w:rsidR="008162F3" w:rsidRPr="00C87A7D" w:rsidRDefault="008162F3" w:rsidP="008162F3">
            <w:pPr>
              <w:rPr>
                <w:rFonts w:ascii="Arial" w:hAnsi="Arial" w:cs="Arial"/>
                <w:sz w:val="22"/>
                <w:szCs w:val="22"/>
              </w:rPr>
            </w:pPr>
            <w:r w:rsidRPr="00C87A7D">
              <w:rPr>
                <w:rFonts w:ascii="Arial" w:hAnsi="Arial" w:cs="Arial"/>
                <w:sz w:val="22"/>
                <w:szCs w:val="22"/>
              </w:rPr>
              <w:t>The national UK CF Registry collects outcomes data for the proposed indicator and could be utilised to populate the indicator for cystic fibrosis. All cystic fibrosis specialist centres enter data into the UK CF Registry. The UK Cystic Fibrosis Registry is a national, secure, centralised database sponsored and managed by the Cystic Fibrosis Trust, with UK National Health Service (NHS) research ethics approval and consent from each person for whom data are collected. Using data from the UK CF Registry data would be efficient and effective. Furthermore, using registry data would ensure the data is robust and avoid duplication and unnecessary resource outlay and address the concern set out in the “Question for consultation 5.</w:t>
            </w:r>
            <w:r>
              <w:rPr>
                <w:rFonts w:ascii="Arial" w:hAnsi="Arial" w:cs="Arial"/>
                <w:sz w:val="22"/>
                <w:szCs w:val="22"/>
              </w:rPr>
              <w:t xml:space="preserve"> </w:t>
            </w:r>
            <w:r w:rsidRPr="00C87A7D">
              <w:rPr>
                <w:rFonts w:ascii="Arial" w:hAnsi="Arial" w:cs="Arial"/>
                <w:sz w:val="22"/>
                <w:szCs w:val="22"/>
              </w:rPr>
              <w:t xml:space="preserve">The number of patients for this indicator is very small and makes the indicator unsuitable for use. Data quality issues were identified in the data source, but do the numbers of patients identified reflect the numbers you are aware of?” In answer to this question, based on UK CF Registry Data, the number of diagnosed patients through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screening was 164 in 2014, 168 in 2015, 216 in 2016, 192 in 2017, 167 in 2018 and 137 in 2019. Further data is available within the </w:t>
            </w:r>
            <w:hyperlink r:id="rId33" w:history="1">
              <w:r w:rsidR="001D2773" w:rsidRPr="001D2773">
                <w:rPr>
                  <w:rStyle w:val="Hyperlink"/>
                  <w:rFonts w:ascii="Arial" w:hAnsi="Arial" w:cs="Arial"/>
                  <w:sz w:val="22"/>
                  <w:szCs w:val="22"/>
                </w:rPr>
                <w:t xml:space="preserve">UK CF Registry </w:t>
              </w:r>
              <w:r w:rsidRPr="001D2773">
                <w:rPr>
                  <w:rStyle w:val="Hyperlink"/>
                  <w:rFonts w:ascii="Arial" w:hAnsi="Arial" w:cs="Arial"/>
                  <w:sz w:val="22"/>
                  <w:szCs w:val="22"/>
                </w:rPr>
                <w:t>annual</w:t>
              </w:r>
              <w:r w:rsidR="001D2773" w:rsidRPr="001D2773">
                <w:rPr>
                  <w:rStyle w:val="Hyperlink"/>
                  <w:rFonts w:ascii="Arial" w:hAnsi="Arial" w:cs="Arial"/>
                  <w:sz w:val="22"/>
                  <w:szCs w:val="22"/>
                </w:rPr>
                <w:t xml:space="preserve"> data</w:t>
              </w:r>
              <w:r w:rsidRPr="001D2773">
                <w:rPr>
                  <w:rStyle w:val="Hyperlink"/>
                  <w:rFonts w:ascii="Arial" w:hAnsi="Arial" w:cs="Arial"/>
                  <w:sz w:val="22"/>
                  <w:szCs w:val="22"/>
                </w:rPr>
                <w:t xml:space="preserve"> report</w:t>
              </w:r>
            </w:hyperlink>
            <w:r>
              <w:rPr>
                <w:rFonts w:ascii="Arial" w:hAnsi="Arial" w:cs="Arial"/>
                <w:sz w:val="22"/>
                <w:szCs w:val="22"/>
              </w:rPr>
              <w:t xml:space="preserve"> </w:t>
            </w:r>
            <w:r w:rsidRPr="00C87A7D">
              <w:rPr>
                <w:rFonts w:ascii="Arial" w:hAnsi="Arial" w:cs="Arial"/>
                <w:sz w:val="22"/>
                <w:szCs w:val="22"/>
              </w:rPr>
              <w:t xml:space="preserve">or through a data request approved </w:t>
            </w:r>
            <w:r w:rsidRPr="00B929DA">
              <w:rPr>
                <w:rFonts w:ascii="Arial" w:hAnsi="Arial" w:cs="Arial"/>
                <w:sz w:val="22"/>
                <w:szCs w:val="22"/>
              </w:rPr>
              <w:t xml:space="preserve">in line with the </w:t>
            </w:r>
            <w:hyperlink r:id="rId34" w:history="1">
              <w:r w:rsidRPr="00B929DA">
                <w:rPr>
                  <w:rStyle w:val="Hyperlink"/>
                  <w:rFonts w:ascii="Arial" w:hAnsi="Arial" w:cs="Arial"/>
                  <w:sz w:val="22"/>
                  <w:szCs w:val="22"/>
                </w:rPr>
                <w:t>UK CF Registry Data Sharing Policy</w:t>
              </w:r>
            </w:hyperlink>
            <w:r>
              <w:rPr>
                <w:rFonts w:ascii="Arial" w:hAnsi="Arial" w:cs="Arial"/>
                <w:sz w:val="22"/>
                <w:szCs w:val="22"/>
              </w:rPr>
              <w:t>.</w:t>
            </w:r>
          </w:p>
        </w:tc>
        <w:tc>
          <w:tcPr>
            <w:tcW w:w="1191" w:type="pct"/>
          </w:tcPr>
          <w:p w14:paraId="19EF2BEF" w14:textId="13AE6A33" w:rsidR="008162F3" w:rsidRPr="00C87A7D" w:rsidRDefault="008162F3" w:rsidP="008162F3">
            <w:pPr>
              <w:rPr>
                <w:rFonts w:ascii="Arial" w:hAnsi="Arial" w:cs="Arial"/>
                <w:sz w:val="22"/>
                <w:szCs w:val="22"/>
              </w:rPr>
            </w:pPr>
            <w:r>
              <w:rPr>
                <w:rFonts w:ascii="Arial" w:hAnsi="Arial" w:cs="Arial"/>
                <w:sz w:val="22"/>
                <w:szCs w:val="22"/>
              </w:rPr>
              <w:t xml:space="preserve">Thank you for providing this information. </w:t>
            </w:r>
            <w:r w:rsidRPr="0096639E">
              <w:rPr>
                <w:rFonts w:ascii="Arial" w:hAnsi="Arial" w:cs="Arial"/>
                <w:sz w:val="22"/>
                <w:szCs w:val="22"/>
              </w:rPr>
              <w:t>Please note that the June 2021 Indicator Advisory Committee agreed that this is important but agreed not to progress IND 2020-96 on reporting for positive results due to small numbers not allowing comparison at CCG level.</w:t>
            </w:r>
            <w:r w:rsidR="001D2773">
              <w:t xml:space="preserve"> </w:t>
            </w:r>
          </w:p>
        </w:tc>
      </w:tr>
      <w:tr w:rsidR="008162F3" w:rsidRPr="00C87A7D" w14:paraId="3EF2F6E2" w14:textId="07752853" w:rsidTr="00B929DA">
        <w:trPr>
          <w:cantSplit/>
        </w:trPr>
        <w:tc>
          <w:tcPr>
            <w:tcW w:w="201" w:type="pct"/>
            <w:vAlign w:val="center"/>
          </w:tcPr>
          <w:p w14:paraId="0D48A12D" w14:textId="389432E2" w:rsidR="008162F3" w:rsidRPr="00C87A7D" w:rsidRDefault="008162F3" w:rsidP="008162F3">
            <w:pPr>
              <w:rPr>
                <w:rFonts w:ascii="Arial" w:hAnsi="Arial" w:cs="Arial"/>
                <w:sz w:val="22"/>
                <w:szCs w:val="22"/>
              </w:rPr>
            </w:pPr>
            <w:r>
              <w:rPr>
                <w:rFonts w:ascii="Arial" w:hAnsi="Arial" w:cs="Arial"/>
                <w:sz w:val="22"/>
                <w:szCs w:val="22"/>
              </w:rPr>
              <w:t>32</w:t>
            </w:r>
          </w:p>
        </w:tc>
        <w:tc>
          <w:tcPr>
            <w:tcW w:w="619" w:type="pct"/>
            <w:vAlign w:val="center"/>
          </w:tcPr>
          <w:p w14:paraId="365C0694"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vAlign w:val="center"/>
          </w:tcPr>
          <w:p w14:paraId="03751D55" w14:textId="77777777" w:rsidR="008162F3" w:rsidRPr="00C87A7D" w:rsidRDefault="008162F3" w:rsidP="008162F3">
            <w:pPr>
              <w:rPr>
                <w:rFonts w:ascii="Arial" w:hAnsi="Arial" w:cs="Arial"/>
                <w:sz w:val="22"/>
                <w:szCs w:val="22"/>
              </w:rPr>
            </w:pPr>
            <w:r w:rsidRPr="00C87A7D">
              <w:rPr>
                <w:rFonts w:ascii="Arial" w:hAnsi="Arial" w:cs="Arial"/>
                <w:sz w:val="22"/>
                <w:szCs w:val="22"/>
              </w:rPr>
              <w:t>Under the title “importance” it is asserted that “Providing timely results to parents of screen positive infants is important so that support can be given to parents and carers, the importance of early penicillin prophylaxis can be emphasised and prompt referral into treatment is ensured.” Prophylactic penicillin treatment is for sickle cell only. We suggest this statement be widened to show the wide variety of treatments available for babies diagnosed with any of the nine screened for conditions and to ensure the indicator is future proofed. Prophylactic antibiotic use in cystic fibrosis is currently the subject of research to show whether it is indeed the most effective treatment for babies with cystic fibrosis. As detailed above, treatment improvements in cystic fibrosis mean that for many babies it is now the early initiation of CFTR modulators that will impact their health status most substantially.</w:t>
            </w:r>
          </w:p>
        </w:tc>
        <w:tc>
          <w:tcPr>
            <w:tcW w:w="1191" w:type="pct"/>
          </w:tcPr>
          <w:p w14:paraId="3498A9FB" w14:textId="0D365AD5" w:rsidR="008162F3" w:rsidRPr="00C87A7D" w:rsidRDefault="008162F3" w:rsidP="008162F3">
            <w:pPr>
              <w:rPr>
                <w:rFonts w:ascii="Arial" w:hAnsi="Arial" w:cs="Arial"/>
                <w:sz w:val="22"/>
                <w:szCs w:val="22"/>
              </w:rPr>
            </w:pPr>
            <w:r w:rsidRPr="0096639E">
              <w:rPr>
                <w:rFonts w:ascii="Arial" w:hAnsi="Arial" w:cs="Arial"/>
                <w:sz w:val="22"/>
                <w:szCs w:val="22"/>
              </w:rPr>
              <w:t>Thank you for your comment. Please note that the June 2021 Indicator Advisory Committee agreed that this is important but agreed not to progress IND 2020-96 on reporting for positive results due to small numbers not allowing comparison at CCG level.</w:t>
            </w:r>
          </w:p>
        </w:tc>
      </w:tr>
      <w:tr w:rsidR="008162F3" w:rsidRPr="00C87A7D" w14:paraId="4D29BBD0" w14:textId="5FBDD401" w:rsidTr="00B929DA">
        <w:trPr>
          <w:cantSplit/>
        </w:trPr>
        <w:tc>
          <w:tcPr>
            <w:tcW w:w="201" w:type="pct"/>
            <w:vAlign w:val="center"/>
          </w:tcPr>
          <w:p w14:paraId="09F60E00" w14:textId="0C1D3D4C" w:rsidR="008162F3" w:rsidRPr="00C87A7D" w:rsidRDefault="008162F3" w:rsidP="008162F3">
            <w:pPr>
              <w:rPr>
                <w:rFonts w:ascii="Arial" w:hAnsi="Arial" w:cs="Arial"/>
                <w:sz w:val="22"/>
                <w:szCs w:val="22"/>
              </w:rPr>
            </w:pPr>
            <w:r>
              <w:rPr>
                <w:rFonts w:ascii="Arial" w:hAnsi="Arial" w:cs="Arial"/>
                <w:sz w:val="22"/>
                <w:szCs w:val="22"/>
              </w:rPr>
              <w:lastRenderedPageBreak/>
              <w:t>33</w:t>
            </w:r>
          </w:p>
        </w:tc>
        <w:tc>
          <w:tcPr>
            <w:tcW w:w="619" w:type="pct"/>
            <w:vAlign w:val="center"/>
          </w:tcPr>
          <w:p w14:paraId="3F83DDEE"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vAlign w:val="center"/>
          </w:tcPr>
          <w:p w14:paraId="40E5DBB0" w14:textId="17514985" w:rsidR="008162F3" w:rsidRPr="00C87A7D" w:rsidRDefault="008162F3" w:rsidP="008162F3">
            <w:pPr>
              <w:rPr>
                <w:rFonts w:ascii="Arial" w:hAnsi="Arial" w:cs="Arial"/>
                <w:sz w:val="22"/>
                <w:szCs w:val="22"/>
              </w:rPr>
            </w:pPr>
            <w:r w:rsidRPr="00C87A7D">
              <w:rPr>
                <w:rFonts w:ascii="Arial" w:hAnsi="Arial" w:cs="Arial"/>
                <w:sz w:val="22"/>
                <w:szCs w:val="22"/>
              </w:rPr>
              <w:t xml:space="preserve">The specified conditions to be detected in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screening as detailed under “specifications” are listed as “</w:t>
            </w:r>
            <w:proofErr w:type="spellStart"/>
            <w:r w:rsidRPr="00C87A7D">
              <w:rPr>
                <w:rFonts w:ascii="Arial" w:hAnsi="Arial" w:cs="Arial"/>
                <w:sz w:val="22"/>
                <w:szCs w:val="22"/>
              </w:rPr>
              <w:t>HbSS</w:t>
            </w:r>
            <w:proofErr w:type="spellEnd"/>
            <w:r w:rsidRPr="00C87A7D">
              <w:rPr>
                <w:rFonts w:ascii="Arial" w:hAnsi="Arial" w:cs="Arial"/>
                <w:sz w:val="22"/>
                <w:szCs w:val="22"/>
              </w:rPr>
              <w:t xml:space="preserve">, </w:t>
            </w:r>
            <w:proofErr w:type="spellStart"/>
            <w:r w:rsidRPr="00C87A7D">
              <w:rPr>
                <w:rFonts w:ascii="Arial" w:hAnsi="Arial" w:cs="Arial"/>
                <w:sz w:val="22"/>
                <w:szCs w:val="22"/>
              </w:rPr>
              <w:t>HbSC</w:t>
            </w:r>
            <w:proofErr w:type="spellEnd"/>
            <w:r w:rsidRPr="00C87A7D">
              <w:rPr>
                <w:rFonts w:ascii="Arial" w:hAnsi="Arial" w:cs="Arial"/>
                <w:sz w:val="22"/>
                <w:szCs w:val="22"/>
              </w:rPr>
              <w:t xml:space="preserve">, </w:t>
            </w:r>
            <w:proofErr w:type="spellStart"/>
            <w:r w:rsidRPr="00C87A7D">
              <w:rPr>
                <w:rFonts w:ascii="Arial" w:hAnsi="Arial" w:cs="Arial"/>
                <w:sz w:val="22"/>
                <w:szCs w:val="22"/>
              </w:rPr>
              <w:t>HbS</w:t>
            </w:r>
            <w:proofErr w:type="spellEnd"/>
            <w:r w:rsidRPr="00C87A7D">
              <w:rPr>
                <w:rFonts w:ascii="Arial" w:hAnsi="Arial" w:cs="Arial"/>
                <w:sz w:val="22"/>
                <w:szCs w:val="22"/>
              </w:rPr>
              <w:t>/</w:t>
            </w:r>
            <w:r w:rsidR="002E7A92">
              <w:rPr>
                <w:rFonts w:ascii="Arial" w:hAnsi="Arial" w:cs="Arial"/>
                <w:sz w:val="22"/>
                <w:szCs w:val="22"/>
              </w:rPr>
              <w:t>beta</w:t>
            </w:r>
            <w:r w:rsidRPr="00C87A7D">
              <w:rPr>
                <w:rFonts w:ascii="Arial" w:hAnsi="Arial" w:cs="Arial"/>
                <w:sz w:val="22"/>
                <w:szCs w:val="22"/>
              </w:rPr>
              <w:t xml:space="preserve"> thalassaemia (S/</w:t>
            </w:r>
            <w:r>
              <w:rPr>
                <w:rFonts w:ascii="Arial" w:hAnsi="Arial" w:cs="Arial"/>
                <w:sz w:val="22"/>
                <w:szCs w:val="22"/>
              </w:rPr>
              <w:t>beta</w:t>
            </w:r>
            <w:r w:rsidRPr="00C87A7D">
              <w:rPr>
                <w:rFonts w:ascii="Arial" w:hAnsi="Arial" w:cs="Arial"/>
                <w:sz w:val="22"/>
                <w:szCs w:val="22"/>
              </w:rPr>
              <w:t>+, S/</w:t>
            </w:r>
            <w:r>
              <w:rPr>
                <w:rFonts w:ascii="Arial" w:hAnsi="Arial" w:cs="Arial"/>
                <w:sz w:val="22"/>
                <w:szCs w:val="22"/>
              </w:rPr>
              <w:t>beta</w:t>
            </w:r>
            <w:r w:rsidR="002E7A92">
              <w:rPr>
                <w:rFonts w:ascii="Arial" w:hAnsi="Arial" w:cs="Arial"/>
                <w:sz w:val="22"/>
                <w:szCs w:val="22"/>
              </w:rPr>
              <w:t xml:space="preserve"> degree</w:t>
            </w:r>
            <w:r w:rsidRPr="00C87A7D">
              <w:rPr>
                <w:rFonts w:ascii="Arial" w:hAnsi="Arial" w:cs="Arial"/>
                <w:sz w:val="22"/>
                <w:szCs w:val="22"/>
              </w:rPr>
              <w:t xml:space="preserve">, </w:t>
            </w:r>
            <w:proofErr w:type="spellStart"/>
            <w:r w:rsidRPr="00C87A7D">
              <w:rPr>
                <w:rFonts w:ascii="Arial" w:hAnsi="Arial" w:cs="Arial"/>
                <w:sz w:val="22"/>
                <w:szCs w:val="22"/>
              </w:rPr>
              <w:t>HbS</w:t>
            </w:r>
            <w:proofErr w:type="spellEnd"/>
            <w:r w:rsidRPr="00C87A7D">
              <w:rPr>
                <w:rFonts w:ascii="Arial" w:hAnsi="Arial" w:cs="Arial"/>
                <w:sz w:val="22"/>
                <w:szCs w:val="22"/>
              </w:rPr>
              <w:t>/</w:t>
            </w:r>
            <w:r>
              <w:rPr>
                <w:rFonts w:ascii="Arial" w:hAnsi="Arial" w:cs="Arial"/>
                <w:sz w:val="22"/>
                <w:szCs w:val="22"/>
              </w:rPr>
              <w:t>delta beta</w:t>
            </w:r>
            <w:r w:rsidRPr="00C87A7D">
              <w:rPr>
                <w:rFonts w:ascii="Arial" w:hAnsi="Arial" w:cs="Arial"/>
                <w:sz w:val="22"/>
                <w:szCs w:val="22"/>
              </w:rPr>
              <w:t xml:space="preserve">, </w:t>
            </w:r>
            <w:proofErr w:type="spellStart"/>
            <w:r w:rsidRPr="00C87A7D">
              <w:rPr>
                <w:rFonts w:ascii="Arial" w:hAnsi="Arial" w:cs="Arial"/>
                <w:sz w:val="22"/>
                <w:szCs w:val="22"/>
              </w:rPr>
              <w:t>HbS</w:t>
            </w:r>
            <w:proofErr w:type="spellEnd"/>
            <w:r w:rsidRPr="00C87A7D">
              <w:rPr>
                <w:rFonts w:ascii="Arial" w:hAnsi="Arial" w:cs="Arial"/>
                <w:sz w:val="22"/>
                <w:szCs w:val="22"/>
              </w:rPr>
              <w:t>/γ</w:t>
            </w:r>
            <w:r>
              <w:rPr>
                <w:rFonts w:ascii="Arial" w:hAnsi="Arial" w:cs="Arial"/>
                <w:sz w:val="22"/>
                <w:szCs w:val="22"/>
              </w:rPr>
              <w:t xml:space="preserve"> delta beta</w:t>
            </w:r>
            <w:r w:rsidRPr="00C87A7D">
              <w:rPr>
                <w:rFonts w:ascii="Arial" w:hAnsi="Arial" w:cs="Arial"/>
                <w:sz w:val="22"/>
                <w:szCs w:val="22"/>
              </w:rPr>
              <w:t xml:space="preserve">, S/Lepore), </w:t>
            </w:r>
            <w:proofErr w:type="spellStart"/>
            <w:r w:rsidRPr="00C87A7D">
              <w:rPr>
                <w:rFonts w:ascii="Arial" w:hAnsi="Arial" w:cs="Arial"/>
                <w:sz w:val="22"/>
                <w:szCs w:val="22"/>
              </w:rPr>
              <w:t>HbS</w:t>
            </w:r>
            <w:proofErr w:type="spellEnd"/>
            <w:r w:rsidRPr="00C87A7D">
              <w:rPr>
                <w:rFonts w:ascii="Arial" w:hAnsi="Arial" w:cs="Arial"/>
                <w:sz w:val="22"/>
                <w:szCs w:val="22"/>
              </w:rPr>
              <w:t>/</w:t>
            </w:r>
            <w:proofErr w:type="spellStart"/>
            <w:r w:rsidRPr="00C87A7D">
              <w:rPr>
                <w:rFonts w:ascii="Arial" w:hAnsi="Arial" w:cs="Arial"/>
                <w:sz w:val="22"/>
                <w:szCs w:val="22"/>
              </w:rPr>
              <w:t>DPunjab</w:t>
            </w:r>
            <w:proofErr w:type="spellEnd"/>
            <w:r w:rsidRPr="00C87A7D">
              <w:rPr>
                <w:rFonts w:ascii="Arial" w:hAnsi="Arial" w:cs="Arial"/>
                <w:sz w:val="22"/>
                <w:szCs w:val="22"/>
              </w:rPr>
              <w:t xml:space="preserve">, </w:t>
            </w:r>
            <w:proofErr w:type="spellStart"/>
            <w:r w:rsidRPr="00C87A7D">
              <w:rPr>
                <w:rFonts w:ascii="Arial" w:hAnsi="Arial" w:cs="Arial"/>
                <w:sz w:val="22"/>
                <w:szCs w:val="22"/>
              </w:rPr>
              <w:t>HbS</w:t>
            </w:r>
            <w:proofErr w:type="spellEnd"/>
            <w:r w:rsidRPr="00C87A7D">
              <w:rPr>
                <w:rFonts w:ascii="Arial" w:hAnsi="Arial" w:cs="Arial"/>
                <w:sz w:val="22"/>
                <w:szCs w:val="22"/>
              </w:rPr>
              <w:t xml:space="preserve">/E, </w:t>
            </w:r>
            <w:proofErr w:type="spellStart"/>
            <w:r w:rsidRPr="00C87A7D">
              <w:rPr>
                <w:rFonts w:ascii="Arial" w:hAnsi="Arial" w:cs="Arial"/>
                <w:sz w:val="22"/>
                <w:szCs w:val="22"/>
              </w:rPr>
              <w:t>HbS</w:t>
            </w:r>
            <w:proofErr w:type="spellEnd"/>
            <w:r w:rsidRPr="00C87A7D">
              <w:rPr>
                <w:rFonts w:ascii="Arial" w:hAnsi="Arial" w:cs="Arial"/>
                <w:sz w:val="22"/>
                <w:szCs w:val="22"/>
              </w:rPr>
              <w:t>/</w:t>
            </w:r>
            <w:proofErr w:type="spellStart"/>
            <w:r w:rsidRPr="00C87A7D">
              <w:rPr>
                <w:rFonts w:ascii="Arial" w:hAnsi="Arial" w:cs="Arial"/>
                <w:sz w:val="22"/>
                <w:szCs w:val="22"/>
              </w:rPr>
              <w:t>OArab</w:t>
            </w:r>
            <w:proofErr w:type="spellEnd"/>
            <w:r w:rsidRPr="00C87A7D">
              <w:rPr>
                <w:rFonts w:ascii="Arial" w:hAnsi="Arial" w:cs="Arial"/>
                <w:sz w:val="22"/>
                <w:szCs w:val="22"/>
              </w:rPr>
              <w:t xml:space="preserve">, </w:t>
            </w:r>
            <w:proofErr w:type="spellStart"/>
            <w:r w:rsidRPr="00C87A7D">
              <w:rPr>
                <w:rFonts w:ascii="Arial" w:hAnsi="Arial" w:cs="Arial"/>
                <w:sz w:val="22"/>
                <w:szCs w:val="22"/>
              </w:rPr>
              <w:t>HbS</w:t>
            </w:r>
            <w:proofErr w:type="spellEnd"/>
            <w:r w:rsidRPr="00C87A7D">
              <w:rPr>
                <w:rFonts w:ascii="Arial" w:hAnsi="Arial" w:cs="Arial"/>
                <w:sz w:val="22"/>
                <w:szCs w:val="22"/>
              </w:rPr>
              <w:t xml:space="preserve">/HPFH, Hb S with any other variant and no Hb A, and other clinically significant haemoglobinopathies likely to be detected as by-products of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screening including </w:t>
            </w:r>
            <w:r>
              <w:rPr>
                <w:rFonts w:ascii="Arial" w:hAnsi="Arial" w:cs="Arial"/>
                <w:sz w:val="22"/>
                <w:szCs w:val="22"/>
              </w:rPr>
              <w:t>beta</w:t>
            </w:r>
            <w:r w:rsidRPr="00C87A7D">
              <w:rPr>
                <w:rFonts w:ascii="Arial" w:hAnsi="Arial" w:cs="Arial"/>
                <w:sz w:val="22"/>
                <w:szCs w:val="22"/>
              </w:rPr>
              <w:t xml:space="preserve"> thalassaemia major, Hb E/</w:t>
            </w:r>
            <w:r>
              <w:rPr>
                <w:rFonts w:ascii="Arial" w:hAnsi="Arial" w:cs="Arial"/>
                <w:sz w:val="22"/>
                <w:szCs w:val="22"/>
              </w:rPr>
              <w:t>beta</w:t>
            </w:r>
            <w:r w:rsidRPr="00C87A7D">
              <w:rPr>
                <w:rFonts w:ascii="Arial" w:hAnsi="Arial" w:cs="Arial"/>
                <w:sz w:val="22"/>
                <w:szCs w:val="22"/>
              </w:rPr>
              <w:t xml:space="preserve"> thalassaemia, and </w:t>
            </w:r>
            <w:r>
              <w:rPr>
                <w:rFonts w:ascii="Arial" w:hAnsi="Arial" w:cs="Arial"/>
                <w:sz w:val="22"/>
                <w:szCs w:val="22"/>
              </w:rPr>
              <w:t>beta</w:t>
            </w:r>
            <w:r w:rsidRPr="00C87A7D">
              <w:rPr>
                <w:rFonts w:ascii="Arial" w:hAnsi="Arial" w:cs="Arial"/>
                <w:sz w:val="22"/>
                <w:szCs w:val="22"/>
              </w:rPr>
              <w:t xml:space="preserve"> thalassaemia intermedia. Carrier results need to be followed up but are excluded from this standard.” This does not include cystic fibrosis and other conditions and therefore does not reflect the breadth of conditions covered by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screening</w:t>
            </w:r>
          </w:p>
        </w:tc>
        <w:tc>
          <w:tcPr>
            <w:tcW w:w="1191" w:type="pct"/>
          </w:tcPr>
          <w:p w14:paraId="107B11B1" w14:textId="0B5A1BA0" w:rsidR="008162F3" w:rsidRPr="00C87A7D" w:rsidRDefault="008162F3" w:rsidP="008162F3">
            <w:pPr>
              <w:rPr>
                <w:rFonts w:ascii="Arial" w:hAnsi="Arial" w:cs="Arial"/>
                <w:sz w:val="22"/>
                <w:szCs w:val="22"/>
              </w:rPr>
            </w:pPr>
            <w:r>
              <w:rPr>
                <w:rFonts w:ascii="Arial" w:hAnsi="Arial" w:cs="Arial"/>
                <w:sz w:val="22"/>
                <w:szCs w:val="22"/>
              </w:rPr>
              <w:t xml:space="preserve">Thank you for your comment. </w:t>
            </w:r>
            <w:r w:rsidRPr="0096639E">
              <w:rPr>
                <w:rFonts w:ascii="Arial" w:hAnsi="Arial" w:cs="Arial"/>
                <w:sz w:val="22"/>
                <w:szCs w:val="22"/>
              </w:rPr>
              <w:t>Please note that the June 2021 Indicator Advisory Committee agreed that this is important but agreed not to progress IND 2020-96 on reporting for positive results due to small numbers not allowing comparison at CCG level.</w:t>
            </w:r>
          </w:p>
        </w:tc>
      </w:tr>
      <w:tr w:rsidR="008162F3" w:rsidRPr="00C87A7D" w14:paraId="18E7BF67" w14:textId="5C627948" w:rsidTr="00B929DA">
        <w:trPr>
          <w:cantSplit/>
        </w:trPr>
        <w:tc>
          <w:tcPr>
            <w:tcW w:w="201" w:type="pct"/>
            <w:vAlign w:val="center"/>
          </w:tcPr>
          <w:p w14:paraId="55170256" w14:textId="232F928B" w:rsidR="008162F3" w:rsidRPr="00C87A7D" w:rsidRDefault="008162F3" w:rsidP="008162F3">
            <w:pPr>
              <w:rPr>
                <w:rFonts w:ascii="Arial" w:hAnsi="Arial" w:cs="Arial"/>
                <w:sz w:val="22"/>
                <w:szCs w:val="22"/>
              </w:rPr>
            </w:pPr>
            <w:r>
              <w:rPr>
                <w:rFonts w:ascii="Arial" w:hAnsi="Arial" w:cs="Arial"/>
                <w:sz w:val="22"/>
                <w:szCs w:val="22"/>
              </w:rPr>
              <w:t>34</w:t>
            </w:r>
          </w:p>
        </w:tc>
        <w:tc>
          <w:tcPr>
            <w:tcW w:w="619" w:type="pct"/>
            <w:vAlign w:val="center"/>
          </w:tcPr>
          <w:p w14:paraId="6EC18D08"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vAlign w:val="center"/>
          </w:tcPr>
          <w:p w14:paraId="124C6C69"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It is unclear in the indicator whether the indicator covers the entire diagnostic pathway from </w:t>
            </w:r>
            <w:proofErr w:type="spellStart"/>
            <w:r w:rsidRPr="00C87A7D">
              <w:rPr>
                <w:rFonts w:ascii="Arial" w:hAnsi="Arial" w:cs="Arial"/>
                <w:sz w:val="22"/>
                <w:szCs w:val="22"/>
              </w:rPr>
              <w:t>newborn</w:t>
            </w:r>
            <w:proofErr w:type="spellEnd"/>
            <w:r w:rsidRPr="00C87A7D">
              <w:rPr>
                <w:rFonts w:ascii="Arial" w:hAnsi="Arial" w:cs="Arial"/>
                <w:sz w:val="22"/>
                <w:szCs w:val="22"/>
              </w:rPr>
              <w:t xml:space="preserve"> blood screen to positive diagnosis for each of the nine conditions, or whether it only measures the communication of suspected results. Cystic fibrosis screening often results in equivocal results that may need further tests and result in a time delay. Furthermore, if the indicator only covers those with an eventual positive diagnosis for one of the nine conditions, those with a suspected positive blood spot test but who are eventually found not to have one of the nine conditions or are a carrier, are not covered by any of the proposed indicators.</w:t>
            </w:r>
          </w:p>
        </w:tc>
        <w:tc>
          <w:tcPr>
            <w:tcW w:w="1191" w:type="pct"/>
          </w:tcPr>
          <w:p w14:paraId="48D3B205" w14:textId="4171997C" w:rsidR="008162F3" w:rsidRPr="00C87A7D" w:rsidRDefault="008162F3" w:rsidP="008162F3">
            <w:pPr>
              <w:rPr>
                <w:rFonts w:ascii="Arial" w:hAnsi="Arial" w:cs="Arial"/>
                <w:sz w:val="22"/>
                <w:szCs w:val="22"/>
              </w:rPr>
            </w:pPr>
            <w:r w:rsidRPr="0096639E">
              <w:rPr>
                <w:rFonts w:ascii="Arial" w:hAnsi="Arial" w:cs="Arial"/>
                <w:sz w:val="22"/>
                <w:szCs w:val="22"/>
              </w:rPr>
              <w:t>Thank you for your comment.</w:t>
            </w:r>
            <w:r>
              <w:rPr>
                <w:rFonts w:ascii="Arial" w:hAnsi="Arial" w:cs="Arial"/>
                <w:sz w:val="22"/>
                <w:szCs w:val="22"/>
              </w:rPr>
              <w:t xml:space="preserve"> We confirm that the focus of the indicator was on providing timely results to parents.</w:t>
            </w:r>
            <w:r>
              <w:t xml:space="preserve"> </w:t>
            </w:r>
            <w:r w:rsidRPr="0096639E">
              <w:rPr>
                <w:rFonts w:ascii="Arial" w:hAnsi="Arial" w:cs="Arial"/>
                <w:sz w:val="22"/>
                <w:szCs w:val="22"/>
              </w:rPr>
              <w:t>Please note that the June 2021 Indicator Advisory Committee agreed that this is important but agreed not to progress IND 2020-96 on reporting for positive results due to small numbers not allowing comparison at CCG level.</w:t>
            </w:r>
          </w:p>
        </w:tc>
      </w:tr>
      <w:tr w:rsidR="008162F3" w:rsidRPr="00C87A7D" w14:paraId="2CC27DEC" w14:textId="7C61551C" w:rsidTr="00B929DA">
        <w:trPr>
          <w:cantSplit/>
        </w:trPr>
        <w:tc>
          <w:tcPr>
            <w:tcW w:w="201" w:type="pct"/>
            <w:vAlign w:val="center"/>
          </w:tcPr>
          <w:p w14:paraId="0DA6A24C" w14:textId="21DD9D78" w:rsidR="008162F3" w:rsidRPr="00C87A7D" w:rsidRDefault="008162F3" w:rsidP="008162F3">
            <w:pPr>
              <w:rPr>
                <w:rFonts w:ascii="Arial" w:hAnsi="Arial" w:cs="Arial"/>
                <w:sz w:val="22"/>
                <w:szCs w:val="22"/>
              </w:rPr>
            </w:pPr>
            <w:r>
              <w:rPr>
                <w:rFonts w:ascii="Arial" w:hAnsi="Arial" w:cs="Arial"/>
                <w:sz w:val="22"/>
                <w:szCs w:val="22"/>
              </w:rPr>
              <w:lastRenderedPageBreak/>
              <w:t>35</w:t>
            </w:r>
          </w:p>
        </w:tc>
        <w:tc>
          <w:tcPr>
            <w:tcW w:w="619" w:type="pct"/>
            <w:vAlign w:val="center"/>
          </w:tcPr>
          <w:p w14:paraId="4CACE2D9"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Cystic Fibrosis Trust</w:t>
            </w:r>
          </w:p>
        </w:tc>
        <w:tc>
          <w:tcPr>
            <w:tcW w:w="2989" w:type="pct"/>
            <w:vAlign w:val="center"/>
          </w:tcPr>
          <w:p w14:paraId="1F87833D" w14:textId="716C033C" w:rsidR="008162F3" w:rsidRPr="00C87A7D" w:rsidRDefault="008162F3" w:rsidP="008162F3">
            <w:pPr>
              <w:rPr>
                <w:rFonts w:ascii="Arial" w:hAnsi="Arial" w:cs="Arial"/>
                <w:sz w:val="22"/>
                <w:szCs w:val="22"/>
              </w:rPr>
            </w:pPr>
            <w:r w:rsidRPr="00C87A7D">
              <w:rPr>
                <w:rFonts w:ascii="Arial" w:hAnsi="Arial" w:cs="Arial"/>
                <w:sz w:val="22"/>
                <w:szCs w:val="22"/>
              </w:rPr>
              <w:t xml:space="preserve">The current indicator does not cover which professionals are involved in the diagnosis of one of the nine conditions. For cystic fibrosis, if a suspected diagnosis is given to the family, it is imperative to have a CF specialist present from the on-set to address any questions and concerns the family may have. It is often the case that a family is told of a suspected diagnosis and then receive an appointment days later for further testing. This results in the family doing their own research </w:t>
            </w:r>
            <w:r>
              <w:rPr>
                <w:rFonts w:ascii="Arial" w:hAnsi="Arial" w:cs="Arial"/>
                <w:sz w:val="22"/>
                <w:szCs w:val="22"/>
              </w:rPr>
              <w:t>t</w:t>
            </w:r>
            <w:r w:rsidRPr="00C87A7D">
              <w:rPr>
                <w:rFonts w:ascii="Arial" w:hAnsi="Arial" w:cs="Arial"/>
                <w:sz w:val="22"/>
                <w:szCs w:val="22"/>
              </w:rPr>
              <w:t>o better understand the condition and can cause increased anxiety and stress.</w:t>
            </w:r>
          </w:p>
        </w:tc>
        <w:tc>
          <w:tcPr>
            <w:tcW w:w="1191" w:type="pct"/>
          </w:tcPr>
          <w:p w14:paraId="3D0B1792" w14:textId="61DF676E" w:rsidR="008162F3" w:rsidRPr="00C87A7D" w:rsidRDefault="008162F3" w:rsidP="008162F3">
            <w:pPr>
              <w:rPr>
                <w:rFonts w:ascii="Arial" w:hAnsi="Arial" w:cs="Arial"/>
                <w:sz w:val="22"/>
                <w:szCs w:val="22"/>
              </w:rPr>
            </w:pPr>
            <w:r w:rsidRPr="0096639E">
              <w:rPr>
                <w:rFonts w:ascii="Arial" w:hAnsi="Arial" w:cs="Arial"/>
                <w:sz w:val="22"/>
                <w:szCs w:val="22"/>
              </w:rPr>
              <w:t>Thank you for your comment. We confirm that the focus of the indicator was on providing timely results to parents</w:t>
            </w:r>
            <w:r>
              <w:rPr>
                <w:rFonts w:ascii="Arial" w:hAnsi="Arial" w:cs="Arial"/>
                <w:sz w:val="22"/>
                <w:szCs w:val="22"/>
              </w:rPr>
              <w:t xml:space="preserve"> and not on support available to parents who receive a positive result.</w:t>
            </w:r>
            <w:r>
              <w:t xml:space="preserve"> </w:t>
            </w:r>
            <w:r w:rsidRPr="0096639E">
              <w:rPr>
                <w:rFonts w:ascii="Arial" w:hAnsi="Arial" w:cs="Arial"/>
                <w:sz w:val="22"/>
                <w:szCs w:val="22"/>
              </w:rPr>
              <w:t>Please note that the June 2021 Indicator Advisory Committee agreed not to progress IND 2020-96 on reporting for positive results due to small numbers not allowing comparison at CCG level.</w:t>
            </w:r>
          </w:p>
        </w:tc>
      </w:tr>
      <w:tr w:rsidR="008162F3" w:rsidRPr="00C87A7D" w14:paraId="1B9FD60D" w14:textId="6D941461" w:rsidTr="00B929DA">
        <w:trPr>
          <w:cantSplit/>
        </w:trPr>
        <w:tc>
          <w:tcPr>
            <w:tcW w:w="201" w:type="pct"/>
            <w:tcBorders>
              <w:bottom w:val="single" w:sz="4" w:space="0" w:color="000000"/>
            </w:tcBorders>
            <w:vAlign w:val="center"/>
          </w:tcPr>
          <w:p w14:paraId="3C659A81" w14:textId="5E5CAB11" w:rsidR="008162F3" w:rsidRPr="00C87A7D" w:rsidRDefault="008162F3" w:rsidP="008162F3">
            <w:pPr>
              <w:rPr>
                <w:rFonts w:ascii="Arial" w:hAnsi="Arial" w:cs="Arial"/>
                <w:sz w:val="22"/>
                <w:szCs w:val="22"/>
              </w:rPr>
            </w:pPr>
            <w:r>
              <w:rPr>
                <w:rFonts w:ascii="Arial" w:hAnsi="Arial" w:cs="Arial"/>
                <w:sz w:val="22"/>
                <w:szCs w:val="22"/>
              </w:rPr>
              <w:t>36</w:t>
            </w:r>
          </w:p>
        </w:tc>
        <w:tc>
          <w:tcPr>
            <w:tcW w:w="619" w:type="pct"/>
            <w:tcBorders>
              <w:bottom w:val="single" w:sz="4" w:space="0" w:color="000000"/>
            </w:tcBorders>
            <w:vAlign w:val="center"/>
          </w:tcPr>
          <w:p w14:paraId="20E5238D"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Sickle Cell Society</w:t>
            </w:r>
          </w:p>
        </w:tc>
        <w:tc>
          <w:tcPr>
            <w:tcW w:w="2989" w:type="pct"/>
            <w:tcBorders>
              <w:bottom w:val="single" w:sz="4" w:space="0" w:color="000000"/>
            </w:tcBorders>
            <w:vAlign w:val="center"/>
          </w:tcPr>
          <w:p w14:paraId="1191A627" w14:textId="76A7B69C" w:rsidR="008162F3" w:rsidRPr="00C87A7D" w:rsidRDefault="008162F3" w:rsidP="008162F3">
            <w:pPr>
              <w:rPr>
                <w:rFonts w:ascii="Arial" w:hAnsi="Arial" w:cs="Arial"/>
                <w:sz w:val="22"/>
                <w:szCs w:val="22"/>
              </w:rPr>
            </w:pPr>
            <w:r w:rsidRPr="00C87A7D">
              <w:rPr>
                <w:rFonts w:ascii="Arial" w:hAnsi="Arial" w:cs="Arial"/>
                <w:sz w:val="22"/>
                <w:szCs w:val="22"/>
              </w:rPr>
              <w:t>For the standard of reporting screen positive results to parents, 28 days is too long for parents to wait to know their baby is affected by sickle cell disease. Parents may well be aware of the risk to their baby if they have had antenatal screening for sickle cell disease and that their baby is at risk of a serious haemoglobinopathy. It is well known that parental education and support is vital in ensuring that babies and children with sickle cell disease stay well. This process could be seriously undermined if the results of the screening test are delayed until the baby is one month old. We have had feedback from the personal experiences of parents who have gone through the NHS Sickle Cell &amp; Thalassaemia Screening Programme that a long wait causes anxiety on the one hand and on the other can give false assurance that their babies are not affected.  In one case the parent was wrongly told by a health professional that ‘no news is good news’ when in fact her baby ultimately had sickle cell disease.</w:t>
            </w:r>
            <w:r w:rsidRPr="00A81647">
              <w:rPr>
                <w:rFonts w:ascii="Arial" w:hAnsi="Arial" w:cs="Arial"/>
                <w:b/>
                <w:color w:val="000000"/>
                <w:sz w:val="22"/>
                <w:szCs w:val="22"/>
              </w:rPr>
              <w:t xml:space="preserve"> </w:t>
            </w:r>
          </w:p>
        </w:tc>
        <w:tc>
          <w:tcPr>
            <w:tcW w:w="1191" w:type="pct"/>
            <w:tcBorders>
              <w:bottom w:val="single" w:sz="4" w:space="0" w:color="000000"/>
            </w:tcBorders>
          </w:tcPr>
          <w:p w14:paraId="64DEACFF" w14:textId="5DD4A991" w:rsidR="008162F3" w:rsidRPr="00C87A7D" w:rsidRDefault="008162F3" w:rsidP="008162F3">
            <w:pPr>
              <w:rPr>
                <w:rFonts w:ascii="Arial" w:hAnsi="Arial" w:cs="Arial"/>
                <w:sz w:val="22"/>
                <w:szCs w:val="22"/>
              </w:rPr>
            </w:pPr>
            <w:r w:rsidRPr="007A7334">
              <w:rPr>
                <w:rFonts w:ascii="Arial" w:hAnsi="Arial" w:cs="Arial"/>
                <w:sz w:val="22"/>
                <w:szCs w:val="22"/>
              </w:rPr>
              <w:t xml:space="preserve">Thank you for your comment. The timescales </w:t>
            </w:r>
            <w:r>
              <w:rPr>
                <w:rFonts w:ascii="Arial" w:hAnsi="Arial" w:cs="Arial"/>
                <w:sz w:val="22"/>
                <w:szCs w:val="22"/>
              </w:rPr>
              <w:t xml:space="preserve">for this indicator </w:t>
            </w:r>
            <w:r w:rsidRPr="007A7334">
              <w:rPr>
                <w:rFonts w:ascii="Arial" w:hAnsi="Arial" w:cs="Arial"/>
                <w:sz w:val="22"/>
                <w:szCs w:val="22"/>
              </w:rPr>
              <w:t xml:space="preserve">are those used for the </w:t>
            </w:r>
            <w:r w:rsidR="002E7A92" w:rsidRPr="007A7334">
              <w:rPr>
                <w:rFonts w:ascii="Arial" w:hAnsi="Arial" w:cs="Arial"/>
                <w:sz w:val="22"/>
                <w:szCs w:val="22"/>
              </w:rPr>
              <w:t>new-born</w:t>
            </w:r>
            <w:r w:rsidRPr="007A7334">
              <w:rPr>
                <w:rFonts w:ascii="Arial" w:hAnsi="Arial" w:cs="Arial"/>
                <w:sz w:val="22"/>
                <w:szCs w:val="22"/>
              </w:rPr>
              <w:t xml:space="preserve"> blood spot screening data collection and performance analysis.</w:t>
            </w:r>
            <w:r>
              <w:t xml:space="preserve"> </w:t>
            </w:r>
            <w:r w:rsidRPr="007A7334">
              <w:rPr>
                <w:rFonts w:ascii="Arial" w:hAnsi="Arial" w:cs="Arial"/>
                <w:sz w:val="22"/>
                <w:szCs w:val="22"/>
              </w:rPr>
              <w:t>Please note that the June 2021 Indicator Advisory Committee agreed not to progress IND 2020-96 on reporting for positive results due to small numbers not allowing comparison at CCG level.</w:t>
            </w:r>
          </w:p>
        </w:tc>
      </w:tr>
    </w:tbl>
    <w:p w14:paraId="18FDBA98" w14:textId="77777777" w:rsidR="003D0277" w:rsidRDefault="003D0277"/>
    <w:p w14:paraId="3E3571F4" w14:textId="77777777" w:rsidR="00122C1D" w:rsidRDefault="00122C1D">
      <w:pPr>
        <w:rPr>
          <w:rFonts w:ascii="Arial" w:hAnsi="Arial" w:cs="Arial"/>
          <w:b/>
          <w:color w:val="000000"/>
          <w:sz w:val="22"/>
          <w:szCs w:val="22"/>
        </w:rPr>
      </w:pPr>
    </w:p>
    <w:p w14:paraId="424BD4EA" w14:textId="6F766CFF" w:rsidR="007C6C58" w:rsidRPr="003C42C4" w:rsidRDefault="007C6C58" w:rsidP="001D2773">
      <w:pPr>
        <w:pStyle w:val="Heading2"/>
      </w:pPr>
      <w:r w:rsidRPr="003C42C4">
        <w:lastRenderedPageBreak/>
        <w:t>Indicator 2020-97</w:t>
      </w:r>
    </w:p>
    <w:p w14:paraId="4284D869" w14:textId="77777777" w:rsidR="008162F3" w:rsidRDefault="008162F3"/>
    <w:tbl>
      <w:tblPr>
        <w:tblStyle w:val="TableGrid"/>
        <w:tblW w:w="5000" w:type="pct"/>
        <w:tblLayout w:type="fixed"/>
        <w:tblLook w:val="04A0" w:firstRow="1" w:lastRow="0" w:firstColumn="1" w:lastColumn="0" w:noHBand="0" w:noVBand="1"/>
        <w:tblCaption w:val="Appendix A - Table of consultation comments - Indicator 2020-97"/>
        <w:tblDescription w:val="A table of comments in relation to indicator 2020-97 received during the screening consultation process"/>
      </w:tblPr>
      <w:tblGrid>
        <w:gridCol w:w="561"/>
        <w:gridCol w:w="1727"/>
        <w:gridCol w:w="8339"/>
        <w:gridCol w:w="3323"/>
      </w:tblGrid>
      <w:tr w:rsidR="008162F3" w:rsidRPr="00C87A7D" w14:paraId="6E8BF4D3" w14:textId="77777777" w:rsidTr="003E10AB">
        <w:trPr>
          <w:cantSplit/>
          <w:tblHeader/>
        </w:trPr>
        <w:tc>
          <w:tcPr>
            <w:tcW w:w="201" w:type="pct"/>
            <w:vAlign w:val="center"/>
          </w:tcPr>
          <w:p w14:paraId="504226EC" w14:textId="5B3DCED7"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Pr>
          <w:p w14:paraId="14DC08E0" w14:textId="6D34EA7D"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Pr>
          <w:p w14:paraId="584D3B63" w14:textId="2214BC31"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Pr>
          <w:p w14:paraId="25EC1FC8" w14:textId="1084642B" w:rsidR="008162F3" w:rsidRPr="00DA1A94"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3A1A51F2" w14:textId="47A3B2CA" w:rsidTr="00B929DA">
        <w:trPr>
          <w:cantSplit/>
        </w:trPr>
        <w:tc>
          <w:tcPr>
            <w:tcW w:w="201" w:type="pct"/>
            <w:vAlign w:val="center"/>
          </w:tcPr>
          <w:p w14:paraId="43055A17" w14:textId="4FC1F101" w:rsidR="008162F3" w:rsidRPr="00C87A7D" w:rsidRDefault="008162F3" w:rsidP="008162F3">
            <w:pPr>
              <w:rPr>
                <w:rFonts w:ascii="Arial" w:hAnsi="Arial" w:cs="Arial"/>
                <w:sz w:val="22"/>
                <w:szCs w:val="22"/>
              </w:rPr>
            </w:pPr>
            <w:r>
              <w:rPr>
                <w:rFonts w:ascii="Arial" w:hAnsi="Arial" w:cs="Arial"/>
                <w:sz w:val="22"/>
                <w:szCs w:val="22"/>
              </w:rPr>
              <w:t>37</w:t>
            </w:r>
          </w:p>
        </w:tc>
        <w:tc>
          <w:tcPr>
            <w:tcW w:w="619" w:type="pct"/>
            <w:vAlign w:val="center"/>
          </w:tcPr>
          <w:p w14:paraId="3F5DFFB2"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Diabetes UK</w:t>
            </w:r>
          </w:p>
        </w:tc>
        <w:tc>
          <w:tcPr>
            <w:tcW w:w="2989" w:type="pct"/>
            <w:vAlign w:val="center"/>
          </w:tcPr>
          <w:p w14:paraId="14271341" w14:textId="344F9FDC" w:rsidR="008162F3" w:rsidRPr="00C87A7D" w:rsidRDefault="008162F3" w:rsidP="008162F3">
            <w:pPr>
              <w:rPr>
                <w:rFonts w:ascii="Arial" w:hAnsi="Arial" w:cs="Arial"/>
                <w:sz w:val="22"/>
                <w:szCs w:val="22"/>
              </w:rPr>
            </w:pPr>
            <w:r w:rsidRPr="00C87A7D">
              <w:rPr>
                <w:rFonts w:ascii="Arial" w:hAnsi="Arial" w:cs="Arial"/>
                <w:sz w:val="22"/>
                <w:szCs w:val="22"/>
              </w:rPr>
              <w:t xml:space="preserve">We would welcome the inclusion of this indicator, as this data is not currently easily accessible although collected. We know that the risk of developing sight threatening retinopathy is raised in people who do not regularly attend screening. While a </w:t>
            </w:r>
            <w:r w:rsidR="002E7A92" w:rsidRPr="00C87A7D">
              <w:rPr>
                <w:rFonts w:ascii="Arial" w:hAnsi="Arial" w:cs="Arial"/>
                <w:sz w:val="22"/>
                <w:szCs w:val="22"/>
              </w:rPr>
              <w:t>2-year</w:t>
            </w:r>
            <w:r w:rsidRPr="00C87A7D">
              <w:rPr>
                <w:rFonts w:ascii="Arial" w:hAnsi="Arial" w:cs="Arial"/>
                <w:sz w:val="22"/>
                <w:szCs w:val="22"/>
              </w:rPr>
              <w:t xml:space="preserve"> gap has been found to be relatively safe, after a </w:t>
            </w:r>
            <w:r w:rsidR="002E7A92" w:rsidRPr="00C87A7D">
              <w:rPr>
                <w:rFonts w:ascii="Arial" w:hAnsi="Arial" w:cs="Arial"/>
                <w:sz w:val="22"/>
                <w:szCs w:val="22"/>
              </w:rPr>
              <w:t>three-year</w:t>
            </w:r>
            <w:r w:rsidRPr="00C87A7D">
              <w:rPr>
                <w:rFonts w:ascii="Arial" w:hAnsi="Arial" w:cs="Arial"/>
                <w:sz w:val="22"/>
                <w:szCs w:val="22"/>
              </w:rPr>
              <w:t xml:space="preserve"> gap, the risk of sight threatening retinopathy being detected is increased. We believe that primary care could support people who are not attending to take up the national screening programme offer and highlighting this population could help primary care intervene more effectively, particularly considering the reasons for non-attendance highlighted by the </w:t>
            </w:r>
            <w:proofErr w:type="spellStart"/>
            <w:r w:rsidRPr="00C87A7D">
              <w:rPr>
                <w:rFonts w:ascii="Arial" w:hAnsi="Arial" w:cs="Arial"/>
                <w:sz w:val="22"/>
                <w:szCs w:val="22"/>
              </w:rPr>
              <w:t>Stutton</w:t>
            </w:r>
            <w:proofErr w:type="spellEnd"/>
            <w:r w:rsidRPr="00C87A7D">
              <w:rPr>
                <w:rFonts w:ascii="Arial" w:hAnsi="Arial" w:cs="Arial"/>
                <w:sz w:val="22"/>
                <w:szCs w:val="22"/>
              </w:rPr>
              <w:t xml:space="preserve"> study.</w:t>
            </w:r>
          </w:p>
        </w:tc>
        <w:tc>
          <w:tcPr>
            <w:tcW w:w="1191" w:type="pct"/>
          </w:tcPr>
          <w:p w14:paraId="6E0ED8A8" w14:textId="38BA8942" w:rsidR="008162F3" w:rsidRPr="00C87A7D" w:rsidRDefault="008162F3" w:rsidP="008162F3">
            <w:pPr>
              <w:rPr>
                <w:rFonts w:ascii="Arial" w:hAnsi="Arial" w:cs="Arial"/>
                <w:sz w:val="22"/>
                <w:szCs w:val="22"/>
              </w:rPr>
            </w:pPr>
            <w:r w:rsidRPr="00DA1A94">
              <w:rPr>
                <w:rFonts w:ascii="Arial" w:hAnsi="Arial" w:cs="Arial"/>
                <w:sz w:val="22"/>
                <w:szCs w:val="22"/>
              </w:rPr>
              <w:t>Thank you for your comment.</w:t>
            </w:r>
            <w:r>
              <w:t xml:space="preserve"> </w:t>
            </w:r>
            <w:r w:rsidRPr="00DA1A94">
              <w:rPr>
                <w:rFonts w:ascii="Arial" w:hAnsi="Arial" w:cs="Arial"/>
                <w:sz w:val="22"/>
                <w:szCs w:val="22"/>
              </w:rPr>
              <w:t>The June 2021 Indicator Advisory Committee agreed</w:t>
            </w:r>
            <w:r>
              <w:rPr>
                <w:rFonts w:ascii="Arial" w:hAnsi="Arial" w:cs="Arial"/>
                <w:sz w:val="22"/>
                <w:szCs w:val="22"/>
              </w:rPr>
              <w:t xml:space="preserve"> this indicator is important and noted that it</w:t>
            </w:r>
            <w:r w:rsidRPr="00DA1A94">
              <w:rPr>
                <w:rFonts w:ascii="Arial" w:hAnsi="Arial" w:cs="Arial"/>
                <w:sz w:val="22"/>
                <w:szCs w:val="22"/>
              </w:rPr>
              <w:t xml:space="preserve"> would help link the data flow into primary care</w:t>
            </w:r>
            <w:r>
              <w:rPr>
                <w:rFonts w:ascii="Arial" w:hAnsi="Arial" w:cs="Arial"/>
                <w:sz w:val="22"/>
                <w:szCs w:val="22"/>
              </w:rPr>
              <w:t>.</w:t>
            </w:r>
          </w:p>
        </w:tc>
      </w:tr>
      <w:tr w:rsidR="008162F3" w:rsidRPr="00C87A7D" w14:paraId="6EC31C98" w14:textId="4A9A86BD" w:rsidTr="00B929DA">
        <w:trPr>
          <w:cantSplit/>
        </w:trPr>
        <w:tc>
          <w:tcPr>
            <w:tcW w:w="201" w:type="pct"/>
            <w:vAlign w:val="center"/>
          </w:tcPr>
          <w:p w14:paraId="1EC686A2" w14:textId="7890E61D" w:rsidR="008162F3" w:rsidRPr="00C87A7D" w:rsidRDefault="008162F3" w:rsidP="008162F3">
            <w:pPr>
              <w:rPr>
                <w:rFonts w:ascii="Arial" w:hAnsi="Arial" w:cs="Arial"/>
                <w:sz w:val="22"/>
                <w:szCs w:val="22"/>
              </w:rPr>
            </w:pPr>
            <w:r>
              <w:rPr>
                <w:rFonts w:ascii="Arial" w:hAnsi="Arial" w:cs="Arial"/>
                <w:sz w:val="22"/>
                <w:szCs w:val="22"/>
              </w:rPr>
              <w:t>38</w:t>
            </w:r>
          </w:p>
        </w:tc>
        <w:tc>
          <w:tcPr>
            <w:tcW w:w="619" w:type="pct"/>
            <w:vAlign w:val="center"/>
          </w:tcPr>
          <w:p w14:paraId="4127C6E6"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NHS South Sefton CCG</w:t>
            </w:r>
          </w:p>
        </w:tc>
        <w:tc>
          <w:tcPr>
            <w:tcW w:w="2989" w:type="pct"/>
            <w:vAlign w:val="center"/>
          </w:tcPr>
          <w:p w14:paraId="2E063B6D" w14:textId="3F68A77A" w:rsidR="008162F3" w:rsidRPr="00C87A7D" w:rsidRDefault="008162F3" w:rsidP="008162F3">
            <w:pPr>
              <w:pStyle w:val="ListParagraph"/>
              <w:numPr>
                <w:ilvl w:val="0"/>
                <w:numId w:val="34"/>
              </w:numPr>
              <w:rPr>
                <w:rFonts w:ascii="Arial" w:hAnsi="Arial" w:cs="Arial"/>
                <w:sz w:val="22"/>
                <w:szCs w:val="22"/>
              </w:rPr>
            </w:pPr>
            <w:r w:rsidRPr="00C87A7D">
              <w:rPr>
                <w:rFonts w:ascii="Arial" w:hAnsi="Arial" w:cs="Arial"/>
                <w:sz w:val="22"/>
                <w:szCs w:val="22"/>
              </w:rPr>
              <w:t xml:space="preserve">At the present time the screening provider holds the data relating to diabetic eye screening at CCG level, non-attendance details are forwarded to primary care but there can be a delay in recording this on the primary care system as the information is sent to primary care in a paper format. If the data is to be extracted from primary care </w:t>
            </w:r>
            <w:r w:rsidR="002E7A92" w:rsidRPr="00C87A7D">
              <w:rPr>
                <w:rFonts w:ascii="Arial" w:hAnsi="Arial" w:cs="Arial"/>
                <w:sz w:val="22"/>
                <w:szCs w:val="22"/>
              </w:rPr>
              <w:t>systems,</w:t>
            </w:r>
            <w:r w:rsidRPr="00C87A7D">
              <w:rPr>
                <w:rFonts w:ascii="Arial" w:hAnsi="Arial" w:cs="Arial"/>
                <w:sz w:val="22"/>
                <w:szCs w:val="22"/>
              </w:rPr>
              <w:t xml:space="preserve"> then it would be better if information was sent from the provider to primary care in a coded electronic format.</w:t>
            </w:r>
          </w:p>
          <w:p w14:paraId="40227E38" w14:textId="2B1F2E0D" w:rsidR="008162F3" w:rsidRPr="00C87A7D" w:rsidRDefault="008162F3" w:rsidP="008162F3">
            <w:pPr>
              <w:pStyle w:val="ListParagraph"/>
              <w:numPr>
                <w:ilvl w:val="0"/>
                <w:numId w:val="34"/>
              </w:numPr>
              <w:rPr>
                <w:rFonts w:ascii="Arial" w:hAnsi="Arial" w:cs="Arial"/>
                <w:sz w:val="22"/>
                <w:szCs w:val="22"/>
              </w:rPr>
            </w:pPr>
            <w:r w:rsidRPr="00C87A7D">
              <w:rPr>
                <w:rFonts w:ascii="Arial" w:hAnsi="Arial" w:cs="Arial"/>
                <w:sz w:val="22"/>
                <w:szCs w:val="22"/>
              </w:rPr>
              <w:t xml:space="preserve">If the data was to be sourced from primary </w:t>
            </w:r>
            <w:r w:rsidR="002E7A92" w:rsidRPr="00C87A7D">
              <w:rPr>
                <w:rFonts w:ascii="Arial" w:hAnsi="Arial" w:cs="Arial"/>
                <w:sz w:val="22"/>
                <w:szCs w:val="22"/>
              </w:rPr>
              <w:t>care,</w:t>
            </w:r>
            <w:r w:rsidRPr="00C87A7D">
              <w:rPr>
                <w:rFonts w:ascii="Arial" w:hAnsi="Arial" w:cs="Arial"/>
                <w:sz w:val="22"/>
                <w:szCs w:val="22"/>
              </w:rPr>
              <w:t xml:space="preserve"> then ideally information would need to be sent to primary care systems in a coded electronic format for the results to be robust.</w:t>
            </w:r>
          </w:p>
          <w:p w14:paraId="0650F7F9" w14:textId="77777777" w:rsidR="008162F3" w:rsidRPr="00C87A7D" w:rsidRDefault="008162F3" w:rsidP="008162F3">
            <w:pPr>
              <w:pStyle w:val="ListParagraph"/>
              <w:numPr>
                <w:ilvl w:val="0"/>
                <w:numId w:val="34"/>
              </w:numPr>
              <w:rPr>
                <w:rFonts w:ascii="Arial" w:hAnsi="Arial" w:cs="Arial"/>
                <w:sz w:val="22"/>
                <w:szCs w:val="22"/>
              </w:rPr>
            </w:pPr>
            <w:r w:rsidRPr="00C87A7D">
              <w:rPr>
                <w:rFonts w:ascii="Arial" w:hAnsi="Arial" w:cs="Arial"/>
                <w:sz w:val="22"/>
                <w:szCs w:val="22"/>
              </w:rPr>
              <w:t>It should make it easier to identify repeat non-attenders from all groups at all ages.</w:t>
            </w:r>
          </w:p>
          <w:p w14:paraId="6B45C5D3" w14:textId="1A0CE41B" w:rsidR="008162F3" w:rsidRPr="00C87A7D" w:rsidRDefault="008162F3" w:rsidP="008162F3">
            <w:pPr>
              <w:pStyle w:val="ListParagraph"/>
              <w:numPr>
                <w:ilvl w:val="0"/>
                <w:numId w:val="34"/>
              </w:numPr>
              <w:rPr>
                <w:rFonts w:ascii="Arial" w:hAnsi="Arial" w:cs="Arial"/>
                <w:sz w:val="22"/>
                <w:szCs w:val="22"/>
              </w:rPr>
            </w:pPr>
            <w:r w:rsidRPr="00C87A7D">
              <w:rPr>
                <w:rFonts w:ascii="Arial" w:hAnsi="Arial" w:cs="Arial"/>
                <w:sz w:val="22"/>
                <w:szCs w:val="22"/>
              </w:rPr>
              <w:t xml:space="preserve">It may have an adverse effect on the elderly or other individuals who are no longer eligible or been excluded from diabetic eye screening on clinical grounds, and have been given full relevant information, and whose records have not been appropriately </w:t>
            </w:r>
            <w:r w:rsidR="002E7A92" w:rsidRPr="00C87A7D">
              <w:rPr>
                <w:rFonts w:ascii="Arial" w:hAnsi="Arial" w:cs="Arial"/>
                <w:sz w:val="22"/>
                <w:szCs w:val="22"/>
              </w:rPr>
              <w:t>updated</w:t>
            </w:r>
            <w:r w:rsidRPr="00C87A7D">
              <w:rPr>
                <w:rFonts w:ascii="Arial" w:hAnsi="Arial" w:cs="Arial"/>
                <w:sz w:val="22"/>
                <w:szCs w:val="22"/>
              </w:rPr>
              <w:t>.</w:t>
            </w:r>
          </w:p>
        </w:tc>
        <w:tc>
          <w:tcPr>
            <w:tcW w:w="1191" w:type="pct"/>
          </w:tcPr>
          <w:p w14:paraId="252FD51B" w14:textId="6182B97B" w:rsidR="008162F3" w:rsidRPr="00DA1A94" w:rsidRDefault="008162F3" w:rsidP="008162F3">
            <w:pPr>
              <w:rPr>
                <w:rFonts w:ascii="Arial" w:hAnsi="Arial" w:cs="Arial"/>
                <w:sz w:val="22"/>
                <w:szCs w:val="22"/>
              </w:rPr>
            </w:pPr>
            <w:r w:rsidRPr="00DA1A94">
              <w:rPr>
                <w:rFonts w:ascii="Arial" w:hAnsi="Arial" w:cs="Arial"/>
                <w:sz w:val="22"/>
                <w:szCs w:val="22"/>
              </w:rPr>
              <w:t>Thank you for your comment</w:t>
            </w:r>
            <w:r>
              <w:rPr>
                <w:rFonts w:ascii="Arial" w:hAnsi="Arial" w:cs="Arial"/>
                <w:sz w:val="22"/>
                <w:szCs w:val="22"/>
              </w:rPr>
              <w:t xml:space="preserve">s. We confirm that data is currently collected </w:t>
            </w:r>
            <w:r w:rsidRPr="00DA1A94">
              <w:rPr>
                <w:rFonts w:ascii="Arial" w:hAnsi="Arial" w:cs="Arial"/>
                <w:sz w:val="22"/>
                <w:szCs w:val="22"/>
              </w:rPr>
              <w:t>as part of the NHS Diabetic Eye Screening programme. The June 2021 Indicator Advisory Committee agreed this indicator is important and noted that it would help link the data flow into primary care.</w:t>
            </w:r>
            <w:r>
              <w:rPr>
                <w:rFonts w:ascii="Arial" w:hAnsi="Arial" w:cs="Arial"/>
                <w:sz w:val="22"/>
                <w:szCs w:val="22"/>
              </w:rPr>
              <w:t xml:space="preserve"> Please note that proposed indicator IND 2020-99 includes people with diabetes who are suspended from eye screening due to previous screening results and IND 2020-100 includes people with diabetes who are excluded from diabetic eye screening.</w:t>
            </w:r>
          </w:p>
        </w:tc>
      </w:tr>
      <w:tr w:rsidR="008162F3" w:rsidRPr="00C87A7D" w14:paraId="42F2EABD" w14:textId="370F3B7C" w:rsidTr="00B929DA">
        <w:trPr>
          <w:cantSplit/>
        </w:trPr>
        <w:tc>
          <w:tcPr>
            <w:tcW w:w="201" w:type="pct"/>
            <w:tcBorders>
              <w:bottom w:val="single" w:sz="4" w:space="0" w:color="000000"/>
            </w:tcBorders>
            <w:vAlign w:val="center"/>
          </w:tcPr>
          <w:p w14:paraId="4E2CF79E" w14:textId="3F9783BD" w:rsidR="008162F3" w:rsidRPr="00C87A7D" w:rsidRDefault="008162F3" w:rsidP="008162F3">
            <w:pPr>
              <w:rPr>
                <w:rFonts w:ascii="Arial" w:hAnsi="Arial" w:cs="Arial"/>
                <w:sz w:val="22"/>
                <w:szCs w:val="22"/>
              </w:rPr>
            </w:pPr>
            <w:r>
              <w:rPr>
                <w:rFonts w:ascii="Arial" w:hAnsi="Arial" w:cs="Arial"/>
                <w:sz w:val="22"/>
                <w:szCs w:val="22"/>
              </w:rPr>
              <w:lastRenderedPageBreak/>
              <w:t>39</w:t>
            </w:r>
          </w:p>
        </w:tc>
        <w:tc>
          <w:tcPr>
            <w:tcW w:w="619" w:type="pct"/>
            <w:tcBorders>
              <w:bottom w:val="single" w:sz="4" w:space="0" w:color="000000"/>
            </w:tcBorders>
            <w:vAlign w:val="center"/>
          </w:tcPr>
          <w:p w14:paraId="2E2440BE"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Primary Care Diabetes Society</w:t>
            </w:r>
          </w:p>
        </w:tc>
        <w:tc>
          <w:tcPr>
            <w:tcW w:w="2989" w:type="pct"/>
            <w:tcBorders>
              <w:bottom w:val="single" w:sz="4" w:space="0" w:color="000000"/>
            </w:tcBorders>
            <w:vAlign w:val="center"/>
          </w:tcPr>
          <w:p w14:paraId="3FD4726B" w14:textId="03C6C5C2" w:rsidR="008162F3" w:rsidRPr="00C87A7D" w:rsidRDefault="008162F3" w:rsidP="008162F3">
            <w:pPr>
              <w:rPr>
                <w:rFonts w:ascii="Arial" w:hAnsi="Arial" w:cs="Arial"/>
                <w:sz w:val="22"/>
                <w:szCs w:val="22"/>
              </w:rPr>
            </w:pPr>
            <w:r w:rsidRPr="00C87A7D">
              <w:rPr>
                <w:rFonts w:ascii="Arial" w:hAnsi="Arial" w:cs="Arial"/>
                <w:sz w:val="22"/>
                <w:szCs w:val="22"/>
              </w:rPr>
              <w:t xml:space="preserve">Important data to collect but needs to be broken down to assess reason and whether this can be </w:t>
            </w:r>
            <w:r w:rsidR="002E7A92" w:rsidRPr="00C87A7D">
              <w:rPr>
                <w:rFonts w:ascii="Arial" w:hAnsi="Arial" w:cs="Arial"/>
                <w:sz w:val="22"/>
                <w:szCs w:val="22"/>
              </w:rPr>
              <w:t>changed.</w:t>
            </w:r>
            <w:r w:rsidRPr="00C87A7D">
              <w:rPr>
                <w:rFonts w:ascii="Arial" w:hAnsi="Arial" w:cs="Arial"/>
                <w:sz w:val="22"/>
                <w:szCs w:val="22"/>
              </w:rPr>
              <w:t xml:space="preserve"> Concern that GPs may be penalised for patient’s </w:t>
            </w:r>
            <w:r w:rsidR="002E7A92" w:rsidRPr="00C87A7D">
              <w:rPr>
                <w:rFonts w:ascii="Arial" w:hAnsi="Arial" w:cs="Arial"/>
                <w:sz w:val="22"/>
                <w:szCs w:val="22"/>
              </w:rPr>
              <w:t>non-attendance</w:t>
            </w:r>
            <w:r w:rsidRPr="00C87A7D">
              <w:rPr>
                <w:rFonts w:ascii="Arial" w:hAnsi="Arial" w:cs="Arial"/>
                <w:sz w:val="22"/>
                <w:szCs w:val="22"/>
              </w:rPr>
              <w:t xml:space="preserve"> despite mechanisms in place to contact and review reason behind </w:t>
            </w:r>
            <w:r w:rsidR="002E7A92" w:rsidRPr="00C87A7D">
              <w:rPr>
                <w:rFonts w:ascii="Arial" w:hAnsi="Arial" w:cs="Arial"/>
                <w:sz w:val="22"/>
                <w:szCs w:val="22"/>
              </w:rPr>
              <w:t>non-attendance.</w:t>
            </w:r>
            <w:r w:rsidRPr="00C87A7D">
              <w:rPr>
                <w:rFonts w:ascii="Arial" w:hAnsi="Arial" w:cs="Arial"/>
                <w:sz w:val="22"/>
                <w:szCs w:val="22"/>
              </w:rPr>
              <w:t xml:space="preserve"> This may be down to patients </w:t>
            </w:r>
            <w:r w:rsidR="002E7A92" w:rsidRPr="00C87A7D">
              <w:rPr>
                <w:rFonts w:ascii="Arial" w:hAnsi="Arial" w:cs="Arial"/>
                <w:sz w:val="22"/>
                <w:szCs w:val="22"/>
              </w:rPr>
              <w:t>‘informed</w:t>
            </w:r>
            <w:r w:rsidRPr="00C87A7D">
              <w:rPr>
                <w:rFonts w:ascii="Arial" w:hAnsi="Arial" w:cs="Arial"/>
                <w:sz w:val="22"/>
                <w:szCs w:val="22"/>
              </w:rPr>
              <w:t xml:space="preserve"> choice ‘.</w:t>
            </w:r>
          </w:p>
          <w:p w14:paraId="543651F4" w14:textId="54D1D1FA" w:rsidR="008162F3" w:rsidRPr="00C87A7D" w:rsidRDefault="008162F3" w:rsidP="008162F3">
            <w:pPr>
              <w:rPr>
                <w:rFonts w:ascii="Arial" w:hAnsi="Arial" w:cs="Arial"/>
                <w:sz w:val="22"/>
                <w:szCs w:val="22"/>
              </w:rPr>
            </w:pPr>
            <w:r w:rsidRPr="00C87A7D">
              <w:rPr>
                <w:rFonts w:ascii="Arial" w:hAnsi="Arial" w:cs="Arial"/>
                <w:sz w:val="22"/>
                <w:szCs w:val="22"/>
              </w:rPr>
              <w:t xml:space="preserve">Suggest repeat </w:t>
            </w:r>
            <w:r w:rsidR="002E7A92" w:rsidRPr="00C87A7D">
              <w:rPr>
                <w:rFonts w:ascii="Arial" w:hAnsi="Arial" w:cs="Arial"/>
                <w:sz w:val="22"/>
                <w:szCs w:val="22"/>
              </w:rPr>
              <w:t>non-attendance</w:t>
            </w:r>
            <w:r w:rsidRPr="00C87A7D">
              <w:rPr>
                <w:rFonts w:ascii="Arial" w:hAnsi="Arial" w:cs="Arial"/>
                <w:sz w:val="22"/>
                <w:szCs w:val="22"/>
              </w:rPr>
              <w:t xml:space="preserve"> for eye screening divided into patients who have been contacted / those unable to contact and those who have declined despite informed</w:t>
            </w:r>
            <w:r>
              <w:rPr>
                <w:rFonts w:ascii="Arial" w:hAnsi="Arial" w:cs="Arial"/>
                <w:sz w:val="22"/>
                <w:szCs w:val="22"/>
              </w:rPr>
              <w:t xml:space="preserve">. </w:t>
            </w:r>
          </w:p>
        </w:tc>
        <w:tc>
          <w:tcPr>
            <w:tcW w:w="1191" w:type="pct"/>
            <w:tcBorders>
              <w:bottom w:val="single" w:sz="4" w:space="0" w:color="000000"/>
            </w:tcBorders>
          </w:tcPr>
          <w:p w14:paraId="5E69D33F" w14:textId="739E059F" w:rsidR="008162F3" w:rsidRPr="00C87A7D" w:rsidRDefault="008162F3" w:rsidP="008162F3">
            <w:pPr>
              <w:rPr>
                <w:rFonts w:ascii="Arial" w:hAnsi="Arial" w:cs="Arial"/>
                <w:sz w:val="22"/>
                <w:szCs w:val="22"/>
              </w:rPr>
            </w:pPr>
            <w:r w:rsidRPr="00094463">
              <w:rPr>
                <w:rFonts w:ascii="Arial" w:hAnsi="Arial" w:cs="Arial"/>
                <w:sz w:val="22"/>
                <w:szCs w:val="22"/>
              </w:rPr>
              <w:t xml:space="preserve">Thank you for your comment. The June 2021 Indicator Advisory Committee agreed </w:t>
            </w:r>
            <w:r>
              <w:rPr>
                <w:rFonts w:ascii="Arial" w:hAnsi="Arial" w:cs="Arial"/>
                <w:sz w:val="22"/>
                <w:szCs w:val="22"/>
              </w:rPr>
              <w:t xml:space="preserve">that </w:t>
            </w:r>
            <w:r w:rsidRPr="00094463">
              <w:rPr>
                <w:rFonts w:ascii="Arial" w:hAnsi="Arial" w:cs="Arial"/>
                <w:sz w:val="22"/>
                <w:szCs w:val="22"/>
              </w:rPr>
              <w:t>this indicator is important</w:t>
            </w:r>
            <w:r>
              <w:rPr>
                <w:rFonts w:ascii="Arial" w:hAnsi="Arial" w:cs="Arial"/>
                <w:sz w:val="22"/>
                <w:szCs w:val="22"/>
              </w:rPr>
              <w:t xml:space="preserve"> and that it should progress to the NICE menu at CCG level.</w:t>
            </w:r>
            <w:r>
              <w:t xml:space="preserve"> </w:t>
            </w:r>
            <w:r w:rsidRPr="00094463">
              <w:rPr>
                <w:rFonts w:ascii="Arial" w:hAnsi="Arial" w:cs="Arial"/>
                <w:sz w:val="22"/>
                <w:szCs w:val="22"/>
              </w:rPr>
              <w:t>The Committee</w:t>
            </w:r>
            <w:r>
              <w:t xml:space="preserve"> </w:t>
            </w:r>
            <w:r w:rsidRPr="00094463">
              <w:rPr>
                <w:rFonts w:ascii="Arial" w:hAnsi="Arial" w:cs="Arial"/>
                <w:sz w:val="22"/>
                <w:szCs w:val="22"/>
              </w:rPr>
              <w:t>noted that it would help link the data flow into primary care</w:t>
            </w:r>
            <w:r>
              <w:rPr>
                <w:rFonts w:ascii="Arial" w:hAnsi="Arial" w:cs="Arial"/>
                <w:sz w:val="22"/>
                <w:szCs w:val="22"/>
              </w:rPr>
              <w:t xml:space="preserve"> and may prompt local improvement initiatives to understand the issue in more detail. </w:t>
            </w:r>
          </w:p>
        </w:tc>
      </w:tr>
    </w:tbl>
    <w:p w14:paraId="30539817" w14:textId="77777777" w:rsidR="007C6C58" w:rsidRDefault="007C6C58">
      <w:pPr>
        <w:rPr>
          <w:rFonts w:ascii="Arial" w:hAnsi="Arial" w:cs="Arial"/>
          <w:b/>
          <w:color w:val="000000"/>
          <w:sz w:val="22"/>
          <w:szCs w:val="22"/>
        </w:rPr>
      </w:pPr>
    </w:p>
    <w:p w14:paraId="58EC214D" w14:textId="11FE69F9" w:rsidR="003D0277" w:rsidRPr="003C42C4" w:rsidRDefault="007C6C58" w:rsidP="001D2773">
      <w:pPr>
        <w:pStyle w:val="Heading2"/>
      </w:pPr>
      <w:r w:rsidRPr="003C42C4">
        <w:t>Indicator 2020-98</w:t>
      </w:r>
    </w:p>
    <w:p w14:paraId="00879FFA" w14:textId="77777777" w:rsidR="007C6C58" w:rsidRDefault="007C6C58"/>
    <w:tbl>
      <w:tblPr>
        <w:tblStyle w:val="TableGrid"/>
        <w:tblW w:w="5000" w:type="pct"/>
        <w:tblLayout w:type="fixed"/>
        <w:tblLook w:val="04A0" w:firstRow="1" w:lastRow="0" w:firstColumn="1" w:lastColumn="0" w:noHBand="0" w:noVBand="1"/>
        <w:tblCaption w:val="Appendix A - Table of consultation comments - Indicator 2020-98"/>
        <w:tblDescription w:val="A table of comments in relation to indicator 2020-98 received during the screening consultation process"/>
      </w:tblPr>
      <w:tblGrid>
        <w:gridCol w:w="561"/>
        <w:gridCol w:w="1727"/>
        <w:gridCol w:w="8339"/>
        <w:gridCol w:w="3323"/>
      </w:tblGrid>
      <w:tr w:rsidR="008162F3" w:rsidRPr="00C87A7D" w14:paraId="43BC265A" w14:textId="77777777" w:rsidTr="003E10AB">
        <w:trPr>
          <w:cantSplit/>
          <w:tblHeader/>
        </w:trPr>
        <w:tc>
          <w:tcPr>
            <w:tcW w:w="201" w:type="pct"/>
            <w:vAlign w:val="center"/>
          </w:tcPr>
          <w:p w14:paraId="64F08F0D" w14:textId="7CC26E00" w:rsidR="008162F3" w:rsidRDefault="008162F3" w:rsidP="008162F3">
            <w:pPr>
              <w:rPr>
                <w:rFonts w:ascii="Arial" w:hAnsi="Arial" w:cs="Arial"/>
                <w:sz w:val="22"/>
                <w:szCs w:val="22"/>
              </w:rPr>
            </w:pPr>
            <w:r w:rsidRPr="00C87A7D">
              <w:rPr>
                <w:rFonts w:ascii="Arial" w:hAnsi="Arial" w:cs="Arial"/>
                <w:b/>
                <w:sz w:val="22"/>
                <w:szCs w:val="22"/>
                <w:lang w:val="en-US"/>
              </w:rPr>
              <w:t>ID</w:t>
            </w:r>
          </w:p>
        </w:tc>
        <w:tc>
          <w:tcPr>
            <w:tcW w:w="619" w:type="pct"/>
          </w:tcPr>
          <w:p w14:paraId="7BACE1F3" w14:textId="4A02F54E"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Pr>
          <w:p w14:paraId="32652DA0" w14:textId="6E897C30"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Pr>
          <w:p w14:paraId="6E9420D3" w14:textId="2B6E28E3" w:rsidR="008162F3" w:rsidRPr="0060430F"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45FD5A39" w14:textId="155C6C3E" w:rsidTr="00B929DA">
        <w:trPr>
          <w:cantSplit/>
        </w:trPr>
        <w:tc>
          <w:tcPr>
            <w:tcW w:w="201" w:type="pct"/>
            <w:vAlign w:val="center"/>
          </w:tcPr>
          <w:p w14:paraId="0B410D44" w14:textId="19C8D404" w:rsidR="008162F3" w:rsidRPr="00C87A7D" w:rsidRDefault="008162F3" w:rsidP="008162F3">
            <w:pPr>
              <w:rPr>
                <w:rFonts w:ascii="Arial" w:hAnsi="Arial" w:cs="Arial"/>
                <w:sz w:val="22"/>
                <w:szCs w:val="22"/>
              </w:rPr>
            </w:pPr>
            <w:r>
              <w:rPr>
                <w:rFonts w:ascii="Arial" w:hAnsi="Arial" w:cs="Arial"/>
                <w:sz w:val="22"/>
                <w:szCs w:val="22"/>
              </w:rPr>
              <w:t>40</w:t>
            </w:r>
          </w:p>
        </w:tc>
        <w:tc>
          <w:tcPr>
            <w:tcW w:w="619" w:type="pct"/>
            <w:vAlign w:val="center"/>
          </w:tcPr>
          <w:p w14:paraId="59A6ACB0"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The College of Optometrists</w:t>
            </w:r>
          </w:p>
        </w:tc>
        <w:tc>
          <w:tcPr>
            <w:tcW w:w="2989" w:type="pct"/>
            <w:vAlign w:val="center"/>
          </w:tcPr>
          <w:p w14:paraId="6A3BC49C" w14:textId="77777777" w:rsidR="008162F3" w:rsidRPr="00C87A7D" w:rsidRDefault="008162F3" w:rsidP="008162F3">
            <w:pPr>
              <w:rPr>
                <w:rFonts w:ascii="Arial" w:hAnsi="Arial" w:cs="Arial"/>
                <w:sz w:val="22"/>
                <w:szCs w:val="22"/>
              </w:rPr>
            </w:pPr>
            <w:r w:rsidRPr="00C87A7D">
              <w:rPr>
                <w:rFonts w:ascii="Arial" w:hAnsi="Arial" w:cs="Arial"/>
                <w:sz w:val="22"/>
                <w:szCs w:val="22"/>
              </w:rPr>
              <w:t xml:space="preserve">We would suggest clarifying this statement: </w:t>
            </w:r>
            <w:r w:rsidRPr="0029278F">
              <w:rPr>
                <w:rFonts w:ascii="Arial" w:hAnsi="Arial" w:cs="Arial"/>
                <w:sz w:val="22"/>
                <w:szCs w:val="22"/>
              </w:rPr>
              <w:t>“If an eligible person attends a walk-in clinic or is screened for diabetic retinopathy while in care of ophthalmology for non-diabetic retinopathy it will be counted as an offer for that date”.</w:t>
            </w:r>
          </w:p>
          <w:p w14:paraId="11F28B5D" w14:textId="77777777" w:rsidR="008162F3" w:rsidRPr="00C87A7D" w:rsidRDefault="008162F3" w:rsidP="008162F3">
            <w:pPr>
              <w:rPr>
                <w:rFonts w:ascii="Arial" w:hAnsi="Arial" w:cs="Arial"/>
                <w:sz w:val="22"/>
                <w:szCs w:val="22"/>
              </w:rPr>
            </w:pPr>
          </w:p>
          <w:p w14:paraId="20D91779" w14:textId="5C85AD33" w:rsidR="008162F3" w:rsidRPr="00C87A7D" w:rsidRDefault="008162F3" w:rsidP="008162F3">
            <w:pPr>
              <w:rPr>
                <w:rFonts w:ascii="Arial" w:hAnsi="Arial" w:cs="Arial"/>
                <w:sz w:val="22"/>
                <w:szCs w:val="22"/>
              </w:rPr>
            </w:pPr>
            <w:r w:rsidRPr="00C87A7D">
              <w:rPr>
                <w:rFonts w:ascii="Arial" w:hAnsi="Arial" w:cs="Arial"/>
                <w:sz w:val="22"/>
                <w:szCs w:val="22"/>
              </w:rPr>
              <w:t xml:space="preserve">If an eligible person attends a walk-in clinic, it is not clear whether it is to receive any care related to diabetes. If not, this may overestimate the number of people offered screening. Simply attending a walk-in clinic does not infer an offer or mean they have been enrolled </w:t>
            </w:r>
            <w:r w:rsidR="002E7A92" w:rsidRPr="00C87A7D">
              <w:rPr>
                <w:rFonts w:ascii="Arial" w:hAnsi="Arial" w:cs="Arial"/>
                <w:sz w:val="22"/>
                <w:szCs w:val="22"/>
              </w:rPr>
              <w:t>into</w:t>
            </w:r>
            <w:r w:rsidRPr="00C87A7D">
              <w:rPr>
                <w:rFonts w:ascii="Arial" w:hAnsi="Arial" w:cs="Arial"/>
                <w:sz w:val="22"/>
                <w:szCs w:val="22"/>
              </w:rPr>
              <w:t xml:space="preserve"> the service. Further, screening for diabetic retinopathy in ophthalmology is often done as part of normal clinical investigations to detect eye disease.</w:t>
            </w:r>
          </w:p>
          <w:p w14:paraId="436648A2" w14:textId="77777777" w:rsidR="008162F3" w:rsidRPr="00C87A7D" w:rsidRDefault="008162F3" w:rsidP="008162F3">
            <w:pPr>
              <w:rPr>
                <w:rFonts w:ascii="Arial" w:hAnsi="Arial" w:cs="Arial"/>
                <w:sz w:val="22"/>
                <w:szCs w:val="22"/>
              </w:rPr>
            </w:pPr>
          </w:p>
        </w:tc>
        <w:tc>
          <w:tcPr>
            <w:tcW w:w="1191" w:type="pct"/>
          </w:tcPr>
          <w:p w14:paraId="15B153C7" w14:textId="441D06FF" w:rsidR="008162F3" w:rsidRPr="00C87A7D" w:rsidRDefault="008162F3" w:rsidP="008162F3">
            <w:pPr>
              <w:rPr>
                <w:rFonts w:ascii="Arial" w:hAnsi="Arial" w:cs="Arial"/>
                <w:sz w:val="22"/>
                <w:szCs w:val="22"/>
              </w:rPr>
            </w:pPr>
            <w:r w:rsidRPr="0060430F">
              <w:rPr>
                <w:rFonts w:ascii="Arial" w:hAnsi="Arial" w:cs="Arial"/>
                <w:sz w:val="22"/>
                <w:szCs w:val="22"/>
              </w:rPr>
              <w:t>Thank you for your comment.</w:t>
            </w:r>
            <w:r>
              <w:t xml:space="preserve"> </w:t>
            </w:r>
            <w:r w:rsidRPr="0060430F">
              <w:rPr>
                <w:rFonts w:ascii="Arial" w:hAnsi="Arial" w:cs="Arial"/>
                <w:sz w:val="22"/>
                <w:szCs w:val="22"/>
              </w:rPr>
              <w:t>The June 2021 Indicator Advisory Committee</w:t>
            </w:r>
            <w:r>
              <w:t xml:space="preserve"> </w:t>
            </w:r>
            <w:r w:rsidRPr="0060430F">
              <w:rPr>
                <w:rFonts w:ascii="Arial" w:hAnsi="Arial" w:cs="Arial"/>
                <w:sz w:val="22"/>
                <w:szCs w:val="22"/>
              </w:rPr>
              <w:t xml:space="preserve">noted that, significant changes </w:t>
            </w:r>
            <w:r>
              <w:rPr>
                <w:rFonts w:ascii="Arial" w:hAnsi="Arial" w:cs="Arial"/>
                <w:sz w:val="22"/>
                <w:szCs w:val="22"/>
              </w:rPr>
              <w:t xml:space="preserve">have been </w:t>
            </w:r>
            <w:r w:rsidRPr="0060430F">
              <w:rPr>
                <w:rFonts w:ascii="Arial" w:hAnsi="Arial" w:cs="Arial"/>
                <w:sz w:val="22"/>
                <w:szCs w:val="22"/>
              </w:rPr>
              <w:t xml:space="preserve">made to the national eye screening programme </w:t>
            </w:r>
            <w:r>
              <w:rPr>
                <w:rFonts w:ascii="Arial" w:hAnsi="Arial" w:cs="Arial"/>
                <w:sz w:val="22"/>
                <w:szCs w:val="22"/>
              </w:rPr>
              <w:t xml:space="preserve">and </w:t>
            </w:r>
            <w:r w:rsidRPr="0060430F">
              <w:rPr>
                <w:rFonts w:ascii="Arial" w:hAnsi="Arial" w:cs="Arial"/>
                <w:sz w:val="22"/>
                <w:szCs w:val="22"/>
              </w:rPr>
              <w:t>questioned whether th</w:t>
            </w:r>
            <w:r>
              <w:rPr>
                <w:rFonts w:ascii="Arial" w:hAnsi="Arial" w:cs="Arial"/>
                <w:sz w:val="22"/>
                <w:szCs w:val="22"/>
              </w:rPr>
              <w:t>is</w:t>
            </w:r>
            <w:r w:rsidRPr="0060430F">
              <w:rPr>
                <w:rFonts w:ascii="Arial" w:hAnsi="Arial" w:cs="Arial"/>
                <w:sz w:val="22"/>
                <w:szCs w:val="22"/>
              </w:rPr>
              <w:t xml:space="preserve"> indicator</w:t>
            </w:r>
            <w:r>
              <w:rPr>
                <w:rFonts w:ascii="Arial" w:hAnsi="Arial" w:cs="Arial"/>
                <w:sz w:val="22"/>
                <w:szCs w:val="22"/>
              </w:rPr>
              <w:t xml:space="preserve"> is still needed. Further work will be carried out to clarify any indicators still required including the issue highlighted.</w:t>
            </w:r>
          </w:p>
        </w:tc>
      </w:tr>
      <w:tr w:rsidR="008162F3" w:rsidRPr="00C87A7D" w14:paraId="4200BA8C" w14:textId="4EE7B72F" w:rsidTr="00B929DA">
        <w:trPr>
          <w:cantSplit/>
        </w:trPr>
        <w:tc>
          <w:tcPr>
            <w:tcW w:w="201" w:type="pct"/>
            <w:vAlign w:val="center"/>
          </w:tcPr>
          <w:p w14:paraId="237B21B6" w14:textId="172C2FE3" w:rsidR="008162F3" w:rsidRPr="00C87A7D" w:rsidRDefault="008162F3" w:rsidP="008162F3">
            <w:pPr>
              <w:rPr>
                <w:rFonts w:ascii="Arial" w:hAnsi="Arial" w:cs="Arial"/>
                <w:sz w:val="22"/>
                <w:szCs w:val="22"/>
              </w:rPr>
            </w:pPr>
            <w:r>
              <w:rPr>
                <w:rFonts w:ascii="Arial" w:hAnsi="Arial" w:cs="Arial"/>
                <w:sz w:val="22"/>
                <w:szCs w:val="22"/>
              </w:rPr>
              <w:lastRenderedPageBreak/>
              <w:t>41</w:t>
            </w:r>
          </w:p>
        </w:tc>
        <w:tc>
          <w:tcPr>
            <w:tcW w:w="619" w:type="pct"/>
            <w:vAlign w:val="center"/>
          </w:tcPr>
          <w:p w14:paraId="45C91743"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Diabetes UK</w:t>
            </w:r>
          </w:p>
        </w:tc>
        <w:tc>
          <w:tcPr>
            <w:tcW w:w="2989" w:type="pct"/>
          </w:tcPr>
          <w:p w14:paraId="4E8E3E81" w14:textId="77777777" w:rsidR="008162F3" w:rsidRPr="00C87A7D" w:rsidRDefault="008162F3" w:rsidP="008162F3">
            <w:pPr>
              <w:rPr>
                <w:rFonts w:ascii="Arial" w:hAnsi="Arial" w:cs="Arial"/>
                <w:sz w:val="22"/>
                <w:szCs w:val="22"/>
              </w:rPr>
            </w:pPr>
            <w:r w:rsidRPr="00C87A7D">
              <w:rPr>
                <w:rFonts w:ascii="Arial" w:hAnsi="Arial" w:cs="Arial"/>
                <w:sz w:val="22"/>
                <w:szCs w:val="22"/>
              </w:rPr>
              <w:t>We would support this indicator because of the existing variation in practice across England. Although we accept that 100% of eligible people being offered eye screening may not be possible, we believe that more could be done in this area and sharing this data more widely may help drive up the number of appropriate offers.</w:t>
            </w:r>
          </w:p>
        </w:tc>
        <w:tc>
          <w:tcPr>
            <w:tcW w:w="1191" w:type="pct"/>
          </w:tcPr>
          <w:p w14:paraId="2A6B6143" w14:textId="2CC95D48" w:rsidR="008162F3" w:rsidRPr="00C87A7D" w:rsidRDefault="008162F3" w:rsidP="008162F3">
            <w:pPr>
              <w:rPr>
                <w:rFonts w:ascii="Arial" w:hAnsi="Arial" w:cs="Arial"/>
                <w:sz w:val="22"/>
                <w:szCs w:val="22"/>
              </w:rPr>
            </w:pPr>
            <w:r w:rsidRPr="006E0F08">
              <w:rPr>
                <w:rFonts w:ascii="Arial" w:hAnsi="Arial" w:cs="Arial"/>
                <w:sz w:val="22"/>
                <w:szCs w:val="22"/>
              </w:rPr>
              <w:t xml:space="preserve">Thank you for your </w:t>
            </w:r>
            <w:r>
              <w:rPr>
                <w:rFonts w:ascii="Arial" w:hAnsi="Arial" w:cs="Arial"/>
                <w:sz w:val="22"/>
                <w:szCs w:val="22"/>
              </w:rPr>
              <w:t xml:space="preserve">support for this indicator. </w:t>
            </w:r>
            <w:r w:rsidRPr="006E0F08">
              <w:rPr>
                <w:rFonts w:ascii="Arial" w:hAnsi="Arial" w:cs="Arial"/>
                <w:sz w:val="22"/>
                <w:szCs w:val="22"/>
              </w:rPr>
              <w:t>The June 2021 Indicator Advisory Committee noted that, significant changes have been made to the national eye screening programme and questioned whether th</w:t>
            </w:r>
            <w:r>
              <w:rPr>
                <w:rFonts w:ascii="Arial" w:hAnsi="Arial" w:cs="Arial"/>
                <w:sz w:val="22"/>
                <w:szCs w:val="22"/>
              </w:rPr>
              <w:t>is</w:t>
            </w:r>
            <w:r w:rsidRPr="006E0F08">
              <w:rPr>
                <w:rFonts w:ascii="Arial" w:hAnsi="Arial" w:cs="Arial"/>
                <w:sz w:val="22"/>
                <w:szCs w:val="22"/>
              </w:rPr>
              <w:t xml:space="preserve"> indicator</w:t>
            </w:r>
            <w:r>
              <w:rPr>
                <w:rFonts w:ascii="Arial" w:hAnsi="Arial" w:cs="Arial"/>
                <w:sz w:val="22"/>
                <w:szCs w:val="22"/>
              </w:rPr>
              <w:t xml:space="preserve"> is </w:t>
            </w:r>
            <w:r w:rsidRPr="006E0F08">
              <w:rPr>
                <w:rFonts w:ascii="Arial" w:hAnsi="Arial" w:cs="Arial"/>
                <w:sz w:val="22"/>
                <w:szCs w:val="22"/>
              </w:rPr>
              <w:t xml:space="preserve">still </w:t>
            </w:r>
            <w:r>
              <w:rPr>
                <w:rFonts w:ascii="Arial" w:hAnsi="Arial" w:cs="Arial"/>
                <w:sz w:val="22"/>
                <w:szCs w:val="22"/>
              </w:rPr>
              <w:t>needed.</w:t>
            </w:r>
            <w:r>
              <w:t xml:space="preserve"> </w:t>
            </w:r>
            <w:r w:rsidRPr="006E0F08">
              <w:rPr>
                <w:rFonts w:ascii="Arial" w:hAnsi="Arial" w:cs="Arial"/>
                <w:sz w:val="22"/>
                <w:szCs w:val="22"/>
              </w:rPr>
              <w:t>Further work will be carried out to clarify any indicators still required</w:t>
            </w:r>
            <w:r>
              <w:rPr>
                <w:rFonts w:ascii="Arial" w:hAnsi="Arial" w:cs="Arial"/>
                <w:sz w:val="22"/>
                <w:szCs w:val="22"/>
              </w:rPr>
              <w:t xml:space="preserve"> on diabetic eye screening.</w:t>
            </w:r>
          </w:p>
        </w:tc>
      </w:tr>
      <w:tr w:rsidR="008162F3" w:rsidRPr="00C87A7D" w14:paraId="08893C2D" w14:textId="747F2359" w:rsidTr="00B929DA">
        <w:trPr>
          <w:cantSplit/>
        </w:trPr>
        <w:tc>
          <w:tcPr>
            <w:tcW w:w="201" w:type="pct"/>
            <w:vAlign w:val="center"/>
          </w:tcPr>
          <w:p w14:paraId="310164FA" w14:textId="4C4FAA5E" w:rsidR="008162F3" w:rsidRPr="00C87A7D" w:rsidRDefault="008162F3" w:rsidP="008162F3">
            <w:pPr>
              <w:rPr>
                <w:rFonts w:ascii="Arial" w:hAnsi="Arial" w:cs="Arial"/>
                <w:sz w:val="22"/>
                <w:szCs w:val="22"/>
              </w:rPr>
            </w:pPr>
            <w:r>
              <w:rPr>
                <w:rFonts w:ascii="Arial" w:hAnsi="Arial" w:cs="Arial"/>
                <w:sz w:val="22"/>
                <w:szCs w:val="22"/>
              </w:rPr>
              <w:t>42</w:t>
            </w:r>
          </w:p>
        </w:tc>
        <w:tc>
          <w:tcPr>
            <w:tcW w:w="619" w:type="pct"/>
            <w:vAlign w:val="center"/>
          </w:tcPr>
          <w:p w14:paraId="1D8B95AD"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NHS South Sefton CCG</w:t>
            </w:r>
          </w:p>
        </w:tc>
        <w:tc>
          <w:tcPr>
            <w:tcW w:w="2989" w:type="pct"/>
            <w:vAlign w:val="center"/>
          </w:tcPr>
          <w:p w14:paraId="0EF9D2EF" w14:textId="77777777" w:rsidR="008162F3" w:rsidRPr="00C87A7D" w:rsidRDefault="008162F3" w:rsidP="008162F3">
            <w:pPr>
              <w:pStyle w:val="ListParagraph"/>
              <w:numPr>
                <w:ilvl w:val="0"/>
                <w:numId w:val="35"/>
              </w:numPr>
              <w:rPr>
                <w:rFonts w:ascii="Arial" w:hAnsi="Arial" w:cs="Arial"/>
                <w:sz w:val="22"/>
                <w:szCs w:val="22"/>
              </w:rPr>
            </w:pPr>
            <w:r w:rsidRPr="00C87A7D">
              <w:rPr>
                <w:rFonts w:ascii="Arial" w:hAnsi="Arial" w:cs="Arial"/>
                <w:sz w:val="22"/>
                <w:szCs w:val="22"/>
              </w:rPr>
              <w:t>At present the screening provider holds the data relating to diabetic eye screening at a CCG level but it is not included in the National Diabetes Audit results. To the best of my knowledge the CCG does not receive this information directly and so the data source would need to be identified and appropriate governance procedures followed in implementing this indicator.</w:t>
            </w:r>
          </w:p>
          <w:p w14:paraId="211DE06F" w14:textId="77777777" w:rsidR="008162F3" w:rsidRPr="00C87A7D" w:rsidRDefault="008162F3" w:rsidP="008162F3">
            <w:pPr>
              <w:pStyle w:val="ListParagraph"/>
              <w:numPr>
                <w:ilvl w:val="0"/>
                <w:numId w:val="35"/>
              </w:numPr>
              <w:rPr>
                <w:rFonts w:ascii="Arial" w:hAnsi="Arial" w:cs="Arial"/>
                <w:sz w:val="22"/>
                <w:szCs w:val="22"/>
              </w:rPr>
            </w:pPr>
            <w:r w:rsidRPr="00C87A7D">
              <w:rPr>
                <w:rFonts w:ascii="Arial" w:hAnsi="Arial" w:cs="Arial"/>
                <w:sz w:val="22"/>
                <w:szCs w:val="22"/>
              </w:rPr>
              <w:t xml:space="preserve">It is difficult to assess as this work is already being carried out at practice level in primary care. </w:t>
            </w:r>
          </w:p>
          <w:p w14:paraId="1237D25A" w14:textId="77777777" w:rsidR="008162F3" w:rsidRPr="00C87A7D" w:rsidRDefault="008162F3" w:rsidP="008162F3">
            <w:pPr>
              <w:pStyle w:val="ListParagraph"/>
              <w:numPr>
                <w:ilvl w:val="0"/>
                <w:numId w:val="35"/>
              </w:numPr>
              <w:rPr>
                <w:rFonts w:ascii="Arial" w:hAnsi="Arial" w:cs="Arial"/>
                <w:sz w:val="22"/>
                <w:szCs w:val="22"/>
              </w:rPr>
            </w:pPr>
            <w:r w:rsidRPr="00C87A7D">
              <w:rPr>
                <w:rFonts w:ascii="Arial" w:hAnsi="Arial" w:cs="Arial"/>
                <w:sz w:val="22"/>
                <w:szCs w:val="22"/>
              </w:rPr>
              <w:t>It might help to highlight different groups not obvious at a practice level and assist in reducing health inequalities.</w:t>
            </w:r>
          </w:p>
          <w:p w14:paraId="028D79E0" w14:textId="77777777" w:rsidR="008162F3" w:rsidRPr="00C87A7D" w:rsidRDefault="008162F3" w:rsidP="008162F3">
            <w:pPr>
              <w:pStyle w:val="ListParagraph"/>
              <w:numPr>
                <w:ilvl w:val="0"/>
                <w:numId w:val="35"/>
              </w:numPr>
              <w:rPr>
                <w:rFonts w:ascii="Arial" w:hAnsi="Arial" w:cs="Arial"/>
                <w:sz w:val="22"/>
                <w:szCs w:val="22"/>
              </w:rPr>
            </w:pPr>
            <w:r w:rsidRPr="00C87A7D">
              <w:rPr>
                <w:rFonts w:ascii="Arial" w:hAnsi="Arial" w:cs="Arial"/>
                <w:sz w:val="22"/>
                <w:szCs w:val="22"/>
              </w:rPr>
              <w:t>None known.</w:t>
            </w:r>
          </w:p>
        </w:tc>
        <w:tc>
          <w:tcPr>
            <w:tcW w:w="1191" w:type="pct"/>
          </w:tcPr>
          <w:p w14:paraId="4C7C0FA2" w14:textId="18FB4B73" w:rsidR="008162F3" w:rsidRPr="00B371C1" w:rsidRDefault="008162F3" w:rsidP="008162F3">
            <w:pPr>
              <w:rPr>
                <w:rFonts w:ascii="Arial" w:hAnsi="Arial" w:cs="Arial"/>
                <w:sz w:val="22"/>
                <w:szCs w:val="22"/>
              </w:rPr>
            </w:pPr>
            <w:r w:rsidRPr="00B371C1">
              <w:rPr>
                <w:rFonts w:ascii="Arial" w:hAnsi="Arial" w:cs="Arial"/>
                <w:sz w:val="22"/>
                <w:szCs w:val="22"/>
              </w:rPr>
              <w:t>Thank you for your comment. The June 2021 Indicator Advisory Committee noted that, significant changes have been made to the national eye screening programme and questioned whether this indicator is still needed. Further work will be carried out to clarify any indicators still required including the issue highlighted.</w:t>
            </w:r>
          </w:p>
        </w:tc>
      </w:tr>
      <w:tr w:rsidR="008162F3" w:rsidRPr="00C87A7D" w14:paraId="6505DF4B" w14:textId="4E708EE5" w:rsidTr="00B929DA">
        <w:trPr>
          <w:cantSplit/>
        </w:trPr>
        <w:tc>
          <w:tcPr>
            <w:tcW w:w="201" w:type="pct"/>
            <w:tcBorders>
              <w:bottom w:val="single" w:sz="4" w:space="0" w:color="000000"/>
            </w:tcBorders>
            <w:vAlign w:val="center"/>
          </w:tcPr>
          <w:p w14:paraId="13D64DDD" w14:textId="0636150F" w:rsidR="008162F3" w:rsidRPr="00C87A7D" w:rsidRDefault="008162F3" w:rsidP="008162F3">
            <w:pPr>
              <w:rPr>
                <w:rFonts w:ascii="Arial" w:hAnsi="Arial" w:cs="Arial"/>
                <w:sz w:val="22"/>
                <w:szCs w:val="22"/>
              </w:rPr>
            </w:pPr>
            <w:r>
              <w:rPr>
                <w:rFonts w:ascii="Arial" w:hAnsi="Arial" w:cs="Arial"/>
                <w:sz w:val="22"/>
                <w:szCs w:val="22"/>
              </w:rPr>
              <w:lastRenderedPageBreak/>
              <w:t>43</w:t>
            </w:r>
          </w:p>
        </w:tc>
        <w:tc>
          <w:tcPr>
            <w:tcW w:w="619" w:type="pct"/>
            <w:tcBorders>
              <w:bottom w:val="single" w:sz="4" w:space="0" w:color="000000"/>
            </w:tcBorders>
            <w:vAlign w:val="center"/>
          </w:tcPr>
          <w:p w14:paraId="1F75D4A5"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Primary Care Diabetes Society</w:t>
            </w:r>
          </w:p>
        </w:tc>
        <w:tc>
          <w:tcPr>
            <w:tcW w:w="2989" w:type="pct"/>
            <w:tcBorders>
              <w:bottom w:val="single" w:sz="4" w:space="0" w:color="000000"/>
            </w:tcBorders>
            <w:vAlign w:val="center"/>
          </w:tcPr>
          <w:p w14:paraId="066B7F78" w14:textId="73504C74" w:rsidR="008162F3" w:rsidRPr="00C87A7D" w:rsidRDefault="008162F3" w:rsidP="008162F3">
            <w:pPr>
              <w:rPr>
                <w:rFonts w:ascii="Arial" w:hAnsi="Arial" w:cs="Arial"/>
                <w:sz w:val="22"/>
                <w:szCs w:val="22"/>
              </w:rPr>
            </w:pPr>
            <w:r w:rsidRPr="00C87A7D">
              <w:rPr>
                <w:rFonts w:ascii="Arial" w:hAnsi="Arial" w:cs="Arial"/>
                <w:sz w:val="22"/>
                <w:szCs w:val="22"/>
              </w:rPr>
              <w:t>This seems to still imply that annual screening is recommended</w:t>
            </w:r>
            <w:r>
              <w:rPr>
                <w:rFonts w:ascii="Arial" w:hAnsi="Arial" w:cs="Arial"/>
                <w:sz w:val="22"/>
                <w:szCs w:val="22"/>
              </w:rPr>
              <w:t xml:space="preserve">. </w:t>
            </w:r>
          </w:p>
        </w:tc>
        <w:tc>
          <w:tcPr>
            <w:tcW w:w="1191" w:type="pct"/>
            <w:tcBorders>
              <w:bottom w:val="single" w:sz="4" w:space="0" w:color="000000"/>
            </w:tcBorders>
          </w:tcPr>
          <w:p w14:paraId="4F26C740" w14:textId="0BB86776" w:rsidR="008162F3" w:rsidRPr="00C87A7D" w:rsidRDefault="008162F3" w:rsidP="008162F3">
            <w:pPr>
              <w:rPr>
                <w:rFonts w:ascii="Arial" w:hAnsi="Arial" w:cs="Arial"/>
                <w:sz w:val="22"/>
                <w:szCs w:val="22"/>
              </w:rPr>
            </w:pPr>
            <w:r w:rsidRPr="004C69E1">
              <w:rPr>
                <w:rFonts w:ascii="Arial" w:hAnsi="Arial" w:cs="Arial"/>
                <w:sz w:val="22"/>
                <w:szCs w:val="22"/>
              </w:rPr>
              <w:t>Thank you for your comment.</w:t>
            </w:r>
            <w:r>
              <w:t xml:space="preserve"> </w:t>
            </w:r>
            <w:r w:rsidRPr="004C69E1">
              <w:rPr>
                <w:rFonts w:ascii="Arial" w:hAnsi="Arial" w:cs="Arial"/>
                <w:sz w:val="22"/>
                <w:szCs w:val="22"/>
              </w:rPr>
              <w:t>The June 2021 Indicator Advisory Committee noted that, significant changes have been made to the national eye screening programme and questioned whether this indicator is still needed. Further work will be carried out to clarify any indicators still required</w:t>
            </w:r>
            <w:r>
              <w:rPr>
                <w:rFonts w:ascii="Arial" w:hAnsi="Arial" w:cs="Arial"/>
                <w:sz w:val="22"/>
                <w:szCs w:val="22"/>
              </w:rPr>
              <w:t>.</w:t>
            </w:r>
          </w:p>
        </w:tc>
      </w:tr>
    </w:tbl>
    <w:p w14:paraId="75C66245" w14:textId="6A920349" w:rsidR="003D0277" w:rsidRDefault="003D0277"/>
    <w:p w14:paraId="7E94FF2D" w14:textId="350E649F" w:rsidR="007C6C58" w:rsidRPr="003C42C4" w:rsidRDefault="007C6C58" w:rsidP="001D2773">
      <w:pPr>
        <w:pStyle w:val="Heading2"/>
      </w:pPr>
      <w:r w:rsidRPr="003C42C4">
        <w:t>Indicator 2020-99</w:t>
      </w:r>
    </w:p>
    <w:p w14:paraId="6E10E01B" w14:textId="77777777" w:rsidR="007C6C58" w:rsidRDefault="007C6C58"/>
    <w:tbl>
      <w:tblPr>
        <w:tblStyle w:val="TableGrid"/>
        <w:tblW w:w="5000" w:type="pct"/>
        <w:tblLayout w:type="fixed"/>
        <w:tblLook w:val="04A0" w:firstRow="1" w:lastRow="0" w:firstColumn="1" w:lastColumn="0" w:noHBand="0" w:noVBand="1"/>
        <w:tblCaption w:val="Appendix A - Table of consultation comments - Indicator 2020-99"/>
        <w:tblDescription w:val="A table of comments in relation to indicator 2020-99 received during the screening consultation process"/>
      </w:tblPr>
      <w:tblGrid>
        <w:gridCol w:w="561"/>
        <w:gridCol w:w="1727"/>
        <w:gridCol w:w="8339"/>
        <w:gridCol w:w="3323"/>
      </w:tblGrid>
      <w:tr w:rsidR="008162F3" w:rsidRPr="00C87A7D" w14:paraId="5341DE26" w14:textId="77777777" w:rsidTr="003E10AB">
        <w:trPr>
          <w:cantSplit/>
          <w:tblHeader/>
        </w:trPr>
        <w:tc>
          <w:tcPr>
            <w:tcW w:w="201" w:type="pct"/>
            <w:vAlign w:val="center"/>
          </w:tcPr>
          <w:p w14:paraId="2A058359" w14:textId="43343C78" w:rsidR="008162F3" w:rsidRPr="0008363D" w:rsidRDefault="008162F3" w:rsidP="008162F3">
            <w:pPr>
              <w:rPr>
                <w:rFonts w:ascii="Arial" w:hAnsi="Arial" w:cs="Arial"/>
                <w:bCs/>
                <w:sz w:val="22"/>
                <w:szCs w:val="22"/>
              </w:rPr>
            </w:pPr>
            <w:r w:rsidRPr="00C87A7D">
              <w:rPr>
                <w:rFonts w:ascii="Arial" w:hAnsi="Arial" w:cs="Arial"/>
                <w:b/>
                <w:sz w:val="22"/>
                <w:szCs w:val="22"/>
                <w:lang w:val="en-US"/>
              </w:rPr>
              <w:t>ID</w:t>
            </w:r>
          </w:p>
        </w:tc>
        <w:tc>
          <w:tcPr>
            <w:tcW w:w="619" w:type="pct"/>
          </w:tcPr>
          <w:p w14:paraId="308CA920" w14:textId="46009C6A" w:rsidR="008162F3" w:rsidRPr="00D74341" w:rsidRDefault="008162F3" w:rsidP="008162F3">
            <w:pPr>
              <w:rPr>
                <w:rFonts w:ascii="Arial" w:hAnsi="Arial" w:cs="Arial"/>
                <w:bCs/>
                <w:sz w:val="22"/>
                <w:szCs w:val="22"/>
              </w:rPr>
            </w:pPr>
            <w:r w:rsidRPr="00A81647">
              <w:rPr>
                <w:rFonts w:ascii="Arial" w:hAnsi="Arial" w:cs="Arial"/>
                <w:b/>
                <w:sz w:val="22"/>
                <w:szCs w:val="22"/>
                <w:lang w:val="en-US"/>
              </w:rPr>
              <w:t xml:space="preserve">Stakeholder </w:t>
            </w:r>
            <w:proofErr w:type="spellStart"/>
            <w:r w:rsidRPr="00A81647">
              <w:rPr>
                <w:rFonts w:ascii="Arial" w:hAnsi="Arial" w:cs="Arial"/>
                <w:b/>
                <w:sz w:val="22"/>
                <w:szCs w:val="22"/>
                <w:lang w:val="en-US"/>
              </w:rPr>
              <w:t>organisation</w:t>
            </w:r>
            <w:proofErr w:type="spellEnd"/>
          </w:p>
        </w:tc>
        <w:tc>
          <w:tcPr>
            <w:tcW w:w="2989" w:type="pct"/>
          </w:tcPr>
          <w:p w14:paraId="1F410885" w14:textId="207D59AA" w:rsidR="008162F3" w:rsidRPr="00C87A7D" w:rsidRDefault="008162F3" w:rsidP="008162F3">
            <w:pPr>
              <w:rPr>
                <w:rFonts w:ascii="Arial" w:hAnsi="Arial" w:cs="Arial"/>
                <w:sz w:val="22"/>
                <w:szCs w:val="22"/>
              </w:rPr>
            </w:pPr>
            <w:r w:rsidRPr="00C87A7D">
              <w:rPr>
                <w:rFonts w:ascii="Arial" w:hAnsi="Arial" w:cs="Arial"/>
                <w:b/>
                <w:sz w:val="22"/>
                <w:szCs w:val="22"/>
                <w:lang w:val="en-US"/>
              </w:rPr>
              <w:t>Comment</w:t>
            </w:r>
          </w:p>
        </w:tc>
        <w:tc>
          <w:tcPr>
            <w:tcW w:w="1191" w:type="pct"/>
          </w:tcPr>
          <w:p w14:paraId="1CF08C44" w14:textId="03E5895B" w:rsidR="008162F3" w:rsidRPr="004C69E1" w:rsidRDefault="008162F3" w:rsidP="008162F3">
            <w:pPr>
              <w:rPr>
                <w:rFonts w:ascii="Arial" w:hAnsi="Arial" w:cs="Arial"/>
                <w:sz w:val="22"/>
                <w:szCs w:val="22"/>
              </w:rPr>
            </w:pPr>
            <w:r>
              <w:rPr>
                <w:rFonts w:ascii="Arial" w:hAnsi="Arial" w:cs="Arial"/>
                <w:b/>
                <w:sz w:val="22"/>
                <w:szCs w:val="22"/>
                <w:lang w:val="en-US"/>
              </w:rPr>
              <w:t>NICE Response</w:t>
            </w:r>
          </w:p>
        </w:tc>
      </w:tr>
      <w:tr w:rsidR="008162F3" w:rsidRPr="00C87A7D" w14:paraId="1E8C12F4" w14:textId="34134196" w:rsidTr="00B929DA">
        <w:trPr>
          <w:cantSplit/>
        </w:trPr>
        <w:tc>
          <w:tcPr>
            <w:tcW w:w="201" w:type="pct"/>
            <w:vAlign w:val="center"/>
          </w:tcPr>
          <w:p w14:paraId="5E5D21AC" w14:textId="1F2BAC29" w:rsidR="008162F3" w:rsidRPr="0008363D" w:rsidRDefault="008162F3" w:rsidP="008162F3">
            <w:pPr>
              <w:rPr>
                <w:rFonts w:ascii="Arial" w:hAnsi="Arial" w:cs="Arial"/>
                <w:bCs/>
                <w:sz w:val="22"/>
                <w:szCs w:val="22"/>
              </w:rPr>
            </w:pPr>
            <w:r w:rsidRPr="0008363D">
              <w:rPr>
                <w:rFonts w:ascii="Arial" w:hAnsi="Arial" w:cs="Arial"/>
                <w:bCs/>
                <w:sz w:val="22"/>
                <w:szCs w:val="22"/>
              </w:rPr>
              <w:t>44</w:t>
            </w:r>
          </w:p>
        </w:tc>
        <w:tc>
          <w:tcPr>
            <w:tcW w:w="619" w:type="pct"/>
            <w:vAlign w:val="center"/>
          </w:tcPr>
          <w:p w14:paraId="35E1BEF8"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Diabetes UK</w:t>
            </w:r>
          </w:p>
        </w:tc>
        <w:tc>
          <w:tcPr>
            <w:tcW w:w="2989" w:type="pct"/>
            <w:vAlign w:val="center"/>
          </w:tcPr>
          <w:p w14:paraId="3067F0C2" w14:textId="77777777" w:rsidR="008162F3" w:rsidRPr="00C87A7D" w:rsidRDefault="008162F3" w:rsidP="008162F3">
            <w:pPr>
              <w:rPr>
                <w:rFonts w:ascii="Arial" w:hAnsi="Arial" w:cs="Arial"/>
                <w:sz w:val="22"/>
                <w:szCs w:val="22"/>
              </w:rPr>
            </w:pPr>
            <w:r w:rsidRPr="00C87A7D">
              <w:rPr>
                <w:rFonts w:ascii="Arial" w:hAnsi="Arial" w:cs="Arial"/>
                <w:sz w:val="22"/>
                <w:szCs w:val="22"/>
              </w:rPr>
              <w:t>We would support this indicator. This information is not currently available but could certainly help in ensuring quality assurance.</w:t>
            </w:r>
          </w:p>
        </w:tc>
        <w:tc>
          <w:tcPr>
            <w:tcW w:w="1191" w:type="pct"/>
          </w:tcPr>
          <w:p w14:paraId="61C7F1DB" w14:textId="6BEDF5BF" w:rsidR="008162F3" w:rsidRPr="00C87A7D" w:rsidRDefault="008162F3" w:rsidP="008162F3">
            <w:pPr>
              <w:rPr>
                <w:rFonts w:ascii="Arial" w:hAnsi="Arial" w:cs="Arial"/>
                <w:sz w:val="22"/>
                <w:szCs w:val="22"/>
              </w:rPr>
            </w:pPr>
            <w:r w:rsidRPr="004C69E1">
              <w:rPr>
                <w:rFonts w:ascii="Arial" w:hAnsi="Arial" w:cs="Arial"/>
                <w:sz w:val="22"/>
                <w:szCs w:val="22"/>
              </w:rPr>
              <w:t>Thank you for your comment. The June 2021 Indicator Advisory Committee noted that, significant changes have been made to the national eye screening programme and questioned whether this indicator is still needed. Further work will be carried out to clarify any indicators still required.</w:t>
            </w:r>
          </w:p>
        </w:tc>
      </w:tr>
      <w:tr w:rsidR="008162F3" w:rsidRPr="00C87A7D" w14:paraId="6F93C363" w14:textId="4E963AA5" w:rsidTr="00B929DA">
        <w:trPr>
          <w:cantSplit/>
        </w:trPr>
        <w:tc>
          <w:tcPr>
            <w:tcW w:w="201" w:type="pct"/>
            <w:tcBorders>
              <w:bottom w:val="single" w:sz="4" w:space="0" w:color="000000"/>
            </w:tcBorders>
            <w:vAlign w:val="center"/>
          </w:tcPr>
          <w:p w14:paraId="7EBFD143" w14:textId="4CB8FF19" w:rsidR="008162F3" w:rsidRPr="0008363D" w:rsidRDefault="008162F3" w:rsidP="008162F3">
            <w:pPr>
              <w:rPr>
                <w:rFonts w:ascii="Arial" w:hAnsi="Arial" w:cs="Arial"/>
                <w:bCs/>
                <w:sz w:val="22"/>
                <w:szCs w:val="22"/>
              </w:rPr>
            </w:pPr>
            <w:r w:rsidRPr="0008363D">
              <w:rPr>
                <w:rFonts w:ascii="Arial" w:hAnsi="Arial" w:cs="Arial"/>
                <w:bCs/>
                <w:sz w:val="22"/>
                <w:szCs w:val="22"/>
              </w:rPr>
              <w:lastRenderedPageBreak/>
              <w:t>45</w:t>
            </w:r>
          </w:p>
        </w:tc>
        <w:tc>
          <w:tcPr>
            <w:tcW w:w="619" w:type="pct"/>
            <w:tcBorders>
              <w:bottom w:val="single" w:sz="4" w:space="0" w:color="000000"/>
            </w:tcBorders>
            <w:vAlign w:val="center"/>
          </w:tcPr>
          <w:p w14:paraId="1FCBE124" w14:textId="77777777" w:rsidR="008162F3" w:rsidRPr="00D74341" w:rsidRDefault="008162F3" w:rsidP="008162F3">
            <w:pPr>
              <w:rPr>
                <w:rFonts w:ascii="Arial" w:hAnsi="Arial" w:cs="Arial"/>
                <w:bCs/>
                <w:sz w:val="22"/>
                <w:szCs w:val="22"/>
              </w:rPr>
            </w:pPr>
            <w:r w:rsidRPr="00D74341">
              <w:rPr>
                <w:rFonts w:ascii="Arial" w:hAnsi="Arial" w:cs="Arial"/>
                <w:bCs/>
                <w:sz w:val="22"/>
                <w:szCs w:val="22"/>
              </w:rPr>
              <w:t>NHS South Sefton CCG</w:t>
            </w:r>
          </w:p>
        </w:tc>
        <w:tc>
          <w:tcPr>
            <w:tcW w:w="2989" w:type="pct"/>
            <w:tcBorders>
              <w:bottom w:val="single" w:sz="4" w:space="0" w:color="000000"/>
            </w:tcBorders>
            <w:vAlign w:val="center"/>
          </w:tcPr>
          <w:p w14:paraId="6B88E7D6" w14:textId="14B66086" w:rsidR="008162F3" w:rsidRPr="00C87A7D" w:rsidRDefault="008162F3" w:rsidP="008162F3">
            <w:pPr>
              <w:pStyle w:val="ListParagraph"/>
              <w:numPr>
                <w:ilvl w:val="0"/>
                <w:numId w:val="36"/>
              </w:numPr>
              <w:rPr>
                <w:rFonts w:ascii="Arial" w:hAnsi="Arial" w:cs="Arial"/>
                <w:sz w:val="22"/>
                <w:szCs w:val="22"/>
              </w:rPr>
            </w:pPr>
            <w:r w:rsidRPr="00C87A7D">
              <w:rPr>
                <w:rFonts w:ascii="Arial" w:hAnsi="Arial" w:cs="Arial"/>
                <w:sz w:val="22"/>
                <w:szCs w:val="22"/>
              </w:rPr>
              <w:t xml:space="preserve">The number recorded as being suspended appropriately from diabetic eye screening could depend on the provider receiving relevant information from the treating eye unit/hospital ophthalmology </w:t>
            </w:r>
            <w:r w:rsidR="002E7A92" w:rsidRPr="00C87A7D">
              <w:rPr>
                <w:rFonts w:ascii="Arial" w:hAnsi="Arial" w:cs="Arial"/>
                <w:sz w:val="22"/>
                <w:szCs w:val="22"/>
              </w:rPr>
              <w:t>department,</w:t>
            </w:r>
            <w:r w:rsidRPr="00C87A7D">
              <w:rPr>
                <w:rFonts w:ascii="Arial" w:hAnsi="Arial" w:cs="Arial"/>
                <w:sz w:val="22"/>
                <w:szCs w:val="22"/>
              </w:rPr>
              <w:t xml:space="preserve"> but it would help to identify variation between units and screening areas.   </w:t>
            </w:r>
          </w:p>
          <w:p w14:paraId="7E32DAB3" w14:textId="119DCF64" w:rsidR="008162F3" w:rsidRPr="00C87A7D" w:rsidRDefault="008162F3" w:rsidP="008162F3">
            <w:pPr>
              <w:pStyle w:val="ListParagraph"/>
              <w:numPr>
                <w:ilvl w:val="0"/>
                <w:numId w:val="36"/>
              </w:numPr>
              <w:rPr>
                <w:rFonts w:ascii="Arial" w:hAnsi="Arial" w:cs="Arial"/>
                <w:sz w:val="22"/>
                <w:szCs w:val="22"/>
              </w:rPr>
            </w:pPr>
            <w:r w:rsidRPr="00C87A7D">
              <w:rPr>
                <w:rFonts w:ascii="Arial" w:hAnsi="Arial" w:cs="Arial"/>
                <w:sz w:val="22"/>
                <w:szCs w:val="22"/>
              </w:rPr>
              <w:t xml:space="preserve">If implemented correctly it might reduce the number of patients being invited for eye screening </w:t>
            </w:r>
            <w:proofErr w:type="gramStart"/>
            <w:r w:rsidRPr="00C87A7D">
              <w:rPr>
                <w:rFonts w:ascii="Arial" w:hAnsi="Arial" w:cs="Arial"/>
                <w:sz w:val="22"/>
                <w:szCs w:val="22"/>
              </w:rPr>
              <w:t xml:space="preserve">when in </w:t>
            </w:r>
            <w:r w:rsidR="002E7A92" w:rsidRPr="00C87A7D">
              <w:rPr>
                <w:rFonts w:ascii="Arial" w:hAnsi="Arial" w:cs="Arial"/>
                <w:sz w:val="22"/>
                <w:szCs w:val="22"/>
              </w:rPr>
              <w:t>reality,</w:t>
            </w:r>
            <w:r w:rsidRPr="00C87A7D">
              <w:rPr>
                <w:rFonts w:ascii="Arial" w:hAnsi="Arial" w:cs="Arial"/>
                <w:sz w:val="22"/>
                <w:szCs w:val="22"/>
              </w:rPr>
              <w:t xml:space="preserve"> they</w:t>
            </w:r>
            <w:proofErr w:type="gramEnd"/>
            <w:r w:rsidRPr="00C87A7D">
              <w:rPr>
                <w:rFonts w:ascii="Arial" w:hAnsi="Arial" w:cs="Arial"/>
                <w:sz w:val="22"/>
                <w:szCs w:val="22"/>
              </w:rPr>
              <w:t xml:space="preserve"> have been suspended whilst undergoing treatment and the screening provider has not been informed. This could reduce the number of appointments that individuals are asked to attend and improve patient flow for the service</w:t>
            </w:r>
          </w:p>
          <w:p w14:paraId="7FFCFCD6" w14:textId="77777777" w:rsidR="008162F3" w:rsidRPr="00C87A7D" w:rsidRDefault="008162F3" w:rsidP="008162F3">
            <w:pPr>
              <w:pStyle w:val="ListParagraph"/>
              <w:numPr>
                <w:ilvl w:val="0"/>
                <w:numId w:val="36"/>
              </w:numPr>
              <w:rPr>
                <w:rFonts w:ascii="Arial" w:hAnsi="Arial" w:cs="Arial"/>
                <w:sz w:val="22"/>
                <w:szCs w:val="22"/>
              </w:rPr>
            </w:pPr>
            <w:r w:rsidRPr="00C87A7D">
              <w:rPr>
                <w:rFonts w:ascii="Arial" w:hAnsi="Arial" w:cs="Arial"/>
                <w:sz w:val="22"/>
                <w:szCs w:val="22"/>
              </w:rPr>
              <w:t>It is difficult to assess.</w:t>
            </w:r>
          </w:p>
          <w:p w14:paraId="277C88AB" w14:textId="1A17C11F" w:rsidR="008162F3" w:rsidRPr="00C87A7D" w:rsidRDefault="008162F3" w:rsidP="008162F3">
            <w:pPr>
              <w:pStyle w:val="ListParagraph"/>
              <w:numPr>
                <w:ilvl w:val="0"/>
                <w:numId w:val="36"/>
              </w:numPr>
              <w:rPr>
                <w:rFonts w:ascii="Arial" w:hAnsi="Arial" w:cs="Arial"/>
                <w:sz w:val="22"/>
                <w:szCs w:val="22"/>
              </w:rPr>
            </w:pPr>
            <w:r w:rsidRPr="00C87A7D">
              <w:rPr>
                <w:rFonts w:ascii="Arial" w:hAnsi="Arial" w:cs="Arial"/>
                <w:sz w:val="22"/>
                <w:szCs w:val="22"/>
              </w:rPr>
              <w:t xml:space="preserve">The only potential adverse impact could arise once the treatment has been completed and the suspension </w:t>
            </w:r>
            <w:r w:rsidR="002E7A92" w:rsidRPr="00C87A7D">
              <w:rPr>
                <w:rFonts w:ascii="Arial" w:hAnsi="Arial" w:cs="Arial"/>
                <w:sz w:val="22"/>
                <w:szCs w:val="22"/>
              </w:rPr>
              <w:t>completed,</w:t>
            </w:r>
            <w:r w:rsidRPr="00C87A7D">
              <w:rPr>
                <w:rFonts w:ascii="Arial" w:hAnsi="Arial" w:cs="Arial"/>
                <w:sz w:val="22"/>
                <w:szCs w:val="22"/>
              </w:rPr>
              <w:t xml:space="preserve"> and the individual re-joins the screening programme. This again relies upon clear communication which may be problematic for different groups such as those who do not have English as their first language</w:t>
            </w:r>
            <w:r>
              <w:rPr>
                <w:rFonts w:ascii="Arial" w:hAnsi="Arial" w:cs="Arial"/>
                <w:sz w:val="22"/>
                <w:szCs w:val="22"/>
              </w:rPr>
              <w:t xml:space="preserve">. </w:t>
            </w:r>
          </w:p>
        </w:tc>
        <w:tc>
          <w:tcPr>
            <w:tcW w:w="1191" w:type="pct"/>
            <w:tcBorders>
              <w:bottom w:val="single" w:sz="4" w:space="0" w:color="000000"/>
            </w:tcBorders>
          </w:tcPr>
          <w:p w14:paraId="7454AED8" w14:textId="1600726C" w:rsidR="008162F3" w:rsidRPr="004C69E1" w:rsidRDefault="008162F3" w:rsidP="008162F3">
            <w:pPr>
              <w:rPr>
                <w:rFonts w:ascii="Arial" w:hAnsi="Arial" w:cs="Arial"/>
                <w:sz w:val="22"/>
                <w:szCs w:val="22"/>
              </w:rPr>
            </w:pPr>
            <w:r w:rsidRPr="004C69E1">
              <w:rPr>
                <w:rFonts w:ascii="Arial" w:hAnsi="Arial" w:cs="Arial"/>
                <w:sz w:val="22"/>
                <w:szCs w:val="22"/>
              </w:rPr>
              <w:t>Thank you for your comment. The June 2021 Indicator Advisory Committee noted that, significant changes have been made to the national eye screening programme and questioned whether this indicator is still needed. Further work will be carried out to clarify any indicators still required.</w:t>
            </w:r>
          </w:p>
        </w:tc>
      </w:tr>
    </w:tbl>
    <w:p w14:paraId="2E30D429" w14:textId="0110A462" w:rsidR="0008363D" w:rsidRPr="003C42C4" w:rsidRDefault="007C6C58" w:rsidP="001D2773">
      <w:pPr>
        <w:pStyle w:val="Heading2"/>
      </w:pPr>
      <w:r w:rsidRPr="003C42C4">
        <w:t>Indicator 2020-100</w:t>
      </w:r>
    </w:p>
    <w:p w14:paraId="767EE3AB" w14:textId="7B317180" w:rsidR="007C6C58" w:rsidRPr="007C6C58" w:rsidRDefault="007C6C58" w:rsidP="002B0C24">
      <w:pPr>
        <w:pStyle w:val="Paragraph"/>
        <w:rPr>
          <w:rFonts w:cs="Arial"/>
          <w:bCs/>
          <w:color w:val="000000"/>
          <w:sz w:val="22"/>
          <w:szCs w:val="22"/>
        </w:rPr>
      </w:pPr>
      <w:r w:rsidRPr="007C6C58">
        <w:rPr>
          <w:rFonts w:cs="Arial"/>
          <w:bCs/>
          <w:color w:val="000000"/>
          <w:sz w:val="22"/>
          <w:szCs w:val="22"/>
        </w:rPr>
        <w:t>No comments.</w:t>
      </w:r>
    </w:p>
    <w:p w14:paraId="12980F43" w14:textId="0E30CC0C" w:rsidR="007C6C58" w:rsidRPr="007C6C58" w:rsidRDefault="007C6C58" w:rsidP="002B0C24">
      <w:pPr>
        <w:pStyle w:val="Paragraph"/>
        <w:rPr>
          <w:bCs/>
        </w:rPr>
        <w:sectPr w:rsidR="007C6C58" w:rsidRPr="007C6C58" w:rsidSect="008E56A4">
          <w:pgSz w:w="16840" w:h="11907" w:orient="landscape" w:code="9"/>
          <w:pgMar w:top="1797" w:right="1440" w:bottom="1797" w:left="1440" w:header="709" w:footer="709" w:gutter="0"/>
          <w:cols w:space="708"/>
          <w:docGrid w:linePitch="360"/>
        </w:sectPr>
      </w:pPr>
      <w:r>
        <w:rPr>
          <w:rFonts w:cs="Arial"/>
          <w:b/>
          <w:color w:val="000000"/>
          <w:sz w:val="22"/>
          <w:szCs w:val="22"/>
        </w:rPr>
        <w:br/>
      </w:r>
    </w:p>
    <w:p w14:paraId="609D2BF7" w14:textId="0A302EED" w:rsidR="00ED6AAF" w:rsidRDefault="00ED6AAF" w:rsidP="00DF514B">
      <w:pPr>
        <w:pStyle w:val="Numberedheading1"/>
      </w:pPr>
      <w:bookmarkStart w:id="21" w:name="_Toc72843431"/>
      <w:r>
        <w:lastRenderedPageBreak/>
        <w:t>Appendix B: Equality impact assessment</w:t>
      </w:r>
      <w:bookmarkEnd w:id="21"/>
      <w:r>
        <w:t xml:space="preserve"> </w:t>
      </w:r>
      <w:bookmarkEnd w:id="16"/>
    </w:p>
    <w:p w14:paraId="6341EE2E" w14:textId="77777777" w:rsidR="001D2773" w:rsidRPr="003C42C4" w:rsidRDefault="001D2773" w:rsidP="00DF514B">
      <w:pPr>
        <w:pStyle w:val="Heading2"/>
      </w:pPr>
      <w:r w:rsidRPr="003C42C4">
        <w:t>Protected characteristics</w:t>
      </w:r>
    </w:p>
    <w:p w14:paraId="735B590A" w14:textId="77777777" w:rsidR="001D2773" w:rsidRPr="001D2773" w:rsidRDefault="001D2773" w:rsidP="001D2773">
      <w:pPr>
        <w:pStyle w:val="Tabletext"/>
        <w:numPr>
          <w:ilvl w:val="0"/>
          <w:numId w:val="49"/>
        </w:numPr>
        <w:rPr>
          <w:rFonts w:cs="Arial"/>
          <w:szCs w:val="22"/>
        </w:rPr>
      </w:pPr>
      <w:r w:rsidRPr="001D2773">
        <w:rPr>
          <w:rFonts w:cs="Arial"/>
          <w:szCs w:val="22"/>
        </w:rPr>
        <w:t>Age</w:t>
      </w:r>
    </w:p>
    <w:p w14:paraId="1273B7EA" w14:textId="77777777" w:rsidR="001D2773" w:rsidRPr="001D2773" w:rsidRDefault="001D2773" w:rsidP="001D2773">
      <w:pPr>
        <w:pStyle w:val="Tabletext"/>
        <w:numPr>
          <w:ilvl w:val="0"/>
          <w:numId w:val="49"/>
        </w:numPr>
        <w:rPr>
          <w:rFonts w:cs="Arial"/>
          <w:szCs w:val="22"/>
        </w:rPr>
      </w:pPr>
      <w:r w:rsidRPr="001D2773">
        <w:rPr>
          <w:rFonts w:cs="Arial"/>
          <w:szCs w:val="22"/>
        </w:rPr>
        <w:t>Disability</w:t>
      </w:r>
    </w:p>
    <w:p w14:paraId="7C635968" w14:textId="77777777" w:rsidR="001D2773" w:rsidRPr="001D2773" w:rsidRDefault="001D2773" w:rsidP="001D2773">
      <w:pPr>
        <w:pStyle w:val="Tabletext"/>
        <w:numPr>
          <w:ilvl w:val="0"/>
          <w:numId w:val="49"/>
        </w:numPr>
        <w:rPr>
          <w:rFonts w:cs="Arial"/>
          <w:szCs w:val="22"/>
        </w:rPr>
      </w:pPr>
      <w:r w:rsidRPr="001D2773">
        <w:rPr>
          <w:rFonts w:cs="Arial"/>
          <w:szCs w:val="22"/>
        </w:rPr>
        <w:t>Gender reassignment</w:t>
      </w:r>
    </w:p>
    <w:p w14:paraId="0A69DCFA" w14:textId="77777777" w:rsidR="001D2773" w:rsidRPr="001D2773" w:rsidRDefault="001D2773" w:rsidP="001D2773">
      <w:pPr>
        <w:pStyle w:val="Tabletext"/>
        <w:numPr>
          <w:ilvl w:val="0"/>
          <w:numId w:val="49"/>
        </w:numPr>
        <w:rPr>
          <w:rFonts w:cs="Arial"/>
          <w:szCs w:val="22"/>
        </w:rPr>
      </w:pPr>
      <w:r w:rsidRPr="001D2773">
        <w:rPr>
          <w:rFonts w:cs="Arial"/>
          <w:szCs w:val="22"/>
        </w:rPr>
        <w:t>Pregnancy and maternity</w:t>
      </w:r>
    </w:p>
    <w:p w14:paraId="1A4F0F68" w14:textId="77777777" w:rsidR="001D2773" w:rsidRPr="001D2773" w:rsidRDefault="001D2773" w:rsidP="001D2773">
      <w:pPr>
        <w:pStyle w:val="Tabletext"/>
        <w:numPr>
          <w:ilvl w:val="0"/>
          <w:numId w:val="49"/>
        </w:numPr>
        <w:rPr>
          <w:rFonts w:cs="Arial"/>
          <w:szCs w:val="22"/>
        </w:rPr>
      </w:pPr>
      <w:r w:rsidRPr="001D2773">
        <w:rPr>
          <w:rFonts w:cs="Arial"/>
          <w:szCs w:val="22"/>
        </w:rPr>
        <w:t>Race</w:t>
      </w:r>
    </w:p>
    <w:p w14:paraId="660EBF2D" w14:textId="77777777" w:rsidR="001D2773" w:rsidRPr="001D2773" w:rsidRDefault="001D2773" w:rsidP="001D2773">
      <w:pPr>
        <w:pStyle w:val="Tabletext"/>
        <w:numPr>
          <w:ilvl w:val="0"/>
          <w:numId w:val="49"/>
        </w:numPr>
        <w:rPr>
          <w:rFonts w:cs="Arial"/>
          <w:szCs w:val="22"/>
        </w:rPr>
      </w:pPr>
      <w:r w:rsidRPr="001D2773">
        <w:rPr>
          <w:rFonts w:cs="Arial"/>
          <w:szCs w:val="22"/>
        </w:rPr>
        <w:t xml:space="preserve">Religion or belief </w:t>
      </w:r>
    </w:p>
    <w:p w14:paraId="4DE96257" w14:textId="77777777" w:rsidR="001D2773" w:rsidRPr="001D2773" w:rsidRDefault="001D2773" w:rsidP="001D2773">
      <w:pPr>
        <w:pStyle w:val="Tabletext"/>
        <w:numPr>
          <w:ilvl w:val="0"/>
          <w:numId w:val="49"/>
        </w:numPr>
        <w:rPr>
          <w:rFonts w:cs="Arial"/>
          <w:szCs w:val="22"/>
        </w:rPr>
      </w:pPr>
      <w:r w:rsidRPr="001D2773">
        <w:rPr>
          <w:rFonts w:cs="Arial"/>
          <w:szCs w:val="22"/>
        </w:rPr>
        <w:t>Sex</w:t>
      </w:r>
    </w:p>
    <w:p w14:paraId="5E920DF6" w14:textId="5BED1F8B" w:rsidR="001D2773" w:rsidRPr="001D2773" w:rsidRDefault="001D2773" w:rsidP="001D2773">
      <w:pPr>
        <w:pStyle w:val="Tabletext"/>
        <w:numPr>
          <w:ilvl w:val="0"/>
          <w:numId w:val="49"/>
        </w:numPr>
        <w:rPr>
          <w:rFonts w:cs="Arial"/>
          <w:szCs w:val="22"/>
        </w:rPr>
      </w:pPr>
      <w:r w:rsidRPr="001D2773">
        <w:rPr>
          <w:rFonts w:cs="Arial"/>
          <w:szCs w:val="22"/>
        </w:rPr>
        <w:t>Sexual orientation</w:t>
      </w:r>
    </w:p>
    <w:p w14:paraId="32DFF04A" w14:textId="541203B9" w:rsidR="001D2773" w:rsidRPr="001D2773" w:rsidRDefault="001D2773" w:rsidP="001D2773">
      <w:pPr>
        <w:pStyle w:val="Tabletext"/>
        <w:rPr>
          <w:rFonts w:cs="Arial"/>
          <w:szCs w:val="22"/>
        </w:rPr>
      </w:pPr>
    </w:p>
    <w:p w14:paraId="4652F77B" w14:textId="77777777" w:rsidR="001D2773" w:rsidRPr="003C42C4" w:rsidRDefault="001D2773" w:rsidP="001D2773">
      <w:pPr>
        <w:pStyle w:val="Tabletext"/>
        <w:rPr>
          <w:rFonts w:cs="Arial"/>
          <w:b/>
          <w:szCs w:val="22"/>
        </w:rPr>
      </w:pPr>
      <w:r w:rsidRPr="003C42C4">
        <w:rPr>
          <w:rStyle w:val="Heading2Char"/>
        </w:rPr>
        <w:t>Note</w:t>
      </w:r>
      <w:r w:rsidRPr="003C42C4">
        <w:rPr>
          <w:rFonts w:cs="Arial"/>
          <w:b/>
          <w:szCs w:val="22"/>
        </w:rPr>
        <w:t>:</w:t>
      </w:r>
    </w:p>
    <w:p w14:paraId="77ED0E89" w14:textId="77777777" w:rsidR="001D2773" w:rsidRPr="001D2773" w:rsidRDefault="001D2773" w:rsidP="001D2773">
      <w:pPr>
        <w:pStyle w:val="Tabletext"/>
        <w:rPr>
          <w:rFonts w:cs="Arial"/>
          <w:szCs w:val="22"/>
        </w:rPr>
      </w:pPr>
      <w:r w:rsidRPr="001D2773">
        <w:rPr>
          <w:rFonts w:cs="Arial"/>
          <w:szCs w:val="22"/>
        </w:rPr>
        <w:t>1) The characteristic of marriage and civil partnership is protected only from unlawful discrimination. There is no legal requirement to consider the need to advance equality and foster good relations.</w:t>
      </w:r>
    </w:p>
    <w:p w14:paraId="73775B95" w14:textId="618D5C91" w:rsidR="001D2773" w:rsidRPr="001D2773" w:rsidRDefault="001D2773" w:rsidP="001D2773">
      <w:pPr>
        <w:pStyle w:val="Tabletext"/>
        <w:rPr>
          <w:rFonts w:cs="Arial"/>
          <w:szCs w:val="22"/>
        </w:rPr>
      </w:pPr>
      <w:r w:rsidRPr="001D2773">
        <w:rPr>
          <w:rFonts w:cs="Arial"/>
          <w:szCs w:val="22"/>
        </w:rPr>
        <w:t xml:space="preserve">2) The definition of direct discrimination includes less </w:t>
      </w:r>
      <w:proofErr w:type="spellStart"/>
      <w:r w:rsidRPr="001D2773">
        <w:rPr>
          <w:rFonts w:cs="Arial"/>
          <w:szCs w:val="22"/>
        </w:rPr>
        <w:t>favourable</w:t>
      </w:r>
      <w:proofErr w:type="spellEnd"/>
      <w:r w:rsidRPr="001D2773">
        <w:rPr>
          <w:rFonts w:cs="Arial"/>
          <w:szCs w:val="22"/>
        </w:rPr>
        <w:t xml:space="preserve"> treatment of someone associated with a person with a protected characteristic, such as the </w:t>
      </w:r>
      <w:proofErr w:type="spellStart"/>
      <w:r w:rsidRPr="001D2773">
        <w:rPr>
          <w:rFonts w:cs="Arial"/>
          <w:szCs w:val="22"/>
        </w:rPr>
        <w:t>carer</w:t>
      </w:r>
      <w:proofErr w:type="spellEnd"/>
      <w:r w:rsidRPr="001D2773">
        <w:rPr>
          <w:rFonts w:cs="Arial"/>
          <w:szCs w:val="22"/>
        </w:rPr>
        <w:t xml:space="preserve"> of a disabled person.</w:t>
      </w:r>
    </w:p>
    <w:p w14:paraId="5E24CA0A" w14:textId="4467D014" w:rsidR="001D2773" w:rsidRPr="003C42C4" w:rsidRDefault="001D2773" w:rsidP="00DF514B">
      <w:pPr>
        <w:pStyle w:val="Heading2"/>
      </w:pPr>
      <w:r w:rsidRPr="003C42C4">
        <w:t>Socioeconomic factors</w:t>
      </w:r>
    </w:p>
    <w:p w14:paraId="5D7A96B1" w14:textId="2B73D148" w:rsidR="001D2773" w:rsidRPr="001D2773" w:rsidRDefault="001D2773" w:rsidP="001D2773">
      <w:pPr>
        <w:pStyle w:val="Paragraph"/>
        <w:rPr>
          <w:rFonts w:cs="Arial"/>
          <w:sz w:val="22"/>
          <w:szCs w:val="22"/>
        </w:rPr>
      </w:pPr>
      <w:r w:rsidRPr="001D2773">
        <w:rPr>
          <w:rFonts w:cs="Arial"/>
          <w:sz w:val="22"/>
          <w:szCs w:val="22"/>
        </w:rPr>
        <w:t xml:space="preserve">The relevance and nature of socioeconomic factors will vary according to the quality standard topic. They may include deprivation and disadvantage associated with </w:t>
      </w:r>
      <w:proofErr w:type="gramStart"/>
      <w:r w:rsidRPr="001D2773">
        <w:rPr>
          <w:rFonts w:cs="Arial"/>
          <w:sz w:val="22"/>
          <w:szCs w:val="22"/>
        </w:rPr>
        <w:t>particular geographical</w:t>
      </w:r>
      <w:proofErr w:type="gramEnd"/>
      <w:r w:rsidRPr="001D2773">
        <w:rPr>
          <w:rFonts w:cs="Arial"/>
          <w:sz w:val="22"/>
          <w:szCs w:val="22"/>
        </w:rPr>
        <w:t xml:space="preserve"> areas, or other geographical distinctions (for example, urban versus rural).</w:t>
      </w:r>
    </w:p>
    <w:p w14:paraId="3EFCE3DF" w14:textId="06BEB902" w:rsidR="003C42C4" w:rsidRPr="003C42C4" w:rsidRDefault="001D2773" w:rsidP="003C42C4">
      <w:pPr>
        <w:pStyle w:val="Heading2"/>
      </w:pPr>
      <w:r w:rsidRPr="003C42C4">
        <w:t>Other definable characteristics</w:t>
      </w:r>
    </w:p>
    <w:p w14:paraId="48351E35" w14:textId="77777777" w:rsidR="001D2773" w:rsidRPr="001D2773" w:rsidRDefault="001D2773" w:rsidP="001D2773">
      <w:pPr>
        <w:pStyle w:val="Tabletext"/>
        <w:rPr>
          <w:rFonts w:cs="Arial"/>
          <w:szCs w:val="22"/>
        </w:rPr>
      </w:pPr>
      <w:r w:rsidRPr="001D2773">
        <w:rPr>
          <w:rFonts w:cs="Arial"/>
          <w:szCs w:val="22"/>
        </w:rPr>
        <w:t>Certain groups in the population experience poor health because of circumstances distinct from – though often affected by – sharing a protected characteristic or socioeconomic factors. The defining characteristics of groups of this sort will emerge from the evidence (although a quality standard topic will sometimes explicitly cover such a group). Examples of groups identified are:</w:t>
      </w:r>
    </w:p>
    <w:p w14:paraId="38D4BCEF" w14:textId="77777777" w:rsidR="001D2773" w:rsidRPr="001D2773" w:rsidRDefault="001D2773" w:rsidP="001D2773">
      <w:pPr>
        <w:keepNext/>
        <w:numPr>
          <w:ilvl w:val="0"/>
          <w:numId w:val="27"/>
        </w:numPr>
        <w:tabs>
          <w:tab w:val="left" w:pos="313"/>
        </w:tabs>
        <w:spacing w:after="60"/>
        <w:ind w:left="313"/>
        <w:rPr>
          <w:rFonts w:ascii="Arial" w:hAnsi="Arial" w:cs="Arial"/>
          <w:sz w:val="22"/>
          <w:szCs w:val="22"/>
        </w:rPr>
      </w:pPr>
      <w:r w:rsidRPr="001D2773">
        <w:rPr>
          <w:rFonts w:ascii="Arial" w:hAnsi="Arial" w:cs="Arial"/>
          <w:sz w:val="22"/>
          <w:szCs w:val="22"/>
        </w:rPr>
        <w:t>looked-after children</w:t>
      </w:r>
    </w:p>
    <w:p w14:paraId="3D68050B" w14:textId="77777777" w:rsidR="001D2773" w:rsidRPr="001D2773" w:rsidRDefault="001D2773" w:rsidP="001D2773">
      <w:pPr>
        <w:keepNext/>
        <w:numPr>
          <w:ilvl w:val="0"/>
          <w:numId w:val="27"/>
        </w:numPr>
        <w:tabs>
          <w:tab w:val="left" w:pos="313"/>
        </w:tabs>
        <w:spacing w:after="60"/>
        <w:ind w:left="313"/>
        <w:rPr>
          <w:rFonts w:ascii="Arial" w:hAnsi="Arial" w:cs="Arial"/>
          <w:sz w:val="22"/>
          <w:szCs w:val="22"/>
        </w:rPr>
      </w:pPr>
      <w:r w:rsidRPr="001D2773">
        <w:rPr>
          <w:rFonts w:ascii="Arial" w:hAnsi="Arial" w:cs="Arial"/>
          <w:sz w:val="22"/>
          <w:szCs w:val="22"/>
        </w:rPr>
        <w:t>people who are homeless</w:t>
      </w:r>
    </w:p>
    <w:p w14:paraId="1F7E7798" w14:textId="251FC153" w:rsidR="001D2773" w:rsidRPr="001D2773" w:rsidRDefault="001D2773" w:rsidP="001D2773">
      <w:pPr>
        <w:keepNext/>
        <w:numPr>
          <w:ilvl w:val="0"/>
          <w:numId w:val="27"/>
        </w:numPr>
        <w:tabs>
          <w:tab w:val="left" w:pos="313"/>
        </w:tabs>
        <w:spacing w:after="60"/>
        <w:ind w:left="313"/>
        <w:rPr>
          <w:rFonts w:ascii="Arial" w:hAnsi="Arial" w:cs="Arial"/>
          <w:sz w:val="22"/>
          <w:szCs w:val="22"/>
        </w:rPr>
      </w:pPr>
      <w:r w:rsidRPr="001D2773">
        <w:rPr>
          <w:rFonts w:ascii="Arial" w:hAnsi="Arial" w:cs="Arial"/>
          <w:sz w:val="22"/>
          <w:szCs w:val="22"/>
        </w:rPr>
        <w:t>prisoners and young offenders.</w:t>
      </w:r>
    </w:p>
    <w:p w14:paraId="244132DA" w14:textId="74488FB6" w:rsidR="001D2773" w:rsidRDefault="001D2773" w:rsidP="001D2773">
      <w:pPr>
        <w:pStyle w:val="Paragraph"/>
      </w:pPr>
    </w:p>
    <w:p w14:paraId="1EBE3400" w14:textId="77777777" w:rsidR="001D2773" w:rsidRPr="001D2773" w:rsidRDefault="001D2773" w:rsidP="001D2773">
      <w:pPr>
        <w:pStyle w:val="Paragraph"/>
      </w:pPr>
    </w:p>
    <w:p w14:paraId="32A4FE8E" w14:textId="77777777" w:rsidR="00FE7F98" w:rsidRPr="00FE7F98" w:rsidRDefault="00FE7F98" w:rsidP="00FE7F98">
      <w:pPr>
        <w:pStyle w:val="Paragraph"/>
      </w:pPr>
    </w:p>
    <w:p w14:paraId="0F3FBB58" w14:textId="6DAE140F" w:rsidR="00ED6AAF" w:rsidRPr="002D58EA" w:rsidRDefault="00ED6AAF" w:rsidP="00DF514B">
      <w:pPr>
        <w:pStyle w:val="Numberedheading1"/>
      </w:pPr>
      <w:r w:rsidRPr="00580A46">
        <w:br w:type="page"/>
      </w:r>
      <w:bookmarkStart w:id="22" w:name="_Toc416345680"/>
      <w:bookmarkStart w:id="23" w:name="_Toc416346778"/>
      <w:bookmarkStart w:id="24" w:name="_Toc416688932"/>
      <w:bookmarkStart w:id="25" w:name="_Toc416689021"/>
      <w:bookmarkStart w:id="26" w:name="_Toc416700780"/>
      <w:bookmarkStart w:id="27" w:name="_Toc418246142"/>
      <w:bookmarkStart w:id="28" w:name="_Toc445803406"/>
      <w:bookmarkStart w:id="29" w:name="_Toc447808193"/>
      <w:bookmarkStart w:id="30" w:name="_Toc449420797"/>
      <w:bookmarkStart w:id="31" w:name="_Toc450914106"/>
      <w:r w:rsidRPr="00AD3BCE">
        <w:lastRenderedPageBreak/>
        <w:t xml:space="preserve">Indicator Equality Impact Assessment </w:t>
      </w:r>
      <w:bookmarkEnd w:id="22"/>
      <w:bookmarkEnd w:id="23"/>
      <w:bookmarkEnd w:id="24"/>
      <w:bookmarkEnd w:id="25"/>
      <w:bookmarkEnd w:id="26"/>
      <w:bookmarkEnd w:id="27"/>
      <w:bookmarkEnd w:id="28"/>
      <w:bookmarkEnd w:id="29"/>
      <w:bookmarkEnd w:id="30"/>
      <w:bookmarkEnd w:id="31"/>
    </w:p>
    <w:p w14:paraId="1B02DF1D" w14:textId="77777777" w:rsidR="00ED6AAF" w:rsidRPr="002D58EA" w:rsidRDefault="00ED6AAF" w:rsidP="00F63D66">
      <w:pPr>
        <w:pStyle w:val="Paragraphnonumbers"/>
        <w:spacing w:line="240" w:lineRule="auto"/>
      </w:pPr>
      <w:bookmarkStart w:id="32" w:name="_Toc416345681"/>
      <w:bookmarkStart w:id="33" w:name="_Toc416346779"/>
      <w:bookmarkStart w:id="34" w:name="_Toc416688933"/>
      <w:bookmarkStart w:id="35" w:name="_Toc416689022"/>
      <w:bookmarkStart w:id="36" w:name="_Toc416700781"/>
      <w:bookmarkStart w:id="37" w:name="_Toc418246143"/>
      <w:bookmarkStart w:id="38" w:name="_Toc445803407"/>
      <w:bookmarkStart w:id="39" w:name="_Toc447808194"/>
      <w:bookmarkStart w:id="40" w:name="_Toc449420798"/>
      <w:bookmarkStart w:id="41" w:name="_Toc449622604"/>
      <w:bookmarkStart w:id="42" w:name="_Toc450914107"/>
      <w:r w:rsidRPr="00AD3BCE">
        <w:rPr>
          <w:b/>
        </w:rPr>
        <w:t>Development stage: Consultation</w:t>
      </w:r>
      <w:bookmarkEnd w:id="32"/>
      <w:bookmarkEnd w:id="33"/>
      <w:bookmarkEnd w:id="34"/>
      <w:bookmarkEnd w:id="35"/>
      <w:bookmarkEnd w:id="36"/>
      <w:bookmarkEnd w:id="37"/>
      <w:bookmarkEnd w:id="38"/>
      <w:bookmarkEnd w:id="39"/>
      <w:bookmarkEnd w:id="40"/>
      <w:bookmarkEnd w:id="41"/>
      <w:bookmarkEnd w:id="42"/>
    </w:p>
    <w:p w14:paraId="5836123B" w14:textId="5DF9F880" w:rsidR="00ED6AAF" w:rsidRDefault="00ED6AAF" w:rsidP="00F63D66">
      <w:pPr>
        <w:pStyle w:val="Paragraphnonumbers"/>
        <w:spacing w:line="240" w:lineRule="auto"/>
        <w:rPr>
          <w:b/>
        </w:rPr>
      </w:pPr>
      <w:bookmarkStart w:id="43" w:name="_Toc416345682"/>
      <w:bookmarkStart w:id="44" w:name="_Toc416346780"/>
      <w:bookmarkStart w:id="45" w:name="_Toc416688934"/>
      <w:bookmarkStart w:id="46" w:name="_Toc416689023"/>
      <w:bookmarkStart w:id="47" w:name="_Toc416700782"/>
      <w:bookmarkStart w:id="48" w:name="_Toc418246144"/>
      <w:bookmarkStart w:id="49" w:name="_Toc445803408"/>
      <w:bookmarkStart w:id="50" w:name="_Toc447808195"/>
      <w:bookmarkStart w:id="51" w:name="_Toc449420799"/>
      <w:bookmarkStart w:id="52" w:name="_Toc449622605"/>
      <w:bookmarkStart w:id="53" w:name="_Toc450914108"/>
      <w:r w:rsidRPr="00AD3BCE">
        <w:rPr>
          <w:b/>
        </w:rPr>
        <w:t xml:space="preserve">Topic: </w:t>
      </w:r>
      <w:bookmarkEnd w:id="43"/>
      <w:bookmarkEnd w:id="44"/>
      <w:bookmarkEnd w:id="45"/>
      <w:bookmarkEnd w:id="46"/>
      <w:bookmarkEnd w:id="47"/>
      <w:bookmarkEnd w:id="48"/>
      <w:bookmarkEnd w:id="49"/>
      <w:bookmarkEnd w:id="50"/>
      <w:bookmarkEnd w:id="51"/>
      <w:bookmarkEnd w:id="52"/>
      <w:bookmarkEnd w:id="53"/>
      <w:r w:rsidR="0008363D">
        <w:rPr>
          <w:b/>
        </w:rPr>
        <w:t>Screening indicators</w:t>
      </w:r>
    </w:p>
    <w:p w14:paraId="0EFD6B0B" w14:textId="77777777" w:rsidR="005F1882" w:rsidRPr="00B1317B" w:rsidRDefault="005F1882" w:rsidP="005F1882">
      <w:pPr>
        <w:pStyle w:val="Paragraphnonumbers"/>
        <w:numPr>
          <w:ilvl w:val="0"/>
          <w:numId w:val="50"/>
        </w:numPr>
        <w:spacing w:line="240" w:lineRule="auto"/>
        <w:rPr>
          <w:b/>
          <w:bCs/>
          <w:sz w:val="22"/>
          <w:szCs w:val="22"/>
        </w:rPr>
      </w:pPr>
      <w:r w:rsidRPr="00B1317B">
        <w:rPr>
          <w:b/>
          <w:bCs/>
          <w:sz w:val="22"/>
          <w:szCs w:val="22"/>
        </w:rPr>
        <w:t>Have any potential equality issues been identified during consultation, and, if so, what are they?</w:t>
      </w:r>
    </w:p>
    <w:p w14:paraId="4D2B795F" w14:textId="2CB8040B" w:rsidR="005F1882" w:rsidRPr="00B1317B" w:rsidRDefault="005F1882" w:rsidP="005F1882">
      <w:pPr>
        <w:pStyle w:val="Paragraphnonumbers"/>
        <w:spacing w:line="240" w:lineRule="auto"/>
        <w:rPr>
          <w:sz w:val="22"/>
          <w:szCs w:val="22"/>
        </w:rPr>
      </w:pPr>
      <w:r w:rsidRPr="00B1317B">
        <w:rPr>
          <w:sz w:val="22"/>
          <w:szCs w:val="22"/>
        </w:rPr>
        <w:t xml:space="preserve">Stakeholders commented that the indicator on repeat non-attendance for diabetic eye screening </w:t>
      </w:r>
      <w:r w:rsidRPr="00B1317B">
        <w:rPr>
          <w:rFonts w:cs="Arial"/>
          <w:sz w:val="22"/>
          <w:szCs w:val="22"/>
        </w:rPr>
        <w:t>could have an adverse effect on the elderly if they are no longer eligible or have been excluded from screening on clinical grounds, and their records have not been updated.</w:t>
      </w:r>
    </w:p>
    <w:p w14:paraId="0AED5F2D" w14:textId="6A7AB4D3" w:rsidR="005F1882" w:rsidRPr="00B1317B" w:rsidRDefault="005F1882" w:rsidP="005F1882">
      <w:pPr>
        <w:pStyle w:val="Tabletext"/>
        <w:rPr>
          <w:rFonts w:cs="Arial"/>
          <w:szCs w:val="22"/>
        </w:rPr>
      </w:pPr>
      <w:r w:rsidRPr="00B1317B">
        <w:rPr>
          <w:szCs w:val="22"/>
        </w:rPr>
        <w:t>Stakeholders also commented that there could be an issue for indicator IND2020-99 for groups where English is not their first language as</w:t>
      </w:r>
      <w:r w:rsidRPr="00B1317B">
        <w:rPr>
          <w:rFonts w:cs="Arial"/>
          <w:szCs w:val="22"/>
        </w:rPr>
        <w:t xml:space="preserve"> clear communication that an individual needs to re-join the screening </w:t>
      </w:r>
      <w:proofErr w:type="spellStart"/>
      <w:r w:rsidRPr="00B1317B">
        <w:rPr>
          <w:rFonts w:cs="Arial"/>
          <w:szCs w:val="22"/>
        </w:rPr>
        <w:t>programme</w:t>
      </w:r>
      <w:proofErr w:type="spellEnd"/>
      <w:r w:rsidRPr="00B1317B">
        <w:rPr>
          <w:rFonts w:cs="Arial"/>
          <w:szCs w:val="22"/>
        </w:rPr>
        <w:t xml:space="preserve"> when they have completed treatment is needed.</w:t>
      </w:r>
    </w:p>
    <w:p w14:paraId="007801A9" w14:textId="16E45F4D" w:rsidR="005F1882" w:rsidRPr="00B1317B" w:rsidRDefault="005F1882" w:rsidP="005F1882">
      <w:pPr>
        <w:pStyle w:val="Tabletext"/>
        <w:ind w:left="360"/>
        <w:rPr>
          <w:rFonts w:cs="Arial"/>
          <w:szCs w:val="22"/>
        </w:rPr>
      </w:pPr>
    </w:p>
    <w:p w14:paraId="5228DB93" w14:textId="2BEF32D3" w:rsidR="005F1882" w:rsidRPr="00B1317B" w:rsidRDefault="005F1882" w:rsidP="005F1882">
      <w:pPr>
        <w:pStyle w:val="Tabletext"/>
        <w:numPr>
          <w:ilvl w:val="0"/>
          <w:numId w:val="50"/>
        </w:numPr>
        <w:rPr>
          <w:rFonts w:cs="Arial"/>
          <w:b/>
          <w:bCs/>
          <w:szCs w:val="22"/>
        </w:rPr>
      </w:pPr>
      <w:r w:rsidRPr="00B1317B">
        <w:rPr>
          <w:b/>
          <w:bCs/>
          <w:szCs w:val="22"/>
        </w:rPr>
        <w:t>Have any population groups, treatments or settings been excluded from coverage by the indicators at this stage in the process. Are these exclusions justified – that is, are the reasons legitimate and the exclusion proportionate?</w:t>
      </w:r>
    </w:p>
    <w:p w14:paraId="127D84BF" w14:textId="745A60C9" w:rsidR="005F1882" w:rsidRPr="00B1317B" w:rsidRDefault="005F1882" w:rsidP="005F1882">
      <w:pPr>
        <w:pStyle w:val="Tabletext"/>
        <w:rPr>
          <w:szCs w:val="22"/>
        </w:rPr>
      </w:pPr>
    </w:p>
    <w:p w14:paraId="4A3FF136" w14:textId="2A7FD737" w:rsidR="005F1882" w:rsidRPr="00B1317B" w:rsidRDefault="005F1882" w:rsidP="005F1882">
      <w:pPr>
        <w:pStyle w:val="Tabletext"/>
        <w:rPr>
          <w:szCs w:val="22"/>
        </w:rPr>
      </w:pPr>
      <w:r w:rsidRPr="00B1317B">
        <w:rPr>
          <w:szCs w:val="22"/>
        </w:rPr>
        <w:t>No population groups, treatments or settings have been excluded from coverage at this stage.</w:t>
      </w:r>
    </w:p>
    <w:p w14:paraId="05701BD2" w14:textId="38E7FBAA" w:rsidR="005F1882" w:rsidRPr="00B1317B" w:rsidRDefault="005F1882" w:rsidP="005F1882">
      <w:pPr>
        <w:pStyle w:val="Tabletext"/>
        <w:rPr>
          <w:szCs w:val="22"/>
        </w:rPr>
      </w:pPr>
    </w:p>
    <w:p w14:paraId="36AE8153" w14:textId="6A9815CF" w:rsidR="005F1882" w:rsidRPr="00B1317B" w:rsidRDefault="005F1882" w:rsidP="005F1882">
      <w:pPr>
        <w:pStyle w:val="Tabletext"/>
        <w:numPr>
          <w:ilvl w:val="0"/>
          <w:numId w:val="50"/>
        </w:numPr>
        <w:rPr>
          <w:rFonts w:cs="Arial"/>
          <w:b/>
          <w:bCs/>
          <w:szCs w:val="22"/>
        </w:rPr>
      </w:pPr>
      <w:r w:rsidRPr="00B1317B">
        <w:rPr>
          <w:b/>
          <w:bCs/>
          <w:szCs w:val="22"/>
        </w:rPr>
        <w:t>Do any of the indicators make it more difficult in practice for a specific group to access services compared with another group? If so, what are the barriers to, or the difficulties with, access for the specific group?</w:t>
      </w:r>
    </w:p>
    <w:p w14:paraId="678988E1" w14:textId="2255020C" w:rsidR="005F1882" w:rsidRPr="00B1317B" w:rsidRDefault="005F1882" w:rsidP="005F1882">
      <w:pPr>
        <w:pStyle w:val="Tabletext"/>
        <w:rPr>
          <w:szCs w:val="22"/>
        </w:rPr>
      </w:pPr>
    </w:p>
    <w:p w14:paraId="323C45D3" w14:textId="390B3B73" w:rsidR="005F1882" w:rsidRPr="00B1317B" w:rsidRDefault="005F1882" w:rsidP="005F1882">
      <w:pPr>
        <w:pStyle w:val="Tabletext"/>
        <w:rPr>
          <w:szCs w:val="22"/>
          <w:lang w:val="en-GB"/>
        </w:rPr>
      </w:pPr>
      <w:r w:rsidRPr="00B1317B">
        <w:rPr>
          <w:szCs w:val="22"/>
          <w:lang w:val="en-GB"/>
        </w:rPr>
        <w:t>No – comments from consultation do not suggest that the indicator will make it impossible or unreasonably difficult in practice for a specific group to access a test or intervention.</w:t>
      </w:r>
    </w:p>
    <w:p w14:paraId="7EF47926" w14:textId="03D8A6DC" w:rsidR="005F1882" w:rsidRPr="00B1317B" w:rsidRDefault="005F1882" w:rsidP="005F1882">
      <w:pPr>
        <w:pStyle w:val="Tabletext"/>
        <w:rPr>
          <w:szCs w:val="22"/>
          <w:lang w:val="en-GB"/>
        </w:rPr>
      </w:pPr>
    </w:p>
    <w:p w14:paraId="298609BC" w14:textId="0119FC9E" w:rsidR="005F1882" w:rsidRPr="00B1317B" w:rsidRDefault="005F1882" w:rsidP="005F1882">
      <w:pPr>
        <w:pStyle w:val="Tabletext"/>
        <w:numPr>
          <w:ilvl w:val="0"/>
          <w:numId w:val="50"/>
        </w:numPr>
        <w:rPr>
          <w:rFonts w:cs="Arial"/>
          <w:b/>
          <w:bCs/>
          <w:szCs w:val="22"/>
        </w:rPr>
      </w:pPr>
      <w:r w:rsidRPr="00B1317B">
        <w:rPr>
          <w:b/>
          <w:bCs/>
          <w:szCs w:val="22"/>
        </w:rPr>
        <w:t>Is there potential for the indicators to have an adverse impact on people with disabilities because of something that is a consequence of the disability?</w:t>
      </w:r>
    </w:p>
    <w:p w14:paraId="5CFCF1AB" w14:textId="6ED016C5" w:rsidR="005F1882" w:rsidRPr="00B1317B" w:rsidRDefault="005F1882" w:rsidP="005F1882">
      <w:pPr>
        <w:pStyle w:val="Tabletext"/>
        <w:rPr>
          <w:szCs w:val="22"/>
        </w:rPr>
      </w:pPr>
    </w:p>
    <w:p w14:paraId="594A9C31" w14:textId="1F751EB5" w:rsidR="00E460A6" w:rsidRPr="00B1317B" w:rsidRDefault="005F1882" w:rsidP="005F1882">
      <w:pPr>
        <w:pStyle w:val="Tabletext"/>
        <w:rPr>
          <w:szCs w:val="22"/>
        </w:rPr>
      </w:pPr>
      <w:r w:rsidRPr="00B1317B">
        <w:rPr>
          <w:szCs w:val="22"/>
        </w:rPr>
        <w:t>No – comments from consultation do not suggest that the indicator will have an adverse impact on people with disabilities.</w:t>
      </w:r>
    </w:p>
    <w:p w14:paraId="6B27BA93" w14:textId="77777777" w:rsidR="005F1882" w:rsidRPr="005F1882" w:rsidRDefault="005F1882" w:rsidP="005F1882">
      <w:pPr>
        <w:pStyle w:val="Tabletext"/>
        <w:rPr>
          <w:rFonts w:cs="Arial"/>
        </w:rPr>
      </w:pPr>
    </w:p>
    <w:p w14:paraId="47A941E9" w14:textId="1C920669" w:rsidR="00E24E02" w:rsidRPr="0078563E" w:rsidRDefault="00E24E02" w:rsidP="00E24E02">
      <w:pPr>
        <w:pStyle w:val="Paragraphnonumbers"/>
      </w:pPr>
      <w:r>
        <w:t>Complet</w:t>
      </w:r>
      <w:r w:rsidRPr="0078563E">
        <w:t xml:space="preserve">ed by </w:t>
      </w:r>
      <w:r>
        <w:t>lead technical analyst</w:t>
      </w:r>
      <w:r w:rsidR="00E91220">
        <w:t>: Stacy Wilkinson</w:t>
      </w:r>
      <w:r w:rsidRPr="0078563E">
        <w:t xml:space="preserve"> </w:t>
      </w:r>
    </w:p>
    <w:p w14:paraId="43526E72" w14:textId="6604B0E9" w:rsidR="00E24E02" w:rsidRPr="0078563E" w:rsidRDefault="00E24E02" w:rsidP="00E24E02">
      <w:pPr>
        <w:pStyle w:val="Paragraphnonumbers"/>
      </w:pPr>
      <w:r w:rsidRPr="0078563E">
        <w:t>Date</w:t>
      </w:r>
      <w:r w:rsidR="00E91220">
        <w:t>: 26/04/21</w:t>
      </w:r>
    </w:p>
    <w:p w14:paraId="30953252" w14:textId="06A2F0C3" w:rsidR="00E24E02" w:rsidRPr="0078563E" w:rsidRDefault="00E24E02" w:rsidP="00E24E02">
      <w:pPr>
        <w:pStyle w:val="Paragraphnonumbers"/>
      </w:pPr>
      <w:r w:rsidRPr="0078563E">
        <w:t>Approved by NICE quality assurance lead</w:t>
      </w:r>
      <w:r w:rsidR="00F839FC">
        <w:t>:</w:t>
      </w:r>
      <w:r w:rsidRPr="0078563E">
        <w:t xml:space="preserve"> </w:t>
      </w:r>
      <w:r w:rsidR="00F839FC">
        <w:t>Craig Grime</w:t>
      </w:r>
    </w:p>
    <w:p w14:paraId="418C8A7A" w14:textId="7494D288" w:rsidR="00E24E02" w:rsidRPr="006966FC" w:rsidRDefault="00E24E02" w:rsidP="00F839FC">
      <w:pPr>
        <w:pStyle w:val="Paragraphnonumbers"/>
        <w:rPr>
          <w:rFonts w:cs="Arial"/>
          <w:sz w:val="22"/>
          <w:szCs w:val="22"/>
        </w:rPr>
      </w:pPr>
      <w:r w:rsidRPr="00EF758D">
        <w:t>Date</w:t>
      </w:r>
      <w:r w:rsidR="00F839FC">
        <w:t>: 10.06.21</w:t>
      </w:r>
    </w:p>
    <w:sectPr w:rsidR="00E24E02" w:rsidRPr="006966FC" w:rsidSect="00204572">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022010" w:rsidRDefault="00022010" w:rsidP="00446BEE">
      <w:r>
        <w:separator/>
      </w:r>
    </w:p>
  </w:endnote>
  <w:endnote w:type="continuationSeparator" w:id="0">
    <w:p w14:paraId="22EB9B1D" w14:textId="77777777" w:rsidR="00022010" w:rsidRDefault="00022010"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51B1B65A" w:rsidR="00022010" w:rsidRPr="008C1C95" w:rsidRDefault="00672D14" w:rsidP="008C1C95">
    <w:pPr>
      <w:pStyle w:val="Footer"/>
      <w:jc w:val="right"/>
    </w:pPr>
    <w:r>
      <w:tab/>
    </w:r>
    <w:r>
      <w:tab/>
    </w:r>
    <w:r w:rsidR="00022010">
      <w:fldChar w:fldCharType="begin"/>
    </w:r>
    <w:r w:rsidR="00022010">
      <w:instrText xml:space="preserve"> PAGE </w:instrText>
    </w:r>
    <w:r w:rsidR="00022010">
      <w:fldChar w:fldCharType="separate"/>
    </w:r>
    <w:r w:rsidR="00022010">
      <w:rPr>
        <w:noProof/>
      </w:rPr>
      <w:t>3</w:t>
    </w:r>
    <w:r w:rsidR="00022010">
      <w:fldChar w:fldCharType="end"/>
    </w:r>
    <w:r w:rsidR="00022010">
      <w:t xml:space="preserve"> of </w:t>
    </w:r>
    <w:r w:rsidR="00022010">
      <w:rPr>
        <w:noProof/>
      </w:rPr>
      <w:fldChar w:fldCharType="begin"/>
    </w:r>
    <w:r w:rsidR="00022010">
      <w:rPr>
        <w:noProof/>
      </w:rPr>
      <w:instrText xml:space="preserve"> NUMPAGES  </w:instrText>
    </w:r>
    <w:r w:rsidR="00022010">
      <w:rPr>
        <w:noProof/>
      </w:rPr>
      <w:fldChar w:fldCharType="separate"/>
    </w:r>
    <w:r w:rsidR="00022010">
      <w:rPr>
        <w:noProof/>
      </w:rPr>
      <w:t>10</w:t>
    </w:r>
    <w:r w:rsidR="0002201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022010" w:rsidRDefault="00022010" w:rsidP="00446BEE">
      <w:r>
        <w:separator/>
      </w:r>
    </w:p>
  </w:footnote>
  <w:footnote w:type="continuationSeparator" w:id="0">
    <w:p w14:paraId="1B316AC4" w14:textId="77777777" w:rsidR="00022010" w:rsidRDefault="00022010" w:rsidP="00446BEE">
      <w:r>
        <w:continuationSeparator/>
      </w:r>
    </w:p>
  </w:footnote>
  <w:footnote w:id="1">
    <w:p w14:paraId="768D57EF" w14:textId="18F571B8" w:rsidR="001D2675" w:rsidRDefault="001D2675" w:rsidP="001D2675">
      <w:pPr>
        <w:pStyle w:val="FootnoteText"/>
      </w:pPr>
      <w:r w:rsidRPr="00A71D71">
        <w:rPr>
          <w:rStyle w:val="FootnoteReference"/>
          <w:rFonts w:ascii="Arial" w:hAnsi="Arial" w:cs="Arial"/>
        </w:rPr>
        <w:footnoteRef/>
      </w:r>
      <w:r w:rsidRPr="00A71D71">
        <w:rPr>
          <w:rFonts w:ascii="Arial" w:hAnsi="Arial" w:cs="Arial"/>
        </w:rPr>
        <w:t xml:space="preserve"> </w:t>
      </w:r>
      <w:r w:rsidR="00CB1FAE" w:rsidRPr="00A71D71">
        <w:rPr>
          <w:rFonts w:ascii="Arial" w:hAnsi="Arial" w:cs="Arial"/>
        </w:rPr>
        <w:t xml:space="preserve">The </w:t>
      </w:r>
      <w:hyperlink r:id="rId1" w:history="1">
        <w:r w:rsidRPr="00A71D71">
          <w:rPr>
            <w:rStyle w:val="Hyperlink"/>
            <w:rFonts w:ascii="Arial" w:hAnsi="Arial" w:cs="Arial"/>
          </w:rPr>
          <w:t>Office for National Statistics</w:t>
        </w:r>
      </w:hyperlink>
      <w:r w:rsidRPr="00A71D71">
        <w:rPr>
          <w:rFonts w:ascii="Arial" w:hAnsi="Arial" w:cs="Arial"/>
        </w:rPr>
        <w:t xml:space="preserve"> reports 640,370 live births in England in 2019: 640,370/135 </w:t>
      </w:r>
      <w:r w:rsidR="00BE31EF">
        <w:rPr>
          <w:rFonts w:ascii="Arial" w:hAnsi="Arial" w:cs="Arial"/>
        </w:rPr>
        <w:t>equals</w:t>
      </w:r>
      <w:r w:rsidRPr="00A71D71">
        <w:rPr>
          <w:rFonts w:ascii="Arial" w:hAnsi="Arial" w:cs="Arial"/>
        </w:rPr>
        <w:t xml:space="preserve"> 4743 births per CCG. If 1 or 2 per 1000 of those had hip problems, it</w:t>
      </w:r>
      <w:r w:rsidR="00CB1FAE" w:rsidRPr="00A71D71">
        <w:rPr>
          <w:rFonts w:ascii="Arial" w:hAnsi="Arial" w:cs="Arial"/>
        </w:rPr>
        <w:t xml:space="preserve"> would</w:t>
      </w:r>
      <w:r w:rsidRPr="00A71D71">
        <w:rPr>
          <w:rFonts w:ascii="Arial" w:hAnsi="Arial" w:cs="Arial"/>
        </w:rPr>
        <w:t xml:space="preserve"> be between 5 and 10 babies per CCG</w:t>
      </w:r>
      <w:r>
        <w:t>.</w:t>
      </w:r>
    </w:p>
  </w:footnote>
  <w:footnote w:id="2">
    <w:p w14:paraId="24A81DAD" w14:textId="00B3829F" w:rsidR="0084744A" w:rsidRPr="00A71D71" w:rsidRDefault="0084744A">
      <w:pPr>
        <w:pStyle w:val="FootnoteText"/>
        <w:rPr>
          <w:rFonts w:ascii="Arial" w:hAnsi="Arial" w:cs="Arial"/>
        </w:rPr>
      </w:pPr>
      <w:r w:rsidRPr="00A71D71">
        <w:rPr>
          <w:rStyle w:val="FootnoteReference"/>
          <w:rFonts w:ascii="Arial" w:hAnsi="Arial" w:cs="Arial"/>
        </w:rPr>
        <w:footnoteRef/>
      </w:r>
      <w:r w:rsidRPr="00A71D71">
        <w:rPr>
          <w:rFonts w:ascii="Arial" w:hAnsi="Arial" w:cs="Arial"/>
        </w:rPr>
        <w:t xml:space="preserve"> Public Health England’s </w:t>
      </w:r>
      <w:hyperlink r:id="rId2" w:history="1">
        <w:r w:rsidRPr="00A71D71">
          <w:rPr>
            <w:rStyle w:val="Hyperlink"/>
            <w:rFonts w:ascii="Arial" w:hAnsi="Arial" w:cs="Arial"/>
          </w:rPr>
          <w:t>Antenatal screening standards: data report 1 April 2018 to 31 March 2019</w:t>
        </w:r>
      </w:hyperlink>
      <w:r w:rsidRPr="00A71D71">
        <w:rPr>
          <w:rFonts w:ascii="Arial" w:hAnsi="Arial" w:cs="Arial"/>
        </w:rPr>
        <w:t xml:space="preserve"> reports 267 infants tested positive</w:t>
      </w:r>
      <w:r w:rsidR="00065B46" w:rsidRPr="00A71D71">
        <w:rPr>
          <w:rFonts w:ascii="Arial" w:hAnsi="Arial" w:cs="Arial"/>
        </w:rPr>
        <w:t xml:space="preserve"> for sickle cell or thalassaemia</w:t>
      </w:r>
      <w:r w:rsidRPr="00A71D71">
        <w:rPr>
          <w:rFonts w:ascii="Arial" w:hAnsi="Arial" w:cs="Arial"/>
        </w:rPr>
        <w:t>: 267/195</w:t>
      </w:r>
      <w:r w:rsidR="00065B46" w:rsidRPr="00A71D71">
        <w:rPr>
          <w:rFonts w:ascii="Arial" w:hAnsi="Arial" w:cs="Arial"/>
        </w:rPr>
        <w:t xml:space="preserve"> </w:t>
      </w:r>
      <w:r w:rsidR="00BE31EF">
        <w:rPr>
          <w:rFonts w:ascii="Arial" w:hAnsi="Arial" w:cs="Arial"/>
        </w:rPr>
        <w:t>equals</w:t>
      </w:r>
      <w:r w:rsidR="00065B46" w:rsidRPr="00A71D71">
        <w:rPr>
          <w:rFonts w:ascii="Arial" w:hAnsi="Arial" w:cs="Arial"/>
        </w:rPr>
        <w:t xml:space="preserve"> 1.4 per CCG.</w:t>
      </w:r>
    </w:p>
  </w:footnote>
  <w:footnote w:id="3">
    <w:p w14:paraId="1E770DF3" w14:textId="2356367F" w:rsidR="009170A6" w:rsidRPr="00F839FC" w:rsidRDefault="009170A6">
      <w:pPr>
        <w:pStyle w:val="FootnoteText"/>
        <w:rPr>
          <w:rFonts w:ascii="Arial" w:hAnsi="Arial" w:cs="Arial"/>
        </w:rPr>
      </w:pPr>
      <w:r w:rsidRPr="00F839FC">
        <w:rPr>
          <w:rStyle w:val="FootnoteReference"/>
          <w:rFonts w:ascii="Arial" w:hAnsi="Arial" w:cs="Arial"/>
        </w:rPr>
        <w:footnoteRef/>
      </w:r>
      <w:r w:rsidRPr="00F839FC">
        <w:rPr>
          <w:rFonts w:ascii="Arial" w:hAnsi="Arial" w:cs="Arial"/>
        </w:rPr>
        <w:t xml:space="preserve"> All people with diabetes over the age of 12 are eligible except those with no perception of light in both eyes.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1FB0" w14:textId="29AD75BC" w:rsidR="00022010" w:rsidRPr="00482C01" w:rsidRDefault="00190E94" w:rsidP="00190E94">
    <w:pPr>
      <w:pStyle w:val="Header"/>
      <w:tabs>
        <w:tab w:val="left" w:pos="2768"/>
        <w:tab w:val="center" w:pos="4156"/>
      </w:tabs>
      <w:jc w:val="right"/>
      <w:rPr>
        <w:b/>
        <w:color w:val="FF0000"/>
        <w:sz w:val="32"/>
        <w:szCs w:val="32"/>
      </w:rPr>
    </w:pPr>
    <w:r>
      <w:t>Paper 5a: Screening consultation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46C469B"/>
    <w:multiLevelType w:val="hybridMultilevel"/>
    <w:tmpl w:val="6A968C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3B767FD0"/>
    <w:lvl w:ilvl="0" w:tplc="B574A9B6">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536B0"/>
    <w:multiLevelType w:val="hybridMultilevel"/>
    <w:tmpl w:val="84202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4EA19B8"/>
    <w:multiLevelType w:val="hybridMultilevel"/>
    <w:tmpl w:val="DDA2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726354F"/>
    <w:multiLevelType w:val="hybridMultilevel"/>
    <w:tmpl w:val="B18A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A1B3835"/>
    <w:multiLevelType w:val="multilevel"/>
    <w:tmpl w:val="43348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1E7B5F"/>
    <w:multiLevelType w:val="hybridMultilevel"/>
    <w:tmpl w:val="9DE28A1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702"/>
        </w:tabs>
        <w:ind w:left="1702"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9F54FF0"/>
    <w:multiLevelType w:val="hybridMultilevel"/>
    <w:tmpl w:val="CDA0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A4B1D26"/>
    <w:multiLevelType w:val="multilevel"/>
    <w:tmpl w:val="A96AE1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A5D22EC"/>
    <w:multiLevelType w:val="hybridMultilevel"/>
    <w:tmpl w:val="E078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1C36F6"/>
    <w:multiLevelType w:val="hybridMultilevel"/>
    <w:tmpl w:val="CF941BFE"/>
    <w:lvl w:ilvl="0" w:tplc="1EBA43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2E68BE"/>
    <w:multiLevelType w:val="hybridMultilevel"/>
    <w:tmpl w:val="810C2B2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1234B40"/>
    <w:multiLevelType w:val="hybridMultilevel"/>
    <w:tmpl w:val="36024646"/>
    <w:lvl w:ilvl="0" w:tplc="62F6E4BC">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1E55A7"/>
    <w:multiLevelType w:val="hybridMultilevel"/>
    <w:tmpl w:val="79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423F48"/>
    <w:multiLevelType w:val="hybridMultilevel"/>
    <w:tmpl w:val="BE765E6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1760A86"/>
    <w:multiLevelType w:val="hybridMultilevel"/>
    <w:tmpl w:val="F2765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900612"/>
    <w:multiLevelType w:val="hybridMultilevel"/>
    <w:tmpl w:val="8A8461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8"/>
  </w:num>
  <w:num w:numId="2">
    <w:abstractNumId w:val="16"/>
  </w:num>
  <w:num w:numId="3">
    <w:abstractNumId w:val="32"/>
  </w:num>
  <w:num w:numId="4">
    <w:abstractNumId w:val="17"/>
  </w:num>
  <w:num w:numId="5">
    <w:abstractNumId w:val="28"/>
  </w:num>
  <w:num w:numId="6">
    <w:abstractNumId w:val="2"/>
  </w:num>
  <w:num w:numId="7">
    <w:abstractNumId w:val="15"/>
  </w:num>
  <w:num w:numId="8">
    <w:abstractNumId w:val="25"/>
  </w:num>
  <w:num w:numId="9">
    <w:abstractNumId w:val="26"/>
  </w:num>
  <w:num w:numId="10">
    <w:abstractNumId w:val="8"/>
  </w:num>
  <w:num w:numId="11">
    <w:abstractNumId w:val="13"/>
  </w:num>
  <w:num w:numId="12">
    <w:abstractNumId w:val="3"/>
  </w:num>
  <w:num w:numId="13">
    <w:abstractNumId w:val="37"/>
  </w:num>
  <w:num w:numId="14">
    <w:abstractNumId w:val="18"/>
  </w:num>
  <w:num w:numId="15">
    <w:abstractNumId w:val="14"/>
  </w:num>
  <w:num w:numId="16">
    <w:abstractNumId w:val="22"/>
  </w:num>
  <w:num w:numId="17">
    <w:abstractNumId w:val="20"/>
  </w:num>
  <w:num w:numId="18">
    <w:abstractNumId w:val="23"/>
  </w:num>
  <w:num w:numId="19">
    <w:abstractNumId w:val="30"/>
  </w:num>
  <w:num w:numId="20">
    <w:abstractNumId w:val="10"/>
  </w:num>
  <w:num w:numId="21">
    <w:abstractNumId w:val="34"/>
  </w:num>
  <w:num w:numId="22">
    <w:abstractNumId w:val="35"/>
  </w:num>
  <w:num w:numId="23">
    <w:abstractNumId w:val="0"/>
  </w:num>
  <w:num w:numId="24">
    <w:abstractNumId w:val="6"/>
  </w:num>
  <w:num w:numId="25">
    <w:abstractNumId w:val="31"/>
  </w:num>
  <w:num w:numId="26">
    <w:abstractNumId w:val="21"/>
  </w:num>
  <w:num w:numId="27">
    <w:abstractNumId w:val="29"/>
  </w:num>
  <w:num w:numId="28">
    <w:abstractNumId w:val="11"/>
  </w:num>
  <w:num w:numId="29">
    <w:abstractNumId w:val="36"/>
  </w:num>
  <w:num w:numId="30">
    <w:abstractNumId w:val="19"/>
  </w:num>
  <w:num w:numId="31">
    <w:abstractNumId w:val="9"/>
  </w:num>
  <w:num w:numId="32">
    <w:abstractNumId w:val="41"/>
  </w:num>
  <w:num w:numId="33">
    <w:abstractNumId w:val="40"/>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
  </w:num>
  <w:num w:numId="39">
    <w:abstractNumId w:val="18"/>
  </w:num>
  <w:num w:numId="40">
    <w:abstractNumId w:val="18"/>
  </w:num>
  <w:num w:numId="41">
    <w:abstractNumId w:val="18"/>
  </w:num>
  <w:num w:numId="42">
    <w:abstractNumId w:val="12"/>
  </w:num>
  <w:num w:numId="43">
    <w:abstractNumId w:val="7"/>
  </w:num>
  <w:num w:numId="44">
    <w:abstractNumId w:val="18"/>
  </w:num>
  <w:num w:numId="45">
    <w:abstractNumId w:val="18"/>
  </w:num>
  <w:num w:numId="46">
    <w:abstractNumId w:val="18"/>
  </w:num>
  <w:num w:numId="47">
    <w:abstractNumId w:val="18"/>
  </w:num>
  <w:num w:numId="48">
    <w:abstractNumId w:val="27"/>
  </w:num>
  <w:num w:numId="49">
    <w:abstractNumId w:val="5"/>
  </w:num>
  <w:num w:numId="5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2AC5"/>
    <w:rsid w:val="00003A28"/>
    <w:rsid w:val="00011FC6"/>
    <w:rsid w:val="0001222B"/>
    <w:rsid w:val="00015441"/>
    <w:rsid w:val="00016234"/>
    <w:rsid w:val="00017F45"/>
    <w:rsid w:val="00022010"/>
    <w:rsid w:val="0002231A"/>
    <w:rsid w:val="00023FDA"/>
    <w:rsid w:val="00024D0A"/>
    <w:rsid w:val="00025A5C"/>
    <w:rsid w:val="000300AE"/>
    <w:rsid w:val="00030385"/>
    <w:rsid w:val="000320AB"/>
    <w:rsid w:val="0003213D"/>
    <w:rsid w:val="00037552"/>
    <w:rsid w:val="000524FA"/>
    <w:rsid w:val="00052A67"/>
    <w:rsid w:val="00052B85"/>
    <w:rsid w:val="00053145"/>
    <w:rsid w:val="00056FE7"/>
    <w:rsid w:val="00060DA1"/>
    <w:rsid w:val="0006231E"/>
    <w:rsid w:val="00062405"/>
    <w:rsid w:val="00063213"/>
    <w:rsid w:val="00063B7C"/>
    <w:rsid w:val="00065B46"/>
    <w:rsid w:val="000660D6"/>
    <w:rsid w:val="00070065"/>
    <w:rsid w:val="0007042D"/>
    <w:rsid w:val="00077062"/>
    <w:rsid w:val="00077682"/>
    <w:rsid w:val="00077EEC"/>
    <w:rsid w:val="0008047F"/>
    <w:rsid w:val="00081BFA"/>
    <w:rsid w:val="00081C69"/>
    <w:rsid w:val="0008363D"/>
    <w:rsid w:val="000853CB"/>
    <w:rsid w:val="00094463"/>
    <w:rsid w:val="00094BC2"/>
    <w:rsid w:val="000963D1"/>
    <w:rsid w:val="00096513"/>
    <w:rsid w:val="000A638C"/>
    <w:rsid w:val="000A7163"/>
    <w:rsid w:val="000B1301"/>
    <w:rsid w:val="000B34B8"/>
    <w:rsid w:val="000B5939"/>
    <w:rsid w:val="000B5EBE"/>
    <w:rsid w:val="000C22B9"/>
    <w:rsid w:val="000C4EE8"/>
    <w:rsid w:val="000D1487"/>
    <w:rsid w:val="000D3776"/>
    <w:rsid w:val="000E0E0D"/>
    <w:rsid w:val="000E4899"/>
    <w:rsid w:val="000E7E3C"/>
    <w:rsid w:val="000F3B49"/>
    <w:rsid w:val="001043B0"/>
    <w:rsid w:val="00110036"/>
    <w:rsid w:val="00110AD8"/>
    <w:rsid w:val="00112FAE"/>
    <w:rsid w:val="001131E2"/>
    <w:rsid w:val="001134E7"/>
    <w:rsid w:val="00122C1D"/>
    <w:rsid w:val="00124CBD"/>
    <w:rsid w:val="00134FDA"/>
    <w:rsid w:val="00135081"/>
    <w:rsid w:val="001352C4"/>
    <w:rsid w:val="001368F7"/>
    <w:rsid w:val="001413FC"/>
    <w:rsid w:val="001503E8"/>
    <w:rsid w:val="00154516"/>
    <w:rsid w:val="00156529"/>
    <w:rsid w:val="001579DA"/>
    <w:rsid w:val="00161EBC"/>
    <w:rsid w:val="00165770"/>
    <w:rsid w:val="00165B01"/>
    <w:rsid w:val="00166C1A"/>
    <w:rsid w:val="00167765"/>
    <w:rsid w:val="0017169E"/>
    <w:rsid w:val="0017396B"/>
    <w:rsid w:val="00173E4D"/>
    <w:rsid w:val="00175BE8"/>
    <w:rsid w:val="00176940"/>
    <w:rsid w:val="00177200"/>
    <w:rsid w:val="00182263"/>
    <w:rsid w:val="0018281C"/>
    <w:rsid w:val="00185F6B"/>
    <w:rsid w:val="00190E94"/>
    <w:rsid w:val="00192188"/>
    <w:rsid w:val="001936A7"/>
    <w:rsid w:val="00193D4B"/>
    <w:rsid w:val="00194E6C"/>
    <w:rsid w:val="00196653"/>
    <w:rsid w:val="001976DA"/>
    <w:rsid w:val="001A056C"/>
    <w:rsid w:val="001A23E4"/>
    <w:rsid w:val="001A281B"/>
    <w:rsid w:val="001A48E7"/>
    <w:rsid w:val="001A73CD"/>
    <w:rsid w:val="001B06E1"/>
    <w:rsid w:val="001B1619"/>
    <w:rsid w:val="001B187B"/>
    <w:rsid w:val="001B1C63"/>
    <w:rsid w:val="001B3C11"/>
    <w:rsid w:val="001B3FEC"/>
    <w:rsid w:val="001B5300"/>
    <w:rsid w:val="001B65B3"/>
    <w:rsid w:val="001B6DC2"/>
    <w:rsid w:val="001C74F4"/>
    <w:rsid w:val="001D0D90"/>
    <w:rsid w:val="001D24D0"/>
    <w:rsid w:val="001D2675"/>
    <w:rsid w:val="001D2773"/>
    <w:rsid w:val="001D3D36"/>
    <w:rsid w:val="001D6E16"/>
    <w:rsid w:val="001E08E9"/>
    <w:rsid w:val="001E0B63"/>
    <w:rsid w:val="001E3940"/>
    <w:rsid w:val="001F1315"/>
    <w:rsid w:val="001F1D2D"/>
    <w:rsid w:val="001F506A"/>
    <w:rsid w:val="001F6AB0"/>
    <w:rsid w:val="00204572"/>
    <w:rsid w:val="00205FBE"/>
    <w:rsid w:val="00210375"/>
    <w:rsid w:val="002128D3"/>
    <w:rsid w:val="002132AF"/>
    <w:rsid w:val="00214A72"/>
    <w:rsid w:val="00215444"/>
    <w:rsid w:val="00220661"/>
    <w:rsid w:val="0022189B"/>
    <w:rsid w:val="002229AD"/>
    <w:rsid w:val="00223C70"/>
    <w:rsid w:val="00224AEE"/>
    <w:rsid w:val="00225FF4"/>
    <w:rsid w:val="00230A13"/>
    <w:rsid w:val="002331C6"/>
    <w:rsid w:val="00236B76"/>
    <w:rsid w:val="002408EA"/>
    <w:rsid w:val="00241410"/>
    <w:rsid w:val="0024157D"/>
    <w:rsid w:val="00247E7E"/>
    <w:rsid w:val="002563DF"/>
    <w:rsid w:val="0026108E"/>
    <w:rsid w:val="002614ED"/>
    <w:rsid w:val="00264411"/>
    <w:rsid w:val="00265142"/>
    <w:rsid w:val="00266AA6"/>
    <w:rsid w:val="00266B50"/>
    <w:rsid w:val="00270605"/>
    <w:rsid w:val="00271804"/>
    <w:rsid w:val="00271857"/>
    <w:rsid w:val="00273430"/>
    <w:rsid w:val="00277ED2"/>
    <w:rsid w:val="00280F8A"/>
    <w:rsid w:val="00286537"/>
    <w:rsid w:val="00286C3A"/>
    <w:rsid w:val="00291A5B"/>
    <w:rsid w:val="00291AE4"/>
    <w:rsid w:val="0029278F"/>
    <w:rsid w:val="0029330E"/>
    <w:rsid w:val="002A5503"/>
    <w:rsid w:val="002A7339"/>
    <w:rsid w:val="002B0C24"/>
    <w:rsid w:val="002B71D2"/>
    <w:rsid w:val="002C1A7E"/>
    <w:rsid w:val="002C2893"/>
    <w:rsid w:val="002C292E"/>
    <w:rsid w:val="002C5955"/>
    <w:rsid w:val="002C5BFD"/>
    <w:rsid w:val="002C7316"/>
    <w:rsid w:val="002C73DF"/>
    <w:rsid w:val="002D12BB"/>
    <w:rsid w:val="002D20E7"/>
    <w:rsid w:val="002D2C7E"/>
    <w:rsid w:val="002D2CC4"/>
    <w:rsid w:val="002D2D5C"/>
    <w:rsid w:val="002D2FD2"/>
    <w:rsid w:val="002D58EA"/>
    <w:rsid w:val="002D7242"/>
    <w:rsid w:val="002E13A4"/>
    <w:rsid w:val="002E327C"/>
    <w:rsid w:val="002E7A92"/>
    <w:rsid w:val="002F2EEF"/>
    <w:rsid w:val="002F3E31"/>
    <w:rsid w:val="002F58D0"/>
    <w:rsid w:val="002F67D9"/>
    <w:rsid w:val="002F69F1"/>
    <w:rsid w:val="003015B5"/>
    <w:rsid w:val="0030244C"/>
    <w:rsid w:val="003030A7"/>
    <w:rsid w:val="003052E9"/>
    <w:rsid w:val="00311ED0"/>
    <w:rsid w:val="00311FE4"/>
    <w:rsid w:val="0031497D"/>
    <w:rsid w:val="00316D48"/>
    <w:rsid w:val="00324710"/>
    <w:rsid w:val="00324C60"/>
    <w:rsid w:val="00325A8C"/>
    <w:rsid w:val="00326131"/>
    <w:rsid w:val="00326482"/>
    <w:rsid w:val="00330EED"/>
    <w:rsid w:val="003351B7"/>
    <w:rsid w:val="0033631A"/>
    <w:rsid w:val="00336946"/>
    <w:rsid w:val="00340D15"/>
    <w:rsid w:val="00351FA4"/>
    <w:rsid w:val="00351FDE"/>
    <w:rsid w:val="003524BA"/>
    <w:rsid w:val="00352FD0"/>
    <w:rsid w:val="00355BED"/>
    <w:rsid w:val="0035645A"/>
    <w:rsid w:val="003574B9"/>
    <w:rsid w:val="00357C1E"/>
    <w:rsid w:val="003604C3"/>
    <w:rsid w:val="00362EE3"/>
    <w:rsid w:val="00365698"/>
    <w:rsid w:val="00370ACD"/>
    <w:rsid w:val="00371E29"/>
    <w:rsid w:val="003722FA"/>
    <w:rsid w:val="00373EA4"/>
    <w:rsid w:val="00374EB6"/>
    <w:rsid w:val="00375AE7"/>
    <w:rsid w:val="00376C2A"/>
    <w:rsid w:val="00377277"/>
    <w:rsid w:val="00377304"/>
    <w:rsid w:val="0037760D"/>
    <w:rsid w:val="00381BEA"/>
    <w:rsid w:val="00381FB7"/>
    <w:rsid w:val="00384141"/>
    <w:rsid w:val="003861AC"/>
    <w:rsid w:val="003862A5"/>
    <w:rsid w:val="00386B23"/>
    <w:rsid w:val="00390E35"/>
    <w:rsid w:val="003936D3"/>
    <w:rsid w:val="003953C7"/>
    <w:rsid w:val="003A3E2A"/>
    <w:rsid w:val="003A6849"/>
    <w:rsid w:val="003B0286"/>
    <w:rsid w:val="003B091A"/>
    <w:rsid w:val="003B1C33"/>
    <w:rsid w:val="003B69AA"/>
    <w:rsid w:val="003C0BCE"/>
    <w:rsid w:val="003C3023"/>
    <w:rsid w:val="003C39D1"/>
    <w:rsid w:val="003C42C4"/>
    <w:rsid w:val="003C7AAF"/>
    <w:rsid w:val="003D0277"/>
    <w:rsid w:val="003D278D"/>
    <w:rsid w:val="003D52EA"/>
    <w:rsid w:val="003D58F7"/>
    <w:rsid w:val="003D5D5A"/>
    <w:rsid w:val="003D6018"/>
    <w:rsid w:val="003E10AB"/>
    <w:rsid w:val="003E12B1"/>
    <w:rsid w:val="003E1787"/>
    <w:rsid w:val="003E22FC"/>
    <w:rsid w:val="003F2EC0"/>
    <w:rsid w:val="003F40D1"/>
    <w:rsid w:val="003F42F7"/>
    <w:rsid w:val="003F540E"/>
    <w:rsid w:val="003F7CE6"/>
    <w:rsid w:val="003F7D78"/>
    <w:rsid w:val="00405B03"/>
    <w:rsid w:val="004068EA"/>
    <w:rsid w:val="004075B6"/>
    <w:rsid w:val="00410FC7"/>
    <w:rsid w:val="00411C38"/>
    <w:rsid w:val="0041238E"/>
    <w:rsid w:val="004150FB"/>
    <w:rsid w:val="00420952"/>
    <w:rsid w:val="00423C0E"/>
    <w:rsid w:val="00423DB4"/>
    <w:rsid w:val="0042425C"/>
    <w:rsid w:val="004271A0"/>
    <w:rsid w:val="004306C0"/>
    <w:rsid w:val="0043464E"/>
    <w:rsid w:val="004378DE"/>
    <w:rsid w:val="00446BEE"/>
    <w:rsid w:val="00450E6D"/>
    <w:rsid w:val="004518F7"/>
    <w:rsid w:val="0045334C"/>
    <w:rsid w:val="00460FCB"/>
    <w:rsid w:val="00461C01"/>
    <w:rsid w:val="0046325E"/>
    <w:rsid w:val="0046709A"/>
    <w:rsid w:val="00472CEC"/>
    <w:rsid w:val="004741B9"/>
    <w:rsid w:val="00474FE4"/>
    <w:rsid w:val="00475C7C"/>
    <w:rsid w:val="00475C87"/>
    <w:rsid w:val="00475D8E"/>
    <w:rsid w:val="0047731B"/>
    <w:rsid w:val="004824B6"/>
    <w:rsid w:val="00482C01"/>
    <w:rsid w:val="00483498"/>
    <w:rsid w:val="0048353B"/>
    <w:rsid w:val="00486953"/>
    <w:rsid w:val="004907E0"/>
    <w:rsid w:val="0049285D"/>
    <w:rsid w:val="00492AC8"/>
    <w:rsid w:val="00492CB6"/>
    <w:rsid w:val="00496B1E"/>
    <w:rsid w:val="00497AD3"/>
    <w:rsid w:val="004A13E2"/>
    <w:rsid w:val="004A237B"/>
    <w:rsid w:val="004A306E"/>
    <w:rsid w:val="004A664D"/>
    <w:rsid w:val="004B4360"/>
    <w:rsid w:val="004B5F89"/>
    <w:rsid w:val="004B686A"/>
    <w:rsid w:val="004B688D"/>
    <w:rsid w:val="004C2530"/>
    <w:rsid w:val="004C3670"/>
    <w:rsid w:val="004C3AEF"/>
    <w:rsid w:val="004C3BFD"/>
    <w:rsid w:val="004C69E1"/>
    <w:rsid w:val="004D1267"/>
    <w:rsid w:val="004D26AD"/>
    <w:rsid w:val="004D2897"/>
    <w:rsid w:val="004D3451"/>
    <w:rsid w:val="004D39E2"/>
    <w:rsid w:val="004D3B68"/>
    <w:rsid w:val="004D756F"/>
    <w:rsid w:val="004E0E78"/>
    <w:rsid w:val="004E4C4B"/>
    <w:rsid w:val="004E54B6"/>
    <w:rsid w:val="004F1040"/>
    <w:rsid w:val="004F242D"/>
    <w:rsid w:val="004F3269"/>
    <w:rsid w:val="004F33C3"/>
    <w:rsid w:val="004F60F3"/>
    <w:rsid w:val="00500F4D"/>
    <w:rsid w:val="00501034"/>
    <w:rsid w:val="005025A1"/>
    <w:rsid w:val="00502C4B"/>
    <w:rsid w:val="0050409D"/>
    <w:rsid w:val="00504D74"/>
    <w:rsid w:val="00505407"/>
    <w:rsid w:val="00505DA4"/>
    <w:rsid w:val="00510FAD"/>
    <w:rsid w:val="005127C1"/>
    <w:rsid w:val="005138B7"/>
    <w:rsid w:val="005143BA"/>
    <w:rsid w:val="005243EC"/>
    <w:rsid w:val="005249CF"/>
    <w:rsid w:val="00525DD1"/>
    <w:rsid w:val="00527A29"/>
    <w:rsid w:val="00545970"/>
    <w:rsid w:val="00555CC8"/>
    <w:rsid w:val="00556B58"/>
    <w:rsid w:val="005577FA"/>
    <w:rsid w:val="0056425E"/>
    <w:rsid w:val="00565745"/>
    <w:rsid w:val="00565D9A"/>
    <w:rsid w:val="0056705D"/>
    <w:rsid w:val="00571370"/>
    <w:rsid w:val="00572E69"/>
    <w:rsid w:val="00575207"/>
    <w:rsid w:val="005806EB"/>
    <w:rsid w:val="00580FF4"/>
    <w:rsid w:val="00583913"/>
    <w:rsid w:val="005842A7"/>
    <w:rsid w:val="00584C95"/>
    <w:rsid w:val="00586210"/>
    <w:rsid w:val="005935C0"/>
    <w:rsid w:val="00595F0C"/>
    <w:rsid w:val="00596607"/>
    <w:rsid w:val="005A014D"/>
    <w:rsid w:val="005A188D"/>
    <w:rsid w:val="005A4AD8"/>
    <w:rsid w:val="005A50D3"/>
    <w:rsid w:val="005A576F"/>
    <w:rsid w:val="005A64F3"/>
    <w:rsid w:val="005A6AB3"/>
    <w:rsid w:val="005B0095"/>
    <w:rsid w:val="005B5C8B"/>
    <w:rsid w:val="005B73E7"/>
    <w:rsid w:val="005D15B9"/>
    <w:rsid w:val="005D1E0A"/>
    <w:rsid w:val="005E0AC1"/>
    <w:rsid w:val="005E437F"/>
    <w:rsid w:val="005F1882"/>
    <w:rsid w:val="005F25FD"/>
    <w:rsid w:val="005F3C5C"/>
    <w:rsid w:val="005F5AFD"/>
    <w:rsid w:val="005F6BB8"/>
    <w:rsid w:val="005F6F0A"/>
    <w:rsid w:val="0060430F"/>
    <w:rsid w:val="00604595"/>
    <w:rsid w:val="0061221F"/>
    <w:rsid w:val="00614078"/>
    <w:rsid w:val="006150A0"/>
    <w:rsid w:val="0062228B"/>
    <w:rsid w:val="00624430"/>
    <w:rsid w:val="00625AEE"/>
    <w:rsid w:val="00627687"/>
    <w:rsid w:val="00637F2A"/>
    <w:rsid w:val="00642C45"/>
    <w:rsid w:val="0064313B"/>
    <w:rsid w:val="0064604F"/>
    <w:rsid w:val="00650902"/>
    <w:rsid w:val="00651D20"/>
    <w:rsid w:val="006523CB"/>
    <w:rsid w:val="0065348A"/>
    <w:rsid w:val="006557A6"/>
    <w:rsid w:val="00657C65"/>
    <w:rsid w:val="006635D1"/>
    <w:rsid w:val="006639FD"/>
    <w:rsid w:val="00664F8F"/>
    <w:rsid w:val="00666A4E"/>
    <w:rsid w:val="00667C21"/>
    <w:rsid w:val="00672D14"/>
    <w:rsid w:val="006814B9"/>
    <w:rsid w:val="006817A0"/>
    <w:rsid w:val="00682D11"/>
    <w:rsid w:val="0068417E"/>
    <w:rsid w:val="00684913"/>
    <w:rsid w:val="00686D56"/>
    <w:rsid w:val="006921E1"/>
    <w:rsid w:val="00692F13"/>
    <w:rsid w:val="006937D0"/>
    <w:rsid w:val="00693996"/>
    <w:rsid w:val="00696325"/>
    <w:rsid w:val="006966FC"/>
    <w:rsid w:val="006A5E06"/>
    <w:rsid w:val="006B31F4"/>
    <w:rsid w:val="006B4909"/>
    <w:rsid w:val="006D4325"/>
    <w:rsid w:val="006D55A6"/>
    <w:rsid w:val="006D5A38"/>
    <w:rsid w:val="006D6BD0"/>
    <w:rsid w:val="006E09CB"/>
    <w:rsid w:val="006E0A7F"/>
    <w:rsid w:val="006E0F08"/>
    <w:rsid w:val="006E2124"/>
    <w:rsid w:val="006E23A2"/>
    <w:rsid w:val="006E303F"/>
    <w:rsid w:val="006E4E37"/>
    <w:rsid w:val="006E5D76"/>
    <w:rsid w:val="006F17D4"/>
    <w:rsid w:val="006F219F"/>
    <w:rsid w:val="006F557D"/>
    <w:rsid w:val="006F6463"/>
    <w:rsid w:val="00700FB1"/>
    <w:rsid w:val="00701C95"/>
    <w:rsid w:val="0070542C"/>
    <w:rsid w:val="007067D1"/>
    <w:rsid w:val="00712697"/>
    <w:rsid w:val="00712DFC"/>
    <w:rsid w:val="007139DD"/>
    <w:rsid w:val="007143AC"/>
    <w:rsid w:val="00716007"/>
    <w:rsid w:val="00727EB2"/>
    <w:rsid w:val="00730AA4"/>
    <w:rsid w:val="00732C44"/>
    <w:rsid w:val="0073473F"/>
    <w:rsid w:val="00734CC7"/>
    <w:rsid w:val="00736348"/>
    <w:rsid w:val="00736448"/>
    <w:rsid w:val="00736D41"/>
    <w:rsid w:val="00736EFF"/>
    <w:rsid w:val="00737F84"/>
    <w:rsid w:val="00740203"/>
    <w:rsid w:val="007469C6"/>
    <w:rsid w:val="00746C13"/>
    <w:rsid w:val="00750649"/>
    <w:rsid w:val="00752F55"/>
    <w:rsid w:val="00753133"/>
    <w:rsid w:val="00755FCE"/>
    <w:rsid w:val="007573F4"/>
    <w:rsid w:val="007574DD"/>
    <w:rsid w:val="00760E09"/>
    <w:rsid w:val="00762D25"/>
    <w:rsid w:val="007646C3"/>
    <w:rsid w:val="0076595B"/>
    <w:rsid w:val="0076743A"/>
    <w:rsid w:val="00770B9A"/>
    <w:rsid w:val="007718E7"/>
    <w:rsid w:val="0077378A"/>
    <w:rsid w:val="007825BE"/>
    <w:rsid w:val="007831FB"/>
    <w:rsid w:val="007839C3"/>
    <w:rsid w:val="00785219"/>
    <w:rsid w:val="00785616"/>
    <w:rsid w:val="007910D0"/>
    <w:rsid w:val="00792D69"/>
    <w:rsid w:val="0079772A"/>
    <w:rsid w:val="007A089C"/>
    <w:rsid w:val="007A7334"/>
    <w:rsid w:val="007B5378"/>
    <w:rsid w:val="007C39F8"/>
    <w:rsid w:val="007C4561"/>
    <w:rsid w:val="007C4814"/>
    <w:rsid w:val="007C516A"/>
    <w:rsid w:val="007C6C58"/>
    <w:rsid w:val="007C6CFD"/>
    <w:rsid w:val="007D28D7"/>
    <w:rsid w:val="007D31FD"/>
    <w:rsid w:val="007E2014"/>
    <w:rsid w:val="007E21F8"/>
    <w:rsid w:val="007E2696"/>
    <w:rsid w:val="007E6A87"/>
    <w:rsid w:val="007E78BD"/>
    <w:rsid w:val="007F0E1A"/>
    <w:rsid w:val="007F14A6"/>
    <w:rsid w:val="007F71A5"/>
    <w:rsid w:val="007F744E"/>
    <w:rsid w:val="007F7F72"/>
    <w:rsid w:val="008010D5"/>
    <w:rsid w:val="00802828"/>
    <w:rsid w:val="0080288C"/>
    <w:rsid w:val="0080417F"/>
    <w:rsid w:val="00804466"/>
    <w:rsid w:val="00807FF1"/>
    <w:rsid w:val="00810C89"/>
    <w:rsid w:val="00811233"/>
    <w:rsid w:val="008137AD"/>
    <w:rsid w:val="00813C4A"/>
    <w:rsid w:val="008162F3"/>
    <w:rsid w:val="00817C3D"/>
    <w:rsid w:val="00820118"/>
    <w:rsid w:val="00822301"/>
    <w:rsid w:val="00822F81"/>
    <w:rsid w:val="008274B0"/>
    <w:rsid w:val="008318F6"/>
    <w:rsid w:val="0083313E"/>
    <w:rsid w:val="008331BB"/>
    <w:rsid w:val="00833D43"/>
    <w:rsid w:val="00840FF7"/>
    <w:rsid w:val="00841169"/>
    <w:rsid w:val="00844032"/>
    <w:rsid w:val="008443D8"/>
    <w:rsid w:val="008445E7"/>
    <w:rsid w:val="0084744A"/>
    <w:rsid w:val="00847D3A"/>
    <w:rsid w:val="008520F7"/>
    <w:rsid w:val="00855549"/>
    <w:rsid w:val="0085573D"/>
    <w:rsid w:val="00855A17"/>
    <w:rsid w:val="00861B3D"/>
    <w:rsid w:val="00865CE7"/>
    <w:rsid w:val="00867262"/>
    <w:rsid w:val="00870BDD"/>
    <w:rsid w:val="008717F1"/>
    <w:rsid w:val="00876F5C"/>
    <w:rsid w:val="008809CC"/>
    <w:rsid w:val="00880ED3"/>
    <w:rsid w:val="008829B0"/>
    <w:rsid w:val="00883721"/>
    <w:rsid w:val="008904D0"/>
    <w:rsid w:val="008924E3"/>
    <w:rsid w:val="008A1DAE"/>
    <w:rsid w:val="008A247E"/>
    <w:rsid w:val="008A2C2A"/>
    <w:rsid w:val="008A3D62"/>
    <w:rsid w:val="008A6605"/>
    <w:rsid w:val="008B4B98"/>
    <w:rsid w:val="008C183F"/>
    <w:rsid w:val="008C1C95"/>
    <w:rsid w:val="008C4122"/>
    <w:rsid w:val="008C669E"/>
    <w:rsid w:val="008D11B5"/>
    <w:rsid w:val="008D6A3E"/>
    <w:rsid w:val="008E12C4"/>
    <w:rsid w:val="008E3EFB"/>
    <w:rsid w:val="008E56A4"/>
    <w:rsid w:val="008E5BA8"/>
    <w:rsid w:val="008E664D"/>
    <w:rsid w:val="008E6FCA"/>
    <w:rsid w:val="008F2FAE"/>
    <w:rsid w:val="008F4E22"/>
    <w:rsid w:val="008F61C4"/>
    <w:rsid w:val="00900A2F"/>
    <w:rsid w:val="009019A9"/>
    <w:rsid w:val="00901C0C"/>
    <w:rsid w:val="00907BFE"/>
    <w:rsid w:val="00907C13"/>
    <w:rsid w:val="00907DF5"/>
    <w:rsid w:val="0091391C"/>
    <w:rsid w:val="009168CF"/>
    <w:rsid w:val="00916CED"/>
    <w:rsid w:val="009170A6"/>
    <w:rsid w:val="00917909"/>
    <w:rsid w:val="00917D07"/>
    <w:rsid w:val="0092122F"/>
    <w:rsid w:val="009225D9"/>
    <w:rsid w:val="00925F15"/>
    <w:rsid w:val="00926BA3"/>
    <w:rsid w:val="0092757A"/>
    <w:rsid w:val="0093101C"/>
    <w:rsid w:val="0093543E"/>
    <w:rsid w:val="00937E8B"/>
    <w:rsid w:val="009460E7"/>
    <w:rsid w:val="00947FDB"/>
    <w:rsid w:val="00952219"/>
    <w:rsid w:val="009543A4"/>
    <w:rsid w:val="00954CB0"/>
    <w:rsid w:val="009562D0"/>
    <w:rsid w:val="00960CC3"/>
    <w:rsid w:val="0096180D"/>
    <w:rsid w:val="00961E3B"/>
    <w:rsid w:val="00962360"/>
    <w:rsid w:val="0096639E"/>
    <w:rsid w:val="009669AD"/>
    <w:rsid w:val="00970115"/>
    <w:rsid w:val="00972945"/>
    <w:rsid w:val="00973376"/>
    <w:rsid w:val="00973C64"/>
    <w:rsid w:val="00974384"/>
    <w:rsid w:val="00974D81"/>
    <w:rsid w:val="00976903"/>
    <w:rsid w:val="00977F9C"/>
    <w:rsid w:val="00983AF5"/>
    <w:rsid w:val="00986AA9"/>
    <w:rsid w:val="00987E66"/>
    <w:rsid w:val="00990173"/>
    <w:rsid w:val="00992244"/>
    <w:rsid w:val="00993567"/>
    <w:rsid w:val="00993970"/>
    <w:rsid w:val="00995A38"/>
    <w:rsid w:val="009965E1"/>
    <w:rsid w:val="009A23F7"/>
    <w:rsid w:val="009A2B2A"/>
    <w:rsid w:val="009A38DA"/>
    <w:rsid w:val="009A75C4"/>
    <w:rsid w:val="009B0897"/>
    <w:rsid w:val="009B276A"/>
    <w:rsid w:val="009B3223"/>
    <w:rsid w:val="009B4063"/>
    <w:rsid w:val="009B52E5"/>
    <w:rsid w:val="009C3C0C"/>
    <w:rsid w:val="009C3CDC"/>
    <w:rsid w:val="009C5ADA"/>
    <w:rsid w:val="009C6214"/>
    <w:rsid w:val="009C77BF"/>
    <w:rsid w:val="009D1D56"/>
    <w:rsid w:val="009D49AA"/>
    <w:rsid w:val="009D4FBB"/>
    <w:rsid w:val="009D7602"/>
    <w:rsid w:val="009E680B"/>
    <w:rsid w:val="009F1902"/>
    <w:rsid w:val="009F4086"/>
    <w:rsid w:val="009F4F44"/>
    <w:rsid w:val="009F7239"/>
    <w:rsid w:val="00A02114"/>
    <w:rsid w:val="00A0249B"/>
    <w:rsid w:val="00A05C88"/>
    <w:rsid w:val="00A07644"/>
    <w:rsid w:val="00A11761"/>
    <w:rsid w:val="00A11ECD"/>
    <w:rsid w:val="00A12A77"/>
    <w:rsid w:val="00A12BE0"/>
    <w:rsid w:val="00A144F8"/>
    <w:rsid w:val="00A1592C"/>
    <w:rsid w:val="00A15A1F"/>
    <w:rsid w:val="00A16F4B"/>
    <w:rsid w:val="00A17B08"/>
    <w:rsid w:val="00A17B57"/>
    <w:rsid w:val="00A22B35"/>
    <w:rsid w:val="00A240EE"/>
    <w:rsid w:val="00A3325A"/>
    <w:rsid w:val="00A3413E"/>
    <w:rsid w:val="00A343D5"/>
    <w:rsid w:val="00A526EF"/>
    <w:rsid w:val="00A53E97"/>
    <w:rsid w:val="00A60794"/>
    <w:rsid w:val="00A611CE"/>
    <w:rsid w:val="00A6571A"/>
    <w:rsid w:val="00A70A7A"/>
    <w:rsid w:val="00A71D71"/>
    <w:rsid w:val="00A74AE2"/>
    <w:rsid w:val="00A756BB"/>
    <w:rsid w:val="00A77B63"/>
    <w:rsid w:val="00A80F87"/>
    <w:rsid w:val="00A8249A"/>
    <w:rsid w:val="00A85968"/>
    <w:rsid w:val="00A866E2"/>
    <w:rsid w:val="00A879B5"/>
    <w:rsid w:val="00A922F5"/>
    <w:rsid w:val="00A94366"/>
    <w:rsid w:val="00A9779D"/>
    <w:rsid w:val="00AA276F"/>
    <w:rsid w:val="00AA32D3"/>
    <w:rsid w:val="00AA4327"/>
    <w:rsid w:val="00AA7A0F"/>
    <w:rsid w:val="00AB09A9"/>
    <w:rsid w:val="00AB1BBA"/>
    <w:rsid w:val="00AB3D08"/>
    <w:rsid w:val="00AB5614"/>
    <w:rsid w:val="00AB744E"/>
    <w:rsid w:val="00AC7C93"/>
    <w:rsid w:val="00AD23FF"/>
    <w:rsid w:val="00AD3BCE"/>
    <w:rsid w:val="00AD56B1"/>
    <w:rsid w:val="00AD78C4"/>
    <w:rsid w:val="00AD7CB3"/>
    <w:rsid w:val="00AE0661"/>
    <w:rsid w:val="00AE495F"/>
    <w:rsid w:val="00AE537D"/>
    <w:rsid w:val="00AE5854"/>
    <w:rsid w:val="00AE76CB"/>
    <w:rsid w:val="00AF108A"/>
    <w:rsid w:val="00AF10F5"/>
    <w:rsid w:val="00AF1393"/>
    <w:rsid w:val="00AF5D31"/>
    <w:rsid w:val="00AF6DD8"/>
    <w:rsid w:val="00B01831"/>
    <w:rsid w:val="00B0269C"/>
    <w:rsid w:val="00B02E55"/>
    <w:rsid w:val="00B03610"/>
    <w:rsid w:val="00B0389A"/>
    <w:rsid w:val="00B0538C"/>
    <w:rsid w:val="00B06D4E"/>
    <w:rsid w:val="00B11A62"/>
    <w:rsid w:val="00B1317B"/>
    <w:rsid w:val="00B14C5C"/>
    <w:rsid w:val="00B14DDE"/>
    <w:rsid w:val="00B157D0"/>
    <w:rsid w:val="00B17DE0"/>
    <w:rsid w:val="00B27031"/>
    <w:rsid w:val="00B307EC"/>
    <w:rsid w:val="00B341DA"/>
    <w:rsid w:val="00B371C1"/>
    <w:rsid w:val="00B44CE2"/>
    <w:rsid w:val="00B53A23"/>
    <w:rsid w:val="00B54BE5"/>
    <w:rsid w:val="00B570F4"/>
    <w:rsid w:val="00B57BE4"/>
    <w:rsid w:val="00B65C7A"/>
    <w:rsid w:val="00B67460"/>
    <w:rsid w:val="00B70FFB"/>
    <w:rsid w:val="00B72513"/>
    <w:rsid w:val="00B73B73"/>
    <w:rsid w:val="00B77084"/>
    <w:rsid w:val="00B8087A"/>
    <w:rsid w:val="00B80DC7"/>
    <w:rsid w:val="00B8205D"/>
    <w:rsid w:val="00B8239B"/>
    <w:rsid w:val="00B8344E"/>
    <w:rsid w:val="00B847E6"/>
    <w:rsid w:val="00B87486"/>
    <w:rsid w:val="00B909E1"/>
    <w:rsid w:val="00B90CD1"/>
    <w:rsid w:val="00B91264"/>
    <w:rsid w:val="00B929DA"/>
    <w:rsid w:val="00B94316"/>
    <w:rsid w:val="00B956ED"/>
    <w:rsid w:val="00B96E71"/>
    <w:rsid w:val="00B9786C"/>
    <w:rsid w:val="00B97C95"/>
    <w:rsid w:val="00BA02F9"/>
    <w:rsid w:val="00BA1470"/>
    <w:rsid w:val="00BA27B8"/>
    <w:rsid w:val="00BA31F9"/>
    <w:rsid w:val="00BA3FDA"/>
    <w:rsid w:val="00BA4313"/>
    <w:rsid w:val="00BA4784"/>
    <w:rsid w:val="00BA49EA"/>
    <w:rsid w:val="00BA4F42"/>
    <w:rsid w:val="00BA513C"/>
    <w:rsid w:val="00BA714E"/>
    <w:rsid w:val="00BA7AA3"/>
    <w:rsid w:val="00BB4FE5"/>
    <w:rsid w:val="00BB6334"/>
    <w:rsid w:val="00BB6352"/>
    <w:rsid w:val="00BB716A"/>
    <w:rsid w:val="00BC0422"/>
    <w:rsid w:val="00BC2765"/>
    <w:rsid w:val="00BC3C5B"/>
    <w:rsid w:val="00BC3D2A"/>
    <w:rsid w:val="00BC4575"/>
    <w:rsid w:val="00BC4CA0"/>
    <w:rsid w:val="00BC6FC8"/>
    <w:rsid w:val="00BC7ABB"/>
    <w:rsid w:val="00BD1903"/>
    <w:rsid w:val="00BD3051"/>
    <w:rsid w:val="00BD38BB"/>
    <w:rsid w:val="00BD4879"/>
    <w:rsid w:val="00BE10A8"/>
    <w:rsid w:val="00BE31EF"/>
    <w:rsid w:val="00BE5835"/>
    <w:rsid w:val="00BE5D71"/>
    <w:rsid w:val="00BF1474"/>
    <w:rsid w:val="00BF24FE"/>
    <w:rsid w:val="00BF28F7"/>
    <w:rsid w:val="00BF3B0A"/>
    <w:rsid w:val="00BF4B06"/>
    <w:rsid w:val="00BF54C1"/>
    <w:rsid w:val="00BF7FE0"/>
    <w:rsid w:val="00C0050E"/>
    <w:rsid w:val="00C0570D"/>
    <w:rsid w:val="00C130C8"/>
    <w:rsid w:val="00C13168"/>
    <w:rsid w:val="00C13F60"/>
    <w:rsid w:val="00C203C9"/>
    <w:rsid w:val="00C22E43"/>
    <w:rsid w:val="00C23238"/>
    <w:rsid w:val="00C235DF"/>
    <w:rsid w:val="00C2539E"/>
    <w:rsid w:val="00C278DE"/>
    <w:rsid w:val="00C3004B"/>
    <w:rsid w:val="00C31F4C"/>
    <w:rsid w:val="00C32ADC"/>
    <w:rsid w:val="00C34AA5"/>
    <w:rsid w:val="00C35755"/>
    <w:rsid w:val="00C42E13"/>
    <w:rsid w:val="00C4427F"/>
    <w:rsid w:val="00C47DDE"/>
    <w:rsid w:val="00C50912"/>
    <w:rsid w:val="00C50FF0"/>
    <w:rsid w:val="00C63347"/>
    <w:rsid w:val="00C64479"/>
    <w:rsid w:val="00C64D23"/>
    <w:rsid w:val="00C67B74"/>
    <w:rsid w:val="00C7123A"/>
    <w:rsid w:val="00C7128F"/>
    <w:rsid w:val="00C71666"/>
    <w:rsid w:val="00C7331B"/>
    <w:rsid w:val="00C74D07"/>
    <w:rsid w:val="00C74D95"/>
    <w:rsid w:val="00C7507C"/>
    <w:rsid w:val="00C80EB4"/>
    <w:rsid w:val="00C865FD"/>
    <w:rsid w:val="00C86682"/>
    <w:rsid w:val="00C90846"/>
    <w:rsid w:val="00C90A04"/>
    <w:rsid w:val="00C94681"/>
    <w:rsid w:val="00CA129E"/>
    <w:rsid w:val="00CA20B5"/>
    <w:rsid w:val="00CA3562"/>
    <w:rsid w:val="00CA371D"/>
    <w:rsid w:val="00CB0A27"/>
    <w:rsid w:val="00CB1FAE"/>
    <w:rsid w:val="00CB2C3F"/>
    <w:rsid w:val="00CB35D9"/>
    <w:rsid w:val="00CB4A8A"/>
    <w:rsid w:val="00CC04DE"/>
    <w:rsid w:val="00CC0CF8"/>
    <w:rsid w:val="00CC12E7"/>
    <w:rsid w:val="00CC3F84"/>
    <w:rsid w:val="00CC6222"/>
    <w:rsid w:val="00CC6E2D"/>
    <w:rsid w:val="00CD24A8"/>
    <w:rsid w:val="00CD315A"/>
    <w:rsid w:val="00CE0526"/>
    <w:rsid w:val="00CE1ED9"/>
    <w:rsid w:val="00CE4984"/>
    <w:rsid w:val="00CF0BB4"/>
    <w:rsid w:val="00CF2FF8"/>
    <w:rsid w:val="00CF4851"/>
    <w:rsid w:val="00CF58B7"/>
    <w:rsid w:val="00D0069F"/>
    <w:rsid w:val="00D01734"/>
    <w:rsid w:val="00D05493"/>
    <w:rsid w:val="00D148D5"/>
    <w:rsid w:val="00D16E6A"/>
    <w:rsid w:val="00D224A1"/>
    <w:rsid w:val="00D2279D"/>
    <w:rsid w:val="00D351C1"/>
    <w:rsid w:val="00D35E64"/>
    <w:rsid w:val="00D36CA3"/>
    <w:rsid w:val="00D4249C"/>
    <w:rsid w:val="00D428BC"/>
    <w:rsid w:val="00D42BE8"/>
    <w:rsid w:val="00D44725"/>
    <w:rsid w:val="00D44776"/>
    <w:rsid w:val="00D44CE7"/>
    <w:rsid w:val="00D45804"/>
    <w:rsid w:val="00D46BC7"/>
    <w:rsid w:val="00D47082"/>
    <w:rsid w:val="00D4778E"/>
    <w:rsid w:val="00D51245"/>
    <w:rsid w:val="00D5450C"/>
    <w:rsid w:val="00D54B6F"/>
    <w:rsid w:val="00D54E73"/>
    <w:rsid w:val="00D613A6"/>
    <w:rsid w:val="00D650EA"/>
    <w:rsid w:val="00D652B7"/>
    <w:rsid w:val="00D737C5"/>
    <w:rsid w:val="00D7722A"/>
    <w:rsid w:val="00D80B1B"/>
    <w:rsid w:val="00D82293"/>
    <w:rsid w:val="00D8405B"/>
    <w:rsid w:val="00D86BF0"/>
    <w:rsid w:val="00D950D8"/>
    <w:rsid w:val="00D95477"/>
    <w:rsid w:val="00DA1082"/>
    <w:rsid w:val="00DA1A94"/>
    <w:rsid w:val="00DA2BCD"/>
    <w:rsid w:val="00DA4D88"/>
    <w:rsid w:val="00DB0188"/>
    <w:rsid w:val="00DB26A8"/>
    <w:rsid w:val="00DB4F9F"/>
    <w:rsid w:val="00DB5728"/>
    <w:rsid w:val="00DB5AE0"/>
    <w:rsid w:val="00DB6161"/>
    <w:rsid w:val="00DB70FB"/>
    <w:rsid w:val="00DC0A1C"/>
    <w:rsid w:val="00DC334D"/>
    <w:rsid w:val="00DC6AAD"/>
    <w:rsid w:val="00DE165D"/>
    <w:rsid w:val="00DE45A3"/>
    <w:rsid w:val="00DE5EE7"/>
    <w:rsid w:val="00DF3B4C"/>
    <w:rsid w:val="00DF514B"/>
    <w:rsid w:val="00DF67C3"/>
    <w:rsid w:val="00DF6CEB"/>
    <w:rsid w:val="00E009D9"/>
    <w:rsid w:val="00E06ED0"/>
    <w:rsid w:val="00E1082D"/>
    <w:rsid w:val="00E130CB"/>
    <w:rsid w:val="00E14934"/>
    <w:rsid w:val="00E2160E"/>
    <w:rsid w:val="00E21D20"/>
    <w:rsid w:val="00E24E02"/>
    <w:rsid w:val="00E24EE9"/>
    <w:rsid w:val="00E257A0"/>
    <w:rsid w:val="00E25895"/>
    <w:rsid w:val="00E30CA9"/>
    <w:rsid w:val="00E408AB"/>
    <w:rsid w:val="00E41E68"/>
    <w:rsid w:val="00E43B2D"/>
    <w:rsid w:val="00E460A6"/>
    <w:rsid w:val="00E51920"/>
    <w:rsid w:val="00E53A58"/>
    <w:rsid w:val="00E54D26"/>
    <w:rsid w:val="00E6396E"/>
    <w:rsid w:val="00E63ADD"/>
    <w:rsid w:val="00E64120"/>
    <w:rsid w:val="00E678CB"/>
    <w:rsid w:val="00E67D1E"/>
    <w:rsid w:val="00E707FD"/>
    <w:rsid w:val="00E70B36"/>
    <w:rsid w:val="00E71657"/>
    <w:rsid w:val="00E745BB"/>
    <w:rsid w:val="00E8010A"/>
    <w:rsid w:val="00E81F05"/>
    <w:rsid w:val="00E82960"/>
    <w:rsid w:val="00E84601"/>
    <w:rsid w:val="00E84780"/>
    <w:rsid w:val="00E85E09"/>
    <w:rsid w:val="00E8605D"/>
    <w:rsid w:val="00E91220"/>
    <w:rsid w:val="00E92CE2"/>
    <w:rsid w:val="00E93CDD"/>
    <w:rsid w:val="00E965CC"/>
    <w:rsid w:val="00EA0AA5"/>
    <w:rsid w:val="00EA1325"/>
    <w:rsid w:val="00EA22D5"/>
    <w:rsid w:val="00EA2704"/>
    <w:rsid w:val="00EA4221"/>
    <w:rsid w:val="00EB3CD8"/>
    <w:rsid w:val="00EB6F5F"/>
    <w:rsid w:val="00ED246E"/>
    <w:rsid w:val="00ED379C"/>
    <w:rsid w:val="00ED5834"/>
    <w:rsid w:val="00ED6AAF"/>
    <w:rsid w:val="00EE065C"/>
    <w:rsid w:val="00EE3926"/>
    <w:rsid w:val="00EE5D34"/>
    <w:rsid w:val="00EF319C"/>
    <w:rsid w:val="00EF5856"/>
    <w:rsid w:val="00F00846"/>
    <w:rsid w:val="00F02496"/>
    <w:rsid w:val="00F055F1"/>
    <w:rsid w:val="00F05A46"/>
    <w:rsid w:val="00F15458"/>
    <w:rsid w:val="00F22683"/>
    <w:rsid w:val="00F31A8E"/>
    <w:rsid w:val="00F32C2D"/>
    <w:rsid w:val="00F33A4C"/>
    <w:rsid w:val="00F34B87"/>
    <w:rsid w:val="00F358BF"/>
    <w:rsid w:val="00F374CD"/>
    <w:rsid w:val="00F40BA0"/>
    <w:rsid w:val="00F41E92"/>
    <w:rsid w:val="00F434FF"/>
    <w:rsid w:val="00F4425B"/>
    <w:rsid w:val="00F476F3"/>
    <w:rsid w:val="00F51024"/>
    <w:rsid w:val="00F5122A"/>
    <w:rsid w:val="00F51940"/>
    <w:rsid w:val="00F523CD"/>
    <w:rsid w:val="00F53495"/>
    <w:rsid w:val="00F561EE"/>
    <w:rsid w:val="00F63D66"/>
    <w:rsid w:val="00F64504"/>
    <w:rsid w:val="00F6458C"/>
    <w:rsid w:val="00F6478A"/>
    <w:rsid w:val="00F6661C"/>
    <w:rsid w:val="00F701C7"/>
    <w:rsid w:val="00F76B54"/>
    <w:rsid w:val="00F77823"/>
    <w:rsid w:val="00F77FD4"/>
    <w:rsid w:val="00F8208E"/>
    <w:rsid w:val="00F82391"/>
    <w:rsid w:val="00F839FC"/>
    <w:rsid w:val="00F858CA"/>
    <w:rsid w:val="00F87E9D"/>
    <w:rsid w:val="00F916DC"/>
    <w:rsid w:val="00F94BD6"/>
    <w:rsid w:val="00F958CC"/>
    <w:rsid w:val="00FA464E"/>
    <w:rsid w:val="00FA60EE"/>
    <w:rsid w:val="00FB2379"/>
    <w:rsid w:val="00FB3848"/>
    <w:rsid w:val="00FB5293"/>
    <w:rsid w:val="00FB5446"/>
    <w:rsid w:val="00FC0D46"/>
    <w:rsid w:val="00FC10ED"/>
    <w:rsid w:val="00FC2D11"/>
    <w:rsid w:val="00FC373B"/>
    <w:rsid w:val="00FC6230"/>
    <w:rsid w:val="00FD0638"/>
    <w:rsid w:val="00FD2A0A"/>
    <w:rsid w:val="00FD3934"/>
    <w:rsid w:val="00FD40F7"/>
    <w:rsid w:val="00FD5913"/>
    <w:rsid w:val="00FE0558"/>
    <w:rsid w:val="00FE0BF6"/>
    <w:rsid w:val="00FE11E8"/>
    <w:rsid w:val="00FE29B5"/>
    <w:rsid w:val="00FE32EB"/>
    <w:rsid w:val="00FE3634"/>
    <w:rsid w:val="00FE3AFF"/>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5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4"/>
      </w:numPr>
    </w:pPr>
  </w:style>
  <w:style w:type="numbering" w:customStyle="1" w:styleId="Tablebulletindented">
    <w:name w:val="Table bullet indented"/>
    <w:basedOn w:val="NoList"/>
    <w:rsid w:val="00ED6AAF"/>
    <w:pPr>
      <w:numPr>
        <w:numId w:val="25"/>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3"/>
      </w:numPr>
      <w:contextualSpacing/>
    </w:pPr>
    <w:rPr>
      <w:rFonts w:ascii="Arial" w:hAnsi="Arial" w:cs="Arial"/>
      <w:spacing w:val="-3"/>
    </w:rPr>
  </w:style>
  <w:style w:type="numbering" w:customStyle="1" w:styleId="Tablebullet">
    <w:name w:val="Table bullet"/>
    <w:basedOn w:val="NoList"/>
    <w:rsid w:val="00ED6AAF"/>
    <w:pPr>
      <w:numPr>
        <w:numId w:val="26"/>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460FCB"/>
    <w:rPr>
      <w:color w:val="605E5C"/>
      <w:shd w:val="clear" w:color="auto" w:fill="E1DFDD"/>
    </w:rPr>
  </w:style>
  <w:style w:type="table" w:styleId="TableGridLight">
    <w:name w:val="Grid Table Light"/>
    <w:basedOn w:val="TableNormal"/>
    <w:uiPriority w:val="40"/>
    <w:rsid w:val="00CC0C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6817A0"/>
    <w:pPr>
      <w:tabs>
        <w:tab w:val="right" w:leader="dot" w:pos="8303"/>
      </w:tabs>
    </w:pPr>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18968258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148602">
      <w:bodyDiv w:val="1"/>
      <w:marLeft w:val="0"/>
      <w:marRight w:val="0"/>
      <w:marTop w:val="0"/>
      <w:marBottom w:val="0"/>
      <w:divBdr>
        <w:top w:val="none" w:sz="0" w:space="0" w:color="auto"/>
        <w:left w:val="none" w:sz="0" w:space="0" w:color="auto"/>
        <w:bottom w:val="none" w:sz="0" w:space="0" w:color="auto"/>
        <w:right w:val="none" w:sz="0" w:space="0" w:color="auto"/>
      </w:divBdr>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4952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egacyscreening.phe.org.uk/screening-recommendations.php" TargetMode="External"/><Relationship Id="rId18" Type="http://schemas.openxmlformats.org/officeDocument/2006/relationships/hyperlink" Target="https://www.nice.org.uk/guidance/ng18" TargetMode="External"/><Relationship Id="rId26" Type="http://schemas.openxmlformats.org/officeDocument/2006/relationships/hyperlink" Target="https://www.nice.org.uk/guidance/ng28" TargetMode="External"/><Relationship Id="rId3" Type="http://schemas.openxmlformats.org/officeDocument/2006/relationships/styles" Target="styles.xml"/><Relationship Id="rId21" Type="http://schemas.openxmlformats.org/officeDocument/2006/relationships/hyperlink" Target="https://www.nice.org.uk/guidance/ng18" TargetMode="External"/><Relationship Id="rId34" Type="http://schemas.openxmlformats.org/officeDocument/2006/relationships/hyperlink" Target="https://www.cysticfibrosis.org.uk/the-work-we-do/uk-cf-registry/apply-for-data-from-the-uk-cf-registry" TargetMode="External"/><Relationship Id="rId7" Type="http://schemas.openxmlformats.org/officeDocument/2006/relationships/endnotes" Target="endnotes.xml"/><Relationship Id="rId12" Type="http://schemas.openxmlformats.org/officeDocument/2006/relationships/hyperlink" Target="https://www.nice.org.uk/guidance/cg37" TargetMode="External"/><Relationship Id="rId17" Type="http://schemas.openxmlformats.org/officeDocument/2006/relationships/hyperlink" Target="https://www.nice.org.uk/guidance/ng28" TargetMode="External"/><Relationship Id="rId25" Type="http://schemas.openxmlformats.org/officeDocument/2006/relationships/hyperlink" Target="https://www.nice.org.uk/guidance/ng17" TargetMode="External"/><Relationship Id="rId33" Type="http://schemas.openxmlformats.org/officeDocument/2006/relationships/hyperlink" Target="https://www.cysticfibrosis.org.uk/the-work-we-do/uk-cf-registry/reporting-and-resources" TargetMode="External"/><Relationship Id="rId2" Type="http://schemas.openxmlformats.org/officeDocument/2006/relationships/numbering" Target="numbering.xml"/><Relationship Id="rId16" Type="http://schemas.openxmlformats.org/officeDocument/2006/relationships/hyperlink" Target="https://www.nice.org.uk/guidance/ng17" TargetMode="External"/><Relationship Id="rId20" Type="http://schemas.openxmlformats.org/officeDocument/2006/relationships/hyperlink" Target="https://www.nice.org.uk/guidance/ng28" TargetMode="External"/><Relationship Id="rId29" Type="http://schemas.openxmlformats.org/officeDocument/2006/relationships/hyperlink" Target="https://phescreening.blog.gov.uk/2020/01/15/diabetic-eye-extended-screening-intervals-what-information-do-we-really-ne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cyscreening.phe.org.uk/screening-recommendations.php" TargetMode="External"/><Relationship Id="rId24" Type="http://schemas.openxmlformats.org/officeDocument/2006/relationships/hyperlink" Target="https://www.nice.org.uk/guidance/ng18" TargetMode="External"/><Relationship Id="rId32" Type="http://schemas.openxmlformats.org/officeDocument/2006/relationships/hyperlink" Target="https://www.gov.uk/government/publications/newborn-blood-spot-screening-data-collection-report-2017-to-2018" TargetMode="External"/><Relationship Id="rId5" Type="http://schemas.openxmlformats.org/officeDocument/2006/relationships/webSettings" Target="webSettings.xml"/><Relationship Id="rId15" Type="http://schemas.openxmlformats.org/officeDocument/2006/relationships/hyperlink" Target="https://legacyscreening.phe.org.uk/screening-recommendations.php" TargetMode="External"/><Relationship Id="rId23" Type="http://schemas.openxmlformats.org/officeDocument/2006/relationships/hyperlink" Target="https://www.nice.org.uk/guidance/ng28" TargetMode="External"/><Relationship Id="rId28" Type="http://schemas.openxmlformats.org/officeDocument/2006/relationships/hyperlink" Target="https://phescreening.blog.gov.uk/2020/01/15/diabetic-eye-extended-screening-intervals-what-information-do-we-really-need/" TargetMode="External"/><Relationship Id="rId36" Type="http://schemas.openxmlformats.org/officeDocument/2006/relationships/theme" Target="theme/theme1.xml"/><Relationship Id="rId10" Type="http://schemas.openxmlformats.org/officeDocument/2006/relationships/hyperlink" Target="https://www.nice.org.uk/guidance/cg37" TargetMode="External"/><Relationship Id="rId19" Type="http://schemas.openxmlformats.org/officeDocument/2006/relationships/hyperlink" Target="https://www.nice.org.uk/guidance/ng1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gacyscreening.phe.org.uk/hipdislocation" TargetMode="External"/><Relationship Id="rId14" Type="http://schemas.openxmlformats.org/officeDocument/2006/relationships/hyperlink" Target="https://www.nice.org.uk/guidance/cg37" TargetMode="External"/><Relationship Id="rId22" Type="http://schemas.openxmlformats.org/officeDocument/2006/relationships/hyperlink" Target="https://www.nice.org.uk/guidance/ng17" TargetMode="External"/><Relationship Id="rId27" Type="http://schemas.openxmlformats.org/officeDocument/2006/relationships/hyperlink" Target="https://www.nice.org.uk/guidance/ng18"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s://www.nice.org.uk/guidance/cg3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statistics/antenatal-screening-standards-data-report-2018-to-2019" TargetMode="External"/><Relationship Id="rId1" Type="http://schemas.openxmlformats.org/officeDocument/2006/relationships/hyperlink" Target="https://www.ons.gov.uk/peoplepopulationandcommunity/birthsdeathsandmarriages/livebir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ED8E5-ACBA-4C71-9571-1223FB34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9451</Words>
  <Characters>53683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2021-09-02T11:48:00Z</dcterms:created>
  <dcterms:modified xsi:type="dcterms:W3CDTF">2021-09-02T11:49:00Z</dcterms:modified>
</cp:coreProperties>
</file>