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7B95" w14:textId="77777777" w:rsidR="00E00E24" w:rsidRDefault="00E00E24" w:rsidP="00E00E24">
      <w:pPr>
        <w:pStyle w:val="Title"/>
      </w:pPr>
      <w:r>
        <w:t xml:space="preserve">Indicator development programme </w:t>
      </w:r>
    </w:p>
    <w:p w14:paraId="71725D4E" w14:textId="1FA42D3A" w:rsidR="00594C3A" w:rsidRDefault="00E00E24" w:rsidP="00E00E24">
      <w:pPr>
        <w:pStyle w:val="Title"/>
      </w:pPr>
      <w:r>
        <w:t>Equality Impact Assessment</w:t>
      </w:r>
    </w:p>
    <w:p w14:paraId="7867C4F6" w14:textId="45F7F3FF" w:rsidR="00E00E24" w:rsidRDefault="0020523A" w:rsidP="00072116">
      <w:pPr>
        <w:pStyle w:val="Heading1"/>
      </w:pPr>
      <w:r>
        <w:t>NM24</w:t>
      </w:r>
      <w:r w:rsidR="002D4F21">
        <w:t>8</w:t>
      </w:r>
      <w:r>
        <w:t xml:space="preserve"> </w:t>
      </w:r>
      <w:r w:rsidR="002D4F21" w:rsidRPr="002D4F21">
        <w:t>Kidney health: CKD and blood pressure when ACR 70 or more)</w:t>
      </w:r>
    </w:p>
    <w:p w14:paraId="3455E263" w14:textId="77777777" w:rsidR="00E00E24" w:rsidRDefault="00E00E24" w:rsidP="0073572E">
      <w:pPr>
        <w:pStyle w:val="ParagraphNumbered"/>
      </w:pPr>
      <w:r>
        <w:t xml:space="preserve">Have any potential equality issues been identified during the development process?  </w:t>
      </w:r>
    </w:p>
    <w:p w14:paraId="47F8D08C" w14:textId="77777777" w:rsidR="0020523A" w:rsidRDefault="001C6586" w:rsidP="0020523A">
      <w:pPr>
        <w:pStyle w:val="NICEnormal"/>
        <w:ind w:left="405"/>
        <w:rPr>
          <w:rFonts w:cs="Arial"/>
        </w:rPr>
      </w:pPr>
      <w:hyperlink r:id="rId7" w:history="1">
        <w:r w:rsidR="0020523A" w:rsidRPr="003D4FE8">
          <w:rPr>
            <w:rStyle w:val="Hyperlink"/>
            <w:rFonts w:cs="Arial"/>
          </w:rPr>
          <w:t>Kidney Research UK’s kidney health inequalities in the United Kingdom</w:t>
        </w:r>
      </w:hyperlink>
      <w:r w:rsidR="0020523A">
        <w:rPr>
          <w:rFonts w:cs="Arial"/>
        </w:rPr>
        <w:t xml:space="preserve"> (2019) notes inequalities related to kidney care, including by ethnicity, sex and level of deprivation. </w:t>
      </w:r>
    </w:p>
    <w:p w14:paraId="5DDABF50" w14:textId="648100C0" w:rsidR="00E00E24" w:rsidRPr="0020523A" w:rsidRDefault="001C6586" w:rsidP="0020523A">
      <w:pPr>
        <w:pStyle w:val="NICEnormal"/>
        <w:ind w:left="405"/>
        <w:rPr>
          <w:rFonts w:cs="Arial"/>
        </w:rPr>
      </w:pPr>
      <w:hyperlink r:id="rId8" w:history="1">
        <w:r w:rsidR="0020523A" w:rsidRPr="00734DBD">
          <w:rPr>
            <w:rStyle w:val="Hyperlink"/>
            <w:rFonts w:cs="Arial"/>
          </w:rPr>
          <w:t>CVDPrevent</w:t>
        </w:r>
      </w:hyperlink>
      <w:r w:rsidR="0020523A">
        <w:rPr>
          <w:rFonts w:cs="Arial"/>
        </w:rPr>
        <w:t xml:space="preserve"> data for indicators CVDP004CKD, CVDP005CKD, CVDP007CKD, CVDP010CHOL which measure key aspects of care for people with CKD shows variation in achievement including by gender, age and ethnicity. </w:t>
      </w:r>
    </w:p>
    <w:p w14:paraId="2BEA479D" w14:textId="77777777" w:rsidR="00E00E24" w:rsidRDefault="00E00E24" w:rsidP="0073572E">
      <w:pPr>
        <w:pStyle w:val="ParagraphNumbered"/>
      </w:pPr>
      <w:r>
        <w:t>Have any population groups, treatments or settings been excluded from coverage by the indicator? Are these exclusions justified – that is, are the reasons legitimate and the exclusion proportionate?</w:t>
      </w:r>
    </w:p>
    <w:p w14:paraId="33E40347" w14:textId="77777777" w:rsidR="0020523A" w:rsidRDefault="0020523A" w:rsidP="0020523A">
      <w:pPr>
        <w:pStyle w:val="NICEnormal"/>
        <w:ind w:left="405"/>
        <w:rPr>
          <w:lang w:eastAsia="en-GB"/>
        </w:rPr>
      </w:pPr>
      <w:r>
        <w:rPr>
          <w:lang w:eastAsia="en-GB"/>
        </w:rPr>
        <w:t xml:space="preserve">The indicators do not include people aged under 18 as they will be managed within different services to those aged 18 and over. The QOF CKD register is for adults aged 18 and over only. </w:t>
      </w:r>
    </w:p>
    <w:p w14:paraId="4D5E971B" w14:textId="3299E87B" w:rsidR="0020523A" w:rsidRDefault="0020523A" w:rsidP="0020523A">
      <w:pPr>
        <w:pStyle w:val="NICEnormal"/>
        <w:ind w:left="405"/>
        <w:rPr>
          <w:lang w:eastAsia="en-GB"/>
        </w:rPr>
      </w:pPr>
      <w:r>
        <w:rPr>
          <w:lang w:eastAsia="en-GB"/>
        </w:rPr>
        <w:t xml:space="preserve">The indicators focus on people with severely increased albumin to creatinine ratio (ACR). People with an ACR of less than 70 mg/mmol are not included in this indicator because they are included in NICE menu indicator NM217. </w:t>
      </w:r>
    </w:p>
    <w:p w14:paraId="17EF2A39" w14:textId="77777777" w:rsidR="00E00E24" w:rsidRDefault="00E00E24" w:rsidP="0073572E">
      <w:pPr>
        <w:pStyle w:val="ParagraphNumbered"/>
      </w:pPr>
      <w:r>
        <w:t>Does the indicator make it more difficult in practice for a specific group to access services compared with other groups? If so, what are the barriers to, or difficulties with, access for the specific group?</w:t>
      </w:r>
    </w:p>
    <w:p w14:paraId="4D3379D0" w14:textId="03674D72" w:rsidR="00E00E24" w:rsidRDefault="0020523A" w:rsidP="0073572E">
      <w:pPr>
        <w:pStyle w:val="Paragraph"/>
        <w:ind w:left="425"/>
      </w:pPr>
      <w:r>
        <w:t>No.</w:t>
      </w:r>
    </w:p>
    <w:p w14:paraId="4AD507BD" w14:textId="77777777" w:rsidR="00E00E24" w:rsidRDefault="00E00E24" w:rsidP="0073572E">
      <w:pPr>
        <w:pStyle w:val="ParagraphNumbered"/>
      </w:pPr>
      <w:r>
        <w:lastRenderedPageBreak/>
        <w:t>Is there potential for the indicator to have an adverse impact on people with disabilities because of something that is a consequence of the disability?</w:t>
      </w:r>
    </w:p>
    <w:p w14:paraId="7253584E" w14:textId="08CD62C3" w:rsidR="00E00E24" w:rsidRDefault="0020523A" w:rsidP="0073572E">
      <w:pPr>
        <w:pStyle w:val="Paragraph"/>
        <w:ind w:left="425"/>
      </w:pPr>
      <w:r>
        <w:t>No.</w:t>
      </w:r>
    </w:p>
    <w:p w14:paraId="799D3C0B" w14:textId="79909A31" w:rsidR="00E00E24" w:rsidRDefault="00E00E24" w:rsidP="00E00E24">
      <w:pPr>
        <w:pStyle w:val="Paragraph"/>
      </w:pPr>
      <w:r>
        <w:t xml:space="preserve">Completed by lead technical analyst: </w:t>
      </w:r>
      <w:r w:rsidR="0020523A">
        <w:t>Charlotte Fairclough</w:t>
      </w:r>
    </w:p>
    <w:p w14:paraId="201561A4" w14:textId="1245B063" w:rsidR="00E00E24" w:rsidRDefault="00E00E24" w:rsidP="00E00E24">
      <w:pPr>
        <w:pStyle w:val="Paragraph"/>
      </w:pPr>
      <w:r>
        <w:t>Date</w:t>
      </w:r>
      <w:r w:rsidR="00FE5CEF">
        <w:t>:</w:t>
      </w:r>
      <w:r>
        <w:t xml:space="preserve"> </w:t>
      </w:r>
      <w:r w:rsidR="0020523A">
        <w:t>10 / 07 / 2023</w:t>
      </w:r>
    </w:p>
    <w:p w14:paraId="6F4F9CED" w14:textId="1F177497" w:rsidR="00E00E24" w:rsidRDefault="00E00E24" w:rsidP="00E00E24">
      <w:pPr>
        <w:pStyle w:val="Paragraph"/>
      </w:pPr>
      <w:r>
        <w:t xml:space="preserve">Approved by NICE quality assurance lead: </w:t>
      </w:r>
      <w:r w:rsidR="0020523A">
        <w:t>Mark Minchin</w:t>
      </w:r>
      <w:r>
        <w:t xml:space="preserve"> </w:t>
      </w:r>
    </w:p>
    <w:p w14:paraId="5C4433D2" w14:textId="3FDF9287" w:rsidR="00E00E24" w:rsidRDefault="00E00E24" w:rsidP="00E00E24">
      <w:pPr>
        <w:pStyle w:val="Paragraph"/>
      </w:pPr>
      <w:r>
        <w:t>Date</w:t>
      </w:r>
      <w:r w:rsidR="00FE5CEF">
        <w:t>:</w:t>
      </w:r>
      <w:r>
        <w:t xml:space="preserve"> </w:t>
      </w:r>
      <w:r w:rsidR="0020523A">
        <w:t>10 / 08 / 2023</w:t>
      </w:r>
    </w:p>
    <w:p w14:paraId="06DF43B7" w14:textId="67DECD9C" w:rsidR="00E00E24" w:rsidRPr="00E00E24" w:rsidRDefault="00E00E24" w:rsidP="00E00E24">
      <w:pPr>
        <w:pStyle w:val="Paragraph"/>
      </w:pPr>
      <w:r>
        <w:t>© NICE [202</w:t>
      </w:r>
      <w:r w:rsidR="00850D73">
        <w:t>3</w:t>
      </w:r>
      <w:r>
        <w:t xml:space="preserve">]. All rights reserved. Subject to </w:t>
      </w:r>
      <w:hyperlink r:id="rId9" w:anchor="notice-of-rights" w:history="1">
        <w:r w:rsidRPr="00E00E24">
          <w:rPr>
            <w:rStyle w:val="Hyperlink"/>
          </w:rPr>
          <w:t>Notice of rights</w:t>
        </w:r>
      </w:hyperlink>
      <w:r>
        <w:t>.</w:t>
      </w:r>
    </w:p>
    <w:sectPr w:rsidR="00E00E24" w:rsidRPr="00E00E24" w:rsidSect="008F6FB7">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D639" w14:textId="77777777" w:rsidR="00E00E24" w:rsidRDefault="00E00E24" w:rsidP="00446BEE">
      <w:r>
        <w:separator/>
      </w:r>
    </w:p>
  </w:endnote>
  <w:endnote w:type="continuationSeparator" w:id="0">
    <w:p w14:paraId="4F880C9C" w14:textId="77777777" w:rsidR="00E00E24" w:rsidRDefault="00E00E2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8ECE" w14:textId="2414CACE" w:rsidR="00446BEE" w:rsidRDefault="0020523A" w:rsidP="00446BEE">
    <w:pPr>
      <w:pStyle w:val="Footer"/>
    </w:pPr>
    <w:r>
      <w:t>NM24</w:t>
    </w:r>
    <w:r w:rsidR="002D4F21">
      <w:t>8</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1C6586">
      <w:fldChar w:fldCharType="begin"/>
    </w:r>
    <w:r w:rsidR="001C6586">
      <w:instrText xml:space="preserve"> NUMPAGES  </w:instrText>
    </w:r>
    <w:r w:rsidR="001C6586">
      <w:fldChar w:fldCharType="separate"/>
    </w:r>
    <w:r w:rsidR="00FA2C5A">
      <w:rPr>
        <w:noProof/>
      </w:rPr>
      <w:t>1</w:t>
    </w:r>
    <w:r w:rsidR="001C6586">
      <w:rPr>
        <w:noProof/>
      </w:rPr>
      <w:fldChar w:fldCharType="end"/>
    </w:r>
  </w:p>
  <w:p w14:paraId="05784CA8" w14:textId="77777777" w:rsidR="00446BEE" w:rsidRDefault="00446BEE">
    <w:pPr>
      <w:pStyle w:val="Footer"/>
    </w:pPr>
  </w:p>
  <w:p w14:paraId="73217802"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7DD9C78" w14:textId="3CCCDD71" w:rsidR="008E7826" w:rsidRDefault="00345EA3" w:rsidP="008E7826">
            <w:pPr>
              <w:pStyle w:val="Footer"/>
            </w:pPr>
            <w:r>
              <w:t>NM24</w:t>
            </w:r>
            <w:r w:rsidR="002D4F21">
              <w:t>8</w:t>
            </w:r>
            <w:r w:rsidR="00E00E24">
              <w:t>: Equality impact assessment</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1C6586">
              <w:fldChar w:fldCharType="begin"/>
            </w:r>
            <w:r w:rsidR="001C6586">
              <w:instrText xml:space="preserve"> NUMPAGES  </w:instrText>
            </w:r>
            <w:r w:rsidR="001C6586">
              <w:fldChar w:fldCharType="separate"/>
            </w:r>
            <w:r w:rsidR="008E7826" w:rsidRPr="008E7826">
              <w:rPr>
                <w:noProof/>
              </w:rPr>
              <w:t>2</w:t>
            </w:r>
            <w:r w:rsidR="001C658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70D9" w14:textId="77777777" w:rsidR="00E00E24" w:rsidRDefault="00E00E24" w:rsidP="00446BEE">
      <w:r>
        <w:separator/>
      </w:r>
    </w:p>
  </w:footnote>
  <w:footnote w:type="continuationSeparator" w:id="0">
    <w:p w14:paraId="7E81C0C7" w14:textId="77777777" w:rsidR="00E00E24" w:rsidRDefault="00E00E2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77A8" w14:textId="77777777" w:rsidR="008F6FB7" w:rsidRDefault="008F6FB7">
    <w:pPr>
      <w:pStyle w:val="Header"/>
    </w:pPr>
    <w:r>
      <w:rPr>
        <w:noProof/>
      </w:rPr>
      <w:drawing>
        <wp:inline distT="0" distB="0" distL="0" distR="0" wp14:anchorId="2D3B8080" wp14:editId="72170C16">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131021186">
    <w:abstractNumId w:val="11"/>
  </w:num>
  <w:num w:numId="2" w16cid:durableId="898713064">
    <w:abstractNumId w:val="13"/>
  </w:num>
  <w:num w:numId="3" w16cid:durableId="125439032">
    <w:abstractNumId w:val="13"/>
    <w:lvlOverride w:ilvl="0">
      <w:startOverride w:val="1"/>
    </w:lvlOverride>
  </w:num>
  <w:num w:numId="4" w16cid:durableId="1768229271">
    <w:abstractNumId w:val="13"/>
    <w:lvlOverride w:ilvl="0">
      <w:startOverride w:val="1"/>
    </w:lvlOverride>
  </w:num>
  <w:num w:numId="5" w16cid:durableId="119228757">
    <w:abstractNumId w:val="13"/>
    <w:lvlOverride w:ilvl="0">
      <w:startOverride w:val="1"/>
    </w:lvlOverride>
  </w:num>
  <w:num w:numId="6" w16cid:durableId="716971247">
    <w:abstractNumId w:val="13"/>
    <w:lvlOverride w:ilvl="0">
      <w:startOverride w:val="1"/>
    </w:lvlOverride>
  </w:num>
  <w:num w:numId="7" w16cid:durableId="1387148658">
    <w:abstractNumId w:val="13"/>
    <w:lvlOverride w:ilvl="0">
      <w:startOverride w:val="1"/>
    </w:lvlOverride>
  </w:num>
  <w:num w:numId="8" w16cid:durableId="326909527">
    <w:abstractNumId w:val="9"/>
  </w:num>
  <w:num w:numId="9" w16cid:durableId="2044281287">
    <w:abstractNumId w:val="7"/>
  </w:num>
  <w:num w:numId="10" w16cid:durableId="319697583">
    <w:abstractNumId w:val="6"/>
  </w:num>
  <w:num w:numId="11" w16cid:durableId="542835923">
    <w:abstractNumId w:val="5"/>
  </w:num>
  <w:num w:numId="12" w16cid:durableId="536043768">
    <w:abstractNumId w:val="4"/>
  </w:num>
  <w:num w:numId="13" w16cid:durableId="1972977166">
    <w:abstractNumId w:val="8"/>
  </w:num>
  <w:num w:numId="14" w16cid:durableId="397635165">
    <w:abstractNumId w:val="3"/>
  </w:num>
  <w:num w:numId="15" w16cid:durableId="45565791">
    <w:abstractNumId w:val="2"/>
  </w:num>
  <w:num w:numId="16" w16cid:durableId="271858864">
    <w:abstractNumId w:val="1"/>
  </w:num>
  <w:num w:numId="17" w16cid:durableId="998386305">
    <w:abstractNumId w:val="0"/>
  </w:num>
  <w:num w:numId="18" w16cid:durableId="291444502">
    <w:abstractNumId w:val="10"/>
  </w:num>
  <w:num w:numId="19" w16cid:durableId="1057244704">
    <w:abstractNumId w:val="10"/>
    <w:lvlOverride w:ilvl="0">
      <w:startOverride w:val="1"/>
    </w:lvlOverride>
  </w:num>
  <w:num w:numId="20" w16cid:durableId="2006786283">
    <w:abstractNumId w:val="11"/>
  </w:num>
  <w:num w:numId="21" w16cid:durableId="1381006092">
    <w:abstractNumId w:val="13"/>
  </w:num>
  <w:num w:numId="22" w16cid:durableId="465128747">
    <w:abstractNumId w:val="10"/>
  </w:num>
  <w:num w:numId="23" w16cid:durableId="397748997">
    <w:abstractNumId w:val="12"/>
  </w:num>
  <w:num w:numId="24" w16cid:durableId="2102682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24"/>
    <w:rsid w:val="000053F8"/>
    <w:rsid w:val="00024D0A"/>
    <w:rsid w:val="00070065"/>
    <w:rsid w:val="00072116"/>
    <w:rsid w:val="000A4FEE"/>
    <w:rsid w:val="000B5939"/>
    <w:rsid w:val="001134E7"/>
    <w:rsid w:val="001336FF"/>
    <w:rsid w:val="00136206"/>
    <w:rsid w:val="00157BBE"/>
    <w:rsid w:val="0017169E"/>
    <w:rsid w:val="001A6635"/>
    <w:rsid w:val="001B0EE9"/>
    <w:rsid w:val="001B65B3"/>
    <w:rsid w:val="001C0D07"/>
    <w:rsid w:val="001C6586"/>
    <w:rsid w:val="001E60D6"/>
    <w:rsid w:val="001E715C"/>
    <w:rsid w:val="0020523A"/>
    <w:rsid w:val="002124D5"/>
    <w:rsid w:val="002408EA"/>
    <w:rsid w:val="0025603E"/>
    <w:rsid w:val="002819D7"/>
    <w:rsid w:val="002C1A7E"/>
    <w:rsid w:val="002D3376"/>
    <w:rsid w:val="002D4F21"/>
    <w:rsid w:val="002D6335"/>
    <w:rsid w:val="00311ED0"/>
    <w:rsid w:val="003244E4"/>
    <w:rsid w:val="00345EA3"/>
    <w:rsid w:val="003648C5"/>
    <w:rsid w:val="003722FA"/>
    <w:rsid w:val="003C7AAF"/>
    <w:rsid w:val="003F0A04"/>
    <w:rsid w:val="003F1C1C"/>
    <w:rsid w:val="004075B6"/>
    <w:rsid w:val="00420952"/>
    <w:rsid w:val="00446BEE"/>
    <w:rsid w:val="005025A1"/>
    <w:rsid w:val="00594C3A"/>
    <w:rsid w:val="005A02D5"/>
    <w:rsid w:val="005D52D0"/>
    <w:rsid w:val="00624140"/>
    <w:rsid w:val="006709A9"/>
    <w:rsid w:val="006802A7"/>
    <w:rsid w:val="006921E1"/>
    <w:rsid w:val="00696C0A"/>
    <w:rsid w:val="006A28FB"/>
    <w:rsid w:val="0073572E"/>
    <w:rsid w:val="00736348"/>
    <w:rsid w:val="0077376B"/>
    <w:rsid w:val="00781C41"/>
    <w:rsid w:val="00833D8A"/>
    <w:rsid w:val="00850D73"/>
    <w:rsid w:val="00861B92"/>
    <w:rsid w:val="008814FB"/>
    <w:rsid w:val="008A41BF"/>
    <w:rsid w:val="008E7826"/>
    <w:rsid w:val="008F5E30"/>
    <w:rsid w:val="008F6FB7"/>
    <w:rsid w:val="00914D7F"/>
    <w:rsid w:val="0097305A"/>
    <w:rsid w:val="009E680B"/>
    <w:rsid w:val="00A15A1F"/>
    <w:rsid w:val="00A3325A"/>
    <w:rsid w:val="00A43013"/>
    <w:rsid w:val="00A855E2"/>
    <w:rsid w:val="00AF108A"/>
    <w:rsid w:val="00B02E55"/>
    <w:rsid w:val="00B036C1"/>
    <w:rsid w:val="00B5431F"/>
    <w:rsid w:val="00B65A11"/>
    <w:rsid w:val="00BC184B"/>
    <w:rsid w:val="00BF7FE0"/>
    <w:rsid w:val="00C36044"/>
    <w:rsid w:val="00C77C66"/>
    <w:rsid w:val="00C85682"/>
    <w:rsid w:val="00C96411"/>
    <w:rsid w:val="00CB2369"/>
    <w:rsid w:val="00CF2E5C"/>
    <w:rsid w:val="00CF58B7"/>
    <w:rsid w:val="00D02A8F"/>
    <w:rsid w:val="00D1699D"/>
    <w:rsid w:val="00D351C1"/>
    <w:rsid w:val="00D35EFB"/>
    <w:rsid w:val="00D47D55"/>
    <w:rsid w:val="00D504B3"/>
    <w:rsid w:val="00D86BF0"/>
    <w:rsid w:val="00E00E24"/>
    <w:rsid w:val="00E51079"/>
    <w:rsid w:val="00E51920"/>
    <w:rsid w:val="00E64120"/>
    <w:rsid w:val="00E660A1"/>
    <w:rsid w:val="00E72AE9"/>
    <w:rsid w:val="00E851C4"/>
    <w:rsid w:val="00EB096F"/>
    <w:rsid w:val="00F055F1"/>
    <w:rsid w:val="00F610AF"/>
    <w:rsid w:val="00FA2C5A"/>
    <w:rsid w:val="00FC2D11"/>
    <w:rsid w:val="00FC6230"/>
    <w:rsid w:val="00FE5CEF"/>
    <w:rsid w:val="00FF3B0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FB1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E00E24"/>
    <w:rPr>
      <w:color w:val="605E5C"/>
      <w:shd w:val="clear" w:color="auto" w:fill="E1DFDD"/>
    </w:rPr>
  </w:style>
  <w:style w:type="paragraph" w:customStyle="1" w:styleId="NICEnormal">
    <w:name w:val="NICE normal"/>
    <w:link w:val="NICEnormalChar"/>
    <w:qFormat/>
    <w:rsid w:val="0020523A"/>
    <w:pPr>
      <w:spacing w:after="240" w:line="360" w:lineRule="auto"/>
    </w:pPr>
    <w:rPr>
      <w:rFonts w:ascii="Arial" w:hAnsi="Arial"/>
      <w:sz w:val="24"/>
      <w:szCs w:val="24"/>
      <w:lang w:eastAsia="en-US"/>
    </w:rPr>
  </w:style>
  <w:style w:type="character" w:customStyle="1" w:styleId="NICEnormalChar">
    <w:name w:val="NICE normal Char"/>
    <w:link w:val="NICEnormal"/>
    <w:rsid w:val="0020523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vdprevent.nhs.uk/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idneyresearchuk.org/2019/03/13/report-reveals-disparities-in-kidney-health-across-the-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terms-and-condi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1754</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2023-08-21T06:27:00Z</dcterms:created>
  <dcterms:modified xsi:type="dcterms:W3CDTF">2023-08-21T06:28:00Z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2023-08-21T06:28:04Z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df1726a1-2737-4ac7-93fe-7a8a4dd35729</vt:lpwstr>
  </property>
  <property fmtid="{D5CDD505-2E9C-101B-9397-08002B2CF9AE}" pid="8" name="MSIP_Label_c69d85d5-6d9e-4305-a294-1f636ec0f2d6_ContentBits">
    <vt:lpwstr>0</vt:lpwstr>
  </property>
</Properties>
</file>