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08ED6603" w:rsidR="009B0E59" w:rsidRPr="009B0E59" w:rsidRDefault="00714D30" w:rsidP="00192685">
      <w:pPr>
        <w:pStyle w:val="Heading1"/>
        <w:rPr>
          <w:lang w:eastAsia="en-GB"/>
        </w:rPr>
      </w:pPr>
      <w:r>
        <w:rPr>
          <w:lang w:eastAsia="en-GB"/>
        </w:rPr>
        <w:t xml:space="preserve">Indicator </w:t>
      </w:r>
      <w:r w:rsidR="009A315F">
        <w:rPr>
          <w:lang w:eastAsia="en-GB"/>
        </w:rPr>
        <w:t>NM248</w:t>
      </w:r>
    </w:p>
    <w:p w14:paraId="07CB09D4" w14:textId="1119D6ED" w:rsidR="00A559BE" w:rsidRDefault="00A559BE" w:rsidP="00DA1D03">
      <w:pPr>
        <w:pStyle w:val="Paragraphnonumbers"/>
        <w:rPr>
          <w:b/>
          <w:bCs/>
          <w:lang w:eastAsia="en-GB"/>
        </w:rPr>
      </w:pPr>
      <w:bookmarkStart w:id="1" w:name="_Hlk114151466"/>
      <w:r w:rsidRPr="00A559BE">
        <w:rPr>
          <w:lang w:eastAsia="en-GB"/>
        </w:rPr>
        <w:t xml:space="preserve">The percentage of patients </w:t>
      </w:r>
      <w:r>
        <w:rPr>
          <w:lang w:eastAsia="en-GB"/>
        </w:rPr>
        <w:t>on</w:t>
      </w:r>
      <w:r w:rsidRPr="00A559BE">
        <w:rPr>
          <w:lang w:eastAsia="en-GB"/>
        </w:rPr>
        <w:t xml:space="preserve"> the CKD register </w:t>
      </w:r>
      <w:r w:rsidR="00891C84">
        <w:rPr>
          <w:lang w:eastAsia="en-GB"/>
        </w:rPr>
        <w:t xml:space="preserve">and </w:t>
      </w:r>
      <w:r w:rsidRPr="00A559BE">
        <w:rPr>
          <w:lang w:eastAsia="en-GB"/>
        </w:rPr>
        <w:t>with an albumin to creatinine ratio (ACR) of 70 mg/mmol</w:t>
      </w:r>
      <w:r>
        <w:rPr>
          <w:lang w:eastAsia="en-GB"/>
        </w:rPr>
        <w:t xml:space="preserve"> or more</w:t>
      </w:r>
      <w:r w:rsidRPr="00A559BE">
        <w:rPr>
          <w:lang w:eastAsia="en-GB"/>
        </w:rPr>
        <w:t>, without moderate or severe frailty, in whom the last blood pressure reading (measured in the preceding 12 months) is less than 1</w:t>
      </w:r>
      <w:r>
        <w:rPr>
          <w:lang w:eastAsia="en-GB"/>
        </w:rPr>
        <w:t>2</w:t>
      </w:r>
      <w:r w:rsidRPr="00A559BE">
        <w:rPr>
          <w:lang w:eastAsia="en-GB"/>
        </w:rPr>
        <w:t>5/</w:t>
      </w:r>
      <w:r>
        <w:rPr>
          <w:lang w:eastAsia="en-GB"/>
        </w:rPr>
        <w:t>75</w:t>
      </w:r>
      <w:r w:rsidRPr="00A559BE">
        <w:rPr>
          <w:lang w:eastAsia="en-GB"/>
        </w:rPr>
        <w:t xml:space="preserve"> mmHg if using ambulatory or home monitoring, or less than 1</w:t>
      </w:r>
      <w:r>
        <w:rPr>
          <w:lang w:eastAsia="en-GB"/>
        </w:rPr>
        <w:t>30</w:t>
      </w:r>
      <w:r w:rsidRPr="00A559BE">
        <w:rPr>
          <w:lang w:eastAsia="en-GB"/>
        </w:rPr>
        <w:t>/</w:t>
      </w:r>
      <w:r>
        <w:rPr>
          <w:lang w:eastAsia="en-GB"/>
        </w:rPr>
        <w:t>8</w:t>
      </w:r>
      <w:r w:rsidRPr="00A559BE">
        <w:rPr>
          <w:lang w:eastAsia="en-GB"/>
        </w:rPr>
        <w:t xml:space="preserve">0 mmHg if monitored in clinic. </w:t>
      </w:r>
    </w:p>
    <w:bookmarkEnd w:id="1"/>
    <w:p w14:paraId="7C25BFBC" w14:textId="7786C1F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2"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25F80C68" w:rsidR="002338EB" w:rsidRPr="002338EB" w:rsidRDefault="00A559BE" w:rsidP="002338EB">
            <w:pPr>
              <w:pStyle w:val="Paragraph"/>
              <w:spacing w:before="120" w:after="120" w:line="240" w:lineRule="auto"/>
              <w:rPr>
                <w:highlight w:val="lightGray"/>
              </w:rPr>
            </w:pPr>
            <w:r w:rsidRPr="00A559BE">
              <w:rPr>
                <w:rFonts w:cs="Arial"/>
                <w:sz w:val="22"/>
                <w:szCs w:val="22"/>
              </w:rPr>
              <w:t xml:space="preserve">NHS England referred chronic kidney disease (CKD) as a topic for exploring possible indicators. There is a single indicator for CKD in the current </w:t>
            </w:r>
            <w:r w:rsidR="00DA59AC">
              <w:rPr>
                <w:rFonts w:cs="Arial"/>
                <w:sz w:val="22"/>
                <w:szCs w:val="22"/>
              </w:rPr>
              <w:t>2023/24</w:t>
            </w:r>
            <w:r w:rsidRPr="00A559BE">
              <w:rPr>
                <w:rFonts w:cs="Arial"/>
                <w:sz w:val="22"/>
                <w:szCs w:val="22"/>
              </w:rPr>
              <w:t xml:space="preserve"> QOF. CKD is recognised as a risk factor for other conditions such as cardiovascular disease and identification and management of CKD has been included in data collection for the </w:t>
            </w:r>
            <w:hyperlink r:id="rId7" w:history="1">
              <w:r w:rsidRPr="0042088E">
                <w:rPr>
                  <w:rStyle w:val="Hyperlink"/>
                  <w:rFonts w:cs="Arial"/>
                  <w:sz w:val="22"/>
                  <w:szCs w:val="22"/>
                </w:rPr>
                <w:t>CVD Prevent audit.</w:t>
              </w:r>
            </w:hyperlink>
            <w:r w:rsidR="002338EB" w:rsidRPr="002338EB">
              <w:rPr>
                <w:rFonts w:cs="Arial"/>
                <w:sz w:val="22"/>
                <w:szCs w:val="22"/>
                <w:highlight w:val="lightGray"/>
              </w:rPr>
              <w:t xml:space="preserve"> </w:t>
            </w:r>
          </w:p>
        </w:tc>
        <w:tc>
          <w:tcPr>
            <w:tcW w:w="3118" w:type="dxa"/>
          </w:tcPr>
          <w:p w14:paraId="062E903B" w14:textId="19F53F68" w:rsidR="002338EB" w:rsidRPr="00567AFA" w:rsidRDefault="002338EB" w:rsidP="002338EB">
            <w:pPr>
              <w:spacing w:before="120" w:after="120"/>
              <w:rPr>
                <w:rFonts w:ascii="Arial" w:hAnsi="Arial" w:cs="Arial"/>
                <w:color w:val="000000"/>
                <w:kern w:val="24"/>
                <w:sz w:val="22"/>
                <w:szCs w:val="22"/>
                <w:lang w:val="en-US"/>
              </w:rPr>
            </w:pPr>
            <w:r w:rsidRPr="00567AFA">
              <w:rPr>
                <w:rFonts w:ascii="Arial" w:hAnsi="Arial" w:cs="Arial"/>
                <w:color w:val="000000"/>
                <w:kern w:val="24"/>
                <w:sz w:val="22"/>
                <w:szCs w:val="22"/>
                <w:lang w:val="en-US"/>
              </w:rPr>
              <w:t>The indicator reflects a specific priority area identified by NHS England.</w:t>
            </w:r>
          </w:p>
          <w:p w14:paraId="272CA0EC" w14:textId="77777777" w:rsidR="002338EB" w:rsidRPr="002338EB" w:rsidRDefault="002338EB" w:rsidP="002338EB">
            <w:pPr>
              <w:pStyle w:val="Paragraph"/>
              <w:spacing w:before="120" w:after="120" w:line="240" w:lineRule="auto"/>
              <w:rPr>
                <w:highlight w:val="lightGray"/>
              </w:rPr>
            </w:pPr>
          </w:p>
        </w:tc>
      </w:tr>
      <w:tr w:rsidR="00735337" w14:paraId="2E2CE1C4" w14:textId="77777777" w:rsidTr="002338EB">
        <w:tc>
          <w:tcPr>
            <w:tcW w:w="5949" w:type="dxa"/>
          </w:tcPr>
          <w:p w14:paraId="179F7C10" w14:textId="60861359" w:rsidR="009E1F1E" w:rsidRDefault="00C20D84" w:rsidP="00735337">
            <w:pPr>
              <w:pStyle w:val="Paragraph"/>
              <w:spacing w:before="120" w:after="120" w:line="240" w:lineRule="auto"/>
              <w:rPr>
                <w:sz w:val="22"/>
                <w:szCs w:val="22"/>
              </w:rPr>
            </w:pPr>
            <w:hyperlink r:id="rId8" w:history="1">
              <w:r w:rsidR="00567AFA" w:rsidRPr="00567AFA">
                <w:rPr>
                  <w:rStyle w:val="Hyperlink"/>
                  <w:sz w:val="22"/>
                  <w:szCs w:val="22"/>
                </w:rPr>
                <w:t>NHS Digital’s INLIQ data from 20</w:t>
              </w:r>
              <w:r w:rsidR="00C92E92">
                <w:rPr>
                  <w:rStyle w:val="Hyperlink"/>
                  <w:sz w:val="22"/>
                  <w:szCs w:val="22"/>
                </w:rPr>
                <w:t>22</w:t>
              </w:r>
              <w:r w:rsidR="00567AFA" w:rsidRPr="00567AFA">
                <w:rPr>
                  <w:rStyle w:val="Hyperlink"/>
                  <w:sz w:val="22"/>
                  <w:szCs w:val="22"/>
                </w:rPr>
                <w:t xml:space="preserve"> to 202</w:t>
              </w:r>
            </w:hyperlink>
            <w:r w:rsidR="00C92E92">
              <w:rPr>
                <w:rStyle w:val="Hyperlink"/>
                <w:sz w:val="22"/>
                <w:szCs w:val="22"/>
              </w:rPr>
              <w:t>3</w:t>
            </w:r>
            <w:r w:rsidR="00567AFA">
              <w:rPr>
                <w:sz w:val="22"/>
                <w:szCs w:val="22"/>
              </w:rPr>
              <w:t xml:space="preserve"> </w:t>
            </w:r>
            <w:r w:rsidR="00567AFA" w:rsidRPr="00567AFA">
              <w:rPr>
                <w:sz w:val="22"/>
                <w:szCs w:val="22"/>
              </w:rPr>
              <w:t xml:space="preserve">shows performance of </w:t>
            </w:r>
            <w:r w:rsidR="006C2344">
              <w:rPr>
                <w:sz w:val="22"/>
                <w:szCs w:val="22"/>
              </w:rPr>
              <w:t xml:space="preserve">the </w:t>
            </w:r>
            <w:r w:rsidR="00567AFA" w:rsidRPr="00567AFA">
              <w:rPr>
                <w:sz w:val="22"/>
                <w:szCs w:val="22"/>
              </w:rPr>
              <w:t>indicator</w:t>
            </w:r>
            <w:r w:rsidR="009E1F1E">
              <w:rPr>
                <w:sz w:val="22"/>
                <w:szCs w:val="22"/>
              </w:rPr>
              <w:t xml:space="preserve"> CKD002. This measures the percentage of patients on the CKD register who have</w:t>
            </w:r>
            <w:r w:rsidR="006C2344">
              <w:rPr>
                <w:sz w:val="22"/>
                <w:szCs w:val="22"/>
              </w:rPr>
              <w:t xml:space="preserve"> blood pressure</w:t>
            </w:r>
            <w:r w:rsidR="009E1F1E">
              <w:rPr>
                <w:sz w:val="22"/>
                <w:szCs w:val="22"/>
              </w:rPr>
              <w:t xml:space="preserve"> reading of 140/85 mmHg or less</w:t>
            </w:r>
            <w:r w:rsidR="00567AFA" w:rsidRPr="00567AFA">
              <w:rPr>
                <w:sz w:val="22"/>
                <w:szCs w:val="22"/>
              </w:rPr>
              <w:t>. This shows an achievement rate of 69%</w:t>
            </w:r>
            <w:r w:rsidR="009E1F1E">
              <w:rPr>
                <w:sz w:val="22"/>
                <w:szCs w:val="22"/>
              </w:rPr>
              <w:t>.</w:t>
            </w:r>
          </w:p>
          <w:p w14:paraId="378D38FD" w14:textId="544D43A9" w:rsidR="00735337" w:rsidRPr="00567AFA" w:rsidRDefault="006C2344" w:rsidP="00735337">
            <w:pPr>
              <w:pStyle w:val="Paragraph"/>
              <w:spacing w:before="120" w:after="120" w:line="240" w:lineRule="auto"/>
            </w:pPr>
            <w:r>
              <w:rPr>
                <w:sz w:val="22"/>
                <w:szCs w:val="22"/>
              </w:rPr>
              <w:t>T</w:t>
            </w:r>
            <w:r w:rsidR="00567AFA" w:rsidRPr="00567AFA">
              <w:rPr>
                <w:sz w:val="22"/>
                <w:szCs w:val="22"/>
              </w:rPr>
              <w:t>here is no data for achievement of the lower blood pressure target</w:t>
            </w:r>
            <w:r w:rsidR="0042088E">
              <w:rPr>
                <w:sz w:val="22"/>
                <w:szCs w:val="22"/>
              </w:rPr>
              <w:t>s</w:t>
            </w:r>
            <w:r w:rsidR="00567AFA" w:rsidRPr="00567AFA">
              <w:rPr>
                <w:sz w:val="22"/>
                <w:szCs w:val="22"/>
              </w:rPr>
              <w:t xml:space="preserve"> in </w:t>
            </w:r>
            <w:r>
              <w:rPr>
                <w:sz w:val="22"/>
                <w:szCs w:val="22"/>
              </w:rPr>
              <w:t>the population of the proposed indicator</w:t>
            </w:r>
            <w:r w:rsidR="00026D6D">
              <w:rPr>
                <w:sz w:val="22"/>
                <w:szCs w:val="22"/>
              </w:rPr>
              <w:t>,</w:t>
            </w:r>
            <w:r>
              <w:rPr>
                <w:sz w:val="22"/>
                <w:szCs w:val="22"/>
              </w:rPr>
              <w:t xml:space="preserve"> but it could be assumed to be the same or lower achievement rate</w:t>
            </w:r>
            <w:r w:rsidR="00567AFA" w:rsidRPr="00567AFA">
              <w:rPr>
                <w:sz w:val="22"/>
                <w:szCs w:val="22"/>
              </w:rPr>
              <w:t xml:space="preserve">. </w:t>
            </w:r>
          </w:p>
        </w:tc>
        <w:tc>
          <w:tcPr>
            <w:tcW w:w="3118" w:type="dxa"/>
          </w:tcPr>
          <w:p w14:paraId="3C8B1CA2" w14:textId="77777777" w:rsidR="00735337" w:rsidRPr="00567AFA" w:rsidRDefault="00735337" w:rsidP="00735337">
            <w:pPr>
              <w:spacing w:before="120" w:after="120"/>
              <w:rPr>
                <w:rFonts w:ascii="Arial" w:hAnsi="Arial" w:cs="Arial"/>
                <w:color w:val="000000"/>
                <w:kern w:val="24"/>
                <w:sz w:val="22"/>
                <w:szCs w:val="22"/>
                <w:lang w:val="en-US"/>
              </w:rPr>
            </w:pPr>
            <w:r w:rsidRPr="00567AFA">
              <w:rPr>
                <w:rFonts w:ascii="Arial" w:hAnsi="Arial" w:cs="Arial"/>
                <w:color w:val="000000"/>
                <w:kern w:val="24"/>
                <w:sz w:val="22"/>
                <w:szCs w:val="22"/>
                <w:lang w:val="en-US"/>
              </w:rPr>
              <w:t>The indicator relates to an area where there is known variation in practice.</w:t>
            </w:r>
          </w:p>
          <w:p w14:paraId="3FD01E72" w14:textId="3FD63C35" w:rsidR="00735337" w:rsidRPr="00567AFA" w:rsidRDefault="00735337" w:rsidP="00735337">
            <w:pPr>
              <w:pStyle w:val="Paragraph"/>
              <w:spacing w:before="120" w:after="120" w:line="240" w:lineRule="auto"/>
            </w:pPr>
            <w:r w:rsidRPr="00567AFA">
              <w:rPr>
                <w:rFonts w:cs="Arial"/>
                <w:color w:val="000000"/>
                <w:kern w:val="24"/>
                <w:sz w:val="22"/>
                <w:szCs w:val="22"/>
                <w:lang w:val="en-US"/>
              </w:rPr>
              <w:t>The indicator addresses under-treatment.</w:t>
            </w:r>
          </w:p>
        </w:tc>
      </w:tr>
      <w:tr w:rsidR="00735337" w14:paraId="373D8AA4" w14:textId="77777777" w:rsidTr="00026D6D">
        <w:trPr>
          <w:trHeight w:val="1556"/>
        </w:trPr>
        <w:tc>
          <w:tcPr>
            <w:tcW w:w="5949" w:type="dxa"/>
          </w:tcPr>
          <w:p w14:paraId="40A2EA38" w14:textId="5A690FC5" w:rsidR="00894B01" w:rsidRPr="00AC3A12" w:rsidRDefault="00A559BE" w:rsidP="00AC3A12">
            <w:pPr>
              <w:pStyle w:val="TableText1"/>
              <w:spacing w:before="120" w:after="120"/>
            </w:pPr>
            <w:r w:rsidRPr="0042088E">
              <w:t>Chronic kidney disease (CKD) is a long-term condition characterised by abnormal function or structure (or both). Optimal blood pressure control can slow progression of CKD and reduce the risk of cardiovascular disease. A focus on people without moderate or severe frailty allows for an individualised management approach that adjusts care according to frailty status.</w:t>
            </w:r>
            <w:r w:rsidR="0042088E" w:rsidRPr="0042088E">
              <w:t xml:space="preserve"> </w:t>
            </w:r>
            <w:r w:rsidR="0042088E" w:rsidRPr="004F467D">
              <w:t>The General Medical</w:t>
            </w:r>
            <w:r w:rsidR="00AC3A12">
              <w:t xml:space="preserve"> </w:t>
            </w:r>
            <w:r w:rsidR="0042088E" w:rsidRPr="00891C84">
              <w:t>Service (GMS) contract requires practices to use an</w:t>
            </w:r>
            <w:r w:rsidR="00AC3A12">
              <w:t xml:space="preserve"> </w:t>
            </w:r>
            <w:r w:rsidR="0042088E" w:rsidRPr="00026D6D">
              <w:t>appropriate tool (such as the electronic frailty index) to</w:t>
            </w:r>
            <w:r w:rsidR="00AC3A12">
              <w:t xml:space="preserve"> </w:t>
            </w:r>
            <w:r w:rsidR="0042088E" w:rsidRPr="00026D6D">
              <w:t>identity moderate and severe frailty in patients 65 years</w:t>
            </w:r>
            <w:r w:rsidR="00AC3A12">
              <w:t xml:space="preserve"> </w:t>
            </w:r>
            <w:r w:rsidR="0042088E" w:rsidRPr="00026D6D">
              <w:t>and over. It also requires secondary validation.</w:t>
            </w:r>
          </w:p>
        </w:tc>
        <w:tc>
          <w:tcPr>
            <w:tcW w:w="3118" w:type="dxa"/>
          </w:tcPr>
          <w:p w14:paraId="380FC230" w14:textId="7CC4A177" w:rsidR="00735337" w:rsidRPr="00567AFA" w:rsidRDefault="00735337" w:rsidP="00735337">
            <w:pPr>
              <w:spacing w:before="120" w:after="120"/>
              <w:rPr>
                <w:rFonts w:ascii="Arial" w:hAnsi="Arial" w:cs="Arial"/>
                <w:color w:val="000000"/>
                <w:kern w:val="24"/>
                <w:sz w:val="22"/>
                <w:szCs w:val="22"/>
                <w:lang w:val="en-US"/>
              </w:rPr>
            </w:pPr>
            <w:r w:rsidRPr="00567AFA">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2"/>
    </w:tbl>
    <w:p w14:paraId="7408AD42" w14:textId="77777777" w:rsidR="002338EB" w:rsidRDefault="002338EB" w:rsidP="004C50B0">
      <w:pPr>
        <w:pStyle w:val="Paragraph"/>
      </w:pPr>
    </w:p>
    <w:p w14:paraId="5BA69987" w14:textId="6FA6FB6E" w:rsidR="002338EB" w:rsidRDefault="002338EB" w:rsidP="00192685">
      <w:pPr>
        <w:pStyle w:val="Heading1"/>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AE6A66C" w14:textId="2200CD21" w:rsidR="00A559BE" w:rsidRPr="00567AFA" w:rsidRDefault="00C20D84" w:rsidP="00A559BE">
            <w:pPr>
              <w:spacing w:before="120" w:after="120"/>
            </w:pPr>
            <w:hyperlink r:id="rId9" w:history="1">
              <w:r w:rsidR="00D34A05">
                <w:rPr>
                  <w:rStyle w:val="Hyperlink"/>
                  <w:rFonts w:ascii="Arial" w:hAnsi="Arial" w:cs="Arial"/>
                  <w:sz w:val="22"/>
                  <w:szCs w:val="22"/>
                </w:rPr>
                <w:t>C</w:t>
              </w:r>
              <w:r w:rsidR="00A559BE" w:rsidRPr="00567AFA">
                <w:rPr>
                  <w:rStyle w:val="Hyperlink"/>
                  <w:rFonts w:ascii="Arial" w:hAnsi="Arial" w:cs="Arial"/>
                  <w:sz w:val="22"/>
                  <w:szCs w:val="22"/>
                </w:rPr>
                <w:t>hronic kidney disease</w:t>
              </w:r>
            </w:hyperlink>
            <w:r w:rsidR="00D34A05">
              <w:rPr>
                <w:rStyle w:val="Hyperlink"/>
                <w:rFonts w:ascii="Arial" w:hAnsi="Arial" w:cs="Arial"/>
                <w:sz w:val="22"/>
                <w:szCs w:val="22"/>
              </w:rPr>
              <w:t>: assessment and management. NICE guideline NG203</w:t>
            </w:r>
            <w:r w:rsidR="00A559BE" w:rsidRPr="00567AFA">
              <w:rPr>
                <w:rFonts w:ascii="Arial" w:hAnsi="Arial" w:cs="Arial"/>
                <w:sz w:val="22"/>
                <w:szCs w:val="22"/>
              </w:rPr>
              <w:t xml:space="preserve"> (2021), recommendation 1.6.2. In adults with CKD and an ACR of 70 mg/mmol or more, aim for a clinic systolic blood pressure below 130 mmHg (target range 120 to 129 mmHg) and a clinic diastolic blood pressure below 80 mmHg.</w:t>
            </w:r>
            <w:r w:rsidR="00A559BE" w:rsidRPr="00567AFA">
              <w:t xml:space="preserve"> </w:t>
            </w:r>
          </w:p>
          <w:p w14:paraId="0B0DBAF4" w14:textId="59DEA48D" w:rsidR="00A559BE" w:rsidRPr="00567AFA" w:rsidRDefault="00C20D84" w:rsidP="00A559BE">
            <w:pPr>
              <w:spacing w:before="120" w:after="120"/>
              <w:rPr>
                <w:rFonts w:ascii="Arial" w:hAnsi="Arial" w:cs="Arial"/>
                <w:sz w:val="22"/>
                <w:szCs w:val="22"/>
              </w:rPr>
            </w:pPr>
            <w:hyperlink r:id="rId10" w:history="1">
              <w:r w:rsidR="00D34A05">
                <w:rPr>
                  <w:rStyle w:val="Hyperlink"/>
                  <w:rFonts w:ascii="Arial" w:hAnsi="Arial" w:cs="Arial"/>
                  <w:sz w:val="22"/>
                  <w:szCs w:val="22"/>
                </w:rPr>
                <w:t>H</w:t>
              </w:r>
              <w:r w:rsidR="00A559BE" w:rsidRPr="00567AFA">
                <w:rPr>
                  <w:rStyle w:val="Hyperlink"/>
                  <w:rFonts w:ascii="Arial" w:hAnsi="Arial" w:cs="Arial"/>
                  <w:sz w:val="22"/>
                  <w:szCs w:val="22"/>
                </w:rPr>
                <w:t>ypertension in adults</w:t>
              </w:r>
            </w:hyperlink>
            <w:r w:rsidR="00D34A05">
              <w:rPr>
                <w:rStyle w:val="Hyperlink"/>
                <w:rFonts w:ascii="Arial" w:hAnsi="Arial" w:cs="Arial"/>
                <w:sz w:val="22"/>
                <w:szCs w:val="22"/>
              </w:rPr>
              <w:t>: diagnosis and management. NICE guideline NG136</w:t>
            </w:r>
            <w:r w:rsidR="00A559BE" w:rsidRPr="00567AFA">
              <w:rPr>
                <w:rFonts w:ascii="Arial" w:hAnsi="Arial" w:cs="Arial"/>
                <w:sz w:val="22"/>
                <w:szCs w:val="22"/>
              </w:rPr>
              <w:t xml:space="preserve"> (2019, last updated 2022) recommendations 1.4.10, 1.4.</w:t>
            </w:r>
            <w:r w:rsidR="00761F0E">
              <w:rPr>
                <w:rFonts w:ascii="Arial" w:hAnsi="Arial" w:cs="Arial"/>
                <w:sz w:val="22"/>
                <w:szCs w:val="22"/>
              </w:rPr>
              <w:t>1</w:t>
            </w:r>
            <w:r w:rsidR="00A559BE" w:rsidRPr="00567AFA">
              <w:rPr>
                <w:rFonts w:ascii="Arial" w:hAnsi="Arial" w:cs="Arial"/>
                <w:sz w:val="22"/>
                <w:szCs w:val="22"/>
              </w:rPr>
              <w:t xml:space="preserve">8, and 1.4.20 and 1.4.22. </w:t>
            </w:r>
          </w:p>
          <w:p w14:paraId="28C9DA77"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1.4.10 Discuss starting antihypertensive drug treatment, in addition to lifestyle advice, with adults aged under 80 with persistent stage 1 hypertension who have 1 or more of the following:</w:t>
            </w:r>
          </w:p>
          <w:p w14:paraId="62CEC711"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w:t>
            </w:r>
            <w:r w:rsidRPr="00567AFA">
              <w:rPr>
                <w:rFonts w:ascii="Arial" w:hAnsi="Arial" w:cs="Arial"/>
                <w:sz w:val="22"/>
                <w:szCs w:val="22"/>
              </w:rPr>
              <w:tab/>
              <w:t>target organ damage</w:t>
            </w:r>
          </w:p>
          <w:p w14:paraId="31B7CE17"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w:t>
            </w:r>
            <w:r w:rsidRPr="00567AFA">
              <w:rPr>
                <w:rFonts w:ascii="Arial" w:hAnsi="Arial" w:cs="Arial"/>
                <w:sz w:val="22"/>
                <w:szCs w:val="22"/>
              </w:rPr>
              <w:tab/>
              <w:t>established cardiovascular disease</w:t>
            </w:r>
          </w:p>
          <w:p w14:paraId="736A05F2"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w:t>
            </w:r>
            <w:r w:rsidRPr="00567AFA">
              <w:rPr>
                <w:rFonts w:ascii="Arial" w:hAnsi="Arial" w:cs="Arial"/>
                <w:sz w:val="22"/>
                <w:szCs w:val="22"/>
              </w:rPr>
              <w:tab/>
              <w:t>renal disease</w:t>
            </w:r>
          </w:p>
          <w:p w14:paraId="4572FA97"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w:t>
            </w:r>
            <w:r w:rsidRPr="00567AFA">
              <w:rPr>
                <w:rFonts w:ascii="Arial" w:hAnsi="Arial" w:cs="Arial"/>
                <w:sz w:val="22"/>
                <w:szCs w:val="22"/>
              </w:rPr>
              <w:tab/>
              <w:t>diabetes</w:t>
            </w:r>
          </w:p>
          <w:p w14:paraId="67045F6D"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w:t>
            </w:r>
            <w:r w:rsidRPr="00567AFA">
              <w:rPr>
                <w:rFonts w:ascii="Arial" w:hAnsi="Arial" w:cs="Arial"/>
                <w:sz w:val="22"/>
                <w:szCs w:val="22"/>
              </w:rPr>
              <w:tab/>
              <w:t>an estimated 10</w:t>
            </w:r>
            <w:r w:rsidRPr="00567AFA">
              <w:rPr>
                <w:rFonts w:ascii="Cambria Math" w:hAnsi="Cambria Math" w:cs="Cambria Math"/>
                <w:sz w:val="22"/>
                <w:szCs w:val="22"/>
              </w:rPr>
              <w:t>‑</w:t>
            </w:r>
            <w:r w:rsidRPr="00567AFA">
              <w:rPr>
                <w:rFonts w:ascii="Arial" w:hAnsi="Arial" w:cs="Arial"/>
                <w:sz w:val="22"/>
                <w:szCs w:val="22"/>
              </w:rPr>
              <w:t>year risk of cardiovascular disease of 10% or more.</w:t>
            </w:r>
          </w:p>
          <w:p w14:paraId="2DCDBA02"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Use clinical judgement for people with frailty or multimorbidity (see also NICE's guideline on multimorbidity).</w:t>
            </w:r>
          </w:p>
          <w:p w14:paraId="4865974C"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1.4.18 Consider ABPM or HBPM, in addition to clinic blood pressure measurements, for people with hypertension identified as having a white-coat effect or masked hypertension (in which clinic and non-clinic blood pressure results are conflicting). Be aware that the corresponding measurements for ABPM and HBPM are 5 mmHg lower than for clinic measurements (see recommendation 1.2.8 for diagnostic thresholds).</w:t>
            </w:r>
          </w:p>
          <w:p w14:paraId="7C6A1DC4"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1.4.20 For adults with hypertension aged under 80, reduce clinic blood pressure to below 140/90 mmHg and ensure that it is maintained below that level.</w:t>
            </w:r>
          </w:p>
          <w:p w14:paraId="0E04DC45"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1.4.22 When using ABPM or HBPM to monitor the response to treatment in adults with hypertension, use the average blood pressure level taken during the person's usual waking hours (see recommendations 1.2.6 and 1.2.7). Reduce blood pressure and ensure that it is maintained:</w:t>
            </w:r>
          </w:p>
          <w:p w14:paraId="6B83047A"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w:t>
            </w:r>
            <w:r w:rsidRPr="00567AFA">
              <w:rPr>
                <w:rFonts w:ascii="Arial" w:hAnsi="Arial" w:cs="Arial"/>
                <w:sz w:val="22"/>
                <w:szCs w:val="22"/>
              </w:rPr>
              <w:tab/>
              <w:t>below 135/85 mmHg for adults aged under 80</w:t>
            </w:r>
          </w:p>
          <w:p w14:paraId="1C4FAC1E" w14:textId="77777777" w:rsidR="00A559BE" w:rsidRPr="00567AFA" w:rsidRDefault="00A559BE" w:rsidP="00A559BE">
            <w:pPr>
              <w:spacing w:before="120" w:after="120"/>
              <w:rPr>
                <w:rFonts w:ascii="Arial" w:hAnsi="Arial" w:cs="Arial"/>
                <w:sz w:val="22"/>
                <w:szCs w:val="22"/>
              </w:rPr>
            </w:pPr>
            <w:r w:rsidRPr="00567AFA">
              <w:rPr>
                <w:rFonts w:ascii="Arial" w:hAnsi="Arial" w:cs="Arial"/>
                <w:sz w:val="22"/>
                <w:szCs w:val="22"/>
              </w:rPr>
              <w:t>•</w:t>
            </w:r>
            <w:r w:rsidRPr="00567AFA">
              <w:rPr>
                <w:rFonts w:ascii="Arial" w:hAnsi="Arial" w:cs="Arial"/>
                <w:sz w:val="22"/>
                <w:szCs w:val="22"/>
              </w:rPr>
              <w:tab/>
              <w:t>below 145/85 mmHg for adults aged 80 and over.</w:t>
            </w:r>
          </w:p>
          <w:p w14:paraId="1359C26D" w14:textId="24DC220D" w:rsidR="002338EB" w:rsidRPr="001B4867" w:rsidRDefault="00A559BE" w:rsidP="001B4867">
            <w:pPr>
              <w:spacing w:before="120" w:after="120"/>
              <w:rPr>
                <w:rFonts w:ascii="Arial" w:hAnsi="Arial" w:cs="Arial"/>
                <w:sz w:val="22"/>
                <w:szCs w:val="22"/>
              </w:rPr>
            </w:pPr>
            <w:r w:rsidRPr="00567AFA">
              <w:rPr>
                <w:rFonts w:ascii="Arial" w:hAnsi="Arial" w:cs="Arial"/>
                <w:sz w:val="22"/>
                <w:szCs w:val="22"/>
              </w:rPr>
              <w:lastRenderedPageBreak/>
              <w:t>Use clinical judgement for people with frailty or multimorbidity (see also NICE's guideline on multimorbidity).</w:t>
            </w:r>
          </w:p>
        </w:tc>
        <w:tc>
          <w:tcPr>
            <w:tcW w:w="3118" w:type="dxa"/>
          </w:tcPr>
          <w:p w14:paraId="0D72329A" w14:textId="54F94FB4" w:rsidR="002338EB" w:rsidRPr="00567AFA" w:rsidRDefault="002338EB" w:rsidP="002338EB">
            <w:pPr>
              <w:spacing w:before="120" w:after="120"/>
              <w:rPr>
                <w:rFonts w:ascii="Arial" w:hAnsi="Arial" w:cs="Arial"/>
                <w:color w:val="000000"/>
                <w:kern w:val="24"/>
                <w:sz w:val="22"/>
                <w:szCs w:val="22"/>
                <w:lang w:val="en-US"/>
              </w:rPr>
            </w:pPr>
            <w:r w:rsidRPr="00567AFA">
              <w:rPr>
                <w:rFonts w:ascii="Arial" w:hAnsi="Arial" w:cs="Arial"/>
                <w:color w:val="000000"/>
                <w:kern w:val="24"/>
                <w:sz w:val="22"/>
                <w:szCs w:val="22"/>
                <w:lang w:val="en-US"/>
              </w:rPr>
              <w:lastRenderedPageBreak/>
              <w:t xml:space="preserve">The indicator is derived from a high-quality evidence base. </w:t>
            </w:r>
          </w:p>
          <w:p w14:paraId="75848804" w14:textId="710C020D" w:rsidR="002338EB" w:rsidRPr="00567AFA" w:rsidRDefault="002338EB" w:rsidP="002338EB">
            <w:pPr>
              <w:pStyle w:val="Paragraph"/>
              <w:spacing w:before="120" w:after="120" w:line="240" w:lineRule="auto"/>
            </w:pPr>
            <w:r w:rsidRPr="00567AFA">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62D89466" w:rsidR="002338EB" w:rsidRPr="00567AFA" w:rsidRDefault="002338EB" w:rsidP="002338EB">
            <w:pPr>
              <w:spacing w:before="120" w:after="120"/>
              <w:rPr>
                <w:rFonts w:ascii="Arial" w:hAnsi="Arial" w:cs="Arial"/>
                <w:color w:val="000000"/>
                <w:kern w:val="24"/>
                <w:sz w:val="22"/>
                <w:szCs w:val="22"/>
              </w:rPr>
            </w:pPr>
            <w:r w:rsidRPr="00567AFA">
              <w:rPr>
                <w:rFonts w:ascii="Arial" w:hAnsi="Arial" w:cs="Arial"/>
                <w:color w:val="000000"/>
                <w:kern w:val="24"/>
                <w:sz w:val="22"/>
                <w:szCs w:val="22"/>
              </w:rPr>
              <w:t xml:space="preserve">Numerator: </w:t>
            </w:r>
            <w:r w:rsidR="00A559BE" w:rsidRPr="00567AFA">
              <w:rPr>
                <w:rFonts w:ascii="Arial" w:hAnsi="Arial" w:cs="Arial"/>
                <w:color w:val="000000"/>
                <w:kern w:val="24"/>
                <w:sz w:val="22"/>
                <w:szCs w:val="22"/>
              </w:rPr>
              <w:t xml:space="preserve">The number of patients in the denominator </w:t>
            </w:r>
            <w:r w:rsidR="00C85C88">
              <w:rPr>
                <w:rFonts w:ascii="Arial" w:hAnsi="Arial" w:cs="Arial"/>
                <w:color w:val="000000"/>
                <w:kern w:val="24"/>
                <w:sz w:val="22"/>
                <w:szCs w:val="22"/>
              </w:rPr>
              <w:t>in whom the</w:t>
            </w:r>
            <w:r w:rsidR="00A559BE" w:rsidRPr="00567AFA">
              <w:rPr>
                <w:rFonts w:ascii="Arial" w:hAnsi="Arial" w:cs="Arial"/>
                <w:color w:val="000000"/>
                <w:kern w:val="24"/>
                <w:sz w:val="22"/>
                <w:szCs w:val="22"/>
              </w:rPr>
              <w:t xml:space="preserve"> last blood pressure reading (measured in the preceding 12 months) is less than 125/75 mmHg if using ambulatory or home monitoring, or less than</w:t>
            </w:r>
            <w:r w:rsidR="00C92E92">
              <w:rPr>
                <w:rFonts w:ascii="Arial" w:hAnsi="Arial" w:cs="Arial"/>
                <w:color w:val="000000"/>
                <w:kern w:val="24"/>
                <w:sz w:val="22"/>
                <w:szCs w:val="22"/>
              </w:rPr>
              <w:t xml:space="preserve"> </w:t>
            </w:r>
            <w:r w:rsidR="00A559BE" w:rsidRPr="00567AFA">
              <w:rPr>
                <w:rFonts w:ascii="Arial" w:hAnsi="Arial" w:cs="Arial"/>
                <w:color w:val="000000"/>
                <w:kern w:val="24"/>
                <w:sz w:val="22"/>
                <w:szCs w:val="22"/>
              </w:rPr>
              <w:t>130/80 mmHg if monitored in clinic.</w:t>
            </w:r>
            <w:r w:rsidRPr="00567AFA">
              <w:rPr>
                <w:rFonts w:ascii="Arial" w:hAnsi="Arial" w:cs="Arial"/>
                <w:color w:val="000000"/>
                <w:kern w:val="24"/>
                <w:sz w:val="22"/>
                <w:szCs w:val="22"/>
              </w:rPr>
              <w:t xml:space="preserve"> </w:t>
            </w:r>
          </w:p>
          <w:p w14:paraId="424261B6" w14:textId="2756F799" w:rsidR="002338EB" w:rsidRDefault="002338EB" w:rsidP="002338EB">
            <w:pPr>
              <w:pStyle w:val="Paragraph"/>
              <w:spacing w:before="120" w:after="120" w:line="240" w:lineRule="auto"/>
              <w:rPr>
                <w:rFonts w:cs="Arial"/>
                <w:color w:val="000000"/>
                <w:kern w:val="24"/>
                <w:sz w:val="22"/>
                <w:szCs w:val="22"/>
              </w:rPr>
            </w:pPr>
            <w:r w:rsidRPr="00567AFA">
              <w:rPr>
                <w:rFonts w:cs="Arial"/>
                <w:color w:val="000000"/>
                <w:kern w:val="24"/>
                <w:sz w:val="22"/>
                <w:szCs w:val="22"/>
              </w:rPr>
              <w:t xml:space="preserve">Denominator: </w:t>
            </w:r>
            <w:r w:rsidR="00A559BE" w:rsidRPr="00567AFA">
              <w:rPr>
                <w:rFonts w:cs="Arial"/>
                <w:color w:val="000000"/>
                <w:kern w:val="24"/>
                <w:sz w:val="22"/>
                <w:szCs w:val="22"/>
              </w:rPr>
              <w:t>The number of patients on the</w:t>
            </w:r>
            <w:r w:rsidR="00C85C88">
              <w:rPr>
                <w:rFonts w:cs="Arial"/>
                <w:color w:val="000000"/>
                <w:kern w:val="24"/>
                <w:sz w:val="22"/>
                <w:szCs w:val="22"/>
              </w:rPr>
              <w:t xml:space="preserve"> CKD</w:t>
            </w:r>
            <w:r w:rsidR="00A559BE" w:rsidRPr="00567AFA">
              <w:rPr>
                <w:rFonts w:cs="Arial"/>
                <w:color w:val="000000"/>
                <w:kern w:val="24"/>
                <w:sz w:val="22"/>
                <w:szCs w:val="22"/>
              </w:rPr>
              <w:t xml:space="preserve"> register </w:t>
            </w:r>
            <w:r w:rsidR="00A965D6">
              <w:rPr>
                <w:rFonts w:cs="Arial"/>
                <w:color w:val="000000"/>
                <w:kern w:val="24"/>
                <w:sz w:val="22"/>
                <w:szCs w:val="22"/>
              </w:rPr>
              <w:t xml:space="preserve">and </w:t>
            </w:r>
            <w:r w:rsidR="00C85C88">
              <w:rPr>
                <w:rFonts w:cs="Arial"/>
                <w:color w:val="000000"/>
                <w:kern w:val="24"/>
                <w:sz w:val="22"/>
                <w:szCs w:val="22"/>
              </w:rPr>
              <w:t>with an ACR of 70 mg/mmol or more, without moderate or severe frailty.</w:t>
            </w:r>
          </w:p>
          <w:p w14:paraId="4E657695" w14:textId="7E7D55C2" w:rsidR="00891C84" w:rsidRDefault="00891C84" w:rsidP="002338EB">
            <w:pPr>
              <w:pStyle w:val="Paragraph"/>
              <w:spacing w:before="120" w:after="120" w:line="240" w:lineRule="auto"/>
              <w:rPr>
                <w:rFonts w:cs="Arial"/>
                <w:color w:val="000000"/>
                <w:kern w:val="24"/>
                <w:sz w:val="22"/>
                <w:szCs w:val="22"/>
              </w:rPr>
            </w:pPr>
            <w:r>
              <w:rPr>
                <w:rFonts w:cs="Arial"/>
                <w:color w:val="000000"/>
                <w:kern w:val="24"/>
                <w:sz w:val="22"/>
                <w:szCs w:val="22"/>
              </w:rPr>
              <w:t xml:space="preserve">Definitions: </w:t>
            </w:r>
          </w:p>
          <w:p w14:paraId="7CA89BEB" w14:textId="77777777" w:rsidR="00891C84" w:rsidRPr="00026D6D" w:rsidRDefault="00891C84" w:rsidP="001B4867">
            <w:pPr>
              <w:pStyle w:val="Bullets"/>
              <w:tabs>
                <w:tab w:val="left" w:pos="993"/>
              </w:tabs>
              <w:ind w:left="992" w:hanging="425"/>
              <w:rPr>
                <w:sz w:val="22"/>
                <w:szCs w:val="22"/>
              </w:rPr>
            </w:pPr>
            <w:r w:rsidRPr="00026D6D">
              <w:rPr>
                <w:sz w:val="22"/>
                <w:szCs w:val="22"/>
              </w:rPr>
              <w:t>The CKD register includes patients aged 18 and over with CKD stages G3a to G5.</w:t>
            </w:r>
          </w:p>
          <w:p w14:paraId="294FFCF9" w14:textId="01681366" w:rsidR="00891C84" w:rsidRPr="00026D6D" w:rsidRDefault="00891C84" w:rsidP="001B4867">
            <w:pPr>
              <w:pStyle w:val="Bullets"/>
              <w:tabs>
                <w:tab w:val="left" w:pos="993"/>
              </w:tabs>
              <w:ind w:left="992" w:hanging="425"/>
              <w:rPr>
                <w:sz w:val="22"/>
                <w:szCs w:val="22"/>
              </w:rPr>
            </w:pPr>
            <w:r w:rsidRPr="00026D6D">
              <w:rPr>
                <w:sz w:val="22"/>
                <w:szCs w:val="22"/>
              </w:rPr>
              <w:t xml:space="preserve">The last recorded reading of ACR should be used for inclusion in the denominator. </w:t>
            </w:r>
          </w:p>
          <w:p w14:paraId="65AFDE55" w14:textId="73EB23B7" w:rsidR="001A3CA6" w:rsidRPr="00567AFA" w:rsidRDefault="001A3CA6" w:rsidP="002338EB">
            <w:pPr>
              <w:pStyle w:val="Paragraph"/>
              <w:spacing w:before="120" w:after="120" w:line="240" w:lineRule="auto"/>
              <w:rPr>
                <w:rFonts w:cs="Arial"/>
                <w:color w:val="000000"/>
                <w:kern w:val="24"/>
                <w:sz w:val="22"/>
                <w:szCs w:val="22"/>
              </w:rPr>
            </w:pPr>
            <w:r w:rsidRPr="00567AFA">
              <w:rPr>
                <w:rFonts w:cs="Arial"/>
                <w:color w:val="000000"/>
                <w:kern w:val="24"/>
                <w:sz w:val="22"/>
                <w:szCs w:val="22"/>
              </w:rPr>
              <w:t xml:space="preserve">Exclusions: </w:t>
            </w:r>
            <w:r w:rsidR="00A559BE" w:rsidRPr="00567AFA">
              <w:rPr>
                <w:rFonts w:cs="Arial"/>
                <w:color w:val="000000"/>
                <w:kern w:val="24"/>
                <w:sz w:val="22"/>
                <w:szCs w:val="22"/>
              </w:rPr>
              <w:t>None</w:t>
            </w:r>
          </w:p>
          <w:p w14:paraId="1A8C1D16" w14:textId="280155EF" w:rsidR="00735337" w:rsidRPr="00567AFA" w:rsidRDefault="001A3CA6" w:rsidP="002338EB">
            <w:pPr>
              <w:pStyle w:val="Paragraph"/>
              <w:spacing w:before="120" w:after="120" w:line="240" w:lineRule="auto"/>
            </w:pPr>
            <w:r w:rsidRPr="00567AFA">
              <w:rPr>
                <w:rFonts w:cs="Arial"/>
                <w:color w:val="000000"/>
                <w:kern w:val="24"/>
                <w:sz w:val="22"/>
                <w:szCs w:val="22"/>
              </w:rPr>
              <w:t xml:space="preserve">Personalised care adjustments or exception reporting should be considered to account for situations where the patient declines, does not </w:t>
            </w:r>
            <w:r w:rsidR="00891C84">
              <w:rPr>
                <w:rFonts w:cs="Arial"/>
                <w:color w:val="000000"/>
                <w:kern w:val="24"/>
                <w:sz w:val="22"/>
                <w:szCs w:val="22"/>
              </w:rPr>
              <w:t>respond to invite</w:t>
            </w:r>
            <w:r w:rsidR="00891C84" w:rsidRPr="00567AFA">
              <w:rPr>
                <w:rFonts w:cs="Arial"/>
                <w:color w:val="000000"/>
                <w:kern w:val="24"/>
                <w:sz w:val="22"/>
                <w:szCs w:val="22"/>
              </w:rPr>
              <w:t xml:space="preserve"> </w:t>
            </w:r>
            <w:r w:rsidRPr="00567AFA">
              <w:rPr>
                <w:rFonts w:cs="Arial"/>
                <w:color w:val="000000"/>
                <w:kern w:val="24"/>
                <w:sz w:val="22"/>
                <w:szCs w:val="22"/>
              </w:rPr>
              <w:t xml:space="preserve">or if </w:t>
            </w:r>
            <w:r w:rsidR="00A559BE" w:rsidRPr="00567AFA">
              <w:rPr>
                <w:rFonts w:cs="Arial"/>
                <w:color w:val="000000"/>
                <w:kern w:val="24"/>
                <w:sz w:val="22"/>
                <w:szCs w:val="22"/>
              </w:rPr>
              <w:t>the blood pressure target is</w:t>
            </w:r>
            <w:r w:rsidRPr="00567AFA">
              <w:rPr>
                <w:rFonts w:cs="Arial"/>
                <w:color w:val="000000"/>
                <w:kern w:val="24"/>
                <w:sz w:val="22"/>
                <w:szCs w:val="22"/>
              </w:rPr>
              <w:t xml:space="preserve"> </w:t>
            </w:r>
            <w:r w:rsidR="00891C84">
              <w:rPr>
                <w:rFonts w:cs="Arial"/>
                <w:color w:val="000000"/>
                <w:kern w:val="24"/>
                <w:sz w:val="22"/>
                <w:szCs w:val="22"/>
              </w:rPr>
              <w:t>in</w:t>
            </w:r>
            <w:r w:rsidRPr="00567AFA">
              <w:rPr>
                <w:rFonts w:cs="Arial"/>
                <w:color w:val="000000"/>
                <w:kern w:val="24"/>
                <w:sz w:val="22"/>
                <w:szCs w:val="22"/>
              </w:rPr>
              <w:t>appropriate.</w:t>
            </w:r>
          </w:p>
        </w:tc>
        <w:tc>
          <w:tcPr>
            <w:tcW w:w="3118" w:type="dxa"/>
          </w:tcPr>
          <w:p w14:paraId="1439227D" w14:textId="5A1A009F" w:rsidR="002338EB" w:rsidRPr="00567AFA" w:rsidRDefault="002338EB" w:rsidP="002338EB">
            <w:pPr>
              <w:spacing w:before="120" w:after="120"/>
              <w:rPr>
                <w:rFonts w:ascii="Arial" w:hAnsi="Arial" w:cs="Arial"/>
                <w:color w:val="000000"/>
                <w:kern w:val="24"/>
                <w:sz w:val="22"/>
                <w:szCs w:val="22"/>
              </w:rPr>
            </w:pPr>
            <w:r w:rsidRPr="00567AFA">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567AFA" w:rsidRDefault="002338EB" w:rsidP="002338EB">
            <w:pPr>
              <w:pStyle w:val="Paragraph"/>
              <w:spacing w:before="120" w:after="120" w:line="240" w:lineRule="auto"/>
            </w:pPr>
          </w:p>
        </w:tc>
      </w:tr>
      <w:tr w:rsidR="002338EB" w14:paraId="48133640" w14:textId="77777777" w:rsidTr="001C517D">
        <w:tc>
          <w:tcPr>
            <w:tcW w:w="5949" w:type="dxa"/>
          </w:tcPr>
          <w:p w14:paraId="386C3663" w14:textId="5D2C02E4" w:rsidR="00443936" w:rsidRDefault="00443936" w:rsidP="00026D6D">
            <w:pPr>
              <w:pStyle w:val="tabletext2"/>
              <w:rPr>
                <w:sz w:val="22"/>
                <w:szCs w:val="22"/>
              </w:rPr>
            </w:pPr>
            <w:r w:rsidRPr="00344530">
              <w:rPr>
                <w:sz w:val="22"/>
                <w:szCs w:val="22"/>
              </w:rPr>
              <w:t xml:space="preserve">CPRD Aurum data </w:t>
            </w:r>
            <w:r w:rsidR="00344530">
              <w:rPr>
                <w:sz w:val="22"/>
                <w:szCs w:val="22"/>
              </w:rPr>
              <w:t>(</w:t>
            </w:r>
            <w:r w:rsidRPr="00344530">
              <w:rPr>
                <w:sz w:val="22"/>
                <w:szCs w:val="22"/>
              </w:rPr>
              <w:t>March 2022</w:t>
            </w:r>
            <w:r w:rsidR="00344530">
              <w:rPr>
                <w:sz w:val="22"/>
                <w:szCs w:val="22"/>
              </w:rPr>
              <w:t xml:space="preserve"> release; on file, approved study protocol 23_002668)</w:t>
            </w:r>
            <w:r w:rsidRPr="00344530">
              <w:rPr>
                <w:sz w:val="22"/>
                <w:szCs w:val="22"/>
              </w:rPr>
              <w:t xml:space="preserve"> shows that less than 0.1% of people in England are on the CKD register and with an albumin to creatinine ratio (ACR) of 70 mg/mmol or more, without moderate or severe frailty: &lt;5 patients for an average practice with 10,000 patients. There is no minimum number of patients required for general practice indicators intended for use outside the QOF. However, consideration should be given to whether the majority of results would require suppression because of small numbers.   </w:t>
            </w:r>
          </w:p>
          <w:p w14:paraId="4B4889E2" w14:textId="36B0FABC" w:rsidR="00344530" w:rsidRPr="00567AFA" w:rsidRDefault="00344530" w:rsidP="00026D6D">
            <w:pPr>
              <w:pStyle w:val="tabletext2"/>
            </w:pPr>
            <w:r w:rsidRPr="00344530">
              <w:rPr>
                <w:sz w:val="22"/>
                <w:szCs w:val="22"/>
              </w:rPr>
              <w:t>Note on data from CPRD Aurum: This study is based in part on data from the Clinical Practice Research Datalink obtained under licence from the UK Medicines and Healthcare products Regulatory Agency. The data is provided by patients and collected by the NHS as part of their care and support. The interpretation and conclusions contained in this study are those of the author/s alone.</w:t>
            </w:r>
          </w:p>
        </w:tc>
        <w:tc>
          <w:tcPr>
            <w:tcW w:w="3118" w:type="dxa"/>
          </w:tcPr>
          <w:p w14:paraId="38DE6D48" w14:textId="5B7C8D4B" w:rsidR="002338EB" w:rsidRPr="00567AFA" w:rsidRDefault="002338EB" w:rsidP="002338EB">
            <w:pPr>
              <w:pStyle w:val="Paragraph"/>
              <w:spacing w:before="120" w:after="120" w:line="240" w:lineRule="auto"/>
            </w:pPr>
            <w:r w:rsidRPr="00567AFA">
              <w:rPr>
                <w:rFonts w:cs="Arial"/>
                <w:color w:val="000000"/>
                <w:kern w:val="24"/>
                <w:sz w:val="22"/>
                <w:szCs w:val="22"/>
              </w:rPr>
              <w:t xml:space="preserve">The indicator </w:t>
            </w:r>
            <w:r w:rsidR="002C1326" w:rsidRPr="00567AFA">
              <w:rPr>
                <w:rFonts w:cs="Arial"/>
                <w:color w:val="000000"/>
                <w:kern w:val="24"/>
                <w:sz w:val="22"/>
                <w:szCs w:val="22"/>
              </w:rPr>
              <w:t>does</w:t>
            </w:r>
            <w:r w:rsidRPr="00567AFA">
              <w:rPr>
                <w:rFonts w:cs="Arial"/>
                <w:color w:val="000000"/>
                <w:kern w:val="24"/>
                <w:sz w:val="22"/>
                <w:szCs w:val="22"/>
              </w:rPr>
              <w:t xml:space="preserve">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192685">
      <w:pPr>
        <w:pStyle w:val="Heading1"/>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04D0AA3A" w:rsidR="00735337" w:rsidRPr="00735337" w:rsidRDefault="00A559BE" w:rsidP="00735337">
            <w:pPr>
              <w:pStyle w:val="Paragraph"/>
              <w:spacing w:before="120" w:after="120" w:line="240" w:lineRule="auto"/>
              <w:rPr>
                <w:highlight w:val="lightGray"/>
              </w:rPr>
            </w:pPr>
            <w:r w:rsidRPr="00A559BE">
              <w:rPr>
                <w:rFonts w:cs="Arial"/>
                <w:sz w:val="22"/>
                <w:szCs w:val="22"/>
              </w:rPr>
              <w:t>Data can be collected from GP systems using SNOMED coding.</w:t>
            </w:r>
          </w:p>
        </w:tc>
        <w:tc>
          <w:tcPr>
            <w:tcW w:w="3118" w:type="dxa"/>
          </w:tcPr>
          <w:p w14:paraId="7E07F302" w14:textId="5F984164" w:rsidR="00735337" w:rsidRPr="00567AFA" w:rsidRDefault="00735337" w:rsidP="00735337">
            <w:pPr>
              <w:spacing w:before="120" w:after="120"/>
              <w:rPr>
                <w:rFonts w:ascii="Arial" w:hAnsi="Arial" w:cs="Arial"/>
                <w:color w:val="000000"/>
                <w:kern w:val="24"/>
                <w:sz w:val="22"/>
                <w:szCs w:val="22"/>
              </w:rPr>
            </w:pPr>
            <w:r w:rsidRPr="00567AFA">
              <w:rPr>
                <w:rFonts w:ascii="Arial" w:hAnsi="Arial" w:cs="Arial"/>
                <w:color w:val="000000"/>
                <w:kern w:val="24"/>
                <w:sz w:val="22"/>
                <w:szCs w:val="22"/>
              </w:rPr>
              <w:t>The indicator is repeatable.</w:t>
            </w:r>
          </w:p>
          <w:p w14:paraId="3BEFE1B2" w14:textId="77777777" w:rsidR="00735337" w:rsidRPr="00567AFA" w:rsidRDefault="00735337" w:rsidP="00735337">
            <w:pPr>
              <w:pStyle w:val="Paragraph"/>
              <w:spacing w:before="120" w:after="120" w:line="240" w:lineRule="auto"/>
            </w:pPr>
          </w:p>
        </w:tc>
      </w:tr>
      <w:tr w:rsidR="00735337" w14:paraId="2FE27CD6" w14:textId="77777777" w:rsidTr="001C517D">
        <w:tc>
          <w:tcPr>
            <w:tcW w:w="5949" w:type="dxa"/>
          </w:tcPr>
          <w:p w14:paraId="4015AA12" w14:textId="6747E146" w:rsidR="00A559BE" w:rsidRPr="00A559BE" w:rsidRDefault="00A559BE" w:rsidP="00A559BE">
            <w:pPr>
              <w:spacing w:before="120" w:after="120"/>
              <w:rPr>
                <w:rFonts w:ascii="Arial" w:hAnsi="Arial" w:cs="Arial"/>
                <w:sz w:val="22"/>
                <w:szCs w:val="22"/>
              </w:rPr>
            </w:pPr>
            <w:r w:rsidRPr="00A559BE">
              <w:rPr>
                <w:rFonts w:ascii="Arial" w:hAnsi="Arial" w:cs="Arial"/>
                <w:sz w:val="22"/>
                <w:szCs w:val="22"/>
              </w:rPr>
              <w:t>NHS Digital suggest</w:t>
            </w:r>
            <w:r>
              <w:rPr>
                <w:rFonts w:ascii="Arial" w:hAnsi="Arial" w:cs="Arial"/>
                <w:sz w:val="22"/>
                <w:szCs w:val="22"/>
              </w:rPr>
              <w:t>ed</w:t>
            </w:r>
            <w:r w:rsidRPr="00A559BE">
              <w:rPr>
                <w:rFonts w:ascii="Arial" w:hAnsi="Arial" w:cs="Arial"/>
                <w:sz w:val="22"/>
                <w:szCs w:val="22"/>
              </w:rPr>
              <w:t xml:space="preserve"> the following clusters </w:t>
            </w:r>
            <w:r>
              <w:rPr>
                <w:rFonts w:ascii="Arial" w:hAnsi="Arial" w:cs="Arial"/>
                <w:sz w:val="22"/>
                <w:szCs w:val="22"/>
              </w:rPr>
              <w:t>could</w:t>
            </w:r>
            <w:r w:rsidRPr="00A559BE">
              <w:rPr>
                <w:rFonts w:ascii="Arial" w:hAnsi="Arial" w:cs="Arial"/>
                <w:sz w:val="22"/>
                <w:szCs w:val="22"/>
              </w:rPr>
              <w:t xml:space="preserve"> be used</w:t>
            </w:r>
            <w:r>
              <w:rPr>
                <w:rFonts w:ascii="Arial" w:hAnsi="Arial" w:cs="Arial"/>
                <w:sz w:val="22"/>
                <w:szCs w:val="22"/>
              </w:rPr>
              <w:t xml:space="preserve"> for NM217, and there is an assumption that these could be used for this indicator</w:t>
            </w:r>
            <w:r w:rsidRPr="00A559BE">
              <w:rPr>
                <w:rFonts w:ascii="Arial" w:hAnsi="Arial" w:cs="Arial"/>
                <w:sz w:val="22"/>
                <w:szCs w:val="22"/>
              </w:rPr>
              <w:t>:</w:t>
            </w:r>
          </w:p>
          <w:p w14:paraId="1A2A5BB8" w14:textId="77777777" w:rsidR="00A559BE" w:rsidRPr="00A559BE" w:rsidRDefault="00A559BE" w:rsidP="00A559BE">
            <w:pPr>
              <w:spacing w:before="120" w:after="120"/>
              <w:rPr>
                <w:rFonts w:ascii="Arial" w:hAnsi="Arial" w:cs="Arial"/>
                <w:sz w:val="22"/>
                <w:szCs w:val="22"/>
              </w:rPr>
            </w:pPr>
            <w:r w:rsidRPr="00A559BE">
              <w:rPr>
                <w:rFonts w:ascii="Arial" w:hAnsi="Arial" w:cs="Arial"/>
                <w:sz w:val="22"/>
                <w:szCs w:val="22"/>
              </w:rPr>
              <w:t>CKD_COD</w:t>
            </w:r>
          </w:p>
          <w:p w14:paraId="660D59E3" w14:textId="77777777" w:rsidR="00A559BE" w:rsidRPr="00A559BE" w:rsidRDefault="00A559BE" w:rsidP="00A559BE">
            <w:pPr>
              <w:spacing w:before="120" w:after="120"/>
              <w:rPr>
                <w:rFonts w:ascii="Arial" w:hAnsi="Arial" w:cs="Arial"/>
                <w:sz w:val="22"/>
                <w:szCs w:val="22"/>
              </w:rPr>
            </w:pPr>
            <w:r w:rsidRPr="00A559BE">
              <w:rPr>
                <w:rFonts w:ascii="Arial" w:hAnsi="Arial" w:cs="Arial"/>
                <w:sz w:val="22"/>
                <w:szCs w:val="22"/>
              </w:rPr>
              <w:t>MODFRAIL_COD</w:t>
            </w:r>
          </w:p>
          <w:p w14:paraId="293E5493" w14:textId="77777777" w:rsidR="00A559BE" w:rsidRPr="00A559BE" w:rsidRDefault="00A559BE" w:rsidP="00A559BE">
            <w:pPr>
              <w:spacing w:before="120" w:after="120"/>
              <w:rPr>
                <w:rFonts w:ascii="Arial" w:hAnsi="Arial" w:cs="Arial"/>
                <w:sz w:val="22"/>
                <w:szCs w:val="22"/>
              </w:rPr>
            </w:pPr>
            <w:r w:rsidRPr="00A559BE">
              <w:rPr>
                <w:rFonts w:ascii="Arial" w:hAnsi="Arial" w:cs="Arial"/>
                <w:sz w:val="22"/>
                <w:szCs w:val="22"/>
              </w:rPr>
              <w:t>SEVFRAIL_COD</w:t>
            </w:r>
          </w:p>
          <w:p w14:paraId="573F4F96" w14:textId="77777777" w:rsidR="00A559BE" w:rsidRPr="00A559BE" w:rsidRDefault="00A559BE" w:rsidP="00A559BE">
            <w:pPr>
              <w:spacing w:before="120" w:after="120"/>
              <w:rPr>
                <w:rFonts w:ascii="Arial" w:hAnsi="Arial" w:cs="Arial"/>
                <w:sz w:val="22"/>
                <w:szCs w:val="22"/>
              </w:rPr>
            </w:pPr>
            <w:r w:rsidRPr="00A559BE">
              <w:rPr>
                <w:rFonts w:ascii="Arial" w:hAnsi="Arial" w:cs="Arial"/>
                <w:sz w:val="22"/>
                <w:szCs w:val="22"/>
              </w:rPr>
              <w:t>APCR_COD</w:t>
            </w:r>
          </w:p>
          <w:p w14:paraId="32DD1292" w14:textId="77777777" w:rsidR="00A559BE" w:rsidRPr="00A559BE" w:rsidRDefault="00A559BE" w:rsidP="00A559BE">
            <w:pPr>
              <w:spacing w:before="120" w:after="120"/>
              <w:rPr>
                <w:rFonts w:ascii="Arial" w:hAnsi="Arial" w:cs="Arial"/>
                <w:sz w:val="22"/>
                <w:szCs w:val="22"/>
              </w:rPr>
            </w:pPr>
            <w:r w:rsidRPr="00A559BE">
              <w:rPr>
                <w:rFonts w:ascii="Arial" w:hAnsi="Arial" w:cs="Arial"/>
                <w:sz w:val="22"/>
                <w:szCs w:val="22"/>
              </w:rPr>
              <w:t>BP_COD</w:t>
            </w:r>
          </w:p>
          <w:p w14:paraId="661E4626" w14:textId="77777777" w:rsidR="00A559BE" w:rsidRPr="00A559BE" w:rsidRDefault="00A559BE" w:rsidP="00A559BE">
            <w:pPr>
              <w:spacing w:before="120" w:after="120"/>
              <w:rPr>
                <w:rFonts w:ascii="Arial" w:hAnsi="Arial" w:cs="Arial"/>
                <w:sz w:val="22"/>
                <w:szCs w:val="22"/>
              </w:rPr>
            </w:pPr>
            <w:r w:rsidRPr="00A559BE">
              <w:rPr>
                <w:rFonts w:ascii="Arial" w:hAnsi="Arial" w:cs="Arial"/>
                <w:sz w:val="22"/>
                <w:szCs w:val="22"/>
              </w:rPr>
              <w:t>BPEX_COD</w:t>
            </w:r>
          </w:p>
          <w:p w14:paraId="50F1A281" w14:textId="77777777" w:rsidR="00735337" w:rsidRDefault="00A559BE" w:rsidP="00A559BE">
            <w:pPr>
              <w:spacing w:before="120" w:after="120"/>
              <w:contextualSpacing/>
              <w:rPr>
                <w:rFonts w:ascii="Arial" w:hAnsi="Arial" w:cs="Arial"/>
                <w:sz w:val="22"/>
                <w:szCs w:val="22"/>
              </w:rPr>
            </w:pPr>
            <w:r w:rsidRPr="00A559BE">
              <w:rPr>
                <w:rFonts w:ascii="Arial" w:hAnsi="Arial" w:cs="Arial"/>
                <w:sz w:val="22"/>
                <w:szCs w:val="22"/>
              </w:rPr>
              <w:t>A similar logic is seen in QOF, INLIQ and CVD Prevent.</w:t>
            </w:r>
          </w:p>
          <w:p w14:paraId="6B3D2BF0" w14:textId="0EF67687" w:rsidR="005A62EF" w:rsidRDefault="005A62EF" w:rsidP="00A559BE">
            <w:pPr>
              <w:spacing w:before="120" w:after="120"/>
              <w:contextualSpacing/>
              <w:rPr>
                <w:rFonts w:ascii="Arial" w:hAnsi="Arial" w:cs="Arial"/>
                <w:sz w:val="22"/>
                <w:szCs w:val="22"/>
                <w:highlight w:val="lightGray"/>
              </w:rPr>
            </w:pPr>
            <w:r w:rsidRPr="005A62EF">
              <w:rPr>
                <w:rFonts w:ascii="Arial" w:hAnsi="Arial" w:cs="Arial"/>
                <w:sz w:val="22"/>
                <w:szCs w:val="22"/>
              </w:rPr>
              <w:t>NHS England suggested that new logic would be needed to introduce ACR test and value in their feasibility assessment of NM246. Urine ACR is a laboratory test that may be received directly by GP systems.</w:t>
            </w:r>
          </w:p>
        </w:tc>
        <w:tc>
          <w:tcPr>
            <w:tcW w:w="3118" w:type="dxa"/>
          </w:tcPr>
          <w:p w14:paraId="501A7677" w14:textId="77777777" w:rsidR="00735337" w:rsidRPr="00567AFA" w:rsidRDefault="00735337" w:rsidP="00735337">
            <w:pPr>
              <w:spacing w:before="120" w:after="120"/>
              <w:rPr>
                <w:rFonts w:ascii="Arial" w:hAnsi="Arial" w:cs="Arial"/>
                <w:color w:val="000000"/>
                <w:kern w:val="24"/>
                <w:sz w:val="22"/>
                <w:szCs w:val="22"/>
              </w:rPr>
            </w:pPr>
            <w:r w:rsidRPr="00567AFA">
              <w:rPr>
                <w:rFonts w:ascii="Arial" w:hAnsi="Arial" w:cs="Arial"/>
                <w:color w:val="000000"/>
                <w:kern w:val="24"/>
                <w:sz w:val="22"/>
                <w:szCs w:val="22"/>
              </w:rPr>
              <w:t xml:space="preserve">The indicator is measuring what it is designed to measure. </w:t>
            </w:r>
          </w:p>
          <w:p w14:paraId="24CB8CBA" w14:textId="284E71C7" w:rsidR="00735337" w:rsidRPr="00567AFA" w:rsidRDefault="00735337" w:rsidP="00735337">
            <w:pPr>
              <w:spacing w:before="120" w:after="120"/>
              <w:rPr>
                <w:rFonts w:ascii="Arial" w:hAnsi="Arial" w:cs="Arial"/>
                <w:color w:val="000000"/>
                <w:kern w:val="24"/>
                <w:sz w:val="22"/>
                <w:szCs w:val="22"/>
              </w:rPr>
            </w:pPr>
            <w:r w:rsidRPr="00567AFA">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11AA919" w14:textId="77777777" w:rsidR="00735337" w:rsidRDefault="00A559BE" w:rsidP="00735337">
            <w:pPr>
              <w:pStyle w:val="Paragraph"/>
              <w:spacing w:before="120" w:after="120" w:line="240" w:lineRule="auto"/>
              <w:rPr>
                <w:rFonts w:cs="Arial"/>
                <w:sz w:val="22"/>
                <w:szCs w:val="22"/>
              </w:rPr>
            </w:pPr>
            <w:r w:rsidRPr="00A559BE">
              <w:rPr>
                <w:rFonts w:cs="Arial"/>
                <w:sz w:val="22"/>
                <w:szCs w:val="22"/>
              </w:rPr>
              <w:t xml:space="preserve">Personalised care adjustments could be used for people </w:t>
            </w:r>
            <w:r w:rsidR="00C85C88">
              <w:rPr>
                <w:rFonts w:cs="Arial"/>
                <w:sz w:val="22"/>
                <w:szCs w:val="22"/>
              </w:rPr>
              <w:t>with</w:t>
            </w:r>
            <w:r w:rsidRPr="00A559BE">
              <w:rPr>
                <w:rFonts w:cs="Arial"/>
                <w:sz w:val="22"/>
                <w:szCs w:val="22"/>
              </w:rPr>
              <w:t xml:space="preserve"> maximally tolerated therapy </w:t>
            </w:r>
            <w:r w:rsidR="00C85C88">
              <w:rPr>
                <w:rFonts w:cs="Arial"/>
                <w:sz w:val="22"/>
                <w:szCs w:val="22"/>
              </w:rPr>
              <w:t>or if the blood pressure target is not appropriate.</w:t>
            </w:r>
            <w:r w:rsidR="00DF21C8">
              <w:rPr>
                <w:rFonts w:cs="Arial"/>
                <w:sz w:val="22"/>
                <w:szCs w:val="22"/>
              </w:rPr>
              <w:t xml:space="preserve"> </w:t>
            </w:r>
          </w:p>
          <w:p w14:paraId="009E37A6" w14:textId="41DF4511" w:rsidR="00DF21C8" w:rsidRPr="00AC3A12" w:rsidRDefault="00F1269E" w:rsidP="00735337">
            <w:pPr>
              <w:pStyle w:val="Paragraph"/>
              <w:spacing w:before="120" w:after="120" w:line="240" w:lineRule="auto"/>
              <w:rPr>
                <w:sz w:val="22"/>
                <w:szCs w:val="22"/>
                <w:highlight w:val="lightGray"/>
              </w:rPr>
            </w:pPr>
            <w:r w:rsidRPr="00443936">
              <w:rPr>
                <w:sz w:val="22"/>
                <w:szCs w:val="22"/>
              </w:rPr>
              <w:t>Clinical</w:t>
            </w:r>
            <w:r w:rsidR="00DF21C8" w:rsidRPr="00443936">
              <w:rPr>
                <w:sz w:val="22"/>
                <w:szCs w:val="22"/>
              </w:rPr>
              <w:t xml:space="preserve"> monitoring should take place in an appropriate clinical setting.</w:t>
            </w:r>
          </w:p>
        </w:tc>
        <w:tc>
          <w:tcPr>
            <w:tcW w:w="3118" w:type="dxa"/>
          </w:tcPr>
          <w:p w14:paraId="50C98A36" w14:textId="14C32902" w:rsidR="00735337" w:rsidRPr="00567AFA" w:rsidRDefault="00735337" w:rsidP="00735337">
            <w:pPr>
              <w:pStyle w:val="Paragraph"/>
              <w:spacing w:before="120" w:after="120" w:line="240" w:lineRule="auto"/>
            </w:pPr>
            <w:r w:rsidRPr="00567AFA">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3AF0200A" w14:textId="4D43C891" w:rsidR="00735337" w:rsidRPr="00A47852" w:rsidRDefault="00A559BE" w:rsidP="00735337">
            <w:pPr>
              <w:pStyle w:val="Paragraph"/>
              <w:spacing w:before="120" w:after="120" w:line="240" w:lineRule="auto"/>
              <w:rPr>
                <w:highlight w:val="lightGray"/>
              </w:rPr>
            </w:pPr>
            <w:r w:rsidRPr="00A559BE">
              <w:rPr>
                <w:rFonts w:cs="Arial"/>
                <w:sz w:val="22"/>
                <w:szCs w:val="22"/>
              </w:rPr>
              <w:t>Data can be extracted and used to compare practice within the GP practice or with other GP practices.</w:t>
            </w:r>
          </w:p>
        </w:tc>
        <w:tc>
          <w:tcPr>
            <w:tcW w:w="3118" w:type="dxa"/>
          </w:tcPr>
          <w:p w14:paraId="2909F55A" w14:textId="550EBBEB" w:rsidR="00735337" w:rsidRPr="00567AFA" w:rsidRDefault="00735337" w:rsidP="00735337">
            <w:pPr>
              <w:pStyle w:val="Paragraph"/>
              <w:spacing w:before="120" w:after="120" w:line="240" w:lineRule="auto"/>
            </w:pPr>
            <w:r w:rsidRPr="00567AFA">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0A786962" w14:textId="0B92A516" w:rsidR="004F467D" w:rsidRDefault="004F467D" w:rsidP="004F467D">
            <w:pPr>
              <w:pStyle w:val="tabletext2"/>
              <w:rPr>
                <w:sz w:val="22"/>
                <w:szCs w:val="22"/>
              </w:rPr>
            </w:pPr>
            <w:r w:rsidRPr="004F467D">
              <w:rPr>
                <w:sz w:val="22"/>
                <w:szCs w:val="22"/>
              </w:rPr>
              <w:t>Stakeholders and feedback from piloting</w:t>
            </w:r>
            <w:r w:rsidRPr="004F467D">
              <w:rPr>
                <w:sz w:val="20"/>
                <w:szCs w:val="20"/>
              </w:rPr>
              <w:t xml:space="preserve"> </w:t>
            </w:r>
            <w:r>
              <w:rPr>
                <w:sz w:val="22"/>
                <w:szCs w:val="22"/>
              </w:rPr>
              <w:t xml:space="preserve">for indicator NM217 </w:t>
            </w:r>
            <w:r w:rsidRPr="004F467D">
              <w:rPr>
                <w:sz w:val="22"/>
                <w:szCs w:val="22"/>
              </w:rPr>
              <w:t>showed concern</w:t>
            </w:r>
            <w:r>
              <w:rPr>
                <w:sz w:val="22"/>
                <w:szCs w:val="22"/>
              </w:rPr>
              <w:t xml:space="preserve"> </w:t>
            </w:r>
            <w:r w:rsidRPr="004F467D">
              <w:rPr>
                <w:sz w:val="22"/>
                <w:szCs w:val="22"/>
              </w:rPr>
              <w:t>that frailty may not be coded well in primary care and may</w:t>
            </w:r>
            <w:r>
              <w:rPr>
                <w:sz w:val="22"/>
                <w:szCs w:val="22"/>
              </w:rPr>
              <w:t xml:space="preserve"> </w:t>
            </w:r>
            <w:r w:rsidRPr="004F467D">
              <w:rPr>
                <w:sz w:val="22"/>
                <w:szCs w:val="22"/>
              </w:rPr>
              <w:t>not reflect clinical status. The indicator advisory committee</w:t>
            </w:r>
            <w:r>
              <w:rPr>
                <w:sz w:val="22"/>
                <w:szCs w:val="22"/>
              </w:rPr>
              <w:t xml:space="preserve"> </w:t>
            </w:r>
            <w:r w:rsidRPr="004F467D">
              <w:rPr>
                <w:sz w:val="22"/>
                <w:szCs w:val="22"/>
              </w:rPr>
              <w:t xml:space="preserve">noted that the General </w:t>
            </w:r>
            <w:r w:rsidRPr="004F467D">
              <w:rPr>
                <w:sz w:val="22"/>
                <w:szCs w:val="22"/>
              </w:rPr>
              <w:lastRenderedPageBreak/>
              <w:t>Medical Service Contract requires</w:t>
            </w:r>
            <w:r>
              <w:rPr>
                <w:sz w:val="22"/>
                <w:szCs w:val="22"/>
              </w:rPr>
              <w:t xml:space="preserve"> </w:t>
            </w:r>
            <w:r w:rsidRPr="004F467D">
              <w:rPr>
                <w:sz w:val="22"/>
                <w:szCs w:val="22"/>
              </w:rPr>
              <w:t>practices to use an appropriate tool (such as the electronic</w:t>
            </w:r>
            <w:r>
              <w:rPr>
                <w:sz w:val="22"/>
                <w:szCs w:val="22"/>
              </w:rPr>
              <w:t xml:space="preserve"> </w:t>
            </w:r>
            <w:r w:rsidRPr="004F467D">
              <w:rPr>
                <w:sz w:val="22"/>
                <w:szCs w:val="22"/>
              </w:rPr>
              <w:t>frailty index) to identity moderate and severe frailty in</w:t>
            </w:r>
            <w:r>
              <w:rPr>
                <w:sz w:val="22"/>
                <w:szCs w:val="22"/>
              </w:rPr>
              <w:t xml:space="preserve"> </w:t>
            </w:r>
            <w:r w:rsidRPr="004F467D">
              <w:rPr>
                <w:sz w:val="22"/>
                <w:szCs w:val="22"/>
              </w:rPr>
              <w:t>patients 65 years and over. It also requires secondary</w:t>
            </w:r>
            <w:r>
              <w:rPr>
                <w:sz w:val="22"/>
                <w:szCs w:val="22"/>
              </w:rPr>
              <w:t xml:space="preserve"> </w:t>
            </w:r>
            <w:r w:rsidRPr="004F467D">
              <w:rPr>
                <w:sz w:val="22"/>
                <w:szCs w:val="22"/>
              </w:rPr>
              <w:t>validation.</w:t>
            </w:r>
          </w:p>
          <w:p w14:paraId="1DF75031" w14:textId="77777777" w:rsidR="00026D6D" w:rsidRPr="00026D6D" w:rsidRDefault="00026D6D" w:rsidP="00026D6D">
            <w:pPr>
              <w:pStyle w:val="tabletext2"/>
              <w:rPr>
                <w:sz w:val="22"/>
                <w:szCs w:val="22"/>
              </w:rPr>
            </w:pPr>
            <w:r w:rsidRPr="00026D6D">
              <w:rPr>
                <w:sz w:val="22"/>
                <w:szCs w:val="22"/>
              </w:rPr>
              <w:t>Stakeholders noted that some practices use protein creatinine measurement rather than ACR. The indicator advisory committee advised that this would likely be a minority of practices. Recommendations in NICE’s guideline on CKD use ACR measurement for investigation of proteinuria but also note that PCR measurement can be used as an alternative when ACR is 70 mg/mmol or more.</w:t>
            </w:r>
          </w:p>
          <w:p w14:paraId="13D3E53B" w14:textId="33CC3295" w:rsidR="00026D6D" w:rsidRDefault="00026D6D" w:rsidP="00026D6D">
            <w:pPr>
              <w:pStyle w:val="tabletext2"/>
              <w:rPr>
                <w:sz w:val="22"/>
                <w:szCs w:val="22"/>
              </w:rPr>
            </w:pPr>
            <w:r w:rsidRPr="00026D6D">
              <w:rPr>
                <w:sz w:val="22"/>
                <w:szCs w:val="22"/>
              </w:rPr>
              <w:t>Stakeholders commented on the specification that states the last ACR result be used for inclusion in the denominator. They highlighted the risk of including people with transient rather than persistent proteinuria. Personalised care adjustments could be used in this circumstance.</w:t>
            </w:r>
          </w:p>
          <w:p w14:paraId="3AAF4154" w14:textId="6C8AC005" w:rsidR="00A47852" w:rsidRDefault="00A559BE" w:rsidP="004F467D">
            <w:pPr>
              <w:pStyle w:val="tabletext2"/>
              <w:rPr>
                <w:sz w:val="22"/>
                <w:szCs w:val="22"/>
              </w:rPr>
            </w:pPr>
            <w:r w:rsidRPr="004F467D">
              <w:rPr>
                <w:sz w:val="22"/>
                <w:szCs w:val="22"/>
              </w:rPr>
              <w:t>Low uptake of ACR in practice may impact on this indicator. it assumes that an ACR result is on record for the person included in the denominator.</w:t>
            </w:r>
            <w:r w:rsidR="004F467D" w:rsidRPr="004F467D">
              <w:rPr>
                <w:sz w:val="22"/>
                <w:szCs w:val="22"/>
              </w:rPr>
              <w:t xml:space="preserve"> An existing NICE menu</w:t>
            </w:r>
            <w:r w:rsidR="004F467D">
              <w:rPr>
                <w:sz w:val="22"/>
                <w:szCs w:val="22"/>
              </w:rPr>
              <w:t xml:space="preserve"> </w:t>
            </w:r>
            <w:r w:rsidR="004F467D" w:rsidRPr="004F467D">
              <w:rPr>
                <w:sz w:val="22"/>
                <w:szCs w:val="22"/>
              </w:rPr>
              <w:t>indicator NM109 measures the number of people on the</w:t>
            </w:r>
            <w:r w:rsidR="004F467D">
              <w:rPr>
                <w:sz w:val="22"/>
                <w:szCs w:val="22"/>
              </w:rPr>
              <w:t xml:space="preserve"> </w:t>
            </w:r>
            <w:r w:rsidR="004F467D" w:rsidRPr="004F467D">
              <w:rPr>
                <w:sz w:val="22"/>
                <w:szCs w:val="22"/>
              </w:rPr>
              <w:t>CKD register with a record of a urine ACR test in the</w:t>
            </w:r>
            <w:r w:rsidR="004F467D">
              <w:rPr>
                <w:sz w:val="22"/>
                <w:szCs w:val="22"/>
              </w:rPr>
              <w:t xml:space="preserve"> </w:t>
            </w:r>
            <w:r w:rsidR="004F467D" w:rsidRPr="004F467D">
              <w:rPr>
                <w:sz w:val="22"/>
                <w:szCs w:val="22"/>
              </w:rPr>
              <w:t>preceding 12 months, this indicator has data collected as</w:t>
            </w:r>
            <w:r w:rsidR="004F467D">
              <w:rPr>
                <w:sz w:val="22"/>
                <w:szCs w:val="22"/>
              </w:rPr>
              <w:t xml:space="preserve"> </w:t>
            </w:r>
            <w:r w:rsidR="004F467D" w:rsidRPr="004F467D">
              <w:rPr>
                <w:sz w:val="22"/>
                <w:szCs w:val="22"/>
              </w:rPr>
              <w:t>part of the indicators no longer in QOF (INLIQ) dataset</w:t>
            </w:r>
            <w:r w:rsidR="004F467D">
              <w:rPr>
                <w:sz w:val="22"/>
                <w:szCs w:val="22"/>
              </w:rPr>
              <w:t xml:space="preserve"> </w:t>
            </w:r>
            <w:r w:rsidR="004F467D" w:rsidRPr="004F467D">
              <w:rPr>
                <w:sz w:val="22"/>
                <w:szCs w:val="22"/>
              </w:rPr>
              <w:t>(CKD 004) and is suitable for inclusion in QOF.</w:t>
            </w:r>
            <w:r w:rsidR="00380B31">
              <w:rPr>
                <w:sz w:val="22"/>
                <w:szCs w:val="22"/>
              </w:rPr>
              <w:t xml:space="preserve"> </w:t>
            </w:r>
            <w:r w:rsidR="00942D2D" w:rsidRPr="00942D2D">
              <w:rPr>
                <w:sz w:val="22"/>
                <w:szCs w:val="22"/>
              </w:rPr>
              <w:t>Urine ACR is a laboratory test that may be received directly by GP systems and may not be converted into an extractable format for the purpose of this indicator. This may impact on denominator numbers. Current estimates of the denominator using data from CPRD Aurum suggests low numbers for this indicator and thus risks suppression of reports from individual practices. These denominators may increase if ACR testing or coding increases.</w:t>
            </w:r>
          </w:p>
          <w:p w14:paraId="5D0DDE27" w14:textId="2B90FA0D" w:rsidR="00380B31" w:rsidRPr="00567AFA" w:rsidRDefault="00380B31" w:rsidP="004F467D">
            <w:pPr>
              <w:pStyle w:val="tabletext2"/>
            </w:pPr>
          </w:p>
        </w:tc>
        <w:tc>
          <w:tcPr>
            <w:tcW w:w="3118" w:type="dxa"/>
          </w:tcPr>
          <w:p w14:paraId="29FB2923" w14:textId="4EE07B97" w:rsidR="00A47852" w:rsidRPr="00567AFA" w:rsidRDefault="00A47852" w:rsidP="00A47852">
            <w:pPr>
              <w:pStyle w:val="Paragraph"/>
              <w:spacing w:before="120" w:after="120" w:line="240" w:lineRule="auto"/>
            </w:pPr>
            <w:r w:rsidRPr="00567AFA">
              <w:rPr>
                <w:rFonts w:cs="Arial"/>
                <w:color w:val="000000"/>
                <w:kern w:val="24"/>
                <w:sz w:val="22"/>
                <w:szCs w:val="22"/>
              </w:rPr>
              <w:lastRenderedPageBreak/>
              <w:t>The indicator has an acceptable risk of unintended consequences.</w:t>
            </w:r>
          </w:p>
        </w:tc>
      </w:tr>
    </w:tbl>
    <w:p w14:paraId="7F9A517B" w14:textId="77777777" w:rsidR="001B4867" w:rsidRDefault="001B4867" w:rsidP="001B4867">
      <w:pPr>
        <w:pStyle w:val="Heading1"/>
      </w:pPr>
      <w:r>
        <w:t>NICE indicator advisory committee recommendation</w:t>
      </w:r>
    </w:p>
    <w:p w14:paraId="123085F8" w14:textId="55FFB6CF" w:rsidR="00D73835" w:rsidRDefault="001B4867" w:rsidP="00DA59AC">
      <w:pPr>
        <w:pStyle w:val="Paragraph"/>
      </w:pPr>
      <w:r w:rsidRPr="00DA59AC">
        <w:t xml:space="preserve">The NICE indicator advisory committee approved this indicator for publication on the menu. </w:t>
      </w:r>
    </w:p>
    <w:sectPr w:rsidR="00D73835" w:rsidSect="00192B09">
      <w:headerReference w:type="default" r:id="rId11"/>
      <w:footerReference w:type="defaul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09962D3D" w:rsidR="00BB14CA" w:rsidRPr="008C1C95" w:rsidRDefault="00F1269E" w:rsidP="008C1C95">
    <w:pPr>
      <w:pStyle w:val="Footer"/>
      <w:jc w:val="right"/>
    </w:pPr>
    <w:r>
      <w:t>NM248</w:t>
    </w:r>
    <w:r w:rsidR="009B0E59">
      <w:t xml:space="preserve">: Validity assessment </w:t>
    </w:r>
    <w:r>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4B4DE189" w14:textId="595FDD5C" w:rsidR="00BB14CA" w:rsidRPr="00584CC9" w:rsidRDefault="00BB14CA" w:rsidP="00670FFB">
    <w:pPr>
      <w:pStyle w:val="Header"/>
      <w:tabs>
        <w:tab w:val="left" w:pos="2768"/>
        <w:tab w:val="center" w:pos="4156"/>
      </w:tabs>
      <w:jc w:val="center"/>
      <w:rPr>
        <w:b/>
        <w:color w:val="FF0000"/>
        <w:sz w:val="20"/>
        <w:szCs w:val="22"/>
      </w:rPr>
    </w:pPr>
    <w:r w:rsidRPr="004C50B0">
      <w:rPr>
        <w:b/>
        <w:color w:val="000000" w:themeColor="text1"/>
        <w:sz w:val="22"/>
        <w:szCs w:val="22"/>
      </w:rPr>
      <w:t>CONFIDENTIAL UNTIL PUBLISHED</w:t>
    </w: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34889">
    <w:abstractNumId w:val="32"/>
  </w:num>
  <w:num w:numId="2" w16cid:durableId="1826968470">
    <w:abstractNumId w:val="11"/>
  </w:num>
  <w:num w:numId="3" w16cid:durableId="1347101520">
    <w:abstractNumId w:val="27"/>
  </w:num>
  <w:num w:numId="4" w16cid:durableId="43526345">
    <w:abstractNumId w:val="12"/>
  </w:num>
  <w:num w:numId="5" w16cid:durableId="1377898927">
    <w:abstractNumId w:val="24"/>
  </w:num>
  <w:num w:numId="6" w16cid:durableId="32586248">
    <w:abstractNumId w:val="1"/>
  </w:num>
  <w:num w:numId="7" w16cid:durableId="447823563">
    <w:abstractNumId w:val="10"/>
  </w:num>
  <w:num w:numId="8" w16cid:durableId="1588615862">
    <w:abstractNumId w:val="22"/>
  </w:num>
  <w:num w:numId="9" w16cid:durableId="350567649">
    <w:abstractNumId w:val="23"/>
  </w:num>
  <w:num w:numId="10" w16cid:durableId="688529609">
    <w:abstractNumId w:val="5"/>
  </w:num>
  <w:num w:numId="11" w16cid:durableId="1464154813">
    <w:abstractNumId w:val="7"/>
  </w:num>
  <w:num w:numId="12" w16cid:durableId="1761178423">
    <w:abstractNumId w:val="2"/>
  </w:num>
  <w:num w:numId="13" w16cid:durableId="1356074490">
    <w:abstractNumId w:val="31"/>
  </w:num>
  <w:num w:numId="14" w16cid:durableId="75982395">
    <w:abstractNumId w:val="14"/>
  </w:num>
  <w:num w:numId="15" w16cid:durableId="1688285504">
    <w:abstractNumId w:val="9"/>
  </w:num>
  <w:num w:numId="16" w16cid:durableId="1914463019">
    <w:abstractNumId w:val="19"/>
  </w:num>
  <w:num w:numId="17" w16cid:durableId="1462843881">
    <w:abstractNumId w:val="16"/>
  </w:num>
  <w:num w:numId="18" w16cid:durableId="35472322">
    <w:abstractNumId w:val="21"/>
  </w:num>
  <w:num w:numId="19" w16cid:durableId="2006977131">
    <w:abstractNumId w:val="25"/>
  </w:num>
  <w:num w:numId="20" w16cid:durableId="289868229">
    <w:abstractNumId w:val="6"/>
  </w:num>
  <w:num w:numId="21" w16cid:durableId="658579837">
    <w:abstractNumId w:val="29"/>
  </w:num>
  <w:num w:numId="22" w16cid:durableId="1797483949">
    <w:abstractNumId w:val="0"/>
  </w:num>
  <w:num w:numId="23" w16cid:durableId="1752699425">
    <w:abstractNumId w:val="4"/>
  </w:num>
  <w:num w:numId="24" w16cid:durableId="972097263">
    <w:abstractNumId w:val="26"/>
  </w:num>
  <w:num w:numId="25" w16cid:durableId="26832856">
    <w:abstractNumId w:val="18"/>
  </w:num>
  <w:num w:numId="26" w16cid:durableId="1905870532">
    <w:abstractNumId w:val="17"/>
  </w:num>
  <w:num w:numId="27" w16cid:durableId="1610890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5626810">
    <w:abstractNumId w:val="8"/>
  </w:num>
  <w:num w:numId="29" w16cid:durableId="720979621">
    <w:abstractNumId w:val="5"/>
  </w:num>
  <w:num w:numId="30" w16cid:durableId="1923026274">
    <w:abstractNumId w:val="13"/>
  </w:num>
  <w:num w:numId="31" w16cid:durableId="1928534697">
    <w:abstractNumId w:val="5"/>
  </w:num>
  <w:num w:numId="32" w16cid:durableId="915474307">
    <w:abstractNumId w:val="5"/>
  </w:num>
  <w:num w:numId="33" w16cid:durableId="1895046672">
    <w:abstractNumId w:val="5"/>
  </w:num>
  <w:num w:numId="34" w16cid:durableId="65938686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141091">
    <w:abstractNumId w:val="5"/>
  </w:num>
  <w:num w:numId="36" w16cid:durableId="1259173953">
    <w:abstractNumId w:val="5"/>
  </w:num>
  <w:num w:numId="37" w16cid:durableId="1409695503">
    <w:abstractNumId w:val="5"/>
  </w:num>
  <w:num w:numId="38" w16cid:durableId="405804087">
    <w:abstractNumId w:val="30"/>
  </w:num>
  <w:num w:numId="39" w16cid:durableId="1465732367">
    <w:abstractNumId w:val="20"/>
  </w:num>
  <w:num w:numId="40" w16cid:durableId="1505820911">
    <w:abstractNumId w:val="3"/>
  </w:num>
  <w:num w:numId="41" w16cid:durableId="1601907067">
    <w:abstractNumId w:val="28"/>
  </w:num>
  <w:num w:numId="42" w16cid:durableId="259028096">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6D6D"/>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4867"/>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73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4530"/>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0B31"/>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88E"/>
    <w:rsid w:val="00420952"/>
    <w:rsid w:val="00422E2D"/>
    <w:rsid w:val="00423C0E"/>
    <w:rsid w:val="00423DB4"/>
    <w:rsid w:val="0042425C"/>
    <w:rsid w:val="004247FB"/>
    <w:rsid w:val="004271A0"/>
    <w:rsid w:val="0042742A"/>
    <w:rsid w:val="004306C0"/>
    <w:rsid w:val="00431F8B"/>
    <w:rsid w:val="00440CCA"/>
    <w:rsid w:val="00442D76"/>
    <w:rsid w:val="0044393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0B0"/>
    <w:rsid w:val="004C5C89"/>
    <w:rsid w:val="004D1267"/>
    <w:rsid w:val="004D26AD"/>
    <w:rsid w:val="004D2897"/>
    <w:rsid w:val="004D39E2"/>
    <w:rsid w:val="004D756F"/>
    <w:rsid w:val="004E0E78"/>
    <w:rsid w:val="004E4C4B"/>
    <w:rsid w:val="004E54B6"/>
    <w:rsid w:val="004F242D"/>
    <w:rsid w:val="004F3269"/>
    <w:rsid w:val="004F467D"/>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67AFA"/>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2E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6182"/>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2344"/>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4D30"/>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1F0E"/>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1C84"/>
    <w:rsid w:val="008924E3"/>
    <w:rsid w:val="0089270D"/>
    <w:rsid w:val="00894B01"/>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2131"/>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2D2D"/>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71D"/>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15F"/>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1F1E"/>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559BE"/>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5D6"/>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3A1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0D84"/>
    <w:rsid w:val="00C22E43"/>
    <w:rsid w:val="00C23238"/>
    <w:rsid w:val="00C235DF"/>
    <w:rsid w:val="00C23C1C"/>
    <w:rsid w:val="00C2539E"/>
    <w:rsid w:val="00C278DE"/>
    <w:rsid w:val="00C2796B"/>
    <w:rsid w:val="00C3004B"/>
    <w:rsid w:val="00C304AF"/>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5C88"/>
    <w:rsid w:val="00C86682"/>
    <w:rsid w:val="00C90846"/>
    <w:rsid w:val="00C92700"/>
    <w:rsid w:val="00C92E3F"/>
    <w:rsid w:val="00C92E92"/>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31"/>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4A05"/>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1D03"/>
    <w:rsid w:val="00DA59AC"/>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21C8"/>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45F8"/>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269E"/>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umbered">
    <w:name w:val="Paragraph Numbered"/>
    <w:basedOn w:val="Normal"/>
    <w:uiPriority w:val="4"/>
    <w:qFormat/>
    <w:rsid w:val="00891C84"/>
    <w:pPr>
      <w:numPr>
        <w:numId w:val="41"/>
      </w:numPr>
      <w:tabs>
        <w:tab w:val="left" w:pos="426"/>
      </w:tabs>
      <w:spacing w:after="240" w:line="360" w:lineRule="auto"/>
      <w:ind w:left="425" w:hanging="425"/>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75061407">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8950202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960652655">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835608954">
      <w:bodyDiv w:val="1"/>
      <w:marLeft w:val="0"/>
      <w:marRight w:val="0"/>
      <w:marTop w:val="0"/>
      <w:marBottom w:val="0"/>
      <w:divBdr>
        <w:top w:val="none" w:sz="0" w:space="0" w:color="auto"/>
        <w:left w:val="none" w:sz="0" w:space="0" w:color="auto"/>
        <w:bottom w:val="none" w:sz="0" w:space="0" w:color="auto"/>
        <w:right w:val="none" w:sz="0" w:space="0" w:color="auto"/>
      </w:divBdr>
    </w:div>
    <w:div w:id="1909263239">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gp-contract-services/202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vdprevent.nhs.uk/ho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e.org.uk/guidance/ng136" TargetMode="External"/><Relationship Id="rId4" Type="http://schemas.openxmlformats.org/officeDocument/2006/relationships/webSettings" Target="webSettings.xml"/><Relationship Id="rId9" Type="http://schemas.openxmlformats.org/officeDocument/2006/relationships/hyperlink" Target="https://www.nice.org.uk/guidance/ng2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8445</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2023-08-21T06:28:00Z</dcterms:created>
  <dcterms:modified xsi:type="dcterms:W3CDTF">2023-08-21T06:29:00Z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2023-08-21T06:29:04Z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90542c37-6a48-4397-a9f1-9bb8dc9a0083</vt:lpwstr>
  </property>
  <property fmtid="{D5CDD505-2E9C-101B-9397-08002B2CF9AE}" pid="8" name="MSIP_Label_c69d85d5-6d9e-4305-a294-1f636ec0f2d6_ContentBits">
    <vt:lpwstr>0</vt:lpwstr>
  </property>
</Properties>
</file>