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D182013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5F17CD">
        <w:t>August 2011.</w:t>
      </w:r>
      <w:r w:rsidR="00CE7C0B">
        <w:t xml:space="preserve"> </w:t>
      </w:r>
      <w:r w:rsidR="00C21BC2">
        <w:t xml:space="preserve"> </w:t>
      </w:r>
    </w:p>
    <w:p w14:paraId="06BAB3FE" w14:textId="4D1BA54F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660D73">
        <w:t>August 2019</w:t>
      </w:r>
    </w:p>
    <w:p w14:paraId="6107852F" w14:textId="6DFE8906" w:rsidR="006F0A86" w:rsidRDefault="006F0A86" w:rsidP="00126C3F">
      <w:pPr>
        <w:pStyle w:val="Heading1"/>
      </w:pPr>
      <w:r w:rsidRPr="00126C3F">
        <w:t xml:space="preserve">Indicator </w:t>
      </w:r>
      <w:r w:rsidR="007B1A1E">
        <w:t>NM3</w:t>
      </w:r>
      <w:r w:rsidR="00800582">
        <w:t>0</w:t>
      </w:r>
    </w:p>
    <w:p w14:paraId="08BC88E0" w14:textId="5B899805" w:rsidR="005F17CD" w:rsidRPr="005F17CD" w:rsidRDefault="00800582" w:rsidP="005F17CD">
      <w:pPr>
        <w:pStyle w:val="Heading1"/>
        <w:spacing w:line="360" w:lineRule="auto"/>
        <w:rPr>
          <w:b w:val="0"/>
          <w:bCs w:val="0"/>
          <w:kern w:val="0"/>
          <w:sz w:val="24"/>
          <w:szCs w:val="24"/>
        </w:rPr>
      </w:pPr>
      <w:r w:rsidRPr="00800582">
        <w:rPr>
          <w:b w:val="0"/>
          <w:bCs w:val="0"/>
          <w:kern w:val="0"/>
          <w:sz w:val="24"/>
          <w:szCs w:val="24"/>
        </w:rPr>
        <w:t xml:space="preserve">The percentage of patients aged 50 or over and who have not attained the age of 75, with a record of a fragility fracture on or after 1 April 2012, in whom osteoporosis is confirmed on DXA scan, who are currently treated with an appropriate bone-sparing </w:t>
      </w:r>
      <w:r>
        <w:rPr>
          <w:b w:val="0"/>
          <w:bCs w:val="0"/>
          <w:kern w:val="0"/>
          <w:sz w:val="24"/>
          <w:szCs w:val="24"/>
        </w:rPr>
        <w:t>a</w:t>
      </w:r>
      <w:r w:rsidRPr="00800582">
        <w:rPr>
          <w:b w:val="0"/>
          <w:bCs w:val="0"/>
          <w:kern w:val="0"/>
          <w:sz w:val="24"/>
          <w:szCs w:val="24"/>
        </w:rPr>
        <w:t>gent</w:t>
      </w:r>
      <w:r w:rsidR="005F17CD">
        <w:rPr>
          <w:b w:val="0"/>
          <w:bCs w:val="0"/>
          <w:kern w:val="0"/>
          <w:sz w:val="24"/>
          <w:szCs w:val="24"/>
        </w:rPr>
        <w:t>.</w:t>
      </w:r>
    </w:p>
    <w:p w14:paraId="18778417" w14:textId="13FA69E1" w:rsidR="00806B97" w:rsidRDefault="00806B97" w:rsidP="007B1A1E">
      <w:pPr>
        <w:pStyle w:val="Heading1"/>
      </w:pPr>
      <w:r w:rsidRPr="00806B97">
        <w:t xml:space="preserve">Indicator type </w:t>
      </w:r>
    </w:p>
    <w:p w14:paraId="41C21883" w14:textId="383B2619" w:rsidR="00660D73" w:rsidRDefault="00660D73" w:rsidP="00660D73">
      <w:pPr>
        <w:pStyle w:val="Paragraph"/>
      </w:pPr>
      <w:bookmarkStart w:id="0" w:name="_Hlk14251673"/>
      <w:r w:rsidRPr="00701629">
        <w:t xml:space="preserve">General practice indicator for use outside the </w:t>
      </w:r>
      <w:r w:rsidR="00CA2115">
        <w:t>QOF</w:t>
      </w:r>
      <w:r w:rsidRPr="00701629">
        <w:t>.</w:t>
      </w:r>
      <w:r>
        <w:t xml:space="preserve"> </w:t>
      </w:r>
    </w:p>
    <w:p w14:paraId="4E332AD0" w14:textId="7D61CAE5" w:rsidR="00660D73" w:rsidRDefault="00660D73" w:rsidP="00660D73">
      <w:pPr>
        <w:pStyle w:val="Paragraph"/>
      </w:pPr>
      <w:r>
        <w:t>Corresponding QOF indicator OST00</w:t>
      </w:r>
      <w:r w:rsidR="00800582">
        <w:t>2</w:t>
      </w:r>
      <w:r>
        <w:t xml:space="preserve"> was retired from the QOF in 2019 as data showed average numbers of eligible patients per practice to be less than 20 per year.</w:t>
      </w:r>
    </w:p>
    <w:bookmarkEnd w:id="0"/>
    <w:p w14:paraId="20705D2C" w14:textId="4B4BD3A4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5B33874E" w14:textId="49B4BD56" w:rsidR="00202687" w:rsidRDefault="0088340A" w:rsidP="00202687">
      <w:pPr>
        <w:pStyle w:val="Paragraph"/>
        <w:rPr>
          <w:lang w:val="en-US" w:eastAsia="en-US"/>
        </w:rPr>
      </w:pPr>
      <w:r>
        <w:rPr>
          <w:lang w:val="en-US" w:eastAsia="en-US"/>
        </w:rPr>
        <w:t>Osteoporosis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>occurs when there is a loss of some of the materials that make up bones. As a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 xml:space="preserve">result, the bones become fragile and can fracture easily. </w:t>
      </w:r>
      <w:r w:rsidR="00202687">
        <w:rPr>
          <w:lang w:val="en-US" w:eastAsia="en-US"/>
        </w:rPr>
        <w:t>T</w:t>
      </w:r>
      <w:r w:rsidR="00202687" w:rsidRPr="00202687">
        <w:rPr>
          <w:lang w:val="en-US" w:eastAsia="en-US"/>
        </w:rPr>
        <w:t>he hips, wrists and spine</w:t>
      </w:r>
      <w:r w:rsidR="00202687">
        <w:rPr>
          <w:lang w:val="en-US" w:eastAsia="en-US"/>
        </w:rPr>
        <w:t xml:space="preserve"> are most likely to break</w:t>
      </w:r>
      <w:r w:rsidR="00922C99">
        <w:rPr>
          <w:lang w:val="en-US" w:eastAsia="en-US"/>
        </w:rPr>
        <w:t>, and</w:t>
      </w:r>
      <w:r w:rsidR="00202687">
        <w:rPr>
          <w:lang w:val="en-US" w:eastAsia="en-US"/>
        </w:rPr>
        <w:t xml:space="preserve"> h</w:t>
      </w:r>
      <w:r w:rsidR="00202687" w:rsidRPr="00202687">
        <w:rPr>
          <w:lang w:val="en-US" w:eastAsia="en-US"/>
        </w:rPr>
        <w:t>ip fracture is the major adverse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>consequence</w:t>
      </w:r>
      <w:r w:rsidR="00202687">
        <w:rPr>
          <w:lang w:val="en-US" w:eastAsia="en-US"/>
        </w:rPr>
        <w:t xml:space="preserve"> </w:t>
      </w:r>
      <w:r w:rsidR="00202687" w:rsidRPr="00202687">
        <w:rPr>
          <w:lang w:val="en-US" w:eastAsia="en-US"/>
        </w:rPr>
        <w:t>of osteoporosis</w:t>
      </w:r>
      <w:r w:rsidR="00202687">
        <w:rPr>
          <w:lang w:val="en-US" w:eastAsia="en-US"/>
        </w:rPr>
        <w:t xml:space="preserve">. </w:t>
      </w:r>
      <w:bookmarkStart w:id="1" w:name="_GoBack"/>
      <w:r>
        <w:fldChar w:fldCharType="begin"/>
      </w:r>
      <w:r>
        <w:instrText xml:space="preserve"> HYPERLINK "https://digital.nhs.uk/data-and-information/publications/statistical/quality-and-outcomes-framework-achievement-prevalence-and-exceptions-data/2017-18" </w:instrText>
      </w:r>
      <w:r>
        <w:fldChar w:fldCharType="separate"/>
      </w:r>
      <w:r>
        <w:rPr>
          <w:rStyle w:val="Hyperlink"/>
        </w:rPr>
        <w:t>QOF data for 2017/18</w:t>
      </w:r>
      <w:r>
        <w:fldChar w:fldCharType="end"/>
      </w:r>
      <w:r>
        <w:t xml:space="preserve"> shows around </w:t>
      </w:r>
      <w:r>
        <w:t>130,000</w:t>
      </w:r>
      <w:r>
        <w:t xml:space="preserve"> people in England are currently on a general practice </w:t>
      </w:r>
      <w:r>
        <w:t>osteoporosis</w:t>
      </w:r>
      <w:r>
        <w:t xml:space="preserve"> register</w:t>
      </w:r>
      <w:r>
        <w:t>.</w:t>
      </w:r>
      <w:bookmarkEnd w:id="1"/>
    </w:p>
    <w:p w14:paraId="5882375F" w14:textId="23CB30EF" w:rsidR="00202687" w:rsidRDefault="00202687" w:rsidP="00202687">
      <w:pPr>
        <w:pStyle w:val="Paragraph"/>
        <w:rPr>
          <w:lang w:val="en-US" w:eastAsia="en-US"/>
        </w:rPr>
      </w:pPr>
      <w:r>
        <w:rPr>
          <w:lang w:val="en-US" w:eastAsia="en-US"/>
        </w:rPr>
        <w:t>Age is a major risk factor for primary osteoporosis</w:t>
      </w:r>
      <w:r w:rsidR="00732F58">
        <w:rPr>
          <w:lang w:val="en-US" w:eastAsia="en-US"/>
        </w:rPr>
        <w:t xml:space="preserve">. It can affect both sexes, </w:t>
      </w:r>
      <w:r w:rsidR="00732F58" w:rsidRPr="00AB04CE">
        <w:rPr>
          <w:lang w:val="en-US" w:eastAsia="en-US"/>
        </w:rPr>
        <w:t>but women who have gone</w:t>
      </w:r>
      <w:r w:rsidR="00732F58">
        <w:rPr>
          <w:lang w:val="en-US" w:eastAsia="en-US"/>
        </w:rPr>
        <w:t xml:space="preserve"> </w:t>
      </w:r>
      <w:r w:rsidR="00732F58" w:rsidRPr="00AB04CE">
        <w:rPr>
          <w:lang w:val="en-US" w:eastAsia="en-US"/>
        </w:rPr>
        <w:t>through the menopause are at particular risk because their ovaries no longer</w:t>
      </w:r>
      <w:r w:rsidR="00732F58">
        <w:rPr>
          <w:lang w:val="en-US" w:eastAsia="en-US"/>
        </w:rPr>
        <w:t xml:space="preserve"> </w:t>
      </w:r>
      <w:r w:rsidR="00732F58" w:rsidRPr="00AB04CE">
        <w:rPr>
          <w:lang w:val="en-US" w:eastAsia="en-US"/>
        </w:rPr>
        <w:t xml:space="preserve">produce </w:t>
      </w:r>
      <w:proofErr w:type="spellStart"/>
      <w:r w:rsidR="00732F58" w:rsidRPr="00AB04CE">
        <w:rPr>
          <w:lang w:val="en-US" w:eastAsia="en-US"/>
        </w:rPr>
        <w:t>oestrogen</w:t>
      </w:r>
      <w:proofErr w:type="spellEnd"/>
      <w:r w:rsidR="00732F58" w:rsidRPr="00AB04CE">
        <w:rPr>
          <w:lang w:val="en-US" w:eastAsia="en-US"/>
        </w:rPr>
        <w:t>, which helps to protect against bone loss</w:t>
      </w:r>
      <w:r w:rsidR="00732F58">
        <w:rPr>
          <w:lang w:val="en-US" w:eastAsia="en-US"/>
        </w:rPr>
        <w:t xml:space="preserve">. </w:t>
      </w:r>
    </w:p>
    <w:p w14:paraId="5CBA37E8" w14:textId="17B1CD50" w:rsidR="006F0A86" w:rsidRDefault="006F0A86" w:rsidP="00126C3F">
      <w:pPr>
        <w:pStyle w:val="Heading1"/>
        <w:rPr>
          <w:i/>
        </w:rPr>
      </w:pPr>
      <w:r w:rsidRPr="00011273">
        <w:lastRenderedPageBreak/>
        <w:t>Rationale</w:t>
      </w:r>
    </w:p>
    <w:p w14:paraId="38438DE5" w14:textId="550CFF85" w:rsidR="00732F58" w:rsidRDefault="00FE77C3" w:rsidP="00FE77C3">
      <w:pPr>
        <w:pStyle w:val="Heading1"/>
        <w:spacing w:line="360" w:lineRule="auto"/>
        <w:rPr>
          <w:b w:val="0"/>
          <w:bCs w:val="0"/>
          <w:kern w:val="0"/>
          <w:sz w:val="24"/>
          <w:szCs w:val="24"/>
          <w:lang w:val="en-US" w:eastAsia="en-US"/>
        </w:rPr>
      </w:pPr>
      <w:r>
        <w:rPr>
          <w:b w:val="0"/>
          <w:bCs w:val="0"/>
          <w:kern w:val="0"/>
          <w:sz w:val="24"/>
          <w:szCs w:val="24"/>
          <w:lang w:val="en-US" w:eastAsia="en-US"/>
        </w:rPr>
        <w:t>O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steoporotic fragility fractures can cause substantial pain and severe disability, often leading to a reduced quality of life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>.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>H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ip and vertebral fractures are associated with decreased life expectancy.</w:t>
      </w:r>
      <w:r w:rsidR="00732F58">
        <w:rPr>
          <w:b w:val="0"/>
          <w:bCs w:val="0"/>
          <w:kern w:val="0"/>
          <w:sz w:val="24"/>
          <w:szCs w:val="24"/>
          <w:lang w:val="en-US" w:eastAsia="en-US"/>
        </w:rPr>
        <w:t xml:space="preserve"> Almost all hip fractures require </w:t>
      </w:r>
      <w:proofErr w:type="spellStart"/>
      <w:r w:rsidR="00732F58">
        <w:rPr>
          <w:b w:val="0"/>
          <w:bCs w:val="0"/>
          <w:kern w:val="0"/>
          <w:sz w:val="24"/>
          <w:szCs w:val="24"/>
          <w:lang w:val="en-US" w:eastAsia="en-US"/>
        </w:rPr>
        <w:t>hospitalisation</w:t>
      </w:r>
      <w:proofErr w:type="spellEnd"/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. 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After a hip fracture, a high proportion of people are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permanently unable to walk independently or to perform other activities of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Pr="00FE77C3">
        <w:rPr>
          <w:b w:val="0"/>
          <w:bCs w:val="0"/>
          <w:kern w:val="0"/>
          <w:sz w:val="24"/>
          <w:szCs w:val="24"/>
          <w:lang w:val="en-US" w:eastAsia="en-US"/>
        </w:rPr>
        <w:t>daily living and, consequently, many are unable to live independently.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 xml:space="preserve"> Hip and vertebral fractures are associated with increased risk of mortality. </w:t>
      </w:r>
    </w:p>
    <w:p w14:paraId="584D229E" w14:textId="232BBE10" w:rsidR="00D27F17" w:rsidRPr="00D27F17" w:rsidRDefault="00FE77C3" w:rsidP="00D27F17">
      <w:pPr>
        <w:pStyle w:val="Heading1"/>
        <w:spacing w:line="360" w:lineRule="auto"/>
        <w:rPr>
          <w:b w:val="0"/>
          <w:bCs w:val="0"/>
          <w:kern w:val="0"/>
          <w:sz w:val="24"/>
          <w:szCs w:val="24"/>
          <w:lang w:val="en-US" w:eastAsia="en-US"/>
        </w:rPr>
      </w:pP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Options for </w:t>
      </w:r>
      <w:r w:rsidR="005E0929">
        <w:rPr>
          <w:b w:val="0"/>
          <w:bCs w:val="0"/>
          <w:kern w:val="0"/>
          <w:sz w:val="24"/>
          <w:szCs w:val="24"/>
          <w:lang w:val="en-US" w:eastAsia="en-US"/>
        </w:rPr>
        <w:t>preventing fragility fractures in people identified as being at risk or preventing further fractures in people who have already had them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5E0929">
        <w:rPr>
          <w:b w:val="0"/>
          <w:bCs w:val="0"/>
          <w:kern w:val="0"/>
          <w:sz w:val="24"/>
          <w:szCs w:val="24"/>
          <w:lang w:val="en-US" w:eastAsia="en-US"/>
        </w:rPr>
        <w:t>include drug treatment and lifestyle interventions.</w:t>
      </w:r>
      <w:r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>Bone sparing agents such as alendronate are recommended as a treatment</w:t>
      </w:r>
      <w:r w:rsid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>option for the secondary prevention of osteoporotic fragility fractures</w:t>
      </w:r>
      <w:r w:rsidR="00496906">
        <w:rPr>
          <w:b w:val="0"/>
          <w:bCs w:val="0"/>
          <w:kern w:val="0"/>
          <w:sz w:val="24"/>
          <w:szCs w:val="24"/>
          <w:lang w:val="en-US" w:eastAsia="en-US"/>
        </w:rPr>
        <w:t>, including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 in</w:t>
      </w:r>
      <w:r w:rsid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 xml:space="preserve">postmenopausal women </w:t>
      </w:r>
      <w:r w:rsidR="005F17CD">
        <w:rPr>
          <w:b w:val="0"/>
          <w:bCs w:val="0"/>
          <w:kern w:val="0"/>
          <w:sz w:val="24"/>
          <w:szCs w:val="24"/>
          <w:lang w:val="en-US" w:eastAsia="en-US"/>
        </w:rPr>
        <w:t xml:space="preserve">with a confirmed diagnosis of </w:t>
      </w:r>
      <w:r w:rsidR="00D27F17" w:rsidRPr="00D27F17">
        <w:rPr>
          <w:b w:val="0"/>
          <w:bCs w:val="0"/>
          <w:kern w:val="0"/>
          <w:sz w:val="24"/>
          <w:szCs w:val="24"/>
          <w:lang w:val="en-US" w:eastAsia="en-US"/>
        </w:rPr>
        <w:t>osteoporosis</w:t>
      </w:r>
      <w:r w:rsidR="00B85420">
        <w:rPr>
          <w:b w:val="0"/>
          <w:bCs w:val="0"/>
          <w:kern w:val="0"/>
          <w:sz w:val="24"/>
          <w:szCs w:val="24"/>
          <w:lang w:val="en-US" w:eastAsia="en-US"/>
        </w:rPr>
        <w:t>.</w:t>
      </w:r>
    </w:p>
    <w:p w14:paraId="69D4A75D" w14:textId="3FE7CB0F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3A351625" w14:textId="77777777" w:rsidR="00885267" w:rsidRPr="00BD6253" w:rsidRDefault="0088340A" w:rsidP="00885267">
      <w:pPr>
        <w:pStyle w:val="NICEnormal"/>
      </w:pPr>
      <w:hyperlink r:id="rId8" w:history="1">
        <w:r w:rsidR="00885267" w:rsidRPr="00496906">
          <w:rPr>
            <w:rStyle w:val="Hyperlink"/>
          </w:rPr>
          <w:t>Bisphosphonates for treating osteoporosis</w:t>
        </w:r>
      </w:hyperlink>
      <w:r w:rsidR="00885267">
        <w:t xml:space="preserve"> (2017, updated 2018) TA464 </w:t>
      </w:r>
    </w:p>
    <w:p w14:paraId="1E259BBD" w14:textId="2B2D294F" w:rsidR="00D141B1" w:rsidRDefault="0088340A" w:rsidP="00D141B1">
      <w:pPr>
        <w:pStyle w:val="NICEnormal"/>
      </w:pPr>
      <w:hyperlink r:id="rId9" w:history="1">
        <w:r w:rsidR="00496906">
          <w:rPr>
            <w:rStyle w:val="Hyperlink"/>
          </w:rPr>
          <w:t>Raloxifene and teriparatide for the secondary prevention of osteoporotic fragility fractures in postmenopausal women</w:t>
        </w:r>
      </w:hyperlink>
      <w:r w:rsidR="005449B6" w:rsidRPr="005449B6">
        <w:t xml:space="preserve"> (2</w:t>
      </w:r>
      <w:r w:rsidR="00D27F17">
        <w:t>00</w:t>
      </w:r>
      <w:r w:rsidR="001D5DCC">
        <w:t>8</w:t>
      </w:r>
      <w:r w:rsidR="00496906">
        <w:t>, updated 2018</w:t>
      </w:r>
      <w:r w:rsidR="005449B6" w:rsidRPr="005449B6">
        <w:t xml:space="preserve">) </w:t>
      </w:r>
      <w:r w:rsidR="00496906">
        <w:t>TA161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888DCFF" w:rsidR="0009195D" w:rsidRDefault="00D141B1" w:rsidP="00D141B1">
      <w:pPr>
        <w:pStyle w:val="NICEnormal"/>
      </w:pPr>
      <w:r>
        <w:t xml:space="preserve">Numerator: </w:t>
      </w:r>
      <w:r w:rsidR="00496906">
        <w:t xml:space="preserve">The number of patients in the denominator </w:t>
      </w:r>
      <w:r w:rsidR="00660D73" w:rsidRPr="005F17CD">
        <w:t>who are currently treated with an appropriate bone-sparing agent</w:t>
      </w:r>
      <w:r w:rsidR="00496906" w:rsidRPr="00496906">
        <w:t>.</w:t>
      </w:r>
    </w:p>
    <w:p w14:paraId="06B62F8F" w14:textId="1C44BE87" w:rsidR="00D141B1" w:rsidRDefault="00D141B1" w:rsidP="00D141B1">
      <w:pPr>
        <w:pStyle w:val="NICEnormal"/>
      </w:pPr>
      <w:r>
        <w:t xml:space="preserve">Denominator: </w:t>
      </w:r>
      <w:r w:rsidR="00660D73">
        <w:t>The number of p</w:t>
      </w:r>
      <w:r w:rsidR="00032261">
        <w:t xml:space="preserve">atients </w:t>
      </w:r>
      <w:r w:rsidR="00800582" w:rsidRPr="00800582">
        <w:t>aged 50 or over and who have not attained the age of 75, with a record of a fragility fracture on or after 1 April 2012, in whom osteoporosis is confirmed on DXA scan</w:t>
      </w:r>
      <w:r w:rsidR="00496906">
        <w:t xml:space="preserve">. </w:t>
      </w:r>
      <w:r w:rsidR="00032261">
        <w:t xml:space="preserve"> </w:t>
      </w:r>
      <w:r w:rsidR="00C64673">
        <w:t xml:space="preserve"> </w:t>
      </w:r>
    </w:p>
    <w:p w14:paraId="04501E11" w14:textId="57CE66FC" w:rsidR="0009195D" w:rsidRDefault="0009195D" w:rsidP="00D141B1">
      <w:pPr>
        <w:pStyle w:val="NICEnormal"/>
      </w:pPr>
      <w:r>
        <w:t xml:space="preserve">Calculation: </w:t>
      </w:r>
      <w:r w:rsidRPr="005449B6">
        <w:t>(Numerator/denominator)</w:t>
      </w:r>
      <w:r w:rsidR="00A57924">
        <w:t xml:space="preserve"> </w:t>
      </w:r>
      <w:r w:rsidRPr="005449B6">
        <w:t>*</w:t>
      </w:r>
      <w:r w:rsidR="00A57924">
        <w:t xml:space="preserve"> </w:t>
      </w:r>
      <w:r w:rsidRPr="005449B6">
        <w:t>100</w:t>
      </w:r>
      <w:r w:rsidR="00A57924">
        <w:t>.</w:t>
      </w:r>
    </w:p>
    <w:p w14:paraId="6DBFA869" w14:textId="25477A10" w:rsidR="00032261" w:rsidRDefault="00D141B1" w:rsidP="00D141B1">
      <w:pPr>
        <w:pStyle w:val="NICEnormal"/>
      </w:pPr>
      <w:r>
        <w:t>Exclusions:</w:t>
      </w:r>
      <w:r w:rsidR="00660D73">
        <w:t xml:space="preserve"> None</w:t>
      </w:r>
      <w:r w:rsidR="007A0D86">
        <w:t xml:space="preserve">.  </w:t>
      </w:r>
      <w:r w:rsidR="00496906">
        <w:t xml:space="preserve"> </w:t>
      </w:r>
    </w:p>
    <w:p w14:paraId="1DC4E9DE" w14:textId="33B70A8C" w:rsidR="00034638" w:rsidRDefault="00706451" w:rsidP="00D141B1">
      <w:pPr>
        <w:pStyle w:val="NICEnormal"/>
      </w:pPr>
      <w:r>
        <w:lastRenderedPageBreak/>
        <w:t xml:space="preserve">Minimum population: </w:t>
      </w:r>
      <w:r w:rsidR="00660D73" w:rsidRPr="00A56301">
        <w:t xml:space="preserve">The indicator would be appropriate to assess performance of collaborations or networks </w:t>
      </w:r>
      <w:r w:rsidR="00660D73">
        <w:t xml:space="preserve">of GP practices </w:t>
      </w:r>
      <w:r w:rsidR="00660D73" w:rsidRPr="00A56301">
        <w:t>serving populations of around 30,000 to 50,000.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E00853A" w14:textId="77777777" w:rsidR="00660D73" w:rsidRPr="0009195D" w:rsidRDefault="00660D73" w:rsidP="00660D73">
      <w:pPr>
        <w:pStyle w:val="NICEnormal"/>
      </w:pPr>
      <w:bookmarkStart w:id="2" w:name="_Hlk14183092"/>
      <w:bookmarkStart w:id="3" w:name="_Hlk14250706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2"/>
      <w:bookmarkEnd w:id="3"/>
    </w:p>
    <w:p w14:paraId="70B822BC" w14:textId="79E269C4" w:rsidR="0009195D" w:rsidRPr="0009195D" w:rsidRDefault="0009195D" w:rsidP="00660D73">
      <w:pPr>
        <w:pStyle w:val="NICEnormal"/>
      </w:pPr>
    </w:p>
    <w:sectPr w:rsidR="0009195D" w:rsidRPr="0009195D" w:rsidSect="003D61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BA62" w14:textId="77777777" w:rsidR="00800582" w:rsidRDefault="00800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265119F6" w:rsidR="00245B12" w:rsidRPr="00EA7F52" w:rsidRDefault="00D141B1" w:rsidP="00D141B1">
    <w:pPr>
      <w:pStyle w:val="Footer"/>
    </w:pPr>
    <w:r>
      <w:t xml:space="preserve">NICE indicator guidance: </w:t>
    </w:r>
    <w:r w:rsidR="00CE7C0B">
      <w:t>NM</w:t>
    </w:r>
    <w:r w:rsidR="007B1A1E">
      <w:t>3</w:t>
    </w:r>
    <w:r w:rsidR="00800582">
      <w:t>0</w:t>
    </w:r>
    <w:r w:rsidR="00CE7C0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636" w14:textId="77777777" w:rsidR="00800582" w:rsidRDefault="0080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56718" w14:textId="77777777" w:rsidR="00800582" w:rsidRDefault="0080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6556" w14:textId="77777777" w:rsidR="00800582" w:rsidRDefault="0080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2112A" w14:textId="77777777" w:rsidR="00800582" w:rsidRDefault="0080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93974"/>
    <w:multiLevelType w:val="hybridMultilevel"/>
    <w:tmpl w:val="88A8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3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9E0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2261"/>
    <w:rsid w:val="00033C41"/>
    <w:rsid w:val="00034638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674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D5DCC"/>
    <w:rsid w:val="001E5835"/>
    <w:rsid w:val="001F2B33"/>
    <w:rsid w:val="00201EFB"/>
    <w:rsid w:val="00201FB8"/>
    <w:rsid w:val="00202687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4B22"/>
    <w:rsid w:val="002F6A33"/>
    <w:rsid w:val="00305DF6"/>
    <w:rsid w:val="00306A73"/>
    <w:rsid w:val="00311ED0"/>
    <w:rsid w:val="00312208"/>
    <w:rsid w:val="00312B41"/>
    <w:rsid w:val="00313297"/>
    <w:rsid w:val="003145C9"/>
    <w:rsid w:val="003317D2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A1A59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906"/>
    <w:rsid w:val="00496A45"/>
    <w:rsid w:val="004A1A88"/>
    <w:rsid w:val="004A2681"/>
    <w:rsid w:val="004A708E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449B6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0929"/>
    <w:rsid w:val="005E1A06"/>
    <w:rsid w:val="005E720D"/>
    <w:rsid w:val="005F17C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0D73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D722E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2F5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0D86"/>
    <w:rsid w:val="007A17B3"/>
    <w:rsid w:val="007A5C12"/>
    <w:rsid w:val="007A7DFB"/>
    <w:rsid w:val="007B0F36"/>
    <w:rsid w:val="007B1A1E"/>
    <w:rsid w:val="007B5B4D"/>
    <w:rsid w:val="007B5CC6"/>
    <w:rsid w:val="007C3F12"/>
    <w:rsid w:val="007C6EDB"/>
    <w:rsid w:val="007D5B33"/>
    <w:rsid w:val="007E5A42"/>
    <w:rsid w:val="007E7021"/>
    <w:rsid w:val="007E7F51"/>
    <w:rsid w:val="007F0382"/>
    <w:rsid w:val="007F5B50"/>
    <w:rsid w:val="007F6A12"/>
    <w:rsid w:val="007F7022"/>
    <w:rsid w:val="007F7863"/>
    <w:rsid w:val="00800582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5E6B"/>
    <w:rsid w:val="00836C23"/>
    <w:rsid w:val="00850ED2"/>
    <w:rsid w:val="00857BAA"/>
    <w:rsid w:val="00861B92"/>
    <w:rsid w:val="00873A86"/>
    <w:rsid w:val="008771EE"/>
    <w:rsid w:val="008814FB"/>
    <w:rsid w:val="0088340A"/>
    <w:rsid w:val="00884895"/>
    <w:rsid w:val="00885267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2C99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5173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57924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04CE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420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430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1BC2"/>
    <w:rsid w:val="00C25D8A"/>
    <w:rsid w:val="00C35731"/>
    <w:rsid w:val="00C42C69"/>
    <w:rsid w:val="00C46D9D"/>
    <w:rsid w:val="00C4726C"/>
    <w:rsid w:val="00C478C4"/>
    <w:rsid w:val="00C625B6"/>
    <w:rsid w:val="00C64673"/>
    <w:rsid w:val="00C66A0A"/>
    <w:rsid w:val="00C67481"/>
    <w:rsid w:val="00C80100"/>
    <w:rsid w:val="00C80EC7"/>
    <w:rsid w:val="00C8355F"/>
    <w:rsid w:val="00C8732C"/>
    <w:rsid w:val="00C952C7"/>
    <w:rsid w:val="00C96411"/>
    <w:rsid w:val="00CA2115"/>
    <w:rsid w:val="00CA2F61"/>
    <w:rsid w:val="00CA6A8F"/>
    <w:rsid w:val="00CB07C6"/>
    <w:rsid w:val="00CB2C9F"/>
    <w:rsid w:val="00CB52E4"/>
    <w:rsid w:val="00CC2B2E"/>
    <w:rsid w:val="00CD5E73"/>
    <w:rsid w:val="00CD78CA"/>
    <w:rsid w:val="00CE7C0B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27F17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3890"/>
    <w:rsid w:val="00DE4457"/>
    <w:rsid w:val="00DF45AD"/>
    <w:rsid w:val="00DF637B"/>
    <w:rsid w:val="00DF7DE7"/>
    <w:rsid w:val="00E02ADB"/>
    <w:rsid w:val="00E03B81"/>
    <w:rsid w:val="00E05591"/>
    <w:rsid w:val="00E05FA8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63CC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E77C3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260911C"/>
  <w15:docId w15:val="{1ECE5CBD-7F09-4E0F-ADB0-98C2EDD4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464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161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1E35-B51C-4B37-9192-7F6A5BB8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F2B21DD3</Template>
  <TotalTime>5</TotalTime>
  <Pages>3</Pages>
  <Words>490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3569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Stevenson</dc:creator>
  <cp:keywords/>
  <cp:lastModifiedBy>Craig Grime</cp:lastModifiedBy>
  <cp:revision>6</cp:revision>
  <cp:lastPrinted>2015-01-21T13:24:00Z</cp:lastPrinted>
  <dcterms:created xsi:type="dcterms:W3CDTF">2019-07-17T10:19:00Z</dcterms:created>
  <dcterms:modified xsi:type="dcterms:W3CDTF">2019-07-23T12:40:00Z</dcterms:modified>
</cp:coreProperties>
</file>