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120C6FE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CE7C0B">
        <w:t xml:space="preserve">August 2013 </w:t>
      </w:r>
      <w:r w:rsidR="00C21BC2">
        <w:t xml:space="preserve"> </w:t>
      </w:r>
    </w:p>
    <w:p w14:paraId="06BAB3FE" w14:textId="43496126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A24059">
        <w:t>August 2019</w:t>
      </w:r>
    </w:p>
    <w:p w14:paraId="6107852F" w14:textId="4C5396AA" w:rsidR="006F0A86" w:rsidRDefault="006F0A86" w:rsidP="00126C3F">
      <w:pPr>
        <w:pStyle w:val="Heading1"/>
      </w:pPr>
      <w:r w:rsidRPr="00126C3F">
        <w:t xml:space="preserve">Indicator </w:t>
      </w:r>
      <w:r w:rsidR="00C21BC2">
        <w:t>NM</w:t>
      </w:r>
      <w:r w:rsidR="00CE7C0B">
        <w:t>72</w:t>
      </w:r>
    </w:p>
    <w:p w14:paraId="2FBC6AFD" w14:textId="77777777" w:rsidR="00CE7C0B" w:rsidRDefault="00CE7C0B" w:rsidP="00CE7C0B">
      <w:pPr>
        <w:pStyle w:val="Heading1"/>
        <w:spacing w:line="360" w:lineRule="auto"/>
        <w:rPr>
          <w:b w:val="0"/>
          <w:bCs w:val="0"/>
          <w:kern w:val="0"/>
          <w:sz w:val="24"/>
          <w:szCs w:val="24"/>
          <w:lang w:val="en-US" w:eastAsia="en-US"/>
        </w:rPr>
      </w:pPr>
      <w:r w:rsidRPr="00CE7C0B">
        <w:rPr>
          <w:b w:val="0"/>
          <w:bCs w:val="0"/>
          <w:kern w:val="0"/>
          <w:sz w:val="24"/>
          <w:szCs w:val="24"/>
          <w:lang w:val="en-US" w:eastAsia="en-US"/>
        </w:rPr>
        <w:t>The percentage of patients with dementia (diagnosed on or after 1 April 2014) with a record of FBC, calcium, glucose, renal and liver function, thyroid function tests, serum vitamin B12 and folate levels recorded up to 12 months before entering on to the register</w:t>
      </w:r>
    </w:p>
    <w:p w14:paraId="18778417" w14:textId="08513DCC" w:rsidR="00806B97" w:rsidRDefault="00806B97" w:rsidP="00C21BC2">
      <w:pPr>
        <w:pStyle w:val="Heading1"/>
      </w:pPr>
      <w:r w:rsidRPr="00806B97">
        <w:t xml:space="preserve">Indicator type </w:t>
      </w:r>
    </w:p>
    <w:p w14:paraId="364EC23B" w14:textId="6A76633D" w:rsidR="005919AA" w:rsidRDefault="005919AA" w:rsidP="005919AA">
      <w:pPr>
        <w:pStyle w:val="Paragraph"/>
      </w:pPr>
      <w:r w:rsidRPr="00701629">
        <w:t>General practice indicator for use outside the QOF.</w:t>
      </w:r>
      <w:r>
        <w:t xml:space="preserve"> </w:t>
      </w:r>
    </w:p>
    <w:p w14:paraId="067E2E59" w14:textId="5CA4F398" w:rsidR="005919AA" w:rsidRDefault="005919AA" w:rsidP="005919AA">
      <w:pPr>
        <w:pStyle w:val="Paragraph"/>
      </w:pPr>
      <w:r>
        <w:t>Corresponding QOF indicator DEM005 was retired from the QOF in 2019 as data showed average numbers of eligible patients per practice to be less than 20 per year.</w:t>
      </w:r>
    </w:p>
    <w:p w14:paraId="20705D2C" w14:textId="4B4BD3A4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1B1E439E" w14:textId="5AD3BD11" w:rsidR="00CE7C0B" w:rsidRDefault="00CE7C0B" w:rsidP="00CE7C0B">
      <w:pPr>
        <w:pStyle w:val="Heading1"/>
        <w:spacing w:line="360" w:lineRule="auto"/>
        <w:rPr>
          <w:b w:val="0"/>
          <w:bCs w:val="0"/>
          <w:kern w:val="0"/>
          <w:sz w:val="24"/>
          <w:szCs w:val="24"/>
          <w:lang w:val="en-US" w:eastAsia="en-US"/>
        </w:rPr>
      </w:pPr>
      <w:r w:rsidRPr="00CE7C0B">
        <w:rPr>
          <w:b w:val="0"/>
          <w:bCs w:val="0"/>
          <w:kern w:val="0"/>
          <w:sz w:val="24"/>
          <w:szCs w:val="24"/>
          <w:lang w:val="en-US" w:eastAsia="en-US"/>
        </w:rPr>
        <w:t xml:space="preserve">Dementia is a term used to describe a range of cognitive and </w:t>
      </w:r>
      <w:proofErr w:type="spellStart"/>
      <w:r w:rsidRPr="00CE7C0B">
        <w:rPr>
          <w:b w:val="0"/>
          <w:bCs w:val="0"/>
          <w:kern w:val="0"/>
          <w:sz w:val="24"/>
          <w:szCs w:val="24"/>
          <w:lang w:val="en-US" w:eastAsia="en-US"/>
        </w:rPr>
        <w:t>behavioural</w:t>
      </w:r>
      <w:proofErr w:type="spellEnd"/>
      <w:r w:rsidRPr="00CE7C0B">
        <w:rPr>
          <w:b w:val="0"/>
          <w:bCs w:val="0"/>
          <w:kern w:val="0"/>
          <w:sz w:val="24"/>
          <w:szCs w:val="24"/>
          <w:lang w:val="en-US" w:eastAsia="en-US"/>
        </w:rPr>
        <w:t xml:space="preserve"> symptoms that can include memory loss, problems with reasoning and communication and change in personality, and a reduction in a person's ability to carry out daily activities, such as shopping, washing, dressing and cooking. </w:t>
      </w:r>
      <w:r w:rsidR="007F0382">
        <w:rPr>
          <w:b w:val="0"/>
          <w:bCs w:val="0"/>
          <w:kern w:val="0"/>
          <w:sz w:val="24"/>
          <w:szCs w:val="24"/>
          <w:lang w:val="en-US" w:eastAsia="en-US"/>
        </w:rPr>
        <w:t>It</w:t>
      </w:r>
      <w:r w:rsidRPr="00CE7C0B">
        <w:rPr>
          <w:b w:val="0"/>
          <w:bCs w:val="0"/>
          <w:kern w:val="0"/>
          <w:sz w:val="24"/>
          <w:szCs w:val="24"/>
          <w:lang w:val="en-US" w:eastAsia="en-US"/>
        </w:rPr>
        <w:t xml:space="preserve"> is a progressive condition</w:t>
      </w:r>
      <w:r w:rsidR="00835E6B">
        <w:rPr>
          <w:b w:val="0"/>
          <w:bCs w:val="0"/>
          <w:kern w:val="0"/>
          <w:sz w:val="24"/>
          <w:szCs w:val="24"/>
          <w:lang w:val="en-US" w:eastAsia="en-US"/>
        </w:rPr>
        <w:t xml:space="preserve">, and progression </w:t>
      </w:r>
      <w:r w:rsidRPr="00CE7C0B">
        <w:rPr>
          <w:b w:val="0"/>
          <w:bCs w:val="0"/>
          <w:kern w:val="0"/>
          <w:sz w:val="24"/>
          <w:szCs w:val="24"/>
          <w:lang w:val="en-US" w:eastAsia="en-US"/>
        </w:rPr>
        <w:t>will vary</w:t>
      </w:r>
      <w:r w:rsidR="00835E6B">
        <w:rPr>
          <w:b w:val="0"/>
          <w:bCs w:val="0"/>
          <w:kern w:val="0"/>
          <w:sz w:val="24"/>
          <w:szCs w:val="24"/>
          <w:lang w:val="en-US" w:eastAsia="en-US"/>
        </w:rPr>
        <w:t>;</w:t>
      </w:r>
      <w:r w:rsidRPr="00CE7C0B">
        <w:rPr>
          <w:b w:val="0"/>
          <w:bCs w:val="0"/>
          <w:kern w:val="0"/>
          <w:sz w:val="24"/>
          <w:szCs w:val="24"/>
          <w:lang w:val="en-US" w:eastAsia="en-US"/>
        </w:rPr>
        <w:t xml:space="preserve"> each </w:t>
      </w:r>
      <w:r w:rsidR="00835E6B">
        <w:rPr>
          <w:b w:val="0"/>
          <w:bCs w:val="0"/>
          <w:kern w:val="0"/>
          <w:sz w:val="24"/>
          <w:szCs w:val="24"/>
          <w:lang w:val="en-US" w:eastAsia="en-US"/>
        </w:rPr>
        <w:t xml:space="preserve">person </w:t>
      </w:r>
      <w:r w:rsidRPr="00CE7C0B">
        <w:rPr>
          <w:b w:val="0"/>
          <w:bCs w:val="0"/>
          <w:kern w:val="0"/>
          <w:sz w:val="24"/>
          <w:szCs w:val="24"/>
          <w:lang w:val="en-US" w:eastAsia="en-US"/>
        </w:rPr>
        <w:t>will experience dementia in a different way</w:t>
      </w:r>
      <w:r w:rsidR="00835E6B">
        <w:rPr>
          <w:b w:val="0"/>
          <w:bCs w:val="0"/>
          <w:kern w:val="0"/>
          <w:sz w:val="24"/>
          <w:szCs w:val="24"/>
          <w:lang w:val="en-US" w:eastAsia="en-US"/>
        </w:rPr>
        <w:t xml:space="preserve">. </w:t>
      </w:r>
    </w:p>
    <w:p w14:paraId="2F93AD44" w14:textId="2A6DAA9B" w:rsidR="00835E6B" w:rsidRPr="00835E6B" w:rsidRDefault="001D5DCC" w:rsidP="00835E6B">
      <w:pPr>
        <w:pStyle w:val="Paragraph"/>
        <w:rPr>
          <w:lang w:val="en-US" w:eastAsia="en-US"/>
        </w:rPr>
      </w:pPr>
      <w:r w:rsidRPr="00B778C2">
        <w:rPr>
          <w:lang w:val="en-US" w:eastAsia="en-US"/>
        </w:rPr>
        <w:t>Alzheimer’s Research UK</w:t>
      </w:r>
      <w:r w:rsidR="00B778C2">
        <w:rPr>
          <w:lang w:val="en-US" w:eastAsia="en-US"/>
        </w:rPr>
        <w:t xml:space="preserve"> (</w:t>
      </w:r>
      <w:hyperlink r:id="rId8" w:history="1">
        <w:r w:rsidR="00B778C2" w:rsidRPr="00B778C2">
          <w:rPr>
            <w:rStyle w:val="Hyperlink"/>
            <w:lang w:val="en-US" w:eastAsia="en-US"/>
          </w:rPr>
          <w:t>Dementia statistics hub</w:t>
        </w:r>
      </w:hyperlink>
      <w:r w:rsidR="00B778C2">
        <w:rPr>
          <w:lang w:val="en-US" w:eastAsia="en-US"/>
        </w:rPr>
        <w:t>)</w:t>
      </w:r>
      <w:r>
        <w:rPr>
          <w:lang w:val="en-US" w:eastAsia="en-US"/>
        </w:rPr>
        <w:t xml:space="preserve"> report that in the UK that 850,000 people are estimated to be living with dementia</w:t>
      </w:r>
      <w:r w:rsidR="00FD6B64">
        <w:rPr>
          <w:lang w:val="en-US" w:eastAsia="en-US"/>
        </w:rPr>
        <w:t>. NHS Digital</w:t>
      </w:r>
      <w:r w:rsidR="005E5E9E">
        <w:rPr>
          <w:lang w:val="en-US" w:eastAsia="en-US"/>
        </w:rPr>
        <w:t>’</w:t>
      </w:r>
      <w:r w:rsidR="00FD6B64">
        <w:rPr>
          <w:lang w:val="en-US" w:eastAsia="en-US"/>
        </w:rPr>
        <w:t xml:space="preserve">s </w:t>
      </w:r>
      <w:hyperlink r:id="rId9" w:history="1">
        <w:r w:rsidR="005E5E9E">
          <w:rPr>
            <w:rStyle w:val="Hyperlink"/>
            <w:lang w:val="en-US" w:eastAsia="en-US"/>
          </w:rPr>
          <w:t>recorded dementia diagnoses data</w:t>
        </w:r>
      </w:hyperlink>
      <w:r w:rsidR="00FD6B64">
        <w:rPr>
          <w:lang w:val="en-US" w:eastAsia="en-US"/>
        </w:rPr>
        <w:t xml:space="preserve"> (June 2019) report</w:t>
      </w:r>
      <w:r w:rsidR="00911AA8">
        <w:rPr>
          <w:lang w:val="en-US" w:eastAsia="en-US"/>
        </w:rPr>
        <w:t xml:space="preserve">s </w:t>
      </w:r>
      <w:r w:rsidR="00FD6B64">
        <w:rPr>
          <w:lang w:val="en-US" w:eastAsia="en-US"/>
        </w:rPr>
        <w:t xml:space="preserve">that </w:t>
      </w:r>
      <w:r w:rsidR="00FD6B64" w:rsidRPr="00FD6B64">
        <w:rPr>
          <w:lang w:val="en-US" w:eastAsia="en-US"/>
        </w:rPr>
        <w:t xml:space="preserve">472,408 </w:t>
      </w:r>
      <w:r>
        <w:rPr>
          <w:lang w:val="en-US" w:eastAsia="en-US"/>
        </w:rPr>
        <w:t>have a coded</w:t>
      </w:r>
      <w:r w:rsidR="00B778C2">
        <w:rPr>
          <w:lang w:val="en-US" w:eastAsia="en-US"/>
        </w:rPr>
        <w:t xml:space="preserve"> dementia diagnosis</w:t>
      </w:r>
      <w:r>
        <w:rPr>
          <w:lang w:val="en-US" w:eastAsia="en-US"/>
        </w:rPr>
        <w:t xml:space="preserve">. </w:t>
      </w:r>
      <w:hyperlink r:id="rId10" w:history="1">
        <w:r w:rsidR="00F0698C">
          <w:rPr>
            <w:rStyle w:val="Hyperlink"/>
          </w:rPr>
          <w:t>QOF data for 2017/18</w:t>
        </w:r>
      </w:hyperlink>
      <w:r w:rsidR="00F0698C">
        <w:t xml:space="preserve"> shows around </w:t>
      </w:r>
      <w:r w:rsidR="00F0698C">
        <w:t>446,000</w:t>
      </w:r>
      <w:r w:rsidR="00F0698C">
        <w:t xml:space="preserve"> people in England are currently on a general practice </w:t>
      </w:r>
      <w:r w:rsidR="00F0698C">
        <w:t>dementia</w:t>
      </w:r>
      <w:r w:rsidR="00F0698C">
        <w:t xml:space="preserve"> register.</w:t>
      </w:r>
      <w:r w:rsidR="00911AA8">
        <w:t xml:space="preserve"> </w:t>
      </w:r>
      <w:r>
        <w:rPr>
          <w:lang w:val="en-US" w:eastAsia="en-US"/>
        </w:rPr>
        <w:t>T</w:t>
      </w:r>
      <w:bookmarkStart w:id="0" w:name="_GoBack"/>
      <w:bookmarkEnd w:id="0"/>
      <w:r>
        <w:rPr>
          <w:lang w:val="en-US" w:eastAsia="en-US"/>
        </w:rPr>
        <w:t>he</w:t>
      </w:r>
      <w:r w:rsidR="00B778C2">
        <w:rPr>
          <w:lang w:val="en-US" w:eastAsia="en-US"/>
        </w:rPr>
        <w:t xml:space="preserve"> estimated</w:t>
      </w:r>
      <w:r>
        <w:rPr>
          <w:lang w:val="en-US" w:eastAsia="en-US"/>
        </w:rPr>
        <w:t xml:space="preserve"> diagnosis rate for people 65 years and over is </w:t>
      </w:r>
      <w:r w:rsidR="005C3DC8">
        <w:rPr>
          <w:lang w:val="en-US" w:eastAsia="en-US"/>
        </w:rPr>
        <w:t>73</w:t>
      </w:r>
      <w:r>
        <w:rPr>
          <w:lang w:val="en-US" w:eastAsia="en-US"/>
        </w:rPr>
        <w:t>%</w:t>
      </w:r>
      <w:r w:rsidR="005C3DC8">
        <w:rPr>
          <w:lang w:val="en-US" w:eastAsia="en-US"/>
        </w:rPr>
        <w:t xml:space="preserve"> (2019)</w:t>
      </w:r>
      <w:r>
        <w:rPr>
          <w:lang w:val="en-US" w:eastAsia="en-US"/>
        </w:rPr>
        <w:t xml:space="preserve">. The </w:t>
      </w:r>
      <w:r>
        <w:rPr>
          <w:lang w:val="en-US" w:eastAsia="en-US"/>
        </w:rPr>
        <w:lastRenderedPageBreak/>
        <w:t>current</w:t>
      </w:r>
      <w:r w:rsidR="00FD6B64">
        <w:rPr>
          <w:lang w:val="en-US" w:eastAsia="en-US"/>
        </w:rPr>
        <w:t xml:space="preserve"> (2015)</w:t>
      </w:r>
      <w:r>
        <w:rPr>
          <w:lang w:val="en-US" w:eastAsia="en-US"/>
        </w:rPr>
        <w:t xml:space="preserve"> cost of dementia is £26 billion. A </w:t>
      </w:r>
      <w:hyperlink r:id="rId11" w:history="1">
        <w:r w:rsidR="00835E6B" w:rsidRPr="00835E6B">
          <w:rPr>
            <w:rStyle w:val="Hyperlink"/>
            <w:lang w:val="en-US" w:eastAsia="en-US"/>
          </w:rPr>
          <w:t>report published by the Alzheimer’s society</w:t>
        </w:r>
      </w:hyperlink>
      <w:r w:rsidR="00835E6B">
        <w:rPr>
          <w:lang w:val="en-US" w:eastAsia="en-US"/>
        </w:rPr>
        <w:t xml:space="preserve"> in 2013 </w:t>
      </w:r>
      <w:r>
        <w:rPr>
          <w:lang w:val="en-US" w:eastAsia="en-US"/>
        </w:rPr>
        <w:t>suggested that</w:t>
      </w:r>
      <w:r w:rsidR="00835E6B">
        <w:rPr>
          <w:lang w:val="en-US" w:eastAsia="en-US"/>
        </w:rPr>
        <w:t xml:space="preserve"> </w:t>
      </w:r>
      <w:r>
        <w:rPr>
          <w:lang w:val="en-US" w:eastAsia="en-US"/>
        </w:rPr>
        <w:t>b</w:t>
      </w:r>
      <w:r w:rsidR="00835E6B">
        <w:rPr>
          <w:lang w:val="en-US" w:eastAsia="en-US"/>
        </w:rPr>
        <w:t>ased on current trends</w:t>
      </w:r>
      <w:r>
        <w:rPr>
          <w:lang w:val="en-US" w:eastAsia="en-US"/>
        </w:rPr>
        <w:t>,</w:t>
      </w:r>
      <w:r w:rsidR="00835E6B">
        <w:rPr>
          <w:lang w:val="en-US" w:eastAsia="en-US"/>
        </w:rPr>
        <w:t xml:space="preserve"> </w:t>
      </w:r>
      <w:r w:rsidR="00B778C2">
        <w:rPr>
          <w:lang w:val="en-US" w:eastAsia="en-US"/>
        </w:rPr>
        <w:t xml:space="preserve">by 2025, </w:t>
      </w:r>
      <w:r w:rsidR="00835E6B" w:rsidRPr="00835E6B">
        <w:rPr>
          <w:lang w:val="en-US" w:eastAsia="en-US"/>
        </w:rPr>
        <w:t>1,143,000</w:t>
      </w:r>
      <w:r w:rsidR="00835E6B">
        <w:rPr>
          <w:lang w:val="en-US" w:eastAsia="en-US"/>
        </w:rPr>
        <w:t xml:space="preserve"> </w:t>
      </w:r>
      <w:r>
        <w:rPr>
          <w:lang w:val="en-US" w:eastAsia="en-US"/>
        </w:rPr>
        <w:t>people will have dementia</w:t>
      </w:r>
      <w:r w:rsidR="00B778C2">
        <w:rPr>
          <w:lang w:val="en-US" w:eastAsia="en-US"/>
        </w:rPr>
        <w:t>.</w:t>
      </w:r>
    </w:p>
    <w:p w14:paraId="5CBA37E8" w14:textId="17B1CD50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352B59C6" w14:textId="6A22A0CB" w:rsidR="00835E6B" w:rsidRDefault="001D5DCC" w:rsidP="001D5DCC">
      <w:pPr>
        <w:pStyle w:val="Heading1"/>
        <w:spacing w:line="360" w:lineRule="auto"/>
        <w:rPr>
          <w:b w:val="0"/>
          <w:bCs w:val="0"/>
          <w:kern w:val="0"/>
          <w:sz w:val="24"/>
          <w:szCs w:val="24"/>
          <w:lang w:val="en-US" w:eastAsia="en-US"/>
        </w:rPr>
      </w:pPr>
      <w:r>
        <w:rPr>
          <w:b w:val="0"/>
          <w:bCs w:val="0"/>
          <w:kern w:val="0"/>
          <w:sz w:val="24"/>
          <w:szCs w:val="24"/>
          <w:lang w:val="en-US" w:eastAsia="en-US"/>
        </w:rPr>
        <w:t>A range of tests are carried out in people with suspected dementia</w:t>
      </w:r>
      <w:r w:rsidR="005919AA">
        <w:rPr>
          <w:b w:val="0"/>
          <w:bCs w:val="0"/>
          <w:kern w:val="0"/>
          <w:sz w:val="24"/>
          <w:szCs w:val="24"/>
          <w:lang w:val="en-US" w:eastAsia="en-US"/>
        </w:rPr>
        <w:t xml:space="preserve">, some of which </w:t>
      </w:r>
      <w:r>
        <w:rPr>
          <w:b w:val="0"/>
          <w:bCs w:val="0"/>
          <w:kern w:val="0"/>
          <w:sz w:val="24"/>
          <w:szCs w:val="24"/>
          <w:lang w:val="en-US" w:eastAsia="en-US"/>
        </w:rPr>
        <w:t>are to exclude potentially reversible or modifying causes for the dementia and help exclude other diagnoses</w:t>
      </w:r>
      <w:r w:rsidR="00B778C2">
        <w:rPr>
          <w:b w:val="0"/>
          <w:bCs w:val="0"/>
          <w:kern w:val="0"/>
          <w:sz w:val="24"/>
          <w:szCs w:val="24"/>
          <w:lang w:val="en-US" w:eastAsia="en-US"/>
        </w:rPr>
        <w:t xml:space="preserve"> (</w:t>
      </w:r>
      <w:r>
        <w:rPr>
          <w:b w:val="0"/>
          <w:bCs w:val="0"/>
          <w:kern w:val="0"/>
          <w:sz w:val="24"/>
          <w:szCs w:val="24"/>
          <w:lang w:val="en-US" w:eastAsia="en-US"/>
        </w:rPr>
        <w:t>such as delirium</w:t>
      </w:r>
      <w:r w:rsidR="00B778C2">
        <w:rPr>
          <w:b w:val="0"/>
          <w:bCs w:val="0"/>
          <w:kern w:val="0"/>
          <w:sz w:val="24"/>
          <w:szCs w:val="24"/>
          <w:lang w:val="en-US" w:eastAsia="en-US"/>
        </w:rPr>
        <w:t>)</w:t>
      </w: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. </w:t>
      </w:r>
      <w:r w:rsidR="00B778C2">
        <w:rPr>
          <w:b w:val="0"/>
          <w:bCs w:val="0"/>
          <w:kern w:val="0"/>
          <w:sz w:val="24"/>
          <w:szCs w:val="24"/>
          <w:lang w:val="en-US" w:eastAsia="en-US"/>
        </w:rPr>
        <w:t>R</w:t>
      </w: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eversible or modifying cases include </w:t>
      </w:r>
      <w:r w:rsidRPr="001D5DCC">
        <w:rPr>
          <w:b w:val="0"/>
          <w:bCs w:val="0"/>
          <w:kern w:val="0"/>
          <w:sz w:val="24"/>
          <w:szCs w:val="24"/>
          <w:lang w:val="en-US" w:eastAsia="en-US"/>
        </w:rPr>
        <w:t>metabolic and endocrine abnormalities (for example, vitamin B12 and folate</w:t>
      </w: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Pr="001D5DCC">
        <w:rPr>
          <w:b w:val="0"/>
          <w:bCs w:val="0"/>
          <w:kern w:val="0"/>
          <w:sz w:val="24"/>
          <w:szCs w:val="24"/>
          <w:lang w:val="en-US" w:eastAsia="en-US"/>
        </w:rPr>
        <w:t>deficiency, hypothyroidism, diabetes and disorders of calcium metabolism).</w:t>
      </w:r>
    </w:p>
    <w:p w14:paraId="0277F6BB" w14:textId="4EAF9D7A" w:rsidR="001D5DCC" w:rsidRPr="001D5DCC" w:rsidRDefault="001D5DCC" w:rsidP="001D5DCC">
      <w:pPr>
        <w:pStyle w:val="Paragraph"/>
        <w:rPr>
          <w:lang w:val="en-US" w:eastAsia="en-US"/>
        </w:rPr>
      </w:pPr>
      <w:r>
        <w:rPr>
          <w:lang w:val="en-US" w:eastAsia="en-US"/>
        </w:rPr>
        <w:t xml:space="preserve">In primary care, a range of screening tests for dementia are carried out, which should include </w:t>
      </w:r>
      <w:r w:rsidRPr="001D5DCC">
        <w:rPr>
          <w:lang w:val="en-US" w:eastAsia="en-US"/>
        </w:rPr>
        <w:t xml:space="preserve">routine </w:t>
      </w:r>
      <w:proofErr w:type="spellStart"/>
      <w:r w:rsidRPr="001D5DCC">
        <w:rPr>
          <w:lang w:val="en-US" w:eastAsia="en-US"/>
        </w:rPr>
        <w:t>haematology</w:t>
      </w:r>
      <w:proofErr w:type="spellEnd"/>
      <w:r>
        <w:rPr>
          <w:lang w:val="en-US" w:eastAsia="en-US"/>
        </w:rPr>
        <w:t xml:space="preserve">, </w:t>
      </w:r>
      <w:r w:rsidRPr="001D5DCC">
        <w:rPr>
          <w:lang w:val="en-US" w:eastAsia="en-US"/>
        </w:rPr>
        <w:t>biochemistry tests (including electrolytes, calcium, glucose, and renal and</w:t>
      </w:r>
      <w:r>
        <w:rPr>
          <w:lang w:val="en-US" w:eastAsia="en-US"/>
        </w:rPr>
        <w:t xml:space="preserve"> </w:t>
      </w:r>
      <w:r w:rsidRPr="001D5DCC">
        <w:rPr>
          <w:lang w:val="en-US" w:eastAsia="en-US"/>
        </w:rPr>
        <w:t>liver function)</w:t>
      </w:r>
      <w:r>
        <w:rPr>
          <w:lang w:val="en-US" w:eastAsia="en-US"/>
        </w:rPr>
        <w:t xml:space="preserve">, </w:t>
      </w:r>
      <w:r w:rsidRPr="001D5DCC">
        <w:rPr>
          <w:lang w:val="en-US" w:eastAsia="en-US"/>
        </w:rPr>
        <w:t>thyroid function tests</w:t>
      </w:r>
      <w:r>
        <w:rPr>
          <w:lang w:val="en-US" w:eastAsia="en-US"/>
        </w:rPr>
        <w:t xml:space="preserve"> and </w:t>
      </w:r>
      <w:r w:rsidRPr="001D5DCC">
        <w:rPr>
          <w:lang w:val="en-US" w:eastAsia="en-US"/>
        </w:rPr>
        <w:t>serum vitamin B12 and folate levels.</w:t>
      </w:r>
    </w:p>
    <w:p w14:paraId="69D4A75D" w14:textId="326A5AD5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0E542627" w:rsidR="00D141B1" w:rsidRPr="00BD6253" w:rsidRDefault="00911AA8" w:rsidP="00D141B1">
      <w:pPr>
        <w:pStyle w:val="NICEnormal"/>
      </w:pPr>
      <w:hyperlink r:id="rId12" w:history="1">
        <w:r w:rsidR="001D5DCC">
          <w:rPr>
            <w:rStyle w:val="Hyperlink"/>
          </w:rPr>
          <w:t xml:space="preserve">Dementia: assessment, management and support for people living with dementia and their </w:t>
        </w:r>
        <w:proofErr w:type="spellStart"/>
        <w:r w:rsidR="001D5DCC">
          <w:rPr>
            <w:rStyle w:val="Hyperlink"/>
          </w:rPr>
          <w:t>carers</w:t>
        </w:r>
        <w:proofErr w:type="spellEnd"/>
      </w:hyperlink>
      <w:r w:rsidR="005449B6" w:rsidRPr="005449B6">
        <w:t xml:space="preserve"> (20</w:t>
      </w:r>
      <w:r w:rsidR="001D5DCC">
        <w:t>18</w:t>
      </w:r>
      <w:r w:rsidR="005449B6" w:rsidRPr="005449B6">
        <w:t xml:space="preserve">) </w:t>
      </w:r>
      <w:r w:rsidR="001D5DCC">
        <w:t>NG97</w:t>
      </w:r>
      <w:r w:rsidR="005449B6">
        <w:t xml:space="preserve">, recommendation </w:t>
      </w:r>
      <w:r w:rsidR="001D5DCC">
        <w:t xml:space="preserve">1.2.2.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66E57F0E" w:rsidR="0009195D" w:rsidRDefault="00D141B1" w:rsidP="00D141B1">
      <w:pPr>
        <w:pStyle w:val="NICEnormal"/>
      </w:pPr>
      <w:r>
        <w:t xml:space="preserve">Numerator: </w:t>
      </w:r>
      <w:r w:rsidR="00C64673">
        <w:t xml:space="preserve">The number </w:t>
      </w:r>
      <w:r w:rsidR="00A24059">
        <w:t xml:space="preserve">of patients in the denominator </w:t>
      </w:r>
      <w:r w:rsidR="003A1A59" w:rsidRPr="003A1A59">
        <w:t>with a record of FBC, calcium, glucose, renal and liver function, thyroid function tests, serum vitamin B12 and folate levels recorded between 12 months before or 6 months after entering on to the register</w:t>
      </w:r>
      <w:r w:rsidR="003A1A59">
        <w:t xml:space="preserve">. </w:t>
      </w:r>
    </w:p>
    <w:p w14:paraId="06B62F8F" w14:textId="0232D897" w:rsidR="00D141B1" w:rsidRDefault="00D141B1" w:rsidP="00D141B1">
      <w:pPr>
        <w:pStyle w:val="NICEnormal"/>
      </w:pPr>
      <w:r>
        <w:t xml:space="preserve">Denominator: </w:t>
      </w:r>
      <w:r w:rsidR="00A24059">
        <w:t>The number of p</w:t>
      </w:r>
      <w:r w:rsidR="00032261">
        <w:t xml:space="preserve">atients with </w:t>
      </w:r>
      <w:r w:rsidR="00A24059">
        <w:t xml:space="preserve">a </w:t>
      </w:r>
      <w:r w:rsidR="00032261">
        <w:t xml:space="preserve">dementia </w:t>
      </w:r>
      <w:r w:rsidR="00A24059" w:rsidRPr="00CE7C0B">
        <w:t>diagnosed on or after 1 April 2014</w:t>
      </w:r>
      <w:r w:rsidR="00032261">
        <w:t xml:space="preserve">. </w:t>
      </w:r>
      <w:r w:rsidR="00C64673">
        <w:t xml:space="preserve"> </w:t>
      </w:r>
    </w:p>
    <w:p w14:paraId="04501E11" w14:textId="37057737" w:rsidR="0009195D" w:rsidRDefault="0009195D" w:rsidP="00D141B1">
      <w:pPr>
        <w:pStyle w:val="NICEnormal"/>
      </w:pPr>
      <w:r>
        <w:t xml:space="preserve">Calculation: </w:t>
      </w:r>
      <w:r w:rsidRPr="005449B6">
        <w:t>(Numerator/denominator)</w:t>
      </w:r>
      <w:r w:rsidR="00AC426E">
        <w:t xml:space="preserve"> </w:t>
      </w:r>
      <w:r w:rsidRPr="005449B6">
        <w:t>*</w:t>
      </w:r>
      <w:r w:rsidR="00AC426E">
        <w:t xml:space="preserve"> </w:t>
      </w:r>
      <w:r w:rsidRPr="005449B6">
        <w:t>100</w:t>
      </w:r>
      <w:r w:rsidR="00AC426E">
        <w:t>.</w:t>
      </w:r>
    </w:p>
    <w:p w14:paraId="56D82A8D" w14:textId="56016A34" w:rsidR="00D97ED6" w:rsidRDefault="00D141B1" w:rsidP="00D141B1">
      <w:pPr>
        <w:pStyle w:val="NICEnormal"/>
      </w:pPr>
      <w:r>
        <w:t>Exclusions:</w:t>
      </w:r>
      <w:r w:rsidR="00034638">
        <w:t xml:space="preserve"> </w:t>
      </w:r>
      <w:r w:rsidR="00A24059">
        <w:t>None</w:t>
      </w:r>
      <w:r w:rsidR="00FD6B64">
        <w:t>.</w:t>
      </w:r>
    </w:p>
    <w:p w14:paraId="1DC4E9DE" w14:textId="27CD1920" w:rsidR="00034638" w:rsidRDefault="00706451" w:rsidP="00D141B1">
      <w:pPr>
        <w:pStyle w:val="NICEnormal"/>
      </w:pPr>
      <w:r>
        <w:lastRenderedPageBreak/>
        <w:t xml:space="preserve">Minimum population: </w:t>
      </w:r>
      <w:r w:rsidR="00A24059" w:rsidRPr="005449B6">
        <w:t xml:space="preserve">The indicator would be appropriate to assess performance of collaborations or networks </w:t>
      </w:r>
      <w:r w:rsidR="00C541F4">
        <w:t xml:space="preserve">of GP practices </w:t>
      </w:r>
      <w:r w:rsidR="00A24059" w:rsidRPr="005449B6">
        <w:t>serving populations of around 30,000 to 50,000</w:t>
      </w:r>
      <w:r w:rsidR="007F0382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3FE0B03E" w14:textId="77777777" w:rsidR="005919AA" w:rsidRPr="0009195D" w:rsidRDefault="005919AA" w:rsidP="005919AA">
      <w:pPr>
        <w:pStyle w:val="NICEnormal"/>
      </w:pPr>
      <w:bookmarkStart w:id="1" w:name="_Hlk14183092"/>
      <w:bookmarkStart w:id="2" w:name="_Hlk14250706"/>
      <w:r w:rsidRPr="0009195D">
        <w:t xml:space="preserve">This is NICE indicator guidance, which is part of the </w:t>
      </w:r>
      <w:hyperlink r:id="rId13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bookmarkEnd w:id="2"/>
    <w:p w14:paraId="70B822BC" w14:textId="49F46558" w:rsidR="0009195D" w:rsidRPr="0009195D" w:rsidRDefault="0009195D" w:rsidP="005919AA">
      <w:pPr>
        <w:pStyle w:val="NICEnormal"/>
      </w:pPr>
    </w:p>
    <w:sectPr w:rsidR="0009195D" w:rsidRPr="0009195D" w:rsidSect="003D61BE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06750812" w:rsidR="00245B12" w:rsidRPr="00EA7F52" w:rsidRDefault="00D141B1" w:rsidP="00D141B1">
    <w:pPr>
      <w:pStyle w:val="Footer"/>
    </w:pPr>
    <w:r>
      <w:t xml:space="preserve">NICE indicator guidance: </w:t>
    </w:r>
    <w:r w:rsidR="00CE7C0B">
      <w:t xml:space="preserve">NM72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93974"/>
    <w:multiLevelType w:val="hybridMultilevel"/>
    <w:tmpl w:val="88A82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3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19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9E0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2261"/>
    <w:rsid w:val="00033C41"/>
    <w:rsid w:val="00034638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755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D5DCC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24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145C9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A1A59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449B6"/>
    <w:rsid w:val="00551A8A"/>
    <w:rsid w:val="00554F77"/>
    <w:rsid w:val="00556D18"/>
    <w:rsid w:val="005652AD"/>
    <w:rsid w:val="00575003"/>
    <w:rsid w:val="00576B75"/>
    <w:rsid w:val="0058465D"/>
    <w:rsid w:val="005919AA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DC8"/>
    <w:rsid w:val="005C3E00"/>
    <w:rsid w:val="005C54C9"/>
    <w:rsid w:val="005C56E8"/>
    <w:rsid w:val="005C57C1"/>
    <w:rsid w:val="005C71B4"/>
    <w:rsid w:val="005D0FDD"/>
    <w:rsid w:val="005D1D43"/>
    <w:rsid w:val="005E1A06"/>
    <w:rsid w:val="005E5E9E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70357D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3F12"/>
    <w:rsid w:val="007C6EDB"/>
    <w:rsid w:val="007D5B33"/>
    <w:rsid w:val="007E44BB"/>
    <w:rsid w:val="007E5A42"/>
    <w:rsid w:val="007E7021"/>
    <w:rsid w:val="007E7F51"/>
    <w:rsid w:val="007F0382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5E6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1AA8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4059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C426E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778C2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1BC2"/>
    <w:rsid w:val="00C25D8A"/>
    <w:rsid w:val="00C35731"/>
    <w:rsid w:val="00C42C69"/>
    <w:rsid w:val="00C46D9D"/>
    <w:rsid w:val="00C4726C"/>
    <w:rsid w:val="00C478C4"/>
    <w:rsid w:val="00C541F4"/>
    <w:rsid w:val="00C625B6"/>
    <w:rsid w:val="00C64673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7C0B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97ED6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5FA8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77BDD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698C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D6B64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7260911C"/>
  <w15:docId w15:val="{1ECE5CBD-7F09-4E0F-ADB0-98C2EDD4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mentiastatistics.org/" TargetMode="External"/><Relationship Id="rId13" Type="http://schemas.openxmlformats.org/officeDocument/2006/relationships/hyperlink" Target="https://www.nice.org.uk/Standards-and-Indicators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ng9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zheimers.org.uk/info/20025/policy_and_influencing/251/dementia_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gital.nhs.uk/data-and-information/publications/statistical/quality-and-outcomes-framework-achievement-prevalence-and-exceptions-data/201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.nhs.uk/data-and-information/publications/statistical/recorded-dementia-diagnos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38B0-F1BF-45D3-B508-1FCF7814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899C4221</Template>
  <TotalTime>6</TotalTime>
  <Pages>3</Pages>
  <Words>499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3844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Stevenson</dc:creator>
  <cp:keywords/>
  <cp:lastModifiedBy>Craig Grime</cp:lastModifiedBy>
  <cp:revision>8</cp:revision>
  <cp:lastPrinted>2015-01-21T13:24:00Z</cp:lastPrinted>
  <dcterms:created xsi:type="dcterms:W3CDTF">2019-07-17T10:21:00Z</dcterms:created>
  <dcterms:modified xsi:type="dcterms:W3CDTF">2019-07-23T12:43:00Z</dcterms:modified>
</cp:coreProperties>
</file>