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4E137FB2" w:rsidR="009B0E59" w:rsidRPr="009B0E59" w:rsidRDefault="009B0E59" w:rsidP="00363276">
      <w:pPr>
        <w:pStyle w:val="Heading3"/>
        <w:rPr>
          <w:lang w:eastAsia="en-GB"/>
        </w:rPr>
      </w:pPr>
      <w:r w:rsidRPr="009B0E59">
        <w:rPr>
          <w:lang w:eastAsia="en-GB"/>
        </w:rPr>
        <w:t xml:space="preserve">Indicator </w:t>
      </w:r>
      <w:r w:rsidR="009470D1">
        <w:rPr>
          <w:lang w:eastAsia="en-GB"/>
        </w:rPr>
        <w:t>NM197</w:t>
      </w:r>
    </w:p>
    <w:p w14:paraId="035F8373" w14:textId="4C93AB12" w:rsidR="009B0E59" w:rsidRDefault="00097083" w:rsidP="009B0E59">
      <w:pPr>
        <w:pStyle w:val="Paragraph"/>
        <w:rPr>
          <w:lang w:eastAsia="en-GB"/>
        </w:rPr>
      </w:pPr>
      <w:r>
        <w:rPr>
          <w:lang w:eastAsia="en-GB"/>
        </w:rPr>
        <w:t>The percentage of babies who reached 8 months old in the preceding 12 months, who have received at least 3 doses of a diphtheria, tetanus and pertussis containing vaccine before the age of 8 months.</w:t>
      </w:r>
    </w:p>
    <w:p w14:paraId="7C25BFBC" w14:textId="6384F6FD"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7316BC31" w14:textId="77777777" w:rsidR="00097083" w:rsidRPr="00097083" w:rsidRDefault="00097083" w:rsidP="00097083">
            <w:pPr>
              <w:spacing w:before="120" w:after="120"/>
              <w:rPr>
                <w:rFonts w:ascii="Arial" w:hAnsi="Arial" w:cs="Arial"/>
                <w:sz w:val="22"/>
                <w:szCs w:val="22"/>
              </w:rPr>
            </w:pPr>
            <w:r w:rsidRPr="00097083">
              <w:rPr>
                <w:rFonts w:ascii="Arial" w:hAnsi="Arial" w:cs="Arial"/>
                <w:sz w:val="22"/>
                <w:szCs w:val="22"/>
              </w:rPr>
              <w:t>The Department of Health and Social Care (DHSC) will publish a vaccination strategy in Autumn 2020 to maintain and develop the UK immunisation programme.</w:t>
            </w:r>
          </w:p>
          <w:p w14:paraId="4A3E8BA7" w14:textId="5696EF10" w:rsidR="00097083" w:rsidRPr="00097083" w:rsidRDefault="00097083" w:rsidP="00097083">
            <w:pPr>
              <w:spacing w:before="120" w:after="120"/>
              <w:rPr>
                <w:rFonts w:ascii="Arial" w:hAnsi="Arial" w:cs="Arial"/>
                <w:sz w:val="22"/>
                <w:szCs w:val="22"/>
              </w:rPr>
            </w:pPr>
            <w:r w:rsidRPr="00097083">
              <w:rPr>
                <w:rFonts w:ascii="Arial" w:hAnsi="Arial" w:cs="Arial"/>
                <w:sz w:val="22"/>
                <w:szCs w:val="22"/>
              </w:rPr>
              <w:t>Babies receive the hexavalent (6-in-1) vaccine at 8, 12 and 16 weeks old. This vaccine is for immunisation to diphtheria, tetanus and pertussis</w:t>
            </w:r>
            <w:r w:rsidR="009470D1">
              <w:rPr>
                <w:rFonts w:ascii="Arial" w:hAnsi="Arial" w:cs="Arial"/>
                <w:sz w:val="22"/>
                <w:szCs w:val="22"/>
              </w:rPr>
              <w:t xml:space="preserve"> (DTaP)</w:t>
            </w:r>
            <w:r w:rsidRPr="00097083">
              <w:rPr>
                <w:rFonts w:ascii="Arial" w:hAnsi="Arial" w:cs="Arial"/>
                <w:sz w:val="22"/>
                <w:szCs w:val="22"/>
              </w:rPr>
              <w:t xml:space="preserve"> as well as hepatitis B, haemophilus influenzae type B (Hib) and poliomyelitis</w:t>
            </w:r>
            <w:r w:rsidR="009470D1">
              <w:rPr>
                <w:rFonts w:ascii="Arial" w:hAnsi="Arial" w:cs="Arial"/>
                <w:sz w:val="22"/>
                <w:szCs w:val="22"/>
              </w:rPr>
              <w:t xml:space="preserve"> (IPV)</w:t>
            </w:r>
            <w:r w:rsidRPr="00097083">
              <w:rPr>
                <w:rFonts w:ascii="Arial" w:hAnsi="Arial" w:cs="Arial"/>
                <w:sz w:val="22"/>
                <w:szCs w:val="22"/>
              </w:rPr>
              <w:t xml:space="preserve">. </w:t>
            </w:r>
          </w:p>
          <w:p w14:paraId="6F338971" w14:textId="5C805637" w:rsidR="002338EB" w:rsidRPr="002338EB" w:rsidRDefault="00097083" w:rsidP="00097083">
            <w:pPr>
              <w:pStyle w:val="Paragraph"/>
              <w:spacing w:before="120" w:after="120" w:line="240" w:lineRule="auto"/>
              <w:rPr>
                <w:highlight w:val="lightGray"/>
              </w:rPr>
            </w:pPr>
            <w:r w:rsidRPr="00097083">
              <w:rPr>
                <w:rFonts w:cs="Arial"/>
                <w:sz w:val="22"/>
                <w:szCs w:val="22"/>
              </w:rPr>
              <w:t xml:space="preserve">Routine childhood immunisations are part of the general medical services (GMS) contract.   </w:t>
            </w:r>
          </w:p>
        </w:tc>
        <w:tc>
          <w:tcPr>
            <w:tcW w:w="3118" w:type="dxa"/>
          </w:tcPr>
          <w:p w14:paraId="272CA0EC" w14:textId="507C7273" w:rsidR="002338EB" w:rsidRPr="002338EB" w:rsidRDefault="00097083" w:rsidP="002338EB">
            <w:pPr>
              <w:pStyle w:val="Paragraph"/>
              <w:spacing w:before="120" w:after="120" w:line="240" w:lineRule="auto"/>
              <w:rPr>
                <w:highlight w:val="lightGray"/>
              </w:rPr>
            </w:pPr>
            <w:r w:rsidRPr="00097083">
              <w:rPr>
                <w:rFonts w:cs="Arial"/>
                <w:color w:val="000000"/>
                <w:kern w:val="24"/>
                <w:sz w:val="22"/>
                <w:szCs w:val="22"/>
                <w:lang w:val="en-US"/>
              </w:rPr>
              <w:t>The indicator reflects a specific priority area identified by the DHSC.</w:t>
            </w:r>
          </w:p>
        </w:tc>
      </w:tr>
      <w:tr w:rsidR="00735337" w14:paraId="2E2CE1C4" w14:textId="77777777" w:rsidTr="002338EB">
        <w:tc>
          <w:tcPr>
            <w:tcW w:w="5949" w:type="dxa"/>
          </w:tcPr>
          <w:p w14:paraId="378D38FD" w14:textId="09C18E4F" w:rsidR="00735337" w:rsidRPr="002338EB" w:rsidRDefault="00097083" w:rsidP="00735337">
            <w:pPr>
              <w:pStyle w:val="Paragraph"/>
              <w:spacing w:before="120" w:after="120" w:line="240" w:lineRule="auto"/>
              <w:rPr>
                <w:highlight w:val="lightGray"/>
              </w:rPr>
            </w:pPr>
            <w:r w:rsidRPr="00097083">
              <w:rPr>
                <w:rFonts w:cs="Arial"/>
                <w:sz w:val="22"/>
                <w:szCs w:val="22"/>
              </w:rPr>
              <w:t xml:space="preserve">Coverage of DTaP/IPV/Hib at a national level has declined following a peak in 2012-13. 2018-19 data from </w:t>
            </w:r>
            <w:hyperlink r:id="rId7" w:history="1">
              <w:r w:rsidRPr="00097083">
                <w:rPr>
                  <w:rStyle w:val="Hyperlink"/>
                  <w:rFonts w:cs="Arial"/>
                  <w:sz w:val="22"/>
                  <w:szCs w:val="22"/>
                </w:rPr>
                <w:t>NHS Digital and Public Health England</w:t>
              </w:r>
            </w:hyperlink>
            <w:r w:rsidRPr="00097083">
              <w:rPr>
                <w:rFonts w:cs="Arial"/>
                <w:sz w:val="22"/>
                <w:szCs w:val="22"/>
              </w:rPr>
              <w:t xml:space="preserve"> shows 92.1% coverage at 12 months of age for this vaccine. Regional coverage reported by local authority ranged from 87.4% (London) to 95.4% (North East).</w:t>
            </w:r>
            <w:r w:rsidR="00992A7F">
              <w:rPr>
                <w:rFonts w:cs="Arial"/>
                <w:sz w:val="22"/>
                <w:szCs w:val="22"/>
              </w:rPr>
              <w:t xml:space="preserve"> Note the misalignment in measurement with that in the proposed indicator.</w:t>
            </w:r>
          </w:p>
        </w:tc>
        <w:tc>
          <w:tcPr>
            <w:tcW w:w="3118" w:type="dxa"/>
          </w:tcPr>
          <w:p w14:paraId="38DD5756" w14:textId="77777777" w:rsidR="00097083" w:rsidRPr="00097083" w:rsidRDefault="00097083" w:rsidP="00097083">
            <w:pPr>
              <w:spacing w:before="120" w:after="120"/>
              <w:rPr>
                <w:rFonts w:ascii="Arial" w:hAnsi="Arial" w:cs="Arial"/>
                <w:color w:val="000000"/>
                <w:kern w:val="24"/>
                <w:sz w:val="22"/>
                <w:szCs w:val="22"/>
                <w:lang w:val="en-US"/>
              </w:rPr>
            </w:pPr>
            <w:r w:rsidRPr="00097083">
              <w:rPr>
                <w:rFonts w:ascii="Arial" w:hAnsi="Arial" w:cs="Arial"/>
                <w:color w:val="000000"/>
                <w:kern w:val="24"/>
                <w:sz w:val="22"/>
                <w:szCs w:val="22"/>
                <w:lang w:val="en-US"/>
              </w:rPr>
              <w:t xml:space="preserve">The indicator relates to an area where there is performance under the WHO recommended target of 95% national coverage, and variation in practice. </w:t>
            </w:r>
          </w:p>
          <w:p w14:paraId="3FD01E72" w14:textId="1E6C62CC" w:rsidR="00735337" w:rsidRPr="002338EB" w:rsidRDefault="00097083" w:rsidP="00097083">
            <w:pPr>
              <w:pStyle w:val="Paragraph"/>
              <w:spacing w:before="120" w:after="120" w:line="240" w:lineRule="auto"/>
              <w:rPr>
                <w:highlight w:val="lightGray"/>
              </w:rPr>
            </w:pPr>
            <w:r w:rsidRPr="00097083">
              <w:rPr>
                <w:rFonts w:cs="Arial"/>
                <w:color w:val="000000"/>
                <w:kern w:val="24"/>
                <w:sz w:val="22"/>
                <w:szCs w:val="22"/>
                <w:lang w:val="en-US"/>
              </w:rPr>
              <w:t>The indicator addresses under-treatment.</w:t>
            </w:r>
          </w:p>
        </w:tc>
      </w:tr>
      <w:tr w:rsidR="00735337" w14:paraId="373D8AA4" w14:textId="77777777" w:rsidTr="002338EB">
        <w:tc>
          <w:tcPr>
            <w:tcW w:w="5949" w:type="dxa"/>
          </w:tcPr>
          <w:p w14:paraId="1FBCB5D9" w14:textId="0B057631" w:rsidR="00097083" w:rsidRPr="00097083" w:rsidRDefault="00097083" w:rsidP="00097083">
            <w:pPr>
              <w:spacing w:before="120" w:after="120"/>
              <w:rPr>
                <w:rFonts w:ascii="Arial" w:hAnsi="Arial" w:cs="Arial"/>
                <w:sz w:val="22"/>
                <w:szCs w:val="22"/>
              </w:rPr>
            </w:pPr>
            <w:r w:rsidRPr="00097083">
              <w:rPr>
                <w:rFonts w:ascii="Arial" w:hAnsi="Arial" w:cs="Arial"/>
                <w:sz w:val="22"/>
                <w:szCs w:val="22"/>
              </w:rPr>
              <w:t>Diphtheria is an acute infectious disease affecting the upper respiratory trac</w:t>
            </w:r>
            <w:r w:rsidR="00992A7F">
              <w:rPr>
                <w:rFonts w:ascii="Arial" w:hAnsi="Arial" w:cs="Arial"/>
                <w:sz w:val="22"/>
                <w:szCs w:val="22"/>
              </w:rPr>
              <w:t>t</w:t>
            </w:r>
            <w:r w:rsidRPr="00097083">
              <w:rPr>
                <w:rFonts w:ascii="Arial" w:hAnsi="Arial" w:cs="Arial"/>
                <w:sz w:val="22"/>
                <w:szCs w:val="22"/>
              </w:rPr>
              <w:t xml:space="preserve"> resulting in membranous pharyngitis. The toxin </w:t>
            </w:r>
            <w:r w:rsidR="00992A7F">
              <w:rPr>
                <w:rFonts w:ascii="Arial" w:hAnsi="Arial" w:cs="Arial"/>
                <w:sz w:val="22"/>
                <w:szCs w:val="22"/>
              </w:rPr>
              <w:t>can affect</w:t>
            </w:r>
            <w:r w:rsidRPr="00097083">
              <w:rPr>
                <w:rFonts w:ascii="Arial" w:hAnsi="Arial" w:cs="Arial"/>
                <w:sz w:val="22"/>
                <w:szCs w:val="22"/>
              </w:rPr>
              <w:t xml:space="preserve"> the myocardium, nervous and adrenal tissues </w:t>
            </w:r>
            <w:r w:rsidR="00992A7F">
              <w:rPr>
                <w:rFonts w:ascii="Arial" w:hAnsi="Arial" w:cs="Arial"/>
                <w:sz w:val="22"/>
                <w:szCs w:val="22"/>
              </w:rPr>
              <w:t>and can cause</w:t>
            </w:r>
            <w:r w:rsidRPr="00097083">
              <w:rPr>
                <w:rFonts w:ascii="Arial" w:hAnsi="Arial" w:cs="Arial"/>
                <w:sz w:val="22"/>
                <w:szCs w:val="22"/>
              </w:rPr>
              <w:t xml:space="preserve"> paralysis and cardiac failure.</w:t>
            </w:r>
          </w:p>
          <w:p w14:paraId="25990A18" w14:textId="77777777" w:rsidR="00097083" w:rsidRPr="00097083" w:rsidRDefault="00097083" w:rsidP="00097083">
            <w:pPr>
              <w:spacing w:before="120" w:after="120"/>
              <w:rPr>
                <w:rFonts w:ascii="Arial" w:hAnsi="Arial" w:cs="Arial"/>
                <w:sz w:val="22"/>
                <w:szCs w:val="22"/>
              </w:rPr>
            </w:pPr>
            <w:r w:rsidRPr="00097083">
              <w:rPr>
                <w:rFonts w:ascii="Arial" w:hAnsi="Arial" w:cs="Arial"/>
                <w:sz w:val="22"/>
                <w:szCs w:val="22"/>
              </w:rPr>
              <w:t>Tetanus is an acute disease caused by the action of tetanus toxin following infection by the bacterium Clostridium tetani. The disease is characterised by generalised rigidity and spasms of skeletal muscles.</w:t>
            </w:r>
          </w:p>
          <w:p w14:paraId="40A2EA38" w14:textId="7B250066" w:rsidR="00735337" w:rsidRPr="00AB6032" w:rsidRDefault="00097083" w:rsidP="00097083">
            <w:pPr>
              <w:spacing w:before="120" w:after="120"/>
              <w:rPr>
                <w:rFonts w:ascii="Arial" w:hAnsi="Arial" w:cs="Arial"/>
                <w:sz w:val="22"/>
                <w:szCs w:val="22"/>
                <w:highlight w:val="cyan"/>
              </w:rPr>
            </w:pPr>
            <w:r w:rsidRPr="00097083">
              <w:rPr>
                <w:rFonts w:ascii="Arial" w:hAnsi="Arial" w:cs="Arial"/>
                <w:sz w:val="22"/>
                <w:szCs w:val="22"/>
              </w:rPr>
              <w:t xml:space="preserve">Pertussis (whooping cough) is an acute infectious disease with an initial catarrhal stage followed by an irritating cough that becomes paroxysmal within one to two weeks. This is followed by a characteristic ‘whoop’ or vomiting. In </w:t>
            </w:r>
            <w:r w:rsidRPr="00097083">
              <w:rPr>
                <w:rFonts w:ascii="Arial" w:hAnsi="Arial" w:cs="Arial"/>
                <w:sz w:val="22"/>
                <w:szCs w:val="22"/>
              </w:rPr>
              <w:lastRenderedPageBreak/>
              <w:t>young infants there may be periods of apnoea. It may be complicated by bronchopneumonia and cerebral hypoxia.</w:t>
            </w:r>
          </w:p>
        </w:tc>
        <w:tc>
          <w:tcPr>
            <w:tcW w:w="3118" w:type="dxa"/>
          </w:tcPr>
          <w:p w14:paraId="45004AAC" w14:textId="66AFB581" w:rsidR="00735337" w:rsidRPr="002338EB" w:rsidRDefault="00097083" w:rsidP="00735337">
            <w:pPr>
              <w:spacing w:before="120" w:after="120"/>
              <w:rPr>
                <w:rFonts w:ascii="Arial" w:hAnsi="Arial" w:cs="Arial"/>
                <w:color w:val="000000"/>
                <w:kern w:val="24"/>
                <w:sz w:val="22"/>
                <w:szCs w:val="22"/>
                <w:highlight w:val="lightGray"/>
                <w:lang w:val="en-US"/>
              </w:rPr>
            </w:pPr>
            <w:r w:rsidRPr="00097083">
              <w:rPr>
                <w:rFonts w:ascii="Arial" w:hAnsi="Arial" w:cs="Arial"/>
                <w:color w:val="000000"/>
                <w:kern w:val="24"/>
                <w:sz w:val="22"/>
                <w:szCs w:val="22"/>
                <w:lang w:val="en-US"/>
              </w:rPr>
              <w:lastRenderedPageBreak/>
              <w:t>The indicator will lead to a meaningful improvement in patient outcomes.</w:t>
            </w:r>
          </w:p>
        </w:tc>
      </w:tr>
      <w:bookmarkEnd w:id="1"/>
    </w:tbl>
    <w:p w14:paraId="7408AD42" w14:textId="77777777" w:rsidR="002338EB" w:rsidRDefault="002338EB" w:rsidP="002338EB">
      <w:pPr>
        <w:pStyle w:val="Heading3"/>
      </w:pPr>
    </w:p>
    <w:p w14:paraId="5BA69987" w14:textId="6FA6FB6E" w:rsidR="002338EB" w:rsidRDefault="002338EB" w:rsidP="00735337">
      <w:pPr>
        <w:pStyle w:val="Heading3"/>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66443D73" w14:textId="261B1CC5" w:rsidR="00097083" w:rsidRPr="00097083" w:rsidRDefault="007D6547" w:rsidP="00097083">
            <w:pPr>
              <w:spacing w:before="120" w:after="120"/>
              <w:rPr>
                <w:rFonts w:ascii="Arial" w:hAnsi="Arial" w:cs="Arial"/>
                <w:color w:val="000000"/>
                <w:kern w:val="24"/>
                <w:sz w:val="22"/>
                <w:szCs w:val="22"/>
                <w:lang w:eastAsia="en-GB"/>
              </w:rPr>
            </w:pPr>
            <w:hyperlink r:id="rId8" w:history="1">
              <w:r w:rsidR="00097083" w:rsidRPr="00097083">
                <w:rPr>
                  <w:rStyle w:val="Hyperlink"/>
                  <w:rFonts w:ascii="Arial" w:hAnsi="Arial" w:cs="Arial"/>
                  <w:kern w:val="24"/>
                  <w:sz w:val="22"/>
                  <w:szCs w:val="22"/>
                  <w:lang w:eastAsia="en-GB"/>
                </w:rPr>
                <w:t>Immunisations: reducing differences in uptake in under 19s</w:t>
              </w:r>
            </w:hyperlink>
            <w:r w:rsidR="00097083" w:rsidRPr="00097083">
              <w:rPr>
                <w:rFonts w:ascii="Arial" w:hAnsi="Arial" w:cs="Arial"/>
                <w:color w:val="000000"/>
                <w:kern w:val="24"/>
                <w:sz w:val="22"/>
                <w:szCs w:val="22"/>
                <w:lang w:eastAsia="en-GB"/>
              </w:rPr>
              <w:t xml:space="preserve"> (2009, updated 2017) NICE public health guideline PH21, recommendations 1, 2 and 3.</w:t>
            </w:r>
          </w:p>
          <w:p w14:paraId="1359C26D" w14:textId="12F19E8F" w:rsidR="002338EB" w:rsidRPr="002338EB" w:rsidRDefault="007D6547" w:rsidP="00097083">
            <w:pPr>
              <w:pStyle w:val="Paragraph"/>
              <w:spacing w:before="120" w:after="120" w:line="240" w:lineRule="auto"/>
              <w:rPr>
                <w:highlight w:val="lightGray"/>
              </w:rPr>
            </w:pPr>
            <w:hyperlink r:id="rId9" w:history="1">
              <w:r w:rsidR="00097083" w:rsidRPr="00097083">
                <w:rPr>
                  <w:rStyle w:val="Hyperlink"/>
                  <w:rFonts w:cs="Arial"/>
                  <w:kern w:val="24"/>
                  <w:sz w:val="22"/>
                  <w:szCs w:val="22"/>
                  <w:lang w:eastAsia="en-GB"/>
                </w:rPr>
                <w:t>Immunizations – childhood</w:t>
              </w:r>
            </w:hyperlink>
            <w:r w:rsidR="00097083" w:rsidRPr="00097083">
              <w:rPr>
                <w:rFonts w:cs="Arial"/>
                <w:color w:val="000000"/>
                <w:kern w:val="24"/>
                <w:sz w:val="22"/>
                <w:szCs w:val="22"/>
                <w:lang w:eastAsia="en-GB"/>
              </w:rPr>
              <w:t xml:space="preserve"> (2020) NICE clinical knowledge summary</w:t>
            </w:r>
          </w:p>
        </w:tc>
        <w:tc>
          <w:tcPr>
            <w:tcW w:w="3118" w:type="dxa"/>
          </w:tcPr>
          <w:p w14:paraId="4D35EC57" w14:textId="77777777" w:rsidR="00097083" w:rsidRPr="00097083" w:rsidRDefault="00097083" w:rsidP="00097083">
            <w:pPr>
              <w:spacing w:before="120" w:after="120"/>
              <w:rPr>
                <w:rFonts w:ascii="Arial" w:eastAsiaTheme="minorEastAsia" w:hAnsi="Arial" w:cs="Arial"/>
                <w:color w:val="000000" w:themeColor="dark1"/>
                <w:kern w:val="24"/>
                <w:sz w:val="22"/>
                <w:szCs w:val="22"/>
                <w:lang w:val="en-US"/>
              </w:rPr>
            </w:pPr>
            <w:r w:rsidRPr="00097083">
              <w:rPr>
                <w:rFonts w:ascii="Arial" w:eastAsiaTheme="minorEastAsia" w:hAnsi="Arial" w:cs="Arial"/>
                <w:color w:val="000000" w:themeColor="dark1"/>
                <w:kern w:val="24"/>
                <w:sz w:val="22"/>
                <w:szCs w:val="22"/>
                <w:lang w:val="en-US"/>
              </w:rPr>
              <w:t xml:space="preserve">The indicator is derived from a high-quality evidence base. </w:t>
            </w:r>
          </w:p>
          <w:p w14:paraId="75848804" w14:textId="6D08D275" w:rsidR="002338EB" w:rsidRPr="002338EB" w:rsidRDefault="00097083" w:rsidP="00097083">
            <w:pPr>
              <w:pStyle w:val="Paragraph"/>
              <w:spacing w:before="120" w:after="120" w:line="240" w:lineRule="auto"/>
              <w:rPr>
                <w:highlight w:val="lightGray"/>
              </w:rPr>
            </w:pPr>
            <w:r w:rsidRPr="00097083">
              <w:rPr>
                <w:rFonts w:eastAsiaTheme="minorEastAsia" w:cs="Arial"/>
                <w:color w:val="000000" w:themeColor="dark1"/>
                <w:kern w:val="24"/>
                <w:sz w:val="22"/>
                <w:szCs w:val="22"/>
                <w:lang w:val="en-US"/>
              </w:rPr>
              <w:t xml:space="preserve">The indicator </w:t>
            </w:r>
            <w:r w:rsidR="00185AD4">
              <w:rPr>
                <w:rFonts w:eastAsiaTheme="minorEastAsia" w:cs="Arial"/>
                <w:color w:val="000000" w:themeColor="dark1"/>
                <w:kern w:val="24"/>
                <w:sz w:val="22"/>
                <w:szCs w:val="22"/>
                <w:lang w:val="en-US"/>
              </w:rPr>
              <w:t>measures receipt of the 3 doses of the vaccine by 8 months of age although the immuni</w:t>
            </w:r>
            <w:r w:rsidR="00992A7F">
              <w:rPr>
                <w:rFonts w:eastAsiaTheme="minorEastAsia" w:cs="Arial"/>
                <w:color w:val="000000" w:themeColor="dark1"/>
                <w:kern w:val="24"/>
                <w:sz w:val="22"/>
                <w:szCs w:val="22"/>
                <w:lang w:val="en-US"/>
              </w:rPr>
              <w:t>s</w:t>
            </w:r>
            <w:r w:rsidR="00185AD4">
              <w:rPr>
                <w:rFonts w:eastAsiaTheme="minorEastAsia" w:cs="Arial"/>
                <w:color w:val="000000" w:themeColor="dark1"/>
                <w:kern w:val="24"/>
                <w:sz w:val="22"/>
                <w:szCs w:val="22"/>
                <w:lang w:val="en-US"/>
              </w:rPr>
              <w:t>ation schedule states this is due at 8, 12 and 16 weeks of age.</w:t>
            </w:r>
            <w:r w:rsidR="00F03E58">
              <w:rPr>
                <w:rFonts w:eastAsiaTheme="minorEastAsia" w:cs="Arial"/>
                <w:color w:val="000000" w:themeColor="dark1"/>
                <w:kern w:val="24"/>
                <w:sz w:val="22"/>
                <w:szCs w:val="22"/>
                <w:lang w:val="en-US"/>
              </w:rPr>
              <w:t xml:space="preserve"> Measurement by 8 months old allows for delays, for example due to fever and allows for bimonthly reminders.</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6702ECB5" w14:textId="459C37BF" w:rsidR="00097083" w:rsidRPr="00097083" w:rsidRDefault="00097083" w:rsidP="00097083">
            <w:pPr>
              <w:spacing w:before="120" w:after="120"/>
              <w:rPr>
                <w:rFonts w:ascii="Arial" w:hAnsi="Arial" w:cs="Arial"/>
                <w:color w:val="000000"/>
                <w:kern w:val="24"/>
                <w:sz w:val="22"/>
                <w:szCs w:val="22"/>
                <w:lang w:eastAsia="en-GB"/>
              </w:rPr>
            </w:pPr>
            <w:r w:rsidRPr="00097083">
              <w:rPr>
                <w:rFonts w:ascii="Arial" w:hAnsi="Arial" w:cs="Arial"/>
                <w:color w:val="000000"/>
                <w:kern w:val="24"/>
                <w:sz w:val="22"/>
                <w:szCs w:val="22"/>
                <w:lang w:eastAsia="en-GB"/>
              </w:rPr>
              <w:t xml:space="preserve">Numerator: The number in the denominator who have received 3 doses of a diphtheria, tetanus and pertussis containing vaccine before </w:t>
            </w:r>
            <w:r w:rsidR="009470D1">
              <w:rPr>
                <w:rFonts w:ascii="Arial" w:hAnsi="Arial" w:cs="Arial"/>
                <w:color w:val="000000"/>
                <w:kern w:val="24"/>
                <w:sz w:val="22"/>
                <w:szCs w:val="22"/>
                <w:lang w:eastAsia="en-GB"/>
              </w:rPr>
              <w:t>they reached 8 months old</w:t>
            </w:r>
            <w:r w:rsidRPr="00097083">
              <w:rPr>
                <w:rFonts w:ascii="Arial" w:hAnsi="Arial" w:cs="Arial"/>
                <w:color w:val="000000"/>
                <w:kern w:val="24"/>
                <w:sz w:val="22"/>
                <w:szCs w:val="22"/>
                <w:lang w:eastAsia="en-GB"/>
              </w:rPr>
              <w:t>.</w:t>
            </w:r>
          </w:p>
          <w:p w14:paraId="763FB810" w14:textId="7D7DA2D6" w:rsidR="00097083" w:rsidRPr="00097083" w:rsidRDefault="00097083" w:rsidP="00097083">
            <w:pPr>
              <w:spacing w:before="120" w:after="120"/>
              <w:rPr>
                <w:rFonts w:ascii="Arial" w:hAnsi="Arial" w:cs="Arial"/>
                <w:color w:val="000000"/>
                <w:kern w:val="24"/>
                <w:sz w:val="22"/>
                <w:szCs w:val="22"/>
                <w:lang w:eastAsia="en-GB"/>
              </w:rPr>
            </w:pPr>
            <w:r w:rsidRPr="00097083">
              <w:rPr>
                <w:rFonts w:ascii="Arial" w:hAnsi="Arial" w:cs="Arial"/>
                <w:color w:val="000000"/>
                <w:kern w:val="24"/>
                <w:sz w:val="22"/>
                <w:szCs w:val="22"/>
                <w:lang w:eastAsia="en-GB"/>
              </w:rPr>
              <w:t xml:space="preserve">Denominator: The number of babies who reached </w:t>
            </w:r>
            <w:r>
              <w:rPr>
                <w:rFonts w:ascii="Arial" w:hAnsi="Arial" w:cs="Arial"/>
                <w:color w:val="000000"/>
                <w:kern w:val="24"/>
                <w:sz w:val="22"/>
                <w:szCs w:val="22"/>
                <w:lang w:eastAsia="en-GB"/>
              </w:rPr>
              <w:t>8</w:t>
            </w:r>
            <w:r w:rsidRPr="00097083">
              <w:rPr>
                <w:rFonts w:ascii="Arial" w:hAnsi="Arial" w:cs="Arial"/>
                <w:color w:val="000000"/>
                <w:kern w:val="24"/>
                <w:sz w:val="22"/>
                <w:szCs w:val="22"/>
                <w:lang w:eastAsia="en-GB"/>
              </w:rPr>
              <w:t xml:space="preserve"> months old in the preceding 12 months. </w:t>
            </w:r>
          </w:p>
          <w:p w14:paraId="1A8C1D16" w14:textId="22001E5A" w:rsidR="00735337" w:rsidRPr="002338EB" w:rsidRDefault="00097083" w:rsidP="00097083">
            <w:pPr>
              <w:pStyle w:val="Paragraph"/>
              <w:spacing w:before="120" w:after="120" w:line="240" w:lineRule="auto"/>
              <w:rPr>
                <w:highlight w:val="lightGray"/>
              </w:rPr>
            </w:pPr>
            <w:r w:rsidRPr="00097083">
              <w:rPr>
                <w:rFonts w:cs="Arial"/>
                <w:color w:val="000000"/>
                <w:kern w:val="24"/>
                <w:sz w:val="22"/>
                <w:szCs w:val="22"/>
                <w:lang w:eastAsia="en-GB"/>
              </w:rPr>
              <w:t xml:space="preserve">Exclusions: </w:t>
            </w:r>
            <w:r w:rsidR="00E1009B">
              <w:rPr>
                <w:rFonts w:cs="Arial"/>
                <w:color w:val="000000"/>
                <w:kern w:val="24"/>
                <w:sz w:val="22"/>
                <w:szCs w:val="22"/>
                <w:lang w:eastAsia="en-GB"/>
              </w:rPr>
              <w:t>Babies</w:t>
            </w:r>
            <w:r w:rsidRPr="00097083">
              <w:rPr>
                <w:rFonts w:cs="Arial"/>
                <w:color w:val="000000"/>
                <w:kern w:val="24"/>
                <w:sz w:val="22"/>
                <w:szCs w:val="22"/>
                <w:lang w:eastAsia="en-GB"/>
              </w:rPr>
              <w:t xml:space="preserve"> with a confirmed anaphylactic reaction to a previous dose of the vaccine or any component of the vaccine.</w:t>
            </w:r>
          </w:p>
        </w:tc>
        <w:tc>
          <w:tcPr>
            <w:tcW w:w="3118" w:type="dxa"/>
          </w:tcPr>
          <w:p w14:paraId="2994DD11" w14:textId="77777777" w:rsidR="00097083" w:rsidRDefault="00097083" w:rsidP="002338EB">
            <w:pPr>
              <w:pStyle w:val="Paragraph"/>
              <w:spacing w:before="120" w:after="120" w:line="240" w:lineRule="auto"/>
              <w:rPr>
                <w:rFonts w:eastAsiaTheme="minorEastAsia" w:cs="Arial"/>
                <w:color w:val="000000" w:themeColor="dark1"/>
                <w:kern w:val="24"/>
                <w:sz w:val="22"/>
                <w:szCs w:val="22"/>
                <w:lang w:val="en-US"/>
              </w:rPr>
            </w:pPr>
            <w:r w:rsidRPr="00097083">
              <w:rPr>
                <w:rFonts w:eastAsiaTheme="minorEastAsia" w:cs="Arial"/>
                <w:color w:val="000000" w:themeColor="dark1"/>
                <w:kern w:val="24"/>
                <w:sz w:val="22"/>
                <w:szCs w:val="22"/>
                <w:lang w:val="en-US"/>
              </w:rPr>
              <w:t>The indicator has defined components necessary to construct the indicator, including numerator, denominator and exclusions</w:t>
            </w:r>
            <w:r>
              <w:rPr>
                <w:rFonts w:eastAsiaTheme="minorEastAsia" w:cs="Arial"/>
                <w:color w:val="000000" w:themeColor="dark1"/>
                <w:kern w:val="24"/>
                <w:sz w:val="22"/>
                <w:szCs w:val="22"/>
                <w:lang w:val="en-US"/>
              </w:rPr>
              <w:t>.</w:t>
            </w:r>
          </w:p>
          <w:p w14:paraId="0C449702" w14:textId="077D035E" w:rsidR="00097083" w:rsidRPr="00097083" w:rsidRDefault="00097083" w:rsidP="002338EB">
            <w:pPr>
              <w:pStyle w:val="Paragraph"/>
              <w:spacing w:before="120" w:after="120" w:line="240" w:lineRule="auto"/>
              <w:rPr>
                <w:rFonts w:eastAsiaTheme="minorEastAsia" w:cs="Arial"/>
                <w:color w:val="000000" w:themeColor="dark1"/>
                <w:kern w:val="24"/>
                <w:sz w:val="22"/>
                <w:szCs w:val="22"/>
                <w:lang w:val="en-US"/>
              </w:rPr>
            </w:pPr>
            <w:r>
              <w:rPr>
                <w:rFonts w:eastAsiaTheme="minorEastAsia" w:cs="Arial"/>
                <w:color w:val="000000" w:themeColor="dark1"/>
                <w:kern w:val="24"/>
                <w:sz w:val="22"/>
                <w:szCs w:val="22"/>
                <w:lang w:val="en-US"/>
              </w:rPr>
              <w:t xml:space="preserve">At </w:t>
            </w:r>
            <w:r w:rsidR="00041244">
              <w:rPr>
                <w:rFonts w:eastAsiaTheme="minorEastAsia" w:cs="Arial"/>
                <w:color w:val="000000" w:themeColor="dark1"/>
                <w:kern w:val="24"/>
                <w:sz w:val="22"/>
                <w:szCs w:val="22"/>
                <w:lang w:val="en-US"/>
              </w:rPr>
              <w:t>consultation,</w:t>
            </w:r>
            <w:r>
              <w:rPr>
                <w:rFonts w:eastAsiaTheme="minorEastAsia" w:cs="Arial"/>
                <w:color w:val="000000" w:themeColor="dark1"/>
                <w:kern w:val="24"/>
                <w:sz w:val="22"/>
                <w:szCs w:val="22"/>
                <w:lang w:val="en-US"/>
              </w:rPr>
              <w:t xml:space="preserve"> this indicator measured the percentage of babies who received 3 doses of a diphtheria, tetanus and pertussis containing vaccine before 6 months of age. This was amended following discussion at the Indicator Advisory Committee in August 2020.</w:t>
            </w:r>
          </w:p>
        </w:tc>
      </w:tr>
      <w:tr w:rsidR="002338EB" w14:paraId="48133640" w14:textId="77777777" w:rsidTr="001C517D">
        <w:tc>
          <w:tcPr>
            <w:tcW w:w="5949" w:type="dxa"/>
          </w:tcPr>
          <w:p w14:paraId="4B4889E2" w14:textId="2A4EEC9C" w:rsidR="002338EB" w:rsidRPr="002338EB" w:rsidRDefault="00A04EE5" w:rsidP="002338EB">
            <w:pPr>
              <w:pStyle w:val="Paragraph"/>
              <w:spacing w:before="120" w:after="120" w:line="240" w:lineRule="auto"/>
              <w:rPr>
                <w:highlight w:val="lightGray"/>
              </w:rPr>
            </w:pPr>
            <w:r>
              <w:rPr>
                <w:rFonts w:cs="Arial"/>
                <w:color w:val="000000"/>
                <w:kern w:val="24"/>
                <w:sz w:val="22"/>
                <w:szCs w:val="22"/>
              </w:rPr>
              <w:t>T</w:t>
            </w:r>
            <w:r w:rsidR="00097083" w:rsidRPr="00097083">
              <w:rPr>
                <w:rFonts w:cs="Arial"/>
                <w:color w:val="000000"/>
                <w:kern w:val="24"/>
                <w:sz w:val="22"/>
                <w:szCs w:val="22"/>
              </w:rPr>
              <w:t>his indicator would be reported at general practice level for practices with more than 20 eligible patients.</w:t>
            </w:r>
          </w:p>
        </w:tc>
        <w:tc>
          <w:tcPr>
            <w:tcW w:w="3118" w:type="dxa"/>
          </w:tcPr>
          <w:p w14:paraId="38DE6D48" w14:textId="49425678" w:rsidR="002338EB" w:rsidRPr="002338EB" w:rsidRDefault="00097083" w:rsidP="002338EB">
            <w:pPr>
              <w:pStyle w:val="Paragraph"/>
              <w:spacing w:before="120" w:after="120" w:line="240" w:lineRule="auto"/>
              <w:rPr>
                <w:highlight w:val="lightGray"/>
              </w:rPr>
            </w:pPr>
            <w:r w:rsidRPr="00097083">
              <w:rPr>
                <w:rFonts w:cs="Arial"/>
                <w:color w:val="000000"/>
                <w:kern w:val="24"/>
                <w:sz w:val="22"/>
                <w:szCs w:val="22"/>
              </w:rPr>
              <w:t xml:space="preserve">The indicator outlines minimum numbers of patients needed to be confident in the assessment of variation.  </w:t>
            </w:r>
          </w:p>
        </w:tc>
      </w:tr>
    </w:tbl>
    <w:p w14:paraId="1F89E1DD" w14:textId="24151FF3" w:rsidR="002338EB" w:rsidRDefault="002338EB" w:rsidP="002338EB">
      <w:pPr>
        <w:pStyle w:val="Paragraph"/>
      </w:pPr>
    </w:p>
    <w:p w14:paraId="597779EE" w14:textId="5E0747D0" w:rsidR="002338EB" w:rsidRDefault="002338EB" w:rsidP="00735337">
      <w:pPr>
        <w:pStyle w:val="Heading3"/>
      </w:pPr>
      <w:r>
        <w:lastRenderedPageBreak/>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6E4D68FA" w14:textId="77777777" w:rsidR="00097083" w:rsidRPr="00097083" w:rsidRDefault="00097083" w:rsidP="00097083">
            <w:pPr>
              <w:spacing w:before="120" w:after="120"/>
              <w:rPr>
                <w:rFonts w:ascii="Arial" w:hAnsi="Arial" w:cs="Arial"/>
                <w:sz w:val="22"/>
                <w:szCs w:val="22"/>
              </w:rPr>
            </w:pPr>
            <w:r w:rsidRPr="00097083">
              <w:rPr>
                <w:rFonts w:ascii="Arial" w:hAnsi="Arial" w:cs="Arial"/>
                <w:sz w:val="22"/>
                <w:szCs w:val="22"/>
              </w:rPr>
              <w:t xml:space="preserve">The childhood vaccination schedule details that this vaccine is given at 8, 12 and 16 weeks of age. </w:t>
            </w:r>
          </w:p>
          <w:p w14:paraId="2AC12E3E" w14:textId="261D76EF" w:rsidR="00097083" w:rsidRPr="00097083" w:rsidRDefault="007D6547" w:rsidP="00097083">
            <w:pPr>
              <w:spacing w:before="120" w:after="120"/>
              <w:rPr>
                <w:rFonts w:ascii="Arial" w:hAnsi="Arial" w:cs="Arial"/>
                <w:sz w:val="22"/>
                <w:szCs w:val="22"/>
              </w:rPr>
            </w:pPr>
            <w:hyperlink r:id="rId10" w:history="1">
              <w:r w:rsidR="00097083" w:rsidRPr="00097083">
                <w:rPr>
                  <w:rStyle w:val="Hyperlink"/>
                  <w:rFonts w:ascii="Arial" w:hAnsi="Arial" w:cs="Arial"/>
                  <w:sz w:val="22"/>
                  <w:szCs w:val="22"/>
                </w:rPr>
                <w:t>Cover of vaccination evaluated rapidly (COVER)</w:t>
              </w:r>
            </w:hyperlink>
            <w:r w:rsidR="00097083" w:rsidRPr="00097083">
              <w:rPr>
                <w:rFonts w:ascii="Arial" w:hAnsi="Arial" w:cs="Arial"/>
                <w:sz w:val="22"/>
                <w:szCs w:val="22"/>
              </w:rPr>
              <w:t xml:space="preserve"> data is collected by </w:t>
            </w:r>
            <w:hyperlink r:id="rId11" w:history="1">
              <w:r w:rsidR="00097083" w:rsidRPr="00097083">
                <w:rPr>
                  <w:rStyle w:val="Hyperlink"/>
                  <w:rFonts w:ascii="Arial" w:hAnsi="Arial" w:cs="Arial"/>
                  <w:sz w:val="22"/>
                  <w:szCs w:val="22"/>
                </w:rPr>
                <w:t>Public Health England</w:t>
              </w:r>
            </w:hyperlink>
            <w:r w:rsidR="00097083" w:rsidRPr="00097083">
              <w:rPr>
                <w:rFonts w:ascii="Arial" w:hAnsi="Arial" w:cs="Arial"/>
                <w:sz w:val="22"/>
                <w:szCs w:val="22"/>
              </w:rPr>
              <w:t xml:space="preserve"> and reported quarterly and annually by NHS Digital and Public Health England including 12-month DTaP/IPV/HiB. Data is submitted by the local teams and child health record departments and reported nationally and regionally. From 2019-20 this will include general practice level coverage.</w:t>
            </w:r>
          </w:p>
          <w:p w14:paraId="3ABE91E5" w14:textId="7B01D7C5" w:rsidR="00735337" w:rsidRPr="00735337" w:rsidRDefault="00097083" w:rsidP="00097083">
            <w:pPr>
              <w:pStyle w:val="Paragraph"/>
              <w:spacing w:before="120" w:after="120" w:line="240" w:lineRule="auto"/>
              <w:rPr>
                <w:highlight w:val="lightGray"/>
              </w:rPr>
            </w:pPr>
            <w:r w:rsidRPr="00097083">
              <w:rPr>
                <w:rFonts w:cs="Arial"/>
                <w:sz w:val="22"/>
                <w:szCs w:val="22"/>
              </w:rPr>
              <w:t>The Childhood Immunisation Scheme is part of the GP contract in England</w:t>
            </w:r>
            <w:r w:rsidR="009470D1">
              <w:rPr>
                <w:rFonts w:cs="Arial"/>
                <w:sz w:val="22"/>
                <w:szCs w:val="22"/>
              </w:rPr>
              <w:t xml:space="preserve">. </w:t>
            </w:r>
            <w:r w:rsidRPr="00097083">
              <w:rPr>
                <w:rFonts w:cs="Arial"/>
                <w:sz w:val="22"/>
                <w:szCs w:val="22"/>
              </w:rPr>
              <w:t>Data for this is extracted quarterly</w:t>
            </w:r>
            <w:r>
              <w:rPr>
                <w:rFonts w:cs="Arial"/>
                <w:sz w:val="22"/>
                <w:szCs w:val="22"/>
              </w:rPr>
              <w:t>.</w:t>
            </w:r>
            <w:r w:rsidR="00735337" w:rsidRPr="00735337">
              <w:rPr>
                <w:rFonts w:cs="Arial"/>
                <w:sz w:val="22"/>
                <w:szCs w:val="22"/>
                <w:highlight w:val="lightGray"/>
              </w:rPr>
              <w:t xml:space="preserve"> </w:t>
            </w:r>
          </w:p>
        </w:tc>
        <w:tc>
          <w:tcPr>
            <w:tcW w:w="3118" w:type="dxa"/>
          </w:tcPr>
          <w:p w14:paraId="4BBEE626" w14:textId="4B6661FB" w:rsidR="00097083" w:rsidRPr="00097083" w:rsidRDefault="00097083" w:rsidP="00097083">
            <w:pPr>
              <w:spacing w:before="120" w:after="120"/>
              <w:rPr>
                <w:rFonts w:ascii="Arial" w:eastAsiaTheme="minorEastAsia" w:hAnsi="Arial" w:cs="Arial"/>
                <w:color w:val="000000" w:themeColor="dark1"/>
                <w:kern w:val="24"/>
                <w:sz w:val="22"/>
                <w:szCs w:val="22"/>
                <w:lang w:val="en-US"/>
              </w:rPr>
            </w:pPr>
            <w:r w:rsidRPr="00097083">
              <w:rPr>
                <w:rFonts w:ascii="Arial" w:eastAsiaTheme="minorEastAsia" w:hAnsi="Arial" w:cs="Arial"/>
                <w:color w:val="000000" w:themeColor="dark1"/>
                <w:kern w:val="24"/>
                <w:sz w:val="22"/>
                <w:szCs w:val="22"/>
                <w:lang w:val="en-US"/>
              </w:rPr>
              <w:t xml:space="preserve">Data at the age of </w:t>
            </w:r>
            <w:r>
              <w:rPr>
                <w:rFonts w:ascii="Arial" w:eastAsiaTheme="minorEastAsia" w:hAnsi="Arial" w:cs="Arial"/>
                <w:color w:val="000000" w:themeColor="dark1"/>
                <w:kern w:val="24"/>
                <w:sz w:val="22"/>
                <w:szCs w:val="22"/>
                <w:lang w:val="en-US"/>
              </w:rPr>
              <w:t>8</w:t>
            </w:r>
            <w:r w:rsidRPr="00097083">
              <w:rPr>
                <w:rFonts w:ascii="Arial" w:eastAsiaTheme="minorEastAsia" w:hAnsi="Arial" w:cs="Arial"/>
                <w:color w:val="000000" w:themeColor="dark1"/>
                <w:kern w:val="24"/>
                <w:sz w:val="22"/>
                <w:szCs w:val="22"/>
                <w:lang w:val="en-US"/>
              </w:rPr>
              <w:t xml:space="preserve"> months is not currently collected by PHE or NHS Digital. The vaccinations are scheduled to be given before </w:t>
            </w:r>
            <w:r>
              <w:rPr>
                <w:rFonts w:ascii="Arial" w:eastAsiaTheme="minorEastAsia" w:hAnsi="Arial" w:cs="Arial"/>
                <w:color w:val="000000" w:themeColor="dark1"/>
                <w:kern w:val="24"/>
                <w:sz w:val="22"/>
                <w:szCs w:val="22"/>
                <w:lang w:val="en-US"/>
              </w:rPr>
              <w:t>8</w:t>
            </w:r>
            <w:r w:rsidRPr="00097083">
              <w:rPr>
                <w:rFonts w:ascii="Arial" w:eastAsiaTheme="minorEastAsia" w:hAnsi="Arial" w:cs="Arial"/>
                <w:color w:val="000000" w:themeColor="dark1"/>
                <w:kern w:val="24"/>
                <w:sz w:val="22"/>
                <w:szCs w:val="22"/>
                <w:lang w:val="en-US"/>
              </w:rPr>
              <w:t xml:space="preserve"> months of age, so it should be possible to extract the data from GP systems.</w:t>
            </w:r>
          </w:p>
          <w:p w14:paraId="3BEFE1B2" w14:textId="75902EEC" w:rsidR="00735337" w:rsidRPr="00735337" w:rsidRDefault="00097083" w:rsidP="00097083">
            <w:pPr>
              <w:pStyle w:val="Paragraph"/>
              <w:spacing w:before="120" w:after="120" w:line="240" w:lineRule="auto"/>
              <w:rPr>
                <w:highlight w:val="lightGray"/>
              </w:rPr>
            </w:pPr>
            <w:r w:rsidRPr="00097083">
              <w:rPr>
                <w:rFonts w:eastAsiaTheme="minorEastAsia" w:cs="Arial"/>
                <w:color w:val="000000" w:themeColor="dark1"/>
                <w:kern w:val="24"/>
                <w:sz w:val="22"/>
                <w:szCs w:val="22"/>
                <w:lang w:val="en-US"/>
              </w:rPr>
              <w:t>The indicator is repeatable.</w:t>
            </w:r>
          </w:p>
        </w:tc>
      </w:tr>
      <w:tr w:rsidR="00735337" w14:paraId="2FE27CD6" w14:textId="77777777" w:rsidTr="001C517D">
        <w:tc>
          <w:tcPr>
            <w:tcW w:w="5949" w:type="dxa"/>
          </w:tcPr>
          <w:p w14:paraId="6B3D2BF0" w14:textId="0CAB2969" w:rsidR="00735337" w:rsidRDefault="00ED46DD" w:rsidP="00ED46DD">
            <w:pPr>
              <w:spacing w:before="120" w:after="120"/>
              <w:contextualSpacing/>
              <w:rPr>
                <w:rFonts w:ascii="Arial" w:hAnsi="Arial" w:cs="Arial"/>
                <w:sz w:val="22"/>
                <w:szCs w:val="22"/>
                <w:highlight w:val="lightGray"/>
              </w:rPr>
            </w:pPr>
            <w:r w:rsidRPr="00ED46DD">
              <w:rPr>
                <w:rFonts w:ascii="Arial" w:hAnsi="Arial" w:cs="Arial"/>
                <w:sz w:val="22"/>
                <w:szCs w:val="22"/>
              </w:rPr>
              <w:t xml:space="preserve">There are codes available for this vaccine and contraindication to the vaccine on SNOMED-CT. </w:t>
            </w:r>
          </w:p>
        </w:tc>
        <w:tc>
          <w:tcPr>
            <w:tcW w:w="3118" w:type="dxa"/>
          </w:tcPr>
          <w:p w14:paraId="7D2824F1" w14:textId="77777777" w:rsidR="00ED46DD" w:rsidRPr="00ED46DD" w:rsidRDefault="00ED46DD" w:rsidP="00ED46DD">
            <w:pPr>
              <w:spacing w:before="120" w:after="120"/>
              <w:rPr>
                <w:rFonts w:ascii="Arial" w:hAnsi="Arial" w:cs="Arial"/>
                <w:color w:val="000000"/>
                <w:kern w:val="24"/>
                <w:sz w:val="22"/>
                <w:szCs w:val="22"/>
              </w:rPr>
            </w:pPr>
            <w:r w:rsidRPr="00ED46DD">
              <w:rPr>
                <w:rFonts w:ascii="Arial" w:hAnsi="Arial" w:cs="Arial"/>
                <w:color w:val="000000"/>
                <w:kern w:val="24"/>
                <w:sz w:val="22"/>
                <w:szCs w:val="22"/>
              </w:rPr>
              <w:t xml:space="preserve">The proposed indicator is measuring what it is designed to measure. </w:t>
            </w:r>
          </w:p>
          <w:p w14:paraId="24CB8CBA" w14:textId="081E277E" w:rsidR="00735337" w:rsidRPr="00735337" w:rsidRDefault="00ED46DD" w:rsidP="00ED46DD">
            <w:pPr>
              <w:spacing w:before="120" w:after="120"/>
              <w:rPr>
                <w:rFonts w:ascii="Arial" w:hAnsi="Arial" w:cs="Arial"/>
                <w:color w:val="000000"/>
                <w:kern w:val="24"/>
                <w:sz w:val="22"/>
                <w:szCs w:val="22"/>
                <w:highlight w:val="lightGray"/>
              </w:rPr>
            </w:pPr>
            <w:r w:rsidRPr="00ED46DD">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1E6ED4C0" w14:textId="77777777" w:rsidR="00ED46DD" w:rsidRPr="00ED46DD" w:rsidRDefault="00ED46DD" w:rsidP="00ED46DD">
            <w:pPr>
              <w:spacing w:before="120" w:after="120"/>
              <w:rPr>
                <w:rFonts w:ascii="Arial" w:hAnsi="Arial" w:cs="Arial"/>
                <w:sz w:val="22"/>
                <w:szCs w:val="22"/>
              </w:rPr>
            </w:pPr>
            <w:r w:rsidRPr="00ED46DD">
              <w:rPr>
                <w:rFonts w:ascii="Arial" w:hAnsi="Arial" w:cs="Arial"/>
                <w:sz w:val="22"/>
                <w:szCs w:val="22"/>
              </w:rPr>
              <w:t xml:space="preserve">Interrupted courses or doses should be resumed but not repeated, allowing an interval of 4 weeks. Missed doses should be given as soon as possible. </w:t>
            </w:r>
          </w:p>
          <w:p w14:paraId="1CE483D2" w14:textId="4E5B2AEC" w:rsidR="00ED46DD" w:rsidRPr="00ED46DD" w:rsidRDefault="00ED46DD" w:rsidP="00ED46DD">
            <w:pPr>
              <w:spacing w:before="120" w:after="120"/>
              <w:rPr>
                <w:rFonts w:ascii="Arial" w:hAnsi="Arial" w:cs="Arial"/>
                <w:sz w:val="22"/>
                <w:szCs w:val="22"/>
              </w:rPr>
            </w:pPr>
            <w:r w:rsidRPr="00ED46DD">
              <w:rPr>
                <w:rFonts w:ascii="Arial" w:hAnsi="Arial" w:cs="Arial"/>
                <w:sz w:val="22"/>
                <w:szCs w:val="22"/>
              </w:rPr>
              <w:t>The hexavalent vaccine should not be given to infants with a confirmed anaphylactic reaction to a previous dose of the vaccine or a component of the vaccine. Data quoted in the Green Book suggests rates of 0.65 to 3 anaphylaxis events per million doses of vaccines given (</w:t>
            </w:r>
            <w:hyperlink r:id="rId12" w:history="1">
              <w:r w:rsidRPr="00ED46DD">
                <w:rPr>
                  <w:rStyle w:val="Hyperlink"/>
                  <w:rFonts w:ascii="Arial" w:hAnsi="Arial" w:cs="Arial"/>
                  <w:sz w:val="22"/>
                  <w:szCs w:val="22"/>
                </w:rPr>
                <w:t>Public Health England</w:t>
              </w:r>
            </w:hyperlink>
            <w:r w:rsidRPr="00ED46DD">
              <w:rPr>
                <w:rFonts w:ascii="Arial" w:hAnsi="Arial" w:cs="Arial"/>
                <w:sz w:val="22"/>
                <w:szCs w:val="22"/>
              </w:rPr>
              <w:t xml:space="preserve">, 2013). </w:t>
            </w:r>
          </w:p>
          <w:p w14:paraId="05A1E05E" w14:textId="77777777" w:rsidR="00ED46DD" w:rsidRPr="00ED46DD" w:rsidRDefault="00ED46DD" w:rsidP="00ED46DD">
            <w:pPr>
              <w:spacing w:before="120" w:after="120"/>
              <w:rPr>
                <w:rFonts w:ascii="Arial" w:hAnsi="Arial" w:cs="Arial"/>
                <w:sz w:val="22"/>
                <w:szCs w:val="22"/>
              </w:rPr>
            </w:pPr>
            <w:r w:rsidRPr="00ED46DD">
              <w:rPr>
                <w:rFonts w:ascii="Arial" w:hAnsi="Arial" w:cs="Arial"/>
                <w:sz w:val="22"/>
                <w:szCs w:val="22"/>
              </w:rPr>
              <w:t>There may be over-estimation of denominators and therefore under estimation of coverage for individual practices as children may have moved away but remained on the register.</w:t>
            </w:r>
          </w:p>
          <w:p w14:paraId="009E37A6" w14:textId="7C34CFDD" w:rsidR="00735337" w:rsidRPr="00A47852" w:rsidRDefault="002342EE" w:rsidP="00ED46DD">
            <w:pPr>
              <w:pStyle w:val="Paragraph"/>
              <w:spacing w:before="120" w:after="120" w:line="240" w:lineRule="auto"/>
              <w:rPr>
                <w:highlight w:val="lightGray"/>
              </w:rPr>
            </w:pPr>
            <w:r>
              <w:rPr>
                <w:rFonts w:cs="Arial"/>
                <w:sz w:val="22"/>
                <w:szCs w:val="22"/>
              </w:rPr>
              <w:t>P</w:t>
            </w:r>
            <w:r w:rsidR="00ED46DD" w:rsidRPr="00ED46DD">
              <w:rPr>
                <w:rFonts w:cs="Arial"/>
                <w:sz w:val="22"/>
                <w:szCs w:val="22"/>
              </w:rPr>
              <w:t>arents</w:t>
            </w:r>
            <w:r>
              <w:rPr>
                <w:rFonts w:cs="Arial"/>
                <w:sz w:val="22"/>
                <w:szCs w:val="22"/>
              </w:rPr>
              <w:t xml:space="preserve"> may</w:t>
            </w:r>
            <w:r w:rsidR="00ED46DD" w:rsidRPr="00ED46DD">
              <w:rPr>
                <w:rFonts w:cs="Arial"/>
                <w:sz w:val="22"/>
                <w:szCs w:val="22"/>
              </w:rPr>
              <w:t xml:space="preserve"> choose not to vaccinate their children.</w:t>
            </w:r>
          </w:p>
        </w:tc>
        <w:tc>
          <w:tcPr>
            <w:tcW w:w="3118" w:type="dxa"/>
          </w:tcPr>
          <w:p w14:paraId="459F410A" w14:textId="77777777" w:rsidR="00ED46DD" w:rsidRDefault="00ED46DD" w:rsidP="00735337">
            <w:pPr>
              <w:pStyle w:val="Paragraph"/>
              <w:spacing w:before="120" w:after="120" w:line="240" w:lineRule="auto"/>
              <w:rPr>
                <w:rFonts w:eastAsiaTheme="minorEastAsia" w:cs="Arial"/>
                <w:color w:val="000000" w:themeColor="dark1"/>
                <w:kern w:val="24"/>
                <w:sz w:val="22"/>
                <w:szCs w:val="22"/>
                <w:lang w:val="en-US"/>
              </w:rPr>
            </w:pPr>
            <w:r w:rsidRPr="00ED46DD">
              <w:rPr>
                <w:rFonts w:eastAsiaTheme="minorEastAsia" w:cs="Arial"/>
                <w:color w:val="000000" w:themeColor="dark1"/>
                <w:kern w:val="24"/>
                <w:sz w:val="22"/>
                <w:szCs w:val="22"/>
                <w:lang w:val="en-US"/>
              </w:rPr>
              <w:t xml:space="preserve">The indicator assesses performance that is attributable to or within the control of the audience. There are few exclusions or exceptions. Patient choice to vaccinate should be considered and personalised care adjustments recorded accordingly. </w:t>
            </w:r>
          </w:p>
          <w:p w14:paraId="50C98A36" w14:textId="11175EC1" w:rsidR="00735337" w:rsidRPr="00A47852" w:rsidRDefault="00ED46DD" w:rsidP="00735337">
            <w:pPr>
              <w:pStyle w:val="Paragraph"/>
              <w:spacing w:before="120" w:after="120" w:line="240" w:lineRule="auto"/>
              <w:rPr>
                <w:highlight w:val="lightGray"/>
              </w:rPr>
            </w:pPr>
            <w:r>
              <w:rPr>
                <w:rFonts w:eastAsiaTheme="minorEastAsia" w:cs="Arial"/>
                <w:color w:val="000000" w:themeColor="dark1"/>
                <w:kern w:val="24"/>
                <w:sz w:val="22"/>
                <w:szCs w:val="22"/>
                <w:lang w:val="en-US"/>
              </w:rPr>
              <w:t xml:space="preserve">The indicator was amended after discussion at the Indicator Advisory Committee as </w:t>
            </w:r>
            <w:r w:rsidRPr="00ED46DD">
              <w:rPr>
                <w:rFonts w:eastAsiaTheme="minorEastAsia" w:cs="Arial"/>
                <w:color w:val="000000" w:themeColor="dark1"/>
                <w:kern w:val="24"/>
                <w:sz w:val="22"/>
                <w:szCs w:val="22"/>
                <w:lang w:val="en-US"/>
              </w:rPr>
              <w:t>measure</w:t>
            </w:r>
            <w:r>
              <w:rPr>
                <w:rFonts w:eastAsiaTheme="minorEastAsia" w:cs="Arial"/>
                <w:color w:val="000000" w:themeColor="dark1"/>
                <w:kern w:val="24"/>
                <w:sz w:val="22"/>
                <w:szCs w:val="22"/>
                <w:lang w:val="en-US"/>
              </w:rPr>
              <w:t xml:space="preserve">ment of </w:t>
            </w:r>
            <w:r w:rsidRPr="00ED46DD">
              <w:rPr>
                <w:rFonts w:eastAsiaTheme="minorEastAsia" w:cs="Arial"/>
                <w:color w:val="000000" w:themeColor="dark1"/>
                <w:kern w:val="24"/>
                <w:sz w:val="22"/>
                <w:szCs w:val="22"/>
                <w:lang w:val="en-US"/>
              </w:rPr>
              <w:t>achievement</w:t>
            </w:r>
            <w:r>
              <w:rPr>
                <w:rFonts w:eastAsiaTheme="minorEastAsia" w:cs="Arial"/>
                <w:color w:val="000000" w:themeColor="dark1"/>
                <w:kern w:val="24"/>
                <w:sz w:val="22"/>
                <w:szCs w:val="22"/>
                <w:lang w:val="en-US"/>
              </w:rPr>
              <w:t xml:space="preserve"> before</w:t>
            </w:r>
            <w:r w:rsidRPr="00ED46DD">
              <w:rPr>
                <w:rFonts w:eastAsiaTheme="minorEastAsia" w:cs="Arial"/>
                <w:color w:val="000000" w:themeColor="dark1"/>
                <w:kern w:val="24"/>
                <w:sz w:val="22"/>
                <w:szCs w:val="22"/>
                <w:lang w:val="en-US"/>
              </w:rPr>
              <w:t xml:space="preserve"> 6 months</w:t>
            </w:r>
            <w:r>
              <w:rPr>
                <w:rFonts w:eastAsiaTheme="minorEastAsia" w:cs="Arial"/>
                <w:color w:val="000000" w:themeColor="dark1"/>
                <w:kern w:val="24"/>
                <w:sz w:val="22"/>
                <w:szCs w:val="22"/>
                <w:lang w:val="en-US"/>
              </w:rPr>
              <w:t xml:space="preserve"> was considered too short a timescale (last dose is due to be given at around 4 months of age).</w:t>
            </w:r>
            <w:r w:rsidRPr="00ED46DD">
              <w:rPr>
                <w:rFonts w:eastAsiaTheme="minorEastAsia" w:cs="Arial"/>
                <w:color w:val="000000" w:themeColor="dark1"/>
                <w:kern w:val="24"/>
                <w:sz w:val="22"/>
                <w:szCs w:val="22"/>
                <w:lang w:val="en-US"/>
              </w:rPr>
              <w:t xml:space="preserve"> </w:t>
            </w:r>
            <w:r>
              <w:rPr>
                <w:rFonts w:eastAsiaTheme="minorEastAsia" w:cs="Arial"/>
                <w:color w:val="000000" w:themeColor="dark1"/>
                <w:kern w:val="24"/>
                <w:sz w:val="22"/>
                <w:szCs w:val="22"/>
                <w:lang w:val="en-US"/>
              </w:rPr>
              <w:t>A</w:t>
            </w:r>
            <w:r w:rsidRPr="00ED46DD">
              <w:rPr>
                <w:rFonts w:eastAsiaTheme="minorEastAsia" w:cs="Arial"/>
                <w:color w:val="000000" w:themeColor="dark1"/>
                <w:kern w:val="24"/>
                <w:sz w:val="22"/>
                <w:szCs w:val="22"/>
                <w:lang w:val="en-US"/>
              </w:rPr>
              <w:t xml:space="preserve"> short timescale may not allow for the four-week interval required for interrupted or missed doses.</w:t>
            </w:r>
            <w:r>
              <w:rPr>
                <w:rFonts w:eastAsiaTheme="minorEastAsia" w:cs="Arial"/>
                <w:color w:val="000000" w:themeColor="dark1"/>
                <w:kern w:val="24"/>
                <w:sz w:val="22"/>
                <w:szCs w:val="22"/>
                <w:lang w:val="en-US"/>
              </w:rPr>
              <w:t xml:space="preserve"> Measurement before 8 months of age gives </w:t>
            </w:r>
            <w:r>
              <w:rPr>
                <w:rFonts w:eastAsiaTheme="minorEastAsia" w:cs="Arial"/>
                <w:color w:val="000000" w:themeColor="dark1"/>
                <w:kern w:val="24"/>
                <w:sz w:val="22"/>
                <w:szCs w:val="22"/>
                <w:lang w:val="en-US"/>
              </w:rPr>
              <w:lastRenderedPageBreak/>
              <w:t xml:space="preserve">allowance for </w:t>
            </w:r>
            <w:r w:rsidR="008A7242">
              <w:rPr>
                <w:rFonts w:eastAsiaTheme="minorEastAsia" w:cs="Arial"/>
                <w:color w:val="000000" w:themeColor="dark1"/>
                <w:kern w:val="24"/>
                <w:sz w:val="22"/>
                <w:szCs w:val="22"/>
                <w:lang w:val="en-US"/>
              </w:rPr>
              <w:t>delay due to illness and allows for bimonthly reminders to be sent.</w:t>
            </w:r>
          </w:p>
        </w:tc>
      </w:tr>
      <w:tr w:rsidR="00735337" w14:paraId="7E164FBD" w14:textId="77777777" w:rsidTr="001C517D">
        <w:tc>
          <w:tcPr>
            <w:tcW w:w="5949" w:type="dxa"/>
          </w:tcPr>
          <w:p w14:paraId="3AF0200A" w14:textId="7F876AA6" w:rsidR="00735337" w:rsidRPr="00A47852" w:rsidRDefault="00ED46DD" w:rsidP="00735337">
            <w:pPr>
              <w:pStyle w:val="Paragraph"/>
              <w:spacing w:before="120" w:after="120" w:line="240" w:lineRule="auto"/>
              <w:rPr>
                <w:highlight w:val="lightGray"/>
              </w:rPr>
            </w:pPr>
            <w:r w:rsidRPr="00ED46DD">
              <w:rPr>
                <w:rFonts w:cs="Arial"/>
                <w:sz w:val="22"/>
                <w:szCs w:val="22"/>
              </w:rPr>
              <w:lastRenderedPageBreak/>
              <w:t>Data for the GP additional services contract is collected quarterly by NHS Digital</w:t>
            </w:r>
            <w:r>
              <w:rPr>
                <w:rFonts w:cs="Arial"/>
                <w:sz w:val="22"/>
                <w:szCs w:val="22"/>
              </w:rPr>
              <w:t>.</w:t>
            </w:r>
          </w:p>
        </w:tc>
        <w:tc>
          <w:tcPr>
            <w:tcW w:w="3118" w:type="dxa"/>
          </w:tcPr>
          <w:p w14:paraId="2909F55A" w14:textId="7F1F0064" w:rsidR="00735337" w:rsidRPr="00A47852" w:rsidRDefault="00ED46DD" w:rsidP="00735337">
            <w:pPr>
              <w:pStyle w:val="Paragraph"/>
              <w:spacing w:before="120" w:after="120" w:line="240" w:lineRule="auto"/>
              <w:rPr>
                <w:highlight w:val="lightGray"/>
              </w:rPr>
            </w:pPr>
            <w:r w:rsidRPr="00ED46DD">
              <w:rPr>
                <w:rFonts w:cs="Arial"/>
                <w:color w:val="000000"/>
                <w:kern w:val="24"/>
                <w:sz w:val="22"/>
                <w:szCs w:val="22"/>
              </w:rPr>
              <w:t>Practices currently submit data to NHS Digital. The results of the indicator can be used to improve practice</w:t>
            </w:r>
            <w:r>
              <w:rPr>
                <w:rFonts w:cs="Arial"/>
                <w:color w:val="000000"/>
                <w:kern w:val="24"/>
                <w:sz w:val="22"/>
                <w:szCs w:val="22"/>
              </w:rPr>
              <w:t>.</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3DCE50B0" w14:textId="2D125D1F" w:rsidR="00ED46DD" w:rsidRPr="00ED46DD" w:rsidRDefault="002342EE" w:rsidP="00ED46DD">
            <w:pPr>
              <w:pStyle w:val="Paragraph"/>
              <w:spacing w:before="120" w:after="120"/>
              <w:rPr>
                <w:rFonts w:cs="Arial"/>
                <w:color w:val="000000"/>
                <w:kern w:val="24"/>
                <w:sz w:val="22"/>
                <w:szCs w:val="22"/>
                <w:lang w:eastAsia="en-GB"/>
              </w:rPr>
            </w:pPr>
            <w:r>
              <w:rPr>
                <w:rFonts w:cs="Arial"/>
                <w:color w:val="000000"/>
                <w:kern w:val="24"/>
                <w:sz w:val="22"/>
                <w:szCs w:val="22"/>
                <w:lang w:eastAsia="en-GB"/>
              </w:rPr>
              <w:t>Pare</w:t>
            </w:r>
            <w:r w:rsidR="00ED46DD" w:rsidRPr="00ED46DD">
              <w:rPr>
                <w:rFonts w:cs="Arial"/>
                <w:color w:val="000000"/>
                <w:kern w:val="24"/>
                <w:sz w:val="22"/>
                <w:szCs w:val="22"/>
                <w:lang w:eastAsia="en-GB"/>
              </w:rPr>
              <w:t>nts</w:t>
            </w:r>
            <w:r>
              <w:rPr>
                <w:rFonts w:cs="Arial"/>
                <w:color w:val="000000"/>
                <w:kern w:val="24"/>
                <w:sz w:val="22"/>
                <w:szCs w:val="22"/>
                <w:lang w:eastAsia="en-GB"/>
              </w:rPr>
              <w:t xml:space="preserve"> may</w:t>
            </w:r>
            <w:r w:rsidR="00ED46DD" w:rsidRPr="00ED46DD">
              <w:rPr>
                <w:rFonts w:cs="Arial"/>
                <w:color w:val="000000"/>
                <w:kern w:val="24"/>
                <w:sz w:val="22"/>
                <w:szCs w:val="22"/>
                <w:lang w:eastAsia="en-GB"/>
              </w:rPr>
              <w:t xml:space="preserve"> choose not to vaccinate their children.</w:t>
            </w:r>
          </w:p>
          <w:p w14:paraId="5D0DDE27" w14:textId="2EFA55C4" w:rsidR="00A47852" w:rsidRPr="00A47852" w:rsidRDefault="00ED46DD" w:rsidP="00ED46DD">
            <w:pPr>
              <w:pStyle w:val="Paragraph"/>
              <w:spacing w:before="120" w:after="120" w:line="240" w:lineRule="auto"/>
              <w:rPr>
                <w:highlight w:val="lightGray"/>
              </w:rPr>
            </w:pPr>
            <w:r w:rsidRPr="00ED46DD">
              <w:rPr>
                <w:rFonts w:cs="Arial"/>
                <w:color w:val="000000"/>
                <w:kern w:val="24"/>
                <w:sz w:val="22"/>
                <w:szCs w:val="22"/>
                <w:lang w:eastAsia="en-GB"/>
              </w:rPr>
              <w:t>Some data quality issues have been reported as part of the COVER collection, including missing data, late immunisations and systems in transition.</w:t>
            </w:r>
          </w:p>
        </w:tc>
        <w:tc>
          <w:tcPr>
            <w:tcW w:w="3118" w:type="dxa"/>
          </w:tcPr>
          <w:p w14:paraId="29FB2923" w14:textId="57BEB54E" w:rsidR="00A47852" w:rsidRPr="00A47852" w:rsidRDefault="00ED46DD" w:rsidP="00A47852">
            <w:pPr>
              <w:pStyle w:val="Paragraph"/>
              <w:spacing w:before="120" w:after="120" w:line="240" w:lineRule="auto"/>
              <w:rPr>
                <w:highlight w:val="lightGray"/>
              </w:rPr>
            </w:pPr>
            <w:r w:rsidRPr="00ED46DD">
              <w:rPr>
                <w:rFonts w:eastAsiaTheme="minorEastAsia" w:cs="Arial"/>
                <w:color w:val="000000" w:themeColor="dark1"/>
                <w:kern w:val="24"/>
                <w:sz w:val="22"/>
                <w:szCs w:val="22"/>
                <w:lang w:val="en-US"/>
              </w:rPr>
              <w:t>The indicator has an acceptable risk of unintended consequences. Care should be taken to respect patient choice and record personalised care adjustments accordingly.</w:t>
            </w:r>
          </w:p>
        </w:tc>
      </w:tr>
    </w:tbl>
    <w:p w14:paraId="017EA4B6" w14:textId="72819A2E" w:rsidR="002338EB" w:rsidRDefault="002338EB" w:rsidP="002338EB">
      <w:pPr>
        <w:pStyle w:val="Paragraph"/>
      </w:pPr>
    </w:p>
    <w:p w14:paraId="763A6D9B" w14:textId="48F79B0E" w:rsidR="006C3D61" w:rsidRDefault="006C3D61" w:rsidP="00BC67CC">
      <w:pPr>
        <w:pStyle w:val="Heading3"/>
      </w:pPr>
      <w:r>
        <w:t>NICE indicator advisory committee recommendation</w:t>
      </w:r>
    </w:p>
    <w:p w14:paraId="1743DB3A" w14:textId="7FE86775" w:rsidR="0077603D" w:rsidRPr="00407F14" w:rsidRDefault="0077603D" w:rsidP="00185AD4">
      <w:pPr>
        <w:pStyle w:val="Paragraph"/>
      </w:pPr>
      <w:r w:rsidRPr="00185AD4">
        <w:t xml:space="preserve">The NICE indicator advisory committee approved this indicator for publication on the menu. </w:t>
      </w:r>
    </w:p>
    <w:p w14:paraId="123085F8" w14:textId="46F76CC2" w:rsidR="00D73835" w:rsidRDefault="00D73835" w:rsidP="003605D5">
      <w:pPr>
        <w:pStyle w:val="Heading1"/>
      </w:pPr>
    </w:p>
    <w:sectPr w:rsidR="00D73835" w:rsidSect="00192B09">
      <w:headerReference w:type="default" r:id="rId13"/>
      <w:footerReference w:type="defaul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B07A" w14:textId="74385733" w:rsidR="00BB14CA" w:rsidRPr="008C1C95" w:rsidRDefault="009470D1" w:rsidP="008C1C95">
    <w:pPr>
      <w:pStyle w:val="Footer"/>
      <w:jc w:val="right"/>
    </w:pPr>
    <w:r>
      <w:t>NM197</w:t>
    </w:r>
    <w:r w:rsidR="009B0E59">
      <w:t xml:space="preserve">: Validity assessment </w:t>
    </w:r>
    <w:r>
      <w:t>September 2020</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BF3D4" w14:textId="77777777" w:rsidR="00BB14CA" w:rsidRDefault="00BB14CA" w:rsidP="00670FFB">
    <w:pPr>
      <w:pStyle w:val="Header"/>
      <w:tabs>
        <w:tab w:val="left" w:pos="2768"/>
        <w:tab w:val="center" w:pos="4156"/>
      </w:tabs>
      <w:jc w:val="center"/>
      <w:rPr>
        <w:b/>
        <w:color w:val="FF0000"/>
        <w:sz w:val="22"/>
        <w:szCs w:val="22"/>
      </w:rPr>
    </w:pPr>
  </w:p>
  <w:p w14:paraId="4B4DE189" w14:textId="595FDD5C" w:rsidR="00BB14CA" w:rsidRPr="007B665E" w:rsidRDefault="00BB14CA" w:rsidP="00670FFB">
    <w:pPr>
      <w:pStyle w:val="Header"/>
      <w:tabs>
        <w:tab w:val="left" w:pos="2768"/>
        <w:tab w:val="center" w:pos="4156"/>
      </w:tabs>
      <w:jc w:val="center"/>
      <w:rPr>
        <w:b/>
        <w:sz w:val="20"/>
        <w:szCs w:val="22"/>
      </w:rPr>
    </w:pPr>
    <w:r w:rsidRPr="007B665E">
      <w:rPr>
        <w:b/>
        <w:sz w:val="22"/>
        <w:szCs w:val="22"/>
      </w:rPr>
      <w:t>CONFIDENTIAL UNTIL PUBLISHED</w:t>
    </w: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2"/>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244"/>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97083"/>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58AA"/>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3F49"/>
    <w:rsid w:val="001859BA"/>
    <w:rsid w:val="00185AD4"/>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42EE"/>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2CEE"/>
    <w:rsid w:val="002B4762"/>
    <w:rsid w:val="002B565A"/>
    <w:rsid w:val="002B71D2"/>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37FFC"/>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E7850"/>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4430"/>
    <w:rsid w:val="00625AEE"/>
    <w:rsid w:val="00626635"/>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973C8"/>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B665E"/>
    <w:rsid w:val="007C1642"/>
    <w:rsid w:val="007C33F3"/>
    <w:rsid w:val="007C4561"/>
    <w:rsid w:val="007C4814"/>
    <w:rsid w:val="007C516A"/>
    <w:rsid w:val="007C6CFD"/>
    <w:rsid w:val="007D28D7"/>
    <w:rsid w:val="007D31FD"/>
    <w:rsid w:val="007D6547"/>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A7242"/>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0D1"/>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2A7F"/>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4EE5"/>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09B"/>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6DD"/>
    <w:rsid w:val="00ED4D08"/>
    <w:rsid w:val="00ED5834"/>
    <w:rsid w:val="00ED6AAF"/>
    <w:rsid w:val="00EE065C"/>
    <w:rsid w:val="00EE3926"/>
    <w:rsid w:val="00EE5D34"/>
    <w:rsid w:val="00EE776F"/>
    <w:rsid w:val="00EF319C"/>
    <w:rsid w:val="00EF3258"/>
    <w:rsid w:val="00EF7C4A"/>
    <w:rsid w:val="00F00846"/>
    <w:rsid w:val="00F02496"/>
    <w:rsid w:val="00F027E4"/>
    <w:rsid w:val="00F03E58"/>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ph2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gital.nhs.uk/data-and-information/publications/statistical/nhs-immunisation-statistics/england-2018-19" TargetMode="External"/><Relationship Id="rId12" Type="http://schemas.openxmlformats.org/officeDocument/2006/relationships/hyperlink" Target="https://www.gov.uk/government/collections/immunisation-against-infectious-disease-the-green-boo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statistics/cover-of-vaccination-evaluated-rapidly-cover-programme-2018-to-2019-quarterly-da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statistics/cover-of-vaccination-evaluated-rapidly-cover-programme-2018-to-2019-quarterly-data" TargetMode="External"/><Relationship Id="rId4" Type="http://schemas.openxmlformats.org/officeDocument/2006/relationships/webSettings" Target="webSettings.xml"/><Relationship Id="rId9" Type="http://schemas.openxmlformats.org/officeDocument/2006/relationships/hyperlink" Target="https://cks.nice.org.uk/immunizations-childhoo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6694</Characters>
  <Application>Microsoft Office Word</Application>
  <DocSecurity>0</DocSecurity>
  <Lines>55</Lines>
  <Paragraphs>15</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2020-11-02T17:24:00Z</dcterms:created>
  <dcterms:modified xsi:type="dcterms:W3CDTF">2020-11-02T17:25:00Z</dcterms:modified>
</cp:coreProperties>
</file>