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71CDE55E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CF32D9">
        <w:t>September 2020</w:t>
      </w:r>
    </w:p>
    <w:p w14:paraId="06BAB3FE" w14:textId="699174AE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680399">
        <w:t>May 2022</w:t>
      </w:r>
    </w:p>
    <w:p w14:paraId="6107852F" w14:textId="2164D591" w:rsidR="006F0A86" w:rsidRDefault="006F0A86" w:rsidP="00126C3F">
      <w:pPr>
        <w:pStyle w:val="Heading1"/>
      </w:pPr>
      <w:r w:rsidRPr="00126C3F">
        <w:t xml:space="preserve">Indicator </w:t>
      </w:r>
      <w:r w:rsidR="00397198">
        <w:t>NM199</w:t>
      </w:r>
    </w:p>
    <w:p w14:paraId="0A6C169D" w14:textId="4DB71C17" w:rsidR="00611A1D" w:rsidRPr="00611A1D" w:rsidRDefault="00CF32D9" w:rsidP="00611A1D">
      <w:pPr>
        <w:pStyle w:val="Paragraph"/>
      </w:pPr>
      <w:r>
        <w:t xml:space="preserve">The percentage of </w:t>
      </w:r>
      <w:r w:rsidR="00267943">
        <w:t xml:space="preserve">children who reached </w:t>
      </w:r>
      <w:r w:rsidR="00FC5565">
        <w:t>5</w:t>
      </w:r>
      <w:r w:rsidR="00267943">
        <w:t xml:space="preserve"> </w:t>
      </w:r>
      <w:r w:rsidR="00FC5565">
        <w:t>years</w:t>
      </w:r>
      <w:r w:rsidR="00267943">
        <w:t xml:space="preserve"> old in the preceding 12 months, who have received </w:t>
      </w:r>
      <w:r w:rsidR="00FC5565">
        <w:t>a reinforcing dose of DTaP/IPV and at least</w:t>
      </w:r>
      <w:r w:rsidR="00267943">
        <w:t xml:space="preserve"> </w:t>
      </w:r>
      <w:r w:rsidR="00FC5565">
        <w:t>2</w:t>
      </w:r>
      <w:r w:rsidR="00267943">
        <w:t xml:space="preserve"> dose</w:t>
      </w:r>
      <w:r w:rsidR="00FC5565">
        <w:t>s</w:t>
      </w:r>
      <w:r w:rsidR="00267943">
        <w:t xml:space="preserve"> of MMR </w:t>
      </w:r>
      <w:r w:rsidR="00A37DB2">
        <w:t>between</w:t>
      </w:r>
      <w:r w:rsidR="00845AB4">
        <w:t xml:space="preserve"> the ages of</w:t>
      </w:r>
      <w:r w:rsidR="00A37DB2">
        <w:t xml:space="preserve"> 1 and 5 years.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1F16E37E" w14:textId="54E70293" w:rsidR="00F6535D" w:rsidRPr="00926374" w:rsidRDefault="001C31E9" w:rsidP="008E7A29">
      <w:pPr>
        <w:pStyle w:val="Paragraph"/>
      </w:pPr>
      <w:r w:rsidRPr="00926374">
        <w:t>General practice indicator suitable for use in the Quality and Outcomes Framework.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1E70B03A" w14:textId="5ED2D1C0" w:rsidR="00267943" w:rsidRDefault="00FC5565" w:rsidP="00267943">
      <w:pPr>
        <w:pStyle w:val="Paragraphnonumbers"/>
      </w:pPr>
      <w:r>
        <w:t xml:space="preserve">DTaP/IPV is the vaccine that protects against diphtheria, tetanus, pertussis (whooping cough) and poliomyelitis. </w:t>
      </w:r>
      <w:r w:rsidR="00267943">
        <w:t xml:space="preserve">MMR is the combined vaccine that protects against measles, </w:t>
      </w:r>
      <w:proofErr w:type="gramStart"/>
      <w:r w:rsidR="00267943">
        <w:t>mumps</w:t>
      </w:r>
      <w:proofErr w:type="gramEnd"/>
      <w:r w:rsidR="00267943">
        <w:t xml:space="preserve"> and rubella. These are highly infectious conditions that can have serious </w:t>
      </w:r>
      <w:r>
        <w:t>complications.</w:t>
      </w:r>
      <w:r w:rsidR="00267943">
        <w:t xml:space="preserve"> The first MMR vaccine (MMR1) </w:t>
      </w:r>
      <w:r w:rsidR="00153844">
        <w:t xml:space="preserve">for children is due within a month of their first birthday </w:t>
      </w:r>
      <w:r w:rsidR="00267943">
        <w:t>as part of the routine vaccination schedule for England</w:t>
      </w:r>
      <w:r w:rsidR="00153844">
        <w:t>,</w:t>
      </w:r>
      <w:r w:rsidR="00267943">
        <w:t xml:space="preserve"> </w:t>
      </w:r>
      <w:r w:rsidR="00153844">
        <w:t xml:space="preserve">and a second dose (MMR2) is due at around 3 years and 4 months </w:t>
      </w:r>
      <w:r w:rsidR="00AD432C">
        <w:t>old</w:t>
      </w:r>
      <w:r w:rsidR="00153844">
        <w:t xml:space="preserve">. A reinforcing vaccination for protection against diphtheria, tetanus, pertussis and poliomyelitis is also due at around 3 years and 4 months </w:t>
      </w:r>
      <w:r w:rsidR="00AD432C">
        <w:t xml:space="preserve">old </w:t>
      </w:r>
      <w:r w:rsidR="00267943">
        <w:t>(</w:t>
      </w:r>
      <w:hyperlink r:id="rId7" w:history="1">
        <w:r w:rsidR="00FB21A8">
          <w:rPr>
            <w:rStyle w:val="Hyperlink"/>
          </w:rPr>
          <w:t>UK Health Security Agency</w:t>
        </w:r>
      </w:hyperlink>
      <w:r w:rsidR="00267943">
        <w:t xml:space="preserve"> 202</w:t>
      </w:r>
      <w:r w:rsidR="00FB21A8">
        <w:t>2</w:t>
      </w:r>
      <w:r w:rsidR="00267943">
        <w:t>).</w:t>
      </w:r>
    </w:p>
    <w:p w14:paraId="56F8F5B8" w14:textId="1E10AFF6" w:rsidR="009E7D17" w:rsidRDefault="009E7D17" w:rsidP="00EE354D">
      <w:pPr>
        <w:pStyle w:val="Paragraph"/>
      </w:pPr>
      <w:r>
        <w:t xml:space="preserve">The indicator supports </w:t>
      </w:r>
      <w:r w:rsidR="00153844">
        <w:t>immunisation</w:t>
      </w:r>
      <w:r>
        <w:t xml:space="preserve"> </w:t>
      </w:r>
      <w:r w:rsidR="00153844">
        <w:t>according to the routine immunisation schedule.</w:t>
      </w:r>
      <w:r>
        <w:t xml:space="preserve"> </w:t>
      </w:r>
      <w:r w:rsidR="005C7B13">
        <w:t>M</w:t>
      </w:r>
      <w:r>
        <w:t xml:space="preserve">easurement </w:t>
      </w:r>
      <w:r w:rsidR="005C7B13">
        <w:t>by</w:t>
      </w:r>
      <w:r>
        <w:t xml:space="preserve"> </w:t>
      </w:r>
      <w:r w:rsidR="00153844">
        <w:t xml:space="preserve">5 years </w:t>
      </w:r>
      <w:r>
        <w:t>o</w:t>
      </w:r>
      <w:r w:rsidR="00F51B49">
        <w:t>ld</w:t>
      </w:r>
      <w:r w:rsidR="00153844">
        <w:t xml:space="preserve"> aims to achieve full immunisation against these infectious diseases before children start school.</w:t>
      </w:r>
    </w:p>
    <w:p w14:paraId="6AF2D1B1" w14:textId="0DA5BBD0" w:rsidR="004C4ABD" w:rsidRPr="009E7D17" w:rsidRDefault="00D141B1" w:rsidP="009E7D17">
      <w:pPr>
        <w:pStyle w:val="Heading1"/>
        <w:rPr>
          <w:i/>
        </w:rPr>
      </w:pPr>
      <w:r w:rsidRPr="001F2B33">
        <w:lastRenderedPageBreak/>
        <w:t xml:space="preserve">Source guidance </w:t>
      </w:r>
    </w:p>
    <w:p w14:paraId="5A9B35C8" w14:textId="416FEFFC" w:rsidR="009E7D17" w:rsidRDefault="00680399" w:rsidP="009E7D17">
      <w:pPr>
        <w:pStyle w:val="Paragraphnonumbers"/>
      </w:pPr>
      <w:hyperlink r:id="rId8" w:history="1">
        <w:r>
          <w:rPr>
            <w:rStyle w:val="Hyperlink"/>
          </w:rPr>
          <w:t>Vaccine uptake in the general population</w:t>
        </w:r>
      </w:hyperlink>
      <w:r>
        <w:t xml:space="preserve"> (2022) NICE public health guideline </w:t>
      </w:r>
      <w:r w:rsidR="00FB21A8">
        <w:t>NG218</w:t>
      </w:r>
      <w:r>
        <w:t xml:space="preserve">, recommendations </w:t>
      </w:r>
      <w:r w:rsidR="003E649B">
        <w:t xml:space="preserve">1.2.3, </w:t>
      </w:r>
      <w:r>
        <w:t>1.2.9,</w:t>
      </w:r>
      <w:r w:rsidR="003E649B">
        <w:t xml:space="preserve"> 1.2.21,</w:t>
      </w:r>
      <w:r>
        <w:t xml:space="preserve"> 1.3.7, 1.3.8, 1.3.14, 1.3.15 and 1.3.16</w:t>
      </w:r>
      <w:r w:rsidR="009E7D17">
        <w:t>.</w:t>
      </w:r>
    </w:p>
    <w:p w14:paraId="05F2CB6C" w14:textId="58029CFB" w:rsidR="009E7D17" w:rsidRPr="009E7D17" w:rsidRDefault="00FB21A8" w:rsidP="009E7D17">
      <w:pPr>
        <w:pStyle w:val="Paragraphnonumbers"/>
        <w:rPr>
          <w:b/>
          <w:bCs/>
        </w:rPr>
      </w:pPr>
      <w:hyperlink r:id="rId9" w:history="1">
        <w:r w:rsidR="009E7D17" w:rsidRPr="00384238">
          <w:rPr>
            <w:rStyle w:val="Hyperlink"/>
          </w:rPr>
          <w:t>Immunizations – childhood</w:t>
        </w:r>
      </w:hyperlink>
      <w:r w:rsidR="009E7D17">
        <w:t xml:space="preserve"> (2020) NICE clinical knowledge summary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2834EB20" w:rsidR="0009195D" w:rsidRDefault="00D141B1" w:rsidP="00EE354D">
      <w:pPr>
        <w:pStyle w:val="Paragraph"/>
      </w:pPr>
      <w:r>
        <w:t xml:space="preserve">Numerator: </w:t>
      </w:r>
      <w:r w:rsidR="009E7D17">
        <w:t xml:space="preserve">The number in the denominator who </w:t>
      </w:r>
      <w:r w:rsidR="006D68D1">
        <w:t xml:space="preserve">have </w:t>
      </w:r>
      <w:r w:rsidR="009E7D17">
        <w:t xml:space="preserve">received </w:t>
      </w:r>
      <w:r w:rsidR="00153844">
        <w:t xml:space="preserve">a dose of DTaP/IPV and </w:t>
      </w:r>
      <w:r w:rsidR="006D68D1">
        <w:t xml:space="preserve">at least </w:t>
      </w:r>
      <w:r w:rsidR="00153844">
        <w:t>two</w:t>
      </w:r>
      <w:r w:rsidR="006D68D1">
        <w:t xml:space="preserve"> dose</w:t>
      </w:r>
      <w:r w:rsidR="00153844">
        <w:t>s</w:t>
      </w:r>
      <w:r w:rsidR="006D68D1">
        <w:t xml:space="preserve"> of MMR</w:t>
      </w:r>
      <w:r w:rsidR="009E7D17">
        <w:t xml:space="preserve"> </w:t>
      </w:r>
      <w:r w:rsidR="006D68D1">
        <w:t xml:space="preserve">between </w:t>
      </w:r>
      <w:r w:rsidR="00153844">
        <w:t>1 and 5 years</w:t>
      </w:r>
      <w:r w:rsidR="006D68D1">
        <w:t xml:space="preserve"> o</w:t>
      </w:r>
      <w:r w:rsidR="00F51B49">
        <w:t>ld</w:t>
      </w:r>
      <w:r w:rsidR="006D68D1">
        <w:t>.</w:t>
      </w:r>
      <w:r w:rsidR="0009195D" w:rsidRPr="0009195D">
        <w:t xml:space="preserve"> </w:t>
      </w:r>
    </w:p>
    <w:p w14:paraId="06B62F8F" w14:textId="6BED6629" w:rsidR="00D141B1" w:rsidRDefault="00D141B1" w:rsidP="00EE354D">
      <w:pPr>
        <w:pStyle w:val="Paragraph"/>
      </w:pPr>
      <w:r>
        <w:t xml:space="preserve">Denominator: </w:t>
      </w:r>
      <w:r w:rsidR="00BD4626">
        <w:t xml:space="preserve">The number of </w:t>
      </w:r>
      <w:r w:rsidR="006D68D1">
        <w:t>children</w:t>
      </w:r>
      <w:r w:rsidR="00BD4626">
        <w:t xml:space="preserve"> who reached </w:t>
      </w:r>
      <w:r w:rsidR="00153844">
        <w:t>5 years</w:t>
      </w:r>
      <w:r w:rsidR="00BD4626">
        <w:t xml:space="preserve"> old in the preceding 12 months.</w:t>
      </w:r>
    </w:p>
    <w:p w14:paraId="04501E11" w14:textId="6F359880" w:rsidR="0009195D" w:rsidRDefault="0009195D" w:rsidP="00EE354D">
      <w:pPr>
        <w:pStyle w:val="Paragraph"/>
      </w:pPr>
      <w:r>
        <w:t>Calculation:</w:t>
      </w:r>
      <w:r w:rsidR="00BD4626">
        <w:t xml:space="preserve"> </w:t>
      </w:r>
      <w:r w:rsidRPr="00BD4626">
        <w:t>(Numerator/denominator)</w:t>
      </w:r>
      <w:r w:rsidR="00BD4626">
        <w:t xml:space="preserve"> </w:t>
      </w:r>
      <w:r w:rsidRPr="00BD4626">
        <w:t>*100</w:t>
      </w:r>
    </w:p>
    <w:p w14:paraId="4A394E2D" w14:textId="77777777" w:rsidR="006D68D1" w:rsidRDefault="00D141B1" w:rsidP="00EE354D">
      <w:pPr>
        <w:pStyle w:val="Paragraph"/>
      </w:pPr>
      <w:r>
        <w:t xml:space="preserve">Exclusions: </w:t>
      </w:r>
    </w:p>
    <w:p w14:paraId="200701E0" w14:textId="6DC23C59" w:rsidR="00D141B1" w:rsidRDefault="006D68D1" w:rsidP="006D68D1">
      <w:pPr>
        <w:pStyle w:val="Paragraph"/>
        <w:numPr>
          <w:ilvl w:val="0"/>
          <w:numId w:val="39"/>
        </w:numPr>
      </w:pPr>
      <w:r>
        <w:t>Children</w:t>
      </w:r>
      <w:r w:rsidR="00BD4626">
        <w:t xml:space="preserve"> with a confirmed anaphylactic reaction to a previous dose of the vaccine</w:t>
      </w:r>
      <w:r w:rsidR="00153844">
        <w:t>s</w:t>
      </w:r>
      <w:r w:rsidR="00FA3591">
        <w:t xml:space="preserve"> or any component of the vaccines</w:t>
      </w:r>
      <w:r w:rsidR="00BD4626">
        <w:t>.</w:t>
      </w:r>
      <w:r w:rsidR="00DF45AD">
        <w:t xml:space="preserve"> </w:t>
      </w:r>
    </w:p>
    <w:p w14:paraId="62A09043" w14:textId="758CFAF3" w:rsidR="006D68D1" w:rsidRDefault="006D68D1" w:rsidP="006D68D1">
      <w:pPr>
        <w:pStyle w:val="Paragraph"/>
        <w:numPr>
          <w:ilvl w:val="0"/>
          <w:numId w:val="39"/>
        </w:numPr>
      </w:pPr>
      <w:r>
        <w:t>Children who are immunocompromised</w:t>
      </w:r>
      <w:r w:rsidR="00153844">
        <w:t>.</w:t>
      </w:r>
    </w:p>
    <w:p w14:paraId="15239063" w14:textId="5416132D" w:rsidR="00706451" w:rsidRDefault="00706451" w:rsidP="00EE354D">
      <w:pPr>
        <w:pStyle w:val="Paragraph"/>
      </w:pPr>
      <w:r>
        <w:t xml:space="preserve">Minimum population: </w:t>
      </w:r>
      <w:r w:rsidR="000D5395" w:rsidRPr="00BD4626">
        <w:t xml:space="preserve">The indicator would be appropriate </w:t>
      </w:r>
      <w:r w:rsidR="00391F4B" w:rsidRPr="00BD4626">
        <w:t xml:space="preserve">to assess performance </w:t>
      </w:r>
      <w:r w:rsidR="003B53D0" w:rsidRPr="00BD4626">
        <w:t xml:space="preserve">at </w:t>
      </w:r>
      <w:r w:rsidR="00391F4B" w:rsidRPr="00BD4626">
        <w:t>individual</w:t>
      </w:r>
      <w:r w:rsidR="000D5395" w:rsidRPr="00BD4626">
        <w:t xml:space="preserve"> general practice</w:t>
      </w:r>
      <w:r w:rsidR="00391F4B" w:rsidRPr="00BD4626">
        <w:t xml:space="preserve"> level</w:t>
      </w:r>
      <w:r w:rsidR="000D5395" w:rsidRPr="00BD4626">
        <w:t xml:space="preserve">. 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10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875C8" w14:textId="77777777" w:rsidR="00FA3591" w:rsidRDefault="00FA35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6530ED67" w:rsidR="00245B12" w:rsidRPr="00EA7F52" w:rsidRDefault="00D141B1" w:rsidP="00D141B1">
    <w:pPr>
      <w:pStyle w:val="Footer"/>
    </w:pPr>
    <w:r>
      <w:t xml:space="preserve">NICE indicator guidance: </w:t>
    </w:r>
    <w:r w:rsidR="00FA3591">
      <w:t>NM199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137B3" w14:textId="77777777" w:rsidR="00FA3591" w:rsidRDefault="00FA3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25969" w14:textId="77777777" w:rsidR="00FA3591" w:rsidRDefault="00FA3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0AAEF" w14:textId="77777777" w:rsidR="00FA3591" w:rsidRDefault="00FA35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648F" w14:textId="77777777" w:rsidR="00FA3591" w:rsidRDefault="00FA3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78249A"/>
    <w:multiLevelType w:val="hybridMultilevel"/>
    <w:tmpl w:val="CEF40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5272057">
    <w:abstractNumId w:val="23"/>
  </w:num>
  <w:num w:numId="2" w16cid:durableId="1696275350">
    <w:abstractNumId w:val="26"/>
  </w:num>
  <w:num w:numId="3" w16cid:durableId="694697169">
    <w:abstractNumId w:val="26"/>
    <w:lvlOverride w:ilvl="0">
      <w:startOverride w:val="1"/>
    </w:lvlOverride>
  </w:num>
  <w:num w:numId="4" w16cid:durableId="1960335911">
    <w:abstractNumId w:val="26"/>
    <w:lvlOverride w:ilvl="0">
      <w:startOverride w:val="1"/>
    </w:lvlOverride>
  </w:num>
  <w:num w:numId="5" w16cid:durableId="1719470207">
    <w:abstractNumId w:val="26"/>
    <w:lvlOverride w:ilvl="0">
      <w:startOverride w:val="1"/>
    </w:lvlOverride>
  </w:num>
  <w:num w:numId="6" w16cid:durableId="1046369511">
    <w:abstractNumId w:val="26"/>
    <w:lvlOverride w:ilvl="0">
      <w:startOverride w:val="1"/>
    </w:lvlOverride>
  </w:num>
  <w:num w:numId="7" w16cid:durableId="1866628564">
    <w:abstractNumId w:val="26"/>
    <w:lvlOverride w:ilvl="0">
      <w:startOverride w:val="1"/>
    </w:lvlOverride>
  </w:num>
  <w:num w:numId="8" w16cid:durableId="846364355">
    <w:abstractNumId w:val="9"/>
  </w:num>
  <w:num w:numId="9" w16cid:durableId="536360872">
    <w:abstractNumId w:val="7"/>
  </w:num>
  <w:num w:numId="10" w16cid:durableId="1854298051">
    <w:abstractNumId w:val="6"/>
  </w:num>
  <w:num w:numId="11" w16cid:durableId="1817407426">
    <w:abstractNumId w:val="5"/>
  </w:num>
  <w:num w:numId="12" w16cid:durableId="881745905">
    <w:abstractNumId w:val="4"/>
  </w:num>
  <w:num w:numId="13" w16cid:durableId="2137872839">
    <w:abstractNumId w:val="8"/>
  </w:num>
  <w:num w:numId="14" w16cid:durableId="1426029452">
    <w:abstractNumId w:val="3"/>
  </w:num>
  <w:num w:numId="15" w16cid:durableId="1199664595">
    <w:abstractNumId w:val="2"/>
  </w:num>
  <w:num w:numId="16" w16cid:durableId="1308702002">
    <w:abstractNumId w:val="1"/>
  </w:num>
  <w:num w:numId="17" w16cid:durableId="813522002">
    <w:abstractNumId w:val="0"/>
  </w:num>
  <w:num w:numId="18" w16cid:durableId="1804083694">
    <w:abstractNumId w:val="17"/>
  </w:num>
  <w:num w:numId="19" w16cid:durableId="1079213592">
    <w:abstractNumId w:val="17"/>
    <w:lvlOverride w:ilvl="0">
      <w:startOverride w:val="1"/>
    </w:lvlOverride>
  </w:num>
  <w:num w:numId="20" w16cid:durableId="1596399818">
    <w:abstractNumId w:val="12"/>
  </w:num>
  <w:num w:numId="21" w16cid:durableId="229119572">
    <w:abstractNumId w:val="14"/>
  </w:num>
  <w:num w:numId="22" w16cid:durableId="577666779">
    <w:abstractNumId w:val="18"/>
  </w:num>
  <w:num w:numId="23" w16cid:durableId="1484815914">
    <w:abstractNumId w:val="19"/>
  </w:num>
  <w:num w:numId="24" w16cid:durableId="229003023">
    <w:abstractNumId w:val="23"/>
  </w:num>
  <w:num w:numId="25" w16cid:durableId="237442489">
    <w:abstractNumId w:val="21"/>
  </w:num>
  <w:num w:numId="26" w16cid:durableId="1466853436">
    <w:abstractNumId w:val="28"/>
  </w:num>
  <w:num w:numId="27" w16cid:durableId="1074399003">
    <w:abstractNumId w:val="27"/>
  </w:num>
  <w:num w:numId="28" w16cid:durableId="320736537">
    <w:abstractNumId w:val="30"/>
  </w:num>
  <w:num w:numId="29" w16cid:durableId="1931546941">
    <w:abstractNumId w:val="15"/>
  </w:num>
  <w:num w:numId="30" w16cid:durableId="1990209371">
    <w:abstractNumId w:val="16"/>
  </w:num>
  <w:num w:numId="31" w16cid:durableId="189925987">
    <w:abstractNumId w:val="11"/>
  </w:num>
  <w:num w:numId="32" w16cid:durableId="102311489">
    <w:abstractNumId w:val="25"/>
  </w:num>
  <w:num w:numId="33" w16cid:durableId="1156149898">
    <w:abstractNumId w:val="29"/>
  </w:num>
  <w:num w:numId="34" w16cid:durableId="1569683895">
    <w:abstractNumId w:val="20"/>
  </w:num>
  <w:num w:numId="35" w16cid:durableId="2118480895">
    <w:abstractNumId w:val="10"/>
  </w:num>
  <w:num w:numId="36" w16cid:durableId="1093862947">
    <w:abstractNumId w:val="23"/>
  </w:num>
  <w:num w:numId="37" w16cid:durableId="214706142">
    <w:abstractNumId w:val="24"/>
  </w:num>
  <w:num w:numId="38" w16cid:durableId="1985114611">
    <w:abstractNumId w:val="22"/>
  </w:num>
  <w:num w:numId="39" w16cid:durableId="7812708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93970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42407"/>
    <w:rsid w:val="00153844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67943"/>
    <w:rsid w:val="00276273"/>
    <w:rsid w:val="002819D7"/>
    <w:rsid w:val="002826F0"/>
    <w:rsid w:val="00292F85"/>
    <w:rsid w:val="002A31EA"/>
    <w:rsid w:val="002A6398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97198"/>
    <w:rsid w:val="003B53D0"/>
    <w:rsid w:val="003C7AAF"/>
    <w:rsid w:val="003D61BE"/>
    <w:rsid w:val="003D6D57"/>
    <w:rsid w:val="003E1C96"/>
    <w:rsid w:val="003E38A5"/>
    <w:rsid w:val="003E649B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068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C7B13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0817"/>
    <w:rsid w:val="006628FD"/>
    <w:rsid w:val="00662ABE"/>
    <w:rsid w:val="00677315"/>
    <w:rsid w:val="00680399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68D1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36DC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45AB4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374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E7D17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37DB2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32C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4626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32D9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1B49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3591"/>
    <w:rsid w:val="00FA5251"/>
    <w:rsid w:val="00FB21A8"/>
    <w:rsid w:val="00FB4668"/>
    <w:rsid w:val="00FB5253"/>
    <w:rsid w:val="00FC25A2"/>
    <w:rsid w:val="00FC2D11"/>
    <w:rsid w:val="00FC3A0E"/>
    <w:rsid w:val="00FC5565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21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the-complete-routine-immunisation-schedul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nice.org.uk/Standards-and-Indicators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ks.nice.org.uk/immunizations-childhoo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2022-05-09T15:25:00Z</dcterms:created>
  <dcterms:modified xsi:type="dcterms:W3CDTF">2022-05-09T15:25:00Z</dcterms:modified>
</cp:coreProperties>
</file>