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1121D3A1" w:rsidR="009B0E59" w:rsidRPr="009B0E59" w:rsidRDefault="009B0E59" w:rsidP="00363276">
      <w:pPr>
        <w:pStyle w:val="Heading3"/>
        <w:rPr>
          <w:lang w:eastAsia="en-GB"/>
        </w:rPr>
      </w:pPr>
      <w:r w:rsidRPr="009B0E59">
        <w:rPr>
          <w:lang w:eastAsia="en-GB"/>
        </w:rPr>
        <w:t xml:space="preserve">Indicator </w:t>
      </w:r>
      <w:r w:rsidR="00BD6B64">
        <w:rPr>
          <w:lang w:eastAsia="en-GB"/>
        </w:rPr>
        <w:t>NM200</w:t>
      </w:r>
    </w:p>
    <w:p w14:paraId="035F8373" w14:textId="4D1C7152" w:rsidR="009B0E59" w:rsidRDefault="00F05C76" w:rsidP="009B0E59">
      <w:pPr>
        <w:pStyle w:val="Paragraph"/>
        <w:rPr>
          <w:lang w:eastAsia="en-GB"/>
        </w:rPr>
      </w:pPr>
      <w:r>
        <w:rPr>
          <w:lang w:eastAsia="en-GB"/>
        </w:rPr>
        <w:t>The percentage of children who reached 5 years old in the preceding 12 months, who have received 1 dose of MMR between the ages of 1 and 5 years.</w:t>
      </w:r>
    </w:p>
    <w:p w14:paraId="7C25BFBC" w14:textId="6384F6F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77A8A6D8" w14:textId="77777777" w:rsidR="00F05C76" w:rsidRPr="00F05C76" w:rsidRDefault="00F05C76" w:rsidP="00F05C76">
            <w:pPr>
              <w:spacing w:before="120" w:after="120"/>
              <w:rPr>
                <w:rFonts w:ascii="Arial" w:hAnsi="Arial" w:cs="Arial"/>
                <w:sz w:val="22"/>
                <w:szCs w:val="22"/>
              </w:rPr>
            </w:pPr>
            <w:r w:rsidRPr="00F05C76">
              <w:rPr>
                <w:rFonts w:ascii="Arial" w:hAnsi="Arial" w:cs="Arial"/>
                <w:sz w:val="22"/>
                <w:szCs w:val="22"/>
              </w:rPr>
              <w:t>The Department of Health and Social Care (DHSC) will publish a vaccination strategy in Autumn 2020 to maintain and develop the UK immunisation programme.</w:t>
            </w:r>
          </w:p>
          <w:p w14:paraId="1C15A2EF" w14:textId="5BA04A1C" w:rsidR="00F05C76" w:rsidRPr="00F05C76" w:rsidRDefault="00F05C76" w:rsidP="00F05C76">
            <w:pPr>
              <w:spacing w:before="120" w:after="120"/>
              <w:rPr>
                <w:rFonts w:ascii="Arial" w:hAnsi="Arial" w:cs="Arial"/>
                <w:sz w:val="22"/>
                <w:szCs w:val="22"/>
              </w:rPr>
            </w:pPr>
            <w:r w:rsidRPr="00F05C76">
              <w:rPr>
                <w:rFonts w:ascii="Arial" w:hAnsi="Arial" w:cs="Arial"/>
                <w:sz w:val="22"/>
                <w:szCs w:val="22"/>
              </w:rPr>
              <w:t xml:space="preserve">The first MMR vaccine (MMR1) is given as part of the routine vaccination schedule for England within a month of </w:t>
            </w:r>
            <w:r w:rsidR="003C5BC1">
              <w:rPr>
                <w:rFonts w:ascii="Arial" w:hAnsi="Arial" w:cs="Arial"/>
                <w:sz w:val="22"/>
                <w:szCs w:val="22"/>
              </w:rPr>
              <w:t>the</w:t>
            </w:r>
            <w:r w:rsidRPr="00F05C76">
              <w:rPr>
                <w:rFonts w:ascii="Arial" w:hAnsi="Arial" w:cs="Arial"/>
                <w:sz w:val="22"/>
                <w:szCs w:val="22"/>
              </w:rPr>
              <w:t xml:space="preserve"> first birthday. </w:t>
            </w:r>
          </w:p>
          <w:p w14:paraId="6F338971" w14:textId="0518650C" w:rsidR="002338EB" w:rsidRPr="002338EB" w:rsidRDefault="00F05C76" w:rsidP="00F05C76">
            <w:pPr>
              <w:pStyle w:val="Paragraph"/>
              <w:spacing w:before="120" w:after="120" w:line="240" w:lineRule="auto"/>
              <w:rPr>
                <w:highlight w:val="lightGray"/>
              </w:rPr>
            </w:pPr>
            <w:r w:rsidRPr="00F05C76">
              <w:rPr>
                <w:rFonts w:cs="Arial"/>
                <w:sz w:val="22"/>
                <w:szCs w:val="22"/>
              </w:rPr>
              <w:t>Routine childhood immunisations are part of the general medical services (GMS) contract.</w:t>
            </w:r>
          </w:p>
        </w:tc>
        <w:tc>
          <w:tcPr>
            <w:tcW w:w="3118" w:type="dxa"/>
          </w:tcPr>
          <w:p w14:paraId="272CA0EC" w14:textId="12C08715" w:rsidR="002338EB" w:rsidRPr="002338EB" w:rsidRDefault="00F05C76" w:rsidP="002338EB">
            <w:pPr>
              <w:pStyle w:val="Paragraph"/>
              <w:spacing w:before="120" w:after="120" w:line="240" w:lineRule="auto"/>
              <w:rPr>
                <w:highlight w:val="lightGray"/>
              </w:rPr>
            </w:pPr>
            <w:r w:rsidRPr="00F05C76">
              <w:rPr>
                <w:rFonts w:cs="Arial"/>
                <w:color w:val="000000"/>
                <w:kern w:val="24"/>
                <w:sz w:val="22"/>
                <w:szCs w:val="22"/>
                <w:lang w:val="en-US"/>
              </w:rPr>
              <w:t>The indicator reflects a specific priority area identified by the DHSC.</w:t>
            </w:r>
          </w:p>
        </w:tc>
      </w:tr>
      <w:tr w:rsidR="00735337" w14:paraId="2E2CE1C4" w14:textId="77777777" w:rsidTr="002338EB">
        <w:tc>
          <w:tcPr>
            <w:tcW w:w="5949" w:type="dxa"/>
          </w:tcPr>
          <w:p w14:paraId="378D38FD" w14:textId="386D9B89" w:rsidR="00735337" w:rsidRPr="002338EB" w:rsidRDefault="00F05C76" w:rsidP="00735337">
            <w:pPr>
              <w:pStyle w:val="Paragraph"/>
              <w:spacing w:before="120" w:after="120" w:line="240" w:lineRule="auto"/>
              <w:rPr>
                <w:highlight w:val="lightGray"/>
              </w:rPr>
            </w:pPr>
            <w:r w:rsidRPr="00F05C76">
              <w:rPr>
                <w:rFonts w:cs="Arial"/>
                <w:sz w:val="22"/>
                <w:szCs w:val="22"/>
              </w:rPr>
              <w:t xml:space="preserve">2018-19 data from </w:t>
            </w:r>
            <w:hyperlink r:id="rId7" w:history="1">
              <w:r w:rsidRPr="00F05C76">
                <w:rPr>
                  <w:rStyle w:val="Hyperlink"/>
                  <w:rFonts w:cs="Arial"/>
                  <w:sz w:val="22"/>
                  <w:szCs w:val="22"/>
                </w:rPr>
                <w:t>NHS Digital and PHE</w:t>
              </w:r>
            </w:hyperlink>
            <w:r w:rsidRPr="00F05C76">
              <w:rPr>
                <w:rFonts w:cs="Arial"/>
                <w:sz w:val="22"/>
                <w:szCs w:val="22"/>
              </w:rPr>
              <w:t xml:space="preserve"> shows 94.5% national coverage for MMR1 at 5 years of age. Regional coverage reported by local authority ranged from 90.4% (London) to 96.6% (North East) (NHS Digital, 2019).</w:t>
            </w:r>
          </w:p>
        </w:tc>
        <w:tc>
          <w:tcPr>
            <w:tcW w:w="3118" w:type="dxa"/>
          </w:tcPr>
          <w:p w14:paraId="3E91D1FC" w14:textId="77777777" w:rsidR="00F05C76" w:rsidRPr="00F05C76" w:rsidRDefault="00F05C76" w:rsidP="00F05C76">
            <w:pPr>
              <w:spacing w:before="120" w:after="120"/>
              <w:rPr>
                <w:rFonts w:ascii="Arial" w:hAnsi="Arial" w:cs="Arial"/>
                <w:color w:val="000000"/>
                <w:kern w:val="24"/>
                <w:sz w:val="22"/>
                <w:szCs w:val="22"/>
                <w:lang w:val="en-US"/>
              </w:rPr>
            </w:pPr>
            <w:r w:rsidRPr="00F05C76">
              <w:rPr>
                <w:rFonts w:ascii="Arial" w:hAnsi="Arial" w:cs="Arial"/>
                <w:color w:val="000000"/>
                <w:kern w:val="24"/>
                <w:sz w:val="22"/>
                <w:szCs w:val="22"/>
                <w:lang w:val="en-US"/>
              </w:rPr>
              <w:t>The indicator relates to an area where there is known variation in practice.</w:t>
            </w:r>
          </w:p>
          <w:p w14:paraId="3FD01E72" w14:textId="7B317494" w:rsidR="00735337" w:rsidRPr="002338EB" w:rsidRDefault="00F05C76" w:rsidP="00F05C76">
            <w:pPr>
              <w:pStyle w:val="Paragraph"/>
              <w:spacing w:before="120" w:after="120" w:line="240" w:lineRule="auto"/>
              <w:rPr>
                <w:highlight w:val="lightGray"/>
              </w:rPr>
            </w:pPr>
            <w:r w:rsidRPr="00F05C76">
              <w:rPr>
                <w:rFonts w:cs="Arial"/>
                <w:color w:val="000000"/>
                <w:kern w:val="24"/>
                <w:sz w:val="22"/>
                <w:szCs w:val="22"/>
                <w:lang w:val="en-US"/>
              </w:rPr>
              <w:t>The indicator addresses under-treatment.</w:t>
            </w:r>
          </w:p>
        </w:tc>
      </w:tr>
      <w:tr w:rsidR="00735337" w14:paraId="373D8AA4" w14:textId="77777777" w:rsidTr="002338EB">
        <w:tc>
          <w:tcPr>
            <w:tcW w:w="5949" w:type="dxa"/>
          </w:tcPr>
          <w:p w14:paraId="40A2EA38" w14:textId="458759E9" w:rsidR="00735337" w:rsidRPr="00AB6032" w:rsidRDefault="009D5EBA" w:rsidP="00735337">
            <w:pPr>
              <w:spacing w:before="120" w:after="120"/>
              <w:rPr>
                <w:rFonts w:ascii="Arial" w:hAnsi="Arial" w:cs="Arial"/>
                <w:sz w:val="22"/>
                <w:szCs w:val="22"/>
                <w:highlight w:val="cyan"/>
              </w:rPr>
            </w:pPr>
            <w:r w:rsidRPr="009D5EBA">
              <w:rPr>
                <w:rFonts w:ascii="Arial" w:hAnsi="Arial" w:cs="Arial"/>
                <w:sz w:val="22"/>
                <w:szCs w:val="22"/>
              </w:rPr>
              <w:t>MMR is the combined vaccine that protects against measles, mumps and rubella. These are highly infectious common conditions that can have serious complications such as meningitis, encephalitis and deafness.</w:t>
            </w:r>
          </w:p>
        </w:tc>
        <w:tc>
          <w:tcPr>
            <w:tcW w:w="3118" w:type="dxa"/>
          </w:tcPr>
          <w:p w14:paraId="45004AAC" w14:textId="1AA517B9" w:rsidR="00735337" w:rsidRPr="002338EB" w:rsidRDefault="009D5EBA" w:rsidP="00735337">
            <w:pPr>
              <w:spacing w:before="120" w:after="120"/>
              <w:rPr>
                <w:rFonts w:ascii="Arial" w:hAnsi="Arial" w:cs="Arial"/>
                <w:color w:val="000000"/>
                <w:kern w:val="24"/>
                <w:sz w:val="22"/>
                <w:szCs w:val="22"/>
                <w:highlight w:val="lightGray"/>
                <w:lang w:val="en-US"/>
              </w:rPr>
            </w:pPr>
            <w:r w:rsidRPr="009D5EBA">
              <w:rPr>
                <w:rFonts w:ascii="Arial" w:hAnsi="Arial" w:cs="Arial"/>
                <w:color w:val="000000"/>
                <w:kern w:val="24"/>
                <w:sz w:val="22"/>
                <w:szCs w:val="22"/>
                <w:lang w:val="en-US"/>
              </w:rPr>
              <w:t>The indicator will lead to a meaningful improvement in patient outcomes.</w:t>
            </w:r>
          </w:p>
        </w:tc>
      </w:tr>
      <w:bookmarkEnd w:id="1"/>
    </w:tbl>
    <w:p w14:paraId="7408AD42" w14:textId="77777777" w:rsidR="002338EB" w:rsidRDefault="002338EB" w:rsidP="002338EB">
      <w:pPr>
        <w:pStyle w:val="Heading3"/>
      </w:pPr>
    </w:p>
    <w:p w14:paraId="5BA69987" w14:textId="6FA6FB6E"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0C0900B" w14:textId="40383E95" w:rsidR="009D5EBA" w:rsidRPr="009D5EBA" w:rsidRDefault="00266684" w:rsidP="009D5EBA">
            <w:pPr>
              <w:spacing w:before="120" w:after="120"/>
              <w:rPr>
                <w:rFonts w:ascii="Arial" w:hAnsi="Arial" w:cs="Arial"/>
                <w:color w:val="000000"/>
                <w:kern w:val="24"/>
                <w:sz w:val="22"/>
                <w:szCs w:val="22"/>
                <w:lang w:eastAsia="en-GB"/>
              </w:rPr>
            </w:pPr>
            <w:hyperlink r:id="rId8" w:history="1">
              <w:r w:rsidR="009D5EBA" w:rsidRPr="009D5EBA">
                <w:rPr>
                  <w:rStyle w:val="Hyperlink"/>
                  <w:rFonts w:ascii="Arial" w:hAnsi="Arial" w:cs="Arial"/>
                  <w:kern w:val="24"/>
                  <w:sz w:val="22"/>
                  <w:szCs w:val="22"/>
                  <w:lang w:eastAsia="en-GB"/>
                </w:rPr>
                <w:t>Immunisations: reducing differences in uptake in under 19s</w:t>
              </w:r>
            </w:hyperlink>
            <w:r w:rsidR="009D5EBA" w:rsidRPr="009D5EBA">
              <w:rPr>
                <w:rFonts w:ascii="Arial" w:hAnsi="Arial" w:cs="Arial"/>
                <w:color w:val="000000"/>
                <w:kern w:val="24"/>
                <w:sz w:val="22"/>
                <w:szCs w:val="22"/>
                <w:lang w:eastAsia="en-GB"/>
              </w:rPr>
              <w:t xml:space="preserve"> (2009, updated 2017) NICE public health guideline PH21, recommendations 1, 2 and 3</w:t>
            </w:r>
          </w:p>
          <w:p w14:paraId="1359C26D" w14:textId="4383023C" w:rsidR="002338EB" w:rsidRPr="002338EB" w:rsidRDefault="00266684" w:rsidP="009D5EBA">
            <w:pPr>
              <w:pStyle w:val="Paragraph"/>
              <w:spacing w:before="120" w:after="120" w:line="240" w:lineRule="auto"/>
              <w:rPr>
                <w:highlight w:val="lightGray"/>
              </w:rPr>
            </w:pPr>
            <w:hyperlink r:id="rId9" w:history="1">
              <w:r w:rsidR="009D5EBA" w:rsidRPr="009D5EBA">
                <w:rPr>
                  <w:rStyle w:val="Hyperlink"/>
                  <w:rFonts w:cs="Arial"/>
                  <w:kern w:val="24"/>
                  <w:sz w:val="22"/>
                  <w:szCs w:val="22"/>
                  <w:lang w:eastAsia="en-GB"/>
                </w:rPr>
                <w:t>Immunizations – childhood</w:t>
              </w:r>
            </w:hyperlink>
            <w:r w:rsidR="009D5EBA" w:rsidRPr="009D5EBA">
              <w:rPr>
                <w:rFonts w:cs="Arial"/>
                <w:color w:val="000000"/>
                <w:kern w:val="24"/>
                <w:sz w:val="22"/>
                <w:szCs w:val="22"/>
                <w:lang w:eastAsia="en-GB"/>
              </w:rPr>
              <w:t xml:space="preserve"> (2020) NICE clinical knowledge summary</w:t>
            </w:r>
          </w:p>
        </w:tc>
        <w:tc>
          <w:tcPr>
            <w:tcW w:w="3118" w:type="dxa"/>
          </w:tcPr>
          <w:p w14:paraId="7D44A925" w14:textId="77777777" w:rsidR="009D5EBA" w:rsidRPr="009D5EBA" w:rsidRDefault="009D5EBA" w:rsidP="009D5EBA">
            <w:pPr>
              <w:spacing w:before="120" w:after="120"/>
              <w:rPr>
                <w:rFonts w:ascii="Arial" w:eastAsiaTheme="minorEastAsia" w:hAnsi="Arial" w:cs="Arial"/>
                <w:color w:val="000000" w:themeColor="dark1"/>
                <w:kern w:val="24"/>
                <w:sz w:val="22"/>
                <w:szCs w:val="22"/>
                <w:lang w:val="en-US"/>
              </w:rPr>
            </w:pPr>
            <w:r w:rsidRPr="009D5EBA">
              <w:rPr>
                <w:rFonts w:ascii="Arial" w:eastAsiaTheme="minorEastAsia" w:hAnsi="Arial" w:cs="Arial"/>
                <w:color w:val="000000" w:themeColor="dark1"/>
                <w:kern w:val="24"/>
                <w:sz w:val="22"/>
                <w:szCs w:val="22"/>
                <w:lang w:val="en-US"/>
              </w:rPr>
              <w:t xml:space="preserve">The indicator is derived from a high-quality evidence base. </w:t>
            </w:r>
          </w:p>
          <w:p w14:paraId="75848804" w14:textId="24017BF0" w:rsidR="002338EB" w:rsidRPr="002338EB" w:rsidRDefault="009D5EBA" w:rsidP="009D5EBA">
            <w:pPr>
              <w:pStyle w:val="Paragraph"/>
              <w:spacing w:before="120" w:after="120" w:line="240" w:lineRule="auto"/>
              <w:rPr>
                <w:highlight w:val="lightGray"/>
              </w:rPr>
            </w:pPr>
            <w:r w:rsidRPr="009D5EBA">
              <w:rPr>
                <w:rFonts w:eastAsiaTheme="minorEastAsia" w:cs="Arial"/>
                <w:color w:val="000000" w:themeColor="dark1"/>
                <w:kern w:val="24"/>
                <w:sz w:val="22"/>
                <w:szCs w:val="22"/>
                <w:lang w:val="en-US"/>
              </w:rPr>
              <w:t xml:space="preserve">The indicator </w:t>
            </w:r>
            <w:r>
              <w:rPr>
                <w:rFonts w:eastAsiaTheme="minorEastAsia" w:cs="Arial"/>
                <w:color w:val="000000" w:themeColor="dark1"/>
                <w:kern w:val="24"/>
                <w:sz w:val="22"/>
                <w:szCs w:val="22"/>
                <w:lang w:val="en-US"/>
              </w:rPr>
              <w:t xml:space="preserve">measures receipt of the first dose of MMR between 1 and 5 years of age although the immunisation schedule states that this is due within 1 month of the first birthday. </w:t>
            </w:r>
            <w:r>
              <w:rPr>
                <w:rFonts w:eastAsiaTheme="minorEastAsia" w:cs="Arial"/>
                <w:color w:val="000000" w:themeColor="dark1"/>
                <w:kern w:val="24"/>
                <w:sz w:val="22"/>
                <w:szCs w:val="22"/>
                <w:lang w:val="en-US"/>
              </w:rPr>
              <w:lastRenderedPageBreak/>
              <w:t xml:space="preserve">Measurement by 5 years old </w:t>
            </w:r>
            <w:r w:rsidR="00AE26A2">
              <w:rPr>
                <w:rFonts w:eastAsiaTheme="minorEastAsia" w:cs="Arial"/>
                <w:color w:val="000000" w:themeColor="dark1"/>
                <w:kern w:val="24"/>
                <w:sz w:val="22"/>
                <w:szCs w:val="22"/>
                <w:lang w:val="en-US"/>
              </w:rPr>
              <w:t>aims to encourage vaccination in those children who have missed the first dose to give protection before they start school.</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BEFABA" w14:textId="3943C34D" w:rsidR="002338EB" w:rsidRPr="00AE26A2" w:rsidRDefault="002338EB" w:rsidP="002338EB">
            <w:pPr>
              <w:spacing w:before="120" w:after="120"/>
              <w:rPr>
                <w:rFonts w:ascii="Arial" w:hAnsi="Arial" w:cs="Arial"/>
                <w:color w:val="000000"/>
                <w:kern w:val="24"/>
                <w:sz w:val="22"/>
                <w:szCs w:val="22"/>
              </w:rPr>
            </w:pPr>
            <w:r w:rsidRPr="00AE26A2">
              <w:rPr>
                <w:rFonts w:ascii="Arial" w:hAnsi="Arial" w:cs="Arial"/>
                <w:color w:val="000000"/>
                <w:kern w:val="24"/>
                <w:sz w:val="22"/>
                <w:szCs w:val="22"/>
              </w:rPr>
              <w:t xml:space="preserve">Numerator: </w:t>
            </w:r>
            <w:r w:rsidR="00AE26A2" w:rsidRPr="00AE26A2">
              <w:rPr>
                <w:rFonts w:ascii="Arial" w:hAnsi="Arial" w:cs="Arial"/>
                <w:color w:val="000000"/>
                <w:kern w:val="24"/>
                <w:sz w:val="22"/>
                <w:szCs w:val="22"/>
              </w:rPr>
              <w:t xml:space="preserve">The number in the denominator who have received one dose of MMR </w:t>
            </w:r>
            <w:r w:rsidR="003C5BC1">
              <w:rPr>
                <w:rFonts w:ascii="Arial" w:hAnsi="Arial" w:cs="Arial"/>
                <w:color w:val="000000"/>
                <w:kern w:val="24"/>
                <w:sz w:val="22"/>
                <w:szCs w:val="22"/>
              </w:rPr>
              <w:t>between</w:t>
            </w:r>
            <w:r w:rsidR="00AE26A2" w:rsidRPr="00AE26A2">
              <w:rPr>
                <w:rFonts w:ascii="Arial" w:hAnsi="Arial" w:cs="Arial"/>
                <w:color w:val="000000"/>
                <w:kern w:val="24"/>
                <w:sz w:val="22"/>
                <w:szCs w:val="22"/>
              </w:rPr>
              <w:t xml:space="preserve"> 1 and 5 years old.</w:t>
            </w:r>
          </w:p>
          <w:p w14:paraId="424261B6" w14:textId="437536D7" w:rsidR="002338EB" w:rsidRDefault="002338EB" w:rsidP="002338EB">
            <w:pPr>
              <w:pStyle w:val="Paragraph"/>
              <w:spacing w:before="120" w:after="120" w:line="240" w:lineRule="auto"/>
              <w:rPr>
                <w:rFonts w:cs="Arial"/>
                <w:color w:val="000000"/>
                <w:kern w:val="24"/>
                <w:sz w:val="22"/>
                <w:szCs w:val="22"/>
              </w:rPr>
            </w:pPr>
            <w:r w:rsidRPr="00AE26A2">
              <w:rPr>
                <w:rFonts w:cs="Arial"/>
                <w:color w:val="000000"/>
                <w:kern w:val="24"/>
                <w:sz w:val="22"/>
                <w:szCs w:val="22"/>
              </w:rPr>
              <w:t xml:space="preserve">Denominator: </w:t>
            </w:r>
            <w:r w:rsidR="00AE26A2" w:rsidRPr="00AE26A2">
              <w:rPr>
                <w:rFonts w:cs="Arial"/>
                <w:color w:val="000000"/>
                <w:kern w:val="24"/>
                <w:sz w:val="22"/>
                <w:szCs w:val="22"/>
              </w:rPr>
              <w:t>The number of children who reached 5 years</w:t>
            </w:r>
            <w:r w:rsidRPr="00AE26A2">
              <w:rPr>
                <w:rFonts w:cs="Arial"/>
                <w:color w:val="000000"/>
                <w:kern w:val="24"/>
                <w:sz w:val="22"/>
                <w:szCs w:val="22"/>
              </w:rPr>
              <w:t xml:space="preserve"> </w:t>
            </w:r>
            <w:r w:rsidR="00AE26A2" w:rsidRPr="00AE26A2">
              <w:rPr>
                <w:rFonts w:cs="Arial"/>
                <w:color w:val="000000"/>
                <w:kern w:val="24"/>
                <w:sz w:val="22"/>
                <w:szCs w:val="22"/>
              </w:rPr>
              <w:t>old in the preceding 12 months.</w:t>
            </w:r>
          </w:p>
          <w:p w14:paraId="02C5B412" w14:textId="300686A2" w:rsidR="00AE26A2" w:rsidRPr="00AE26A2" w:rsidRDefault="00AE26A2" w:rsidP="002338EB">
            <w:pPr>
              <w:pStyle w:val="Paragraph"/>
              <w:spacing w:before="120" w:after="120" w:line="240" w:lineRule="auto"/>
              <w:rPr>
                <w:rFonts w:cs="Arial"/>
                <w:color w:val="000000"/>
                <w:kern w:val="24"/>
                <w:sz w:val="22"/>
                <w:szCs w:val="22"/>
              </w:rPr>
            </w:pPr>
            <w:r w:rsidRPr="00AE26A2">
              <w:rPr>
                <w:rFonts w:cs="Arial"/>
                <w:color w:val="000000"/>
                <w:kern w:val="24"/>
                <w:sz w:val="22"/>
                <w:szCs w:val="22"/>
              </w:rPr>
              <w:t xml:space="preserve">Exclusions: </w:t>
            </w:r>
            <w:r w:rsidR="003C5BC1">
              <w:rPr>
                <w:rFonts w:cs="Arial"/>
                <w:color w:val="000000"/>
                <w:kern w:val="24"/>
                <w:sz w:val="22"/>
                <w:szCs w:val="22"/>
              </w:rPr>
              <w:t>Children</w:t>
            </w:r>
            <w:r w:rsidRPr="00AE26A2">
              <w:rPr>
                <w:rFonts w:cs="Arial"/>
                <w:color w:val="000000"/>
                <w:kern w:val="24"/>
                <w:sz w:val="22"/>
                <w:szCs w:val="22"/>
              </w:rPr>
              <w:t xml:space="preserve"> with a confirmed anaphylactic reaction to a previous dose of the vaccine or any component of the vaccine.</w:t>
            </w:r>
            <w:r w:rsidR="003C5BC1">
              <w:rPr>
                <w:rFonts w:cs="Arial"/>
                <w:color w:val="000000"/>
                <w:kern w:val="24"/>
                <w:sz w:val="22"/>
                <w:szCs w:val="22"/>
              </w:rPr>
              <w:t xml:space="preserve"> Children who are immunocompromised.</w:t>
            </w:r>
          </w:p>
          <w:p w14:paraId="1A8C1D16" w14:textId="5DEC032B" w:rsidR="00735337" w:rsidRPr="002338EB" w:rsidRDefault="00735337" w:rsidP="002338EB">
            <w:pPr>
              <w:pStyle w:val="Paragraph"/>
              <w:spacing w:before="120" w:after="120" w:line="240" w:lineRule="auto"/>
              <w:rPr>
                <w:highlight w:val="lightGray"/>
              </w:rPr>
            </w:pPr>
          </w:p>
        </w:tc>
        <w:tc>
          <w:tcPr>
            <w:tcW w:w="3118" w:type="dxa"/>
          </w:tcPr>
          <w:p w14:paraId="0C449702" w14:textId="7125EC66" w:rsidR="002338EB" w:rsidRPr="002338EB" w:rsidRDefault="00AE26A2" w:rsidP="002338EB">
            <w:pPr>
              <w:pStyle w:val="Paragraph"/>
              <w:spacing w:before="120" w:after="120" w:line="240" w:lineRule="auto"/>
              <w:rPr>
                <w:highlight w:val="lightGray"/>
              </w:rPr>
            </w:pPr>
            <w:r w:rsidRPr="00AE26A2">
              <w:rPr>
                <w:rFonts w:eastAsiaTheme="minorEastAsia" w:cs="Arial"/>
                <w:color w:val="000000" w:themeColor="dark1"/>
                <w:kern w:val="24"/>
                <w:sz w:val="22"/>
                <w:szCs w:val="22"/>
                <w:lang w:val="en-US"/>
              </w:rPr>
              <w:t>The indicator has defined components necessary to construct the indicator, including numerator, denominator and exclusions.</w:t>
            </w:r>
          </w:p>
        </w:tc>
      </w:tr>
      <w:tr w:rsidR="002338EB" w14:paraId="48133640" w14:textId="77777777" w:rsidTr="001C517D">
        <w:tc>
          <w:tcPr>
            <w:tcW w:w="5949" w:type="dxa"/>
          </w:tcPr>
          <w:p w14:paraId="4B4889E2" w14:textId="73EAB4DE" w:rsidR="002338EB" w:rsidRPr="002338EB" w:rsidRDefault="005B347C" w:rsidP="002338EB">
            <w:pPr>
              <w:pStyle w:val="Paragraph"/>
              <w:spacing w:before="120" w:after="120" w:line="240" w:lineRule="auto"/>
              <w:rPr>
                <w:highlight w:val="lightGray"/>
              </w:rPr>
            </w:pPr>
            <w:r>
              <w:rPr>
                <w:rFonts w:cs="Arial"/>
                <w:color w:val="000000"/>
                <w:kern w:val="24"/>
                <w:sz w:val="22"/>
                <w:szCs w:val="22"/>
              </w:rPr>
              <w:t>T</w:t>
            </w:r>
            <w:r w:rsidR="00AE26A2" w:rsidRPr="00AE26A2">
              <w:rPr>
                <w:rFonts w:cs="Arial"/>
                <w:color w:val="000000"/>
                <w:kern w:val="24"/>
                <w:sz w:val="22"/>
                <w:szCs w:val="22"/>
              </w:rPr>
              <w:t>his indicator would be reported at general practice level for practices with more than 20 eligible patients.</w:t>
            </w:r>
          </w:p>
        </w:tc>
        <w:tc>
          <w:tcPr>
            <w:tcW w:w="3118" w:type="dxa"/>
          </w:tcPr>
          <w:p w14:paraId="38DE6D48" w14:textId="72B7C934" w:rsidR="002338EB" w:rsidRPr="002338EB" w:rsidRDefault="00AE26A2" w:rsidP="002338EB">
            <w:pPr>
              <w:pStyle w:val="Paragraph"/>
              <w:spacing w:before="120" w:after="120" w:line="240" w:lineRule="auto"/>
              <w:rPr>
                <w:highlight w:val="lightGray"/>
              </w:rPr>
            </w:pPr>
            <w:r w:rsidRPr="00AE26A2">
              <w:rPr>
                <w:rFonts w:cs="Arial"/>
                <w:color w:val="000000"/>
                <w:kern w:val="24"/>
                <w:sz w:val="22"/>
                <w:szCs w:val="22"/>
              </w:rPr>
              <w:t>The indicator outlines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60DDEEF9" w14:textId="2821E893" w:rsidR="00AE26A2" w:rsidRPr="00AE26A2" w:rsidRDefault="00AE26A2" w:rsidP="00AE26A2">
            <w:pPr>
              <w:spacing w:before="120" w:after="120"/>
              <w:rPr>
                <w:rFonts w:ascii="Arial" w:hAnsi="Arial" w:cs="Arial"/>
                <w:sz w:val="22"/>
                <w:szCs w:val="22"/>
              </w:rPr>
            </w:pPr>
            <w:r w:rsidRPr="00AE26A2">
              <w:rPr>
                <w:rFonts w:ascii="Arial" w:hAnsi="Arial" w:cs="Arial"/>
                <w:sz w:val="22"/>
                <w:szCs w:val="22"/>
              </w:rPr>
              <w:t xml:space="preserve">The childhood immunisation schedule and green book suggests that a first dose of MMR should be given </w:t>
            </w:r>
            <w:r w:rsidR="00CE78CA">
              <w:rPr>
                <w:rFonts w:ascii="Arial" w:hAnsi="Arial" w:cs="Arial"/>
                <w:sz w:val="22"/>
                <w:szCs w:val="22"/>
              </w:rPr>
              <w:t>within one month of the first birthday</w:t>
            </w:r>
            <w:r w:rsidRPr="00AE26A2">
              <w:rPr>
                <w:rFonts w:ascii="Arial" w:hAnsi="Arial" w:cs="Arial"/>
                <w:sz w:val="22"/>
                <w:szCs w:val="22"/>
              </w:rPr>
              <w:t>.</w:t>
            </w:r>
          </w:p>
          <w:p w14:paraId="3ABE91E5" w14:textId="1211EAC1" w:rsidR="00735337" w:rsidRPr="00735337" w:rsidRDefault="00266684" w:rsidP="00AE26A2">
            <w:pPr>
              <w:pStyle w:val="Paragraph"/>
              <w:spacing w:before="120" w:after="120" w:line="240" w:lineRule="auto"/>
              <w:rPr>
                <w:highlight w:val="lightGray"/>
              </w:rPr>
            </w:pPr>
            <w:hyperlink r:id="rId10" w:history="1">
              <w:r w:rsidR="00AE26A2" w:rsidRPr="00D706BA">
                <w:rPr>
                  <w:rStyle w:val="Hyperlink"/>
                  <w:rFonts w:cs="Arial"/>
                  <w:sz w:val="22"/>
                  <w:szCs w:val="22"/>
                </w:rPr>
                <w:t>Cover of vaccination evaluated rapidly (COVER) data is collected by Public Health England</w:t>
              </w:r>
            </w:hyperlink>
            <w:r w:rsidR="00AE26A2" w:rsidRPr="00AE26A2">
              <w:rPr>
                <w:rFonts w:cs="Arial"/>
                <w:sz w:val="22"/>
                <w:szCs w:val="22"/>
              </w:rPr>
              <w:t xml:space="preserve"> and reported quarterly and annually by NHS Digital and Public Health England. Data is submitted by the local teams and child health record departments and reported nationally and regionally. From 2019-20 this will include GP level coverage.</w:t>
            </w:r>
          </w:p>
        </w:tc>
        <w:tc>
          <w:tcPr>
            <w:tcW w:w="3118" w:type="dxa"/>
          </w:tcPr>
          <w:p w14:paraId="3BEFE1B2" w14:textId="40A3E587" w:rsidR="00735337" w:rsidRPr="00735337" w:rsidRDefault="00D706BA" w:rsidP="00735337">
            <w:pPr>
              <w:pStyle w:val="Paragraph"/>
              <w:spacing w:before="120" w:after="120" w:line="240" w:lineRule="auto"/>
              <w:rPr>
                <w:highlight w:val="lightGray"/>
              </w:rPr>
            </w:pPr>
            <w:r w:rsidRPr="00D706BA">
              <w:rPr>
                <w:rFonts w:eastAsiaTheme="minorEastAsia" w:cs="Arial"/>
                <w:color w:val="000000" w:themeColor="dark1"/>
                <w:kern w:val="24"/>
                <w:sz w:val="22"/>
                <w:szCs w:val="22"/>
                <w:lang w:val="en-US"/>
              </w:rPr>
              <w:t>The indicator is repeatable.</w:t>
            </w:r>
          </w:p>
        </w:tc>
      </w:tr>
      <w:tr w:rsidR="00735337" w14:paraId="2FE27CD6" w14:textId="77777777" w:rsidTr="001C517D">
        <w:tc>
          <w:tcPr>
            <w:tcW w:w="5949" w:type="dxa"/>
          </w:tcPr>
          <w:p w14:paraId="6B3D2BF0" w14:textId="4D3FCD84" w:rsidR="00735337" w:rsidRDefault="00D706BA" w:rsidP="00D706BA">
            <w:pPr>
              <w:spacing w:before="120" w:after="120"/>
              <w:contextualSpacing/>
              <w:rPr>
                <w:rFonts w:ascii="Arial" w:hAnsi="Arial" w:cs="Arial"/>
                <w:sz w:val="22"/>
                <w:szCs w:val="22"/>
                <w:highlight w:val="lightGray"/>
              </w:rPr>
            </w:pPr>
            <w:r w:rsidRPr="00D706BA">
              <w:rPr>
                <w:rFonts w:ascii="Arial" w:hAnsi="Arial" w:cs="Arial"/>
                <w:sz w:val="22"/>
                <w:szCs w:val="22"/>
              </w:rPr>
              <w:t xml:space="preserve">There are codes available for this vaccine and contraindication to the vaccine on SNOMED-CT. </w:t>
            </w:r>
          </w:p>
        </w:tc>
        <w:tc>
          <w:tcPr>
            <w:tcW w:w="3118" w:type="dxa"/>
          </w:tcPr>
          <w:p w14:paraId="176016D0" w14:textId="77777777" w:rsidR="00D706BA" w:rsidRPr="00D706BA" w:rsidRDefault="00D706BA" w:rsidP="00D706BA">
            <w:pPr>
              <w:spacing w:before="120" w:after="120"/>
              <w:rPr>
                <w:rFonts w:ascii="Arial" w:hAnsi="Arial" w:cs="Arial"/>
                <w:color w:val="000000"/>
                <w:kern w:val="24"/>
                <w:sz w:val="22"/>
                <w:szCs w:val="22"/>
              </w:rPr>
            </w:pPr>
            <w:r w:rsidRPr="00D706BA">
              <w:rPr>
                <w:rFonts w:ascii="Arial" w:hAnsi="Arial" w:cs="Arial"/>
                <w:color w:val="000000"/>
                <w:kern w:val="24"/>
                <w:sz w:val="22"/>
                <w:szCs w:val="22"/>
              </w:rPr>
              <w:t xml:space="preserve">The indicator is measuring what it is designed to measure. </w:t>
            </w:r>
          </w:p>
          <w:p w14:paraId="24CB8CBA" w14:textId="5C57E175" w:rsidR="00735337" w:rsidRPr="00735337" w:rsidRDefault="00D706BA" w:rsidP="00D706BA">
            <w:pPr>
              <w:spacing w:before="120" w:after="120"/>
              <w:rPr>
                <w:rFonts w:ascii="Arial" w:hAnsi="Arial" w:cs="Arial"/>
                <w:color w:val="000000"/>
                <w:kern w:val="24"/>
                <w:sz w:val="22"/>
                <w:szCs w:val="22"/>
                <w:highlight w:val="lightGray"/>
              </w:rPr>
            </w:pPr>
            <w:r w:rsidRPr="00D706BA">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334226E6" w14:textId="77777777" w:rsidR="00CE78CA" w:rsidRDefault="00D706BA" w:rsidP="00CE78CA">
            <w:pPr>
              <w:pStyle w:val="Paragraph"/>
              <w:spacing w:before="120" w:after="120" w:line="240" w:lineRule="auto"/>
              <w:rPr>
                <w:rFonts w:cs="Arial"/>
                <w:sz w:val="22"/>
                <w:szCs w:val="22"/>
              </w:rPr>
            </w:pPr>
            <w:r w:rsidRPr="00D706BA">
              <w:rPr>
                <w:rFonts w:cs="Arial"/>
                <w:sz w:val="22"/>
                <w:szCs w:val="22"/>
              </w:rPr>
              <w:t xml:space="preserve">If the MMR has been given before the first birthday, this dose should be ignored. Individuals with unknown or incomplete vaccination history should be assumed to be unimmunised. </w:t>
            </w:r>
          </w:p>
          <w:p w14:paraId="6F955FC4" w14:textId="77777777" w:rsidR="00CE78CA" w:rsidRDefault="00D706BA" w:rsidP="00CE78CA">
            <w:pPr>
              <w:pStyle w:val="Paragraph"/>
              <w:spacing w:before="120" w:after="120" w:line="240" w:lineRule="auto"/>
            </w:pPr>
            <w:r w:rsidRPr="00D706BA">
              <w:rPr>
                <w:rFonts w:cs="Arial"/>
                <w:sz w:val="22"/>
                <w:szCs w:val="22"/>
              </w:rPr>
              <w:t>The vaccine should not be given to those who are immunocompromised and those with a confirmed anaphylactic reaction to a previous dose of the vaccine or to any component of the vaccine. Data quoted in the Green Book suggests rates of 0.65 to 3 anaphylaxis events per million doses of vaccines given (</w:t>
            </w:r>
            <w:hyperlink r:id="rId11" w:history="1">
              <w:r w:rsidRPr="00D706BA">
                <w:rPr>
                  <w:rStyle w:val="Hyperlink"/>
                  <w:rFonts w:cs="Arial"/>
                  <w:sz w:val="22"/>
                  <w:szCs w:val="22"/>
                </w:rPr>
                <w:t>Public Health England,</w:t>
              </w:r>
            </w:hyperlink>
            <w:r w:rsidRPr="00D706BA">
              <w:rPr>
                <w:rFonts w:cs="Arial"/>
                <w:sz w:val="22"/>
                <w:szCs w:val="22"/>
              </w:rPr>
              <w:t xml:space="preserve"> 2013).</w:t>
            </w:r>
            <w:r>
              <w:t xml:space="preserve"> </w:t>
            </w:r>
          </w:p>
          <w:p w14:paraId="599A1EB6" w14:textId="0BDB1A87" w:rsidR="00D706BA" w:rsidRPr="00D706BA" w:rsidRDefault="00D706BA" w:rsidP="00CE78CA">
            <w:pPr>
              <w:pStyle w:val="Paragraph"/>
              <w:spacing w:before="120" w:after="120" w:line="240" w:lineRule="auto"/>
              <w:rPr>
                <w:rFonts w:cs="Arial"/>
                <w:sz w:val="22"/>
                <w:szCs w:val="22"/>
              </w:rPr>
            </w:pPr>
            <w:r w:rsidRPr="00D706BA">
              <w:rPr>
                <w:rFonts w:cs="Arial"/>
                <w:sz w:val="22"/>
                <w:szCs w:val="22"/>
              </w:rPr>
              <w:t xml:space="preserve">There may be over-estimation of denominators and therefore under estimation of coverage for individual practices as children may have moved away but remained on the register. </w:t>
            </w:r>
          </w:p>
          <w:p w14:paraId="009E37A6" w14:textId="00E784BE" w:rsidR="00D706BA" w:rsidRPr="00D706BA" w:rsidRDefault="00CE78CA" w:rsidP="00CE78CA">
            <w:pPr>
              <w:pStyle w:val="Paragraph"/>
              <w:spacing w:before="120" w:after="120" w:line="240" w:lineRule="auto"/>
              <w:rPr>
                <w:rFonts w:cs="Arial"/>
                <w:sz w:val="22"/>
                <w:szCs w:val="22"/>
              </w:rPr>
            </w:pPr>
            <w:r>
              <w:rPr>
                <w:rFonts w:cs="Arial"/>
                <w:sz w:val="22"/>
                <w:szCs w:val="22"/>
              </w:rPr>
              <w:t>P</w:t>
            </w:r>
            <w:r w:rsidR="00D706BA" w:rsidRPr="00D706BA">
              <w:rPr>
                <w:rFonts w:cs="Arial"/>
                <w:sz w:val="22"/>
                <w:szCs w:val="22"/>
              </w:rPr>
              <w:t>arents</w:t>
            </w:r>
            <w:r>
              <w:rPr>
                <w:rFonts w:cs="Arial"/>
                <w:sz w:val="22"/>
                <w:szCs w:val="22"/>
              </w:rPr>
              <w:t xml:space="preserve"> may</w:t>
            </w:r>
            <w:r w:rsidR="00D706BA" w:rsidRPr="00D706BA">
              <w:rPr>
                <w:rFonts w:cs="Arial"/>
                <w:sz w:val="22"/>
                <w:szCs w:val="22"/>
              </w:rPr>
              <w:t xml:space="preserve"> choose not to vaccinate their children</w:t>
            </w:r>
          </w:p>
        </w:tc>
        <w:tc>
          <w:tcPr>
            <w:tcW w:w="3118" w:type="dxa"/>
          </w:tcPr>
          <w:p w14:paraId="50C98A36" w14:textId="7CECDCBD" w:rsidR="00735337" w:rsidRPr="00A47852" w:rsidRDefault="00D706BA" w:rsidP="00735337">
            <w:pPr>
              <w:pStyle w:val="Paragraph"/>
              <w:spacing w:before="120" w:after="120" w:line="240" w:lineRule="auto"/>
              <w:rPr>
                <w:highlight w:val="lightGray"/>
              </w:rPr>
            </w:pPr>
            <w:r w:rsidRPr="00D706BA">
              <w:rPr>
                <w:rFonts w:eastAsiaTheme="minorEastAsia" w:cs="Arial"/>
                <w:color w:val="000000" w:themeColor="dark1"/>
                <w:kern w:val="24"/>
                <w:sz w:val="22"/>
                <w:szCs w:val="22"/>
                <w:lang w:val="en-US"/>
              </w:rPr>
              <w:t>The indicator assesses performance that is attributable to or within the control of the audience. Patient choice to vaccinate should be considered and personalised care adjustments recorded accordingly.</w:t>
            </w:r>
          </w:p>
        </w:tc>
      </w:tr>
      <w:tr w:rsidR="00735337" w14:paraId="7E164FBD" w14:textId="77777777" w:rsidTr="001C517D">
        <w:tc>
          <w:tcPr>
            <w:tcW w:w="5949" w:type="dxa"/>
          </w:tcPr>
          <w:p w14:paraId="3AF0200A" w14:textId="591423D7" w:rsidR="00735337" w:rsidRPr="00A47852" w:rsidRDefault="00D706BA" w:rsidP="00735337">
            <w:pPr>
              <w:pStyle w:val="Paragraph"/>
              <w:spacing w:before="120" w:after="120" w:line="240" w:lineRule="auto"/>
              <w:rPr>
                <w:highlight w:val="lightGray"/>
              </w:rPr>
            </w:pPr>
            <w:r w:rsidRPr="00D706BA">
              <w:rPr>
                <w:rFonts w:cs="Arial"/>
                <w:sz w:val="22"/>
                <w:szCs w:val="22"/>
              </w:rPr>
              <w:t>Data for the GP additional services contract is collected quarterly by NHS Digital.</w:t>
            </w:r>
          </w:p>
        </w:tc>
        <w:tc>
          <w:tcPr>
            <w:tcW w:w="3118" w:type="dxa"/>
          </w:tcPr>
          <w:p w14:paraId="2909F55A" w14:textId="678F310E" w:rsidR="00735337" w:rsidRPr="00A47852" w:rsidRDefault="00D706BA" w:rsidP="00735337">
            <w:pPr>
              <w:pStyle w:val="Paragraph"/>
              <w:spacing w:before="120" w:after="120" w:line="240" w:lineRule="auto"/>
              <w:rPr>
                <w:highlight w:val="lightGray"/>
              </w:rPr>
            </w:pPr>
            <w:r w:rsidRPr="00D706BA">
              <w:rPr>
                <w:rFonts w:cs="Arial"/>
                <w:color w:val="000000"/>
                <w:kern w:val="24"/>
                <w:sz w:val="22"/>
                <w:szCs w:val="22"/>
              </w:rPr>
              <w:t>Practices currently submit data to NHS Digital. 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7DC57F38" w14:textId="5A05A866" w:rsidR="00D706BA" w:rsidRPr="00D706BA" w:rsidRDefault="00CE78CA" w:rsidP="00D706BA">
            <w:pPr>
              <w:pStyle w:val="Paragraph"/>
              <w:spacing w:before="120" w:after="120"/>
              <w:rPr>
                <w:rFonts w:cs="Arial"/>
                <w:color w:val="000000"/>
                <w:kern w:val="24"/>
                <w:sz w:val="22"/>
                <w:szCs w:val="22"/>
                <w:lang w:eastAsia="en-GB"/>
              </w:rPr>
            </w:pPr>
            <w:r>
              <w:rPr>
                <w:rFonts w:cs="Arial"/>
                <w:color w:val="000000"/>
                <w:kern w:val="24"/>
                <w:sz w:val="22"/>
                <w:szCs w:val="22"/>
                <w:lang w:eastAsia="en-GB"/>
              </w:rPr>
              <w:t>P</w:t>
            </w:r>
            <w:r w:rsidR="00D706BA" w:rsidRPr="00D706BA">
              <w:rPr>
                <w:rFonts w:cs="Arial"/>
                <w:color w:val="000000"/>
                <w:kern w:val="24"/>
                <w:sz w:val="22"/>
                <w:szCs w:val="22"/>
                <w:lang w:eastAsia="en-GB"/>
              </w:rPr>
              <w:t>arents</w:t>
            </w:r>
            <w:r>
              <w:rPr>
                <w:rFonts w:cs="Arial"/>
                <w:color w:val="000000"/>
                <w:kern w:val="24"/>
                <w:sz w:val="22"/>
                <w:szCs w:val="22"/>
                <w:lang w:eastAsia="en-GB"/>
              </w:rPr>
              <w:t xml:space="preserve"> may</w:t>
            </w:r>
            <w:r w:rsidR="00D706BA" w:rsidRPr="00D706BA">
              <w:rPr>
                <w:rFonts w:cs="Arial"/>
                <w:color w:val="000000"/>
                <w:kern w:val="24"/>
                <w:sz w:val="22"/>
                <w:szCs w:val="22"/>
                <w:lang w:eastAsia="en-GB"/>
              </w:rPr>
              <w:t xml:space="preserve"> choose not to vaccinate their children.</w:t>
            </w:r>
          </w:p>
          <w:p w14:paraId="5D0DDE27" w14:textId="0E29AD33" w:rsidR="00A47852" w:rsidRPr="00A47852" w:rsidRDefault="00D706BA" w:rsidP="00D706BA">
            <w:pPr>
              <w:pStyle w:val="Paragraph"/>
              <w:spacing w:before="120" w:after="120" w:line="240" w:lineRule="auto"/>
              <w:rPr>
                <w:highlight w:val="lightGray"/>
              </w:rPr>
            </w:pPr>
            <w:r w:rsidRPr="00D706BA">
              <w:rPr>
                <w:rFonts w:cs="Arial"/>
                <w:color w:val="000000"/>
                <w:kern w:val="24"/>
                <w:sz w:val="22"/>
                <w:szCs w:val="22"/>
                <w:lang w:eastAsia="en-GB"/>
              </w:rPr>
              <w:t>Some data quality issues have been reported to PHE including missing data, late immunisation and systems in transition.</w:t>
            </w:r>
          </w:p>
        </w:tc>
        <w:tc>
          <w:tcPr>
            <w:tcW w:w="3118" w:type="dxa"/>
          </w:tcPr>
          <w:p w14:paraId="29FB2923" w14:textId="11CD5062" w:rsidR="00A47852" w:rsidRPr="00A47852" w:rsidRDefault="00D706BA" w:rsidP="00A47852">
            <w:pPr>
              <w:pStyle w:val="Paragraph"/>
              <w:spacing w:before="120" w:after="120" w:line="240" w:lineRule="auto"/>
              <w:rPr>
                <w:highlight w:val="lightGray"/>
              </w:rPr>
            </w:pPr>
            <w:r w:rsidRPr="00D706BA">
              <w:rPr>
                <w:rFonts w:eastAsiaTheme="minorEastAsia" w:cs="Arial"/>
                <w:color w:val="000000" w:themeColor="dark1"/>
                <w:kern w:val="24"/>
                <w:sz w:val="22"/>
                <w:szCs w:val="22"/>
                <w:lang w:val="en-US"/>
              </w:rPr>
              <w:t>The indicator has an acceptable risk of unintended consequences. Care should be taken to respect patient choice and record personalised care adjustments accordingly.</w:t>
            </w:r>
          </w:p>
        </w:tc>
      </w:tr>
    </w:tbl>
    <w:p w14:paraId="7104BC2A" w14:textId="5DB37A63" w:rsidR="002338EB" w:rsidRDefault="002338EB" w:rsidP="002338EB">
      <w:pPr>
        <w:pStyle w:val="Paragraph"/>
      </w:pPr>
    </w:p>
    <w:p w14:paraId="763A6D9B" w14:textId="48F79B0E" w:rsidR="006C3D61" w:rsidRDefault="006C3D61" w:rsidP="00BC67CC">
      <w:pPr>
        <w:pStyle w:val="Heading3"/>
      </w:pPr>
      <w:r>
        <w:t>NICE indicator advisory committee recommendation</w:t>
      </w:r>
    </w:p>
    <w:p w14:paraId="1743DB3A" w14:textId="0C918C68" w:rsidR="0077603D" w:rsidRPr="00407F14" w:rsidRDefault="0077603D" w:rsidP="00D706BA">
      <w:pPr>
        <w:pStyle w:val="Paragraph"/>
      </w:pPr>
      <w:r w:rsidRPr="00D706BA">
        <w:t xml:space="preserve">The NICE indicator advisory committee approved this indicator for publication on the menu. </w:t>
      </w:r>
    </w:p>
    <w:p w14:paraId="123085F8" w14:textId="46F76CC2" w:rsidR="00D73835" w:rsidRDefault="00D73835" w:rsidP="003605D5">
      <w:pPr>
        <w:pStyle w:val="Heading1"/>
      </w:pPr>
    </w:p>
    <w:sectPr w:rsidR="00D73835" w:rsidSect="00192B09">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07A" w14:textId="129F5500" w:rsidR="00BB14CA" w:rsidRPr="008C1C95" w:rsidRDefault="00D706BA" w:rsidP="008C1C95">
    <w:pPr>
      <w:pStyle w:val="Footer"/>
      <w:jc w:val="right"/>
    </w:pPr>
    <w:r>
      <w:t>NM200</w:t>
    </w:r>
    <w:r w:rsidR="009B0E59">
      <w:t xml:space="preserve">: Validity assessment </w:t>
    </w:r>
    <w:r>
      <w:t>September 2020</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BF3D4" w14:textId="77777777" w:rsidR="00BB14CA" w:rsidRDefault="00BB14CA" w:rsidP="00670FFB">
    <w:pPr>
      <w:pStyle w:val="Header"/>
      <w:tabs>
        <w:tab w:val="left" w:pos="2768"/>
        <w:tab w:val="center" w:pos="4156"/>
      </w:tabs>
      <w:jc w:val="center"/>
      <w:rPr>
        <w:b/>
        <w:color w:val="FF0000"/>
        <w:sz w:val="22"/>
        <w:szCs w:val="22"/>
      </w:rPr>
    </w:pPr>
  </w:p>
  <w:p w14:paraId="4B4DE189" w14:textId="595FDD5C" w:rsidR="00BB14CA" w:rsidRPr="00266684" w:rsidRDefault="00BB14CA" w:rsidP="00670FFB">
    <w:pPr>
      <w:pStyle w:val="Header"/>
      <w:tabs>
        <w:tab w:val="left" w:pos="2768"/>
        <w:tab w:val="center" w:pos="4156"/>
      </w:tabs>
      <w:jc w:val="center"/>
      <w:rPr>
        <w:b/>
        <w:sz w:val="20"/>
        <w:szCs w:val="22"/>
      </w:rPr>
    </w:pPr>
    <w:r w:rsidRPr="00266684">
      <w:rPr>
        <w:b/>
        <w:sz w:val="22"/>
        <w:szCs w:val="22"/>
      </w:rPr>
      <w:t>CONFIDENTIAL UNTIL PUBLISHED</w:t>
    </w: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2"/>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549B2"/>
    <w:rsid w:val="002563DF"/>
    <w:rsid w:val="0026014A"/>
    <w:rsid w:val="0026108E"/>
    <w:rsid w:val="002614ED"/>
    <w:rsid w:val="00265142"/>
    <w:rsid w:val="00266684"/>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5BC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347C"/>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348D"/>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5EBA"/>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26A2"/>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D6B64"/>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78CA"/>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06B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05C7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4AAC"/>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h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gital.nhs.uk/data-and-information/publications/statistical/nhs-immunisation-statistics/england-2018-1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immunisation-against-infectious-disease-the-green-boo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statistics/cover-of-vaccination-evaluated-rapidly-cover-programme-2018-to-2019-quarterly-data" TargetMode="External"/><Relationship Id="rId4" Type="http://schemas.openxmlformats.org/officeDocument/2006/relationships/webSettings" Target="webSettings.xml"/><Relationship Id="rId9" Type="http://schemas.openxmlformats.org/officeDocument/2006/relationships/hyperlink" Target="https://cks.nice.org.uk/immunizations-childhoo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2020-10-06T14:21:00Z</dcterms:created>
  <dcterms:modified xsi:type="dcterms:W3CDTF">2020-11-02T17:26:00Z</dcterms:modified>
</cp:coreProperties>
</file>