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966D4" w14:textId="14D056C0" w:rsidR="00482C01" w:rsidRDefault="00482C01" w:rsidP="00363276">
      <w:pPr>
        <w:pStyle w:val="Title"/>
      </w:pPr>
      <w:bookmarkStart w:id="0" w:name="_Toc383595130"/>
      <w:r w:rsidRPr="00861C2E">
        <w:t>NATIONAL INSTITUTE FOR HEALTH AND CARE EXCELLENCE</w:t>
      </w:r>
      <w:bookmarkEnd w:id="0"/>
    </w:p>
    <w:p w14:paraId="6C6B43FC" w14:textId="2F3EF7E2" w:rsidR="00482C01" w:rsidRDefault="009B0E59" w:rsidP="00363276">
      <w:pPr>
        <w:pStyle w:val="Title"/>
      </w:pPr>
      <w:r>
        <w:t>NICE indicator v</w:t>
      </w:r>
      <w:r w:rsidR="00192B09">
        <w:t>alidity assessment</w:t>
      </w:r>
    </w:p>
    <w:p w14:paraId="047E7BC9" w14:textId="1A5F24D0" w:rsidR="009B0E59" w:rsidRPr="009B0E59" w:rsidRDefault="009B0E59" w:rsidP="00363276">
      <w:pPr>
        <w:pStyle w:val="Heading3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C1520D">
        <w:rPr>
          <w:lang w:eastAsia="en-GB"/>
        </w:rPr>
        <w:t>N203</w:t>
      </w:r>
    </w:p>
    <w:p w14:paraId="035F8373" w14:textId="12C03983" w:rsidR="009B0E59" w:rsidRDefault="00E469DE" w:rsidP="009B0E59">
      <w:pPr>
        <w:pStyle w:val="Paragraph"/>
        <w:rPr>
          <w:lang w:eastAsia="en-GB"/>
        </w:rPr>
      </w:pPr>
      <w:r w:rsidRPr="00E469DE">
        <w:rPr>
          <w:lang w:eastAsia="en-GB"/>
        </w:rPr>
        <w:t>The percentage of patients with hypertension or diabetes and a BMI of 27.5 kg/m2 or more (or 30 kg/m2 or more if ethnicity is recorded as White) in the preceding 12 months who have been referred to a weight management programme within 90 days of the BMI being recorded</w:t>
      </w:r>
      <w:r w:rsidR="00C1520D">
        <w:rPr>
          <w:lang w:eastAsia="en-GB"/>
        </w:rPr>
        <w:t>.</w:t>
      </w:r>
    </w:p>
    <w:p w14:paraId="7C25BFBC" w14:textId="6384F6FD" w:rsidR="007136A7" w:rsidRDefault="002338EB" w:rsidP="00363276">
      <w:pPr>
        <w:pStyle w:val="Heading3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6C46B250" w14:textId="77777777" w:rsidTr="002338EB">
        <w:tc>
          <w:tcPr>
            <w:tcW w:w="5949" w:type="dxa"/>
          </w:tcPr>
          <w:p w14:paraId="5472972D" w14:textId="7A9FC88C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1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1E80F9" w14:textId="70CF3A5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C1520D" w14:paraId="762654B9" w14:textId="77777777" w:rsidTr="002338EB">
        <w:tc>
          <w:tcPr>
            <w:tcW w:w="5949" w:type="dxa"/>
          </w:tcPr>
          <w:p w14:paraId="6F338971" w14:textId="4A05CD92" w:rsidR="00C1520D" w:rsidRPr="002338EB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1269B0">
              <w:rPr>
                <w:rFonts w:cs="Arial"/>
                <w:sz w:val="22"/>
                <w:szCs w:val="22"/>
              </w:rPr>
              <w:t xml:space="preserve">The </w:t>
            </w:r>
            <w:hyperlink r:id="rId7" w:history="1">
              <w:r w:rsidRPr="001269B0">
                <w:rPr>
                  <w:rFonts w:cs="Arial"/>
                  <w:color w:val="0000FF"/>
                  <w:sz w:val="22"/>
                  <w:szCs w:val="22"/>
                  <w:u w:val="single"/>
                </w:rPr>
                <w:t>NHS Long Term Plan</w:t>
              </w:r>
            </w:hyperlink>
            <w:r w:rsidRPr="001269B0">
              <w:rPr>
                <w:rFonts w:cs="Arial"/>
                <w:sz w:val="22"/>
                <w:szCs w:val="22"/>
              </w:rPr>
              <w:t xml:space="preserve"> identifies obesity as a clinical priority, highlighting the UK’s high rates of obesity, links to other diseases and cancers. It includes targets to provide access to weight management services in primary care.</w:t>
            </w:r>
          </w:p>
        </w:tc>
        <w:tc>
          <w:tcPr>
            <w:tcW w:w="3118" w:type="dxa"/>
          </w:tcPr>
          <w:p w14:paraId="272CA0EC" w14:textId="5BAC4170" w:rsidR="00C1520D" w:rsidRPr="002338EB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44511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</w:tc>
      </w:tr>
      <w:tr w:rsidR="00C1520D" w14:paraId="2E2CE1C4" w14:textId="77777777" w:rsidTr="002338EB">
        <w:tc>
          <w:tcPr>
            <w:tcW w:w="5949" w:type="dxa"/>
          </w:tcPr>
          <w:p w14:paraId="27568737" w14:textId="77777777" w:rsidR="00C1520D" w:rsidRPr="00445117" w:rsidRDefault="00C1520D" w:rsidP="00C152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45117">
              <w:rPr>
                <w:rFonts w:ascii="Arial" w:hAnsi="Arial" w:cs="Arial"/>
                <w:sz w:val="22"/>
                <w:szCs w:val="22"/>
              </w:rPr>
              <w:t xml:space="preserve">In 2018/2019 876,000 hospital admissions recorded obesity as a primary or secondary diagnosis. </w:t>
            </w:r>
            <w:proofErr w:type="gramStart"/>
            <w:r w:rsidRPr="00445117">
              <w:rPr>
                <w:rFonts w:ascii="Arial" w:hAnsi="Arial" w:cs="Arial"/>
                <w:sz w:val="22"/>
                <w:szCs w:val="22"/>
              </w:rPr>
              <w:t>Furthermore</w:t>
            </w:r>
            <w:proofErr w:type="gramEnd"/>
            <w:r w:rsidRPr="00445117">
              <w:rPr>
                <w:rFonts w:ascii="Arial" w:hAnsi="Arial" w:cs="Arial"/>
                <w:sz w:val="22"/>
                <w:szCs w:val="22"/>
              </w:rPr>
              <w:t xml:space="preserve"> this was a 23% increase from 2017/2018.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  <w:p w14:paraId="3D8E1854" w14:textId="77777777" w:rsidR="00C1520D" w:rsidRPr="00445117" w:rsidRDefault="00C1520D" w:rsidP="00C152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78D38FD" w14:textId="108F50CF" w:rsidR="00C1520D" w:rsidRPr="002338EB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445117">
              <w:rPr>
                <w:rFonts w:cs="Arial"/>
                <w:sz w:val="22"/>
                <w:szCs w:val="22"/>
              </w:rPr>
              <w:t xml:space="preserve">Weight is recorded for about 30% of patients in general practice each year and is on average repeated every 2 years for these patients. Of those people with a weight recording in year around 64% will have a BMI </w:t>
            </w:r>
            <w:r w:rsidR="00E469DE">
              <w:rPr>
                <w:rFonts w:cs="Arial"/>
                <w:sz w:val="22"/>
                <w:szCs w:val="22"/>
              </w:rPr>
              <w:t xml:space="preserve">over </w:t>
            </w:r>
            <w:r w:rsidRPr="00445117">
              <w:rPr>
                <w:rFonts w:cs="Arial"/>
                <w:sz w:val="22"/>
                <w:szCs w:val="22"/>
              </w:rPr>
              <w:t xml:space="preserve">25 and 32% will have a BMI </w:t>
            </w:r>
            <w:r w:rsidR="00E469DE">
              <w:rPr>
                <w:rFonts w:cs="Arial"/>
                <w:sz w:val="22"/>
                <w:szCs w:val="22"/>
              </w:rPr>
              <w:t xml:space="preserve">over </w:t>
            </w:r>
            <w:r w:rsidRPr="00445117">
              <w:rPr>
                <w:rFonts w:cs="Arial"/>
                <w:sz w:val="22"/>
                <w:szCs w:val="22"/>
              </w:rPr>
              <w:t>30.</w:t>
            </w:r>
            <w:r>
              <w:rPr>
                <w:rStyle w:val="FootnoteReference"/>
                <w:rFonts w:cs="Arial"/>
                <w:sz w:val="22"/>
                <w:szCs w:val="22"/>
              </w:rPr>
              <w:footnoteReference w:id="2"/>
            </w:r>
          </w:p>
        </w:tc>
        <w:tc>
          <w:tcPr>
            <w:tcW w:w="3118" w:type="dxa"/>
          </w:tcPr>
          <w:p w14:paraId="3FD01E72" w14:textId="4ABFF921" w:rsidR="00C1520D" w:rsidRPr="002338EB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445117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addresses under-treatment.</w:t>
            </w:r>
          </w:p>
        </w:tc>
      </w:tr>
      <w:tr w:rsidR="00C1520D" w14:paraId="373D8AA4" w14:textId="77777777" w:rsidTr="002338EB">
        <w:tc>
          <w:tcPr>
            <w:tcW w:w="5949" w:type="dxa"/>
          </w:tcPr>
          <w:p w14:paraId="40A2EA38" w14:textId="4961AAB6" w:rsidR="00C1520D" w:rsidRPr="00AB6032" w:rsidRDefault="00C1520D" w:rsidP="00C1520D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912FF2">
              <w:rPr>
                <w:rFonts w:ascii="Arial" w:hAnsi="Arial" w:cs="Arial"/>
                <w:sz w:val="22"/>
                <w:szCs w:val="22"/>
              </w:rPr>
              <w:t xml:space="preserve">The indicator aims to increase chances of patient weight loss by incentivising referral to digital and non-digital weight management programmes. </w:t>
            </w:r>
          </w:p>
        </w:tc>
        <w:tc>
          <w:tcPr>
            <w:tcW w:w="3118" w:type="dxa"/>
          </w:tcPr>
          <w:p w14:paraId="45004AAC" w14:textId="42DED8D1" w:rsidR="00C1520D" w:rsidRPr="002338EB" w:rsidRDefault="00C1520D" w:rsidP="00C1520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912FF2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outcomes.</w:t>
            </w:r>
          </w:p>
        </w:tc>
      </w:tr>
      <w:bookmarkEnd w:id="1"/>
    </w:tbl>
    <w:p w14:paraId="7408AD42" w14:textId="77777777" w:rsidR="002338EB" w:rsidRDefault="002338EB" w:rsidP="002338EB">
      <w:pPr>
        <w:pStyle w:val="Heading3"/>
      </w:pPr>
    </w:p>
    <w:p w14:paraId="5BA69987" w14:textId="6FA6FB6E" w:rsidR="002338EB" w:rsidRDefault="002338EB" w:rsidP="00735337">
      <w:pPr>
        <w:pStyle w:val="Heading3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A03EAF6" w14:textId="77777777" w:rsidTr="001C517D">
        <w:tc>
          <w:tcPr>
            <w:tcW w:w="5949" w:type="dxa"/>
          </w:tcPr>
          <w:p w14:paraId="39775ECC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337C7E3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bookmarkStart w:id="2" w:name="_Hlk43469652"/>
      <w:tr w:rsidR="00C1520D" w14:paraId="7862F909" w14:textId="77777777" w:rsidTr="001C517D">
        <w:tc>
          <w:tcPr>
            <w:tcW w:w="5949" w:type="dxa"/>
          </w:tcPr>
          <w:p w14:paraId="7773D374" w14:textId="77777777" w:rsidR="00C1520D" w:rsidRPr="003242D2" w:rsidRDefault="00C1520D" w:rsidP="00C1520D">
            <w:pPr>
              <w:spacing w:after="240" w:line="276" w:lineRule="auto"/>
              <w:rPr>
                <w:rFonts w:ascii="Arial" w:hAnsi="Arial"/>
                <w:sz w:val="22"/>
                <w:szCs w:val="22"/>
                <w:lang w:eastAsia="en-GB"/>
              </w:rPr>
            </w:pPr>
            <w:r w:rsidRPr="003242D2">
              <w:rPr>
                <w:rFonts w:ascii="Arial" w:hAnsi="Arial"/>
                <w:sz w:val="22"/>
                <w:szCs w:val="22"/>
                <w:lang w:eastAsia="en-GB"/>
              </w:rPr>
              <w:fldChar w:fldCharType="begin"/>
            </w:r>
            <w:r w:rsidRPr="003242D2">
              <w:rPr>
                <w:rFonts w:ascii="Arial" w:hAnsi="Arial"/>
                <w:sz w:val="22"/>
                <w:szCs w:val="22"/>
                <w:lang w:eastAsia="en-GB"/>
              </w:rPr>
              <w:instrText xml:space="preserve"> HYPERLINK "https://www.nice.org.uk/guidance/ph53" </w:instrText>
            </w:r>
            <w:r w:rsidRPr="003242D2">
              <w:rPr>
                <w:rFonts w:ascii="Arial" w:hAnsi="Arial"/>
                <w:sz w:val="22"/>
                <w:szCs w:val="22"/>
                <w:lang w:eastAsia="en-GB"/>
              </w:rPr>
              <w:fldChar w:fldCharType="separate"/>
            </w:r>
            <w:r w:rsidRPr="003242D2">
              <w:rPr>
                <w:rFonts w:ascii="Arial" w:hAnsi="Arial"/>
                <w:color w:val="0000FF"/>
                <w:sz w:val="22"/>
                <w:szCs w:val="22"/>
                <w:u w:val="single"/>
                <w:lang w:eastAsia="en-GB"/>
              </w:rPr>
              <w:t>Weight management: lifestyle services for overweight or obese adults</w:t>
            </w:r>
            <w:r w:rsidRPr="003242D2">
              <w:rPr>
                <w:rFonts w:ascii="Arial" w:hAnsi="Arial"/>
                <w:sz w:val="22"/>
                <w:szCs w:val="22"/>
                <w:lang w:eastAsia="en-GB"/>
              </w:rPr>
              <w:fldChar w:fldCharType="end"/>
            </w:r>
            <w:r w:rsidRPr="003242D2">
              <w:rPr>
                <w:rFonts w:ascii="Arial" w:hAnsi="Arial"/>
                <w:sz w:val="22"/>
                <w:szCs w:val="22"/>
                <w:lang w:eastAsia="en-GB"/>
              </w:rPr>
              <w:t xml:space="preserve"> (2014) NICE guideline PH53, recommendations 6 and 7.</w:t>
            </w:r>
          </w:p>
          <w:bookmarkStart w:id="3" w:name="_Hlk43471486"/>
          <w:bookmarkEnd w:id="2"/>
          <w:p w14:paraId="1359C26D" w14:textId="318403F3" w:rsidR="00C1520D" w:rsidRPr="002338EB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3242D2">
              <w:rPr>
                <w:sz w:val="22"/>
                <w:szCs w:val="22"/>
                <w:lang w:eastAsia="en-GB"/>
              </w:rPr>
              <w:fldChar w:fldCharType="begin"/>
            </w:r>
            <w:r w:rsidRPr="003242D2">
              <w:rPr>
                <w:sz w:val="22"/>
                <w:szCs w:val="22"/>
                <w:lang w:eastAsia="en-GB"/>
              </w:rPr>
              <w:instrText xml:space="preserve"> HYPERLINK "https://www.nice.org.uk/guidance/cg189" </w:instrText>
            </w:r>
            <w:r w:rsidRPr="003242D2">
              <w:rPr>
                <w:sz w:val="22"/>
                <w:szCs w:val="22"/>
                <w:lang w:eastAsia="en-GB"/>
              </w:rPr>
              <w:fldChar w:fldCharType="separate"/>
            </w:r>
            <w:r w:rsidRPr="003242D2">
              <w:rPr>
                <w:color w:val="0000FF"/>
                <w:sz w:val="22"/>
                <w:szCs w:val="22"/>
                <w:u w:val="single"/>
                <w:lang w:eastAsia="en-GB"/>
              </w:rPr>
              <w:t xml:space="preserve">Obesity: identification, </w:t>
            </w:r>
            <w:proofErr w:type="gramStart"/>
            <w:r w:rsidRPr="003242D2">
              <w:rPr>
                <w:color w:val="0000FF"/>
                <w:sz w:val="22"/>
                <w:szCs w:val="22"/>
                <w:u w:val="single"/>
                <w:lang w:eastAsia="en-GB"/>
              </w:rPr>
              <w:t>assessment</w:t>
            </w:r>
            <w:proofErr w:type="gramEnd"/>
            <w:r w:rsidRPr="003242D2">
              <w:rPr>
                <w:color w:val="0000FF"/>
                <w:sz w:val="22"/>
                <w:szCs w:val="22"/>
                <w:u w:val="single"/>
                <w:lang w:eastAsia="en-GB"/>
              </w:rPr>
              <w:t xml:space="preserve"> and management</w:t>
            </w:r>
            <w:r w:rsidRPr="003242D2">
              <w:rPr>
                <w:sz w:val="22"/>
                <w:szCs w:val="22"/>
                <w:lang w:eastAsia="en-GB"/>
              </w:rPr>
              <w:fldChar w:fldCharType="end"/>
            </w:r>
            <w:r w:rsidRPr="003242D2">
              <w:rPr>
                <w:sz w:val="22"/>
                <w:szCs w:val="22"/>
                <w:lang w:eastAsia="en-GB"/>
              </w:rPr>
              <w:t xml:space="preserve"> (2014) NICE guideline CG189, recommendations </w:t>
            </w:r>
            <w:r w:rsidRPr="0078441E">
              <w:rPr>
                <w:sz w:val="22"/>
                <w:szCs w:val="22"/>
                <w:lang w:eastAsia="en-GB"/>
              </w:rPr>
              <w:t>1.1.2, 1.2.1, 1.2.8, 1.2.10, 1.2.11, 1.3.1, 1.3.4, 1.3.6, 1.4.4.</w:t>
            </w:r>
            <w:bookmarkEnd w:id="3"/>
          </w:p>
        </w:tc>
        <w:tc>
          <w:tcPr>
            <w:tcW w:w="3118" w:type="dxa"/>
          </w:tcPr>
          <w:p w14:paraId="5E42F2B5" w14:textId="77777777" w:rsidR="00C1520D" w:rsidRPr="003B5B54" w:rsidRDefault="00C1520D" w:rsidP="00C1520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3B5B54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75848804" w14:textId="4966059C" w:rsidR="00C1520D" w:rsidRPr="002338EB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3B5B54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aligns with the evidence base.</w:t>
            </w:r>
          </w:p>
        </w:tc>
      </w:tr>
    </w:tbl>
    <w:p w14:paraId="3393013A" w14:textId="29A2DB06" w:rsidR="002338EB" w:rsidRDefault="002338EB" w:rsidP="002338EB">
      <w:pPr>
        <w:pStyle w:val="Paragraph"/>
      </w:pPr>
    </w:p>
    <w:p w14:paraId="67B93D8F" w14:textId="6D992C33" w:rsidR="002338EB" w:rsidRPr="002338EB" w:rsidRDefault="002338EB" w:rsidP="00735337">
      <w:pPr>
        <w:pStyle w:val="Heading3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3FA0B31" w14:textId="77777777" w:rsidTr="001C517D">
        <w:tc>
          <w:tcPr>
            <w:tcW w:w="5949" w:type="dxa"/>
          </w:tcPr>
          <w:p w14:paraId="7BD8EB75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BCDDF3D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C1520D" w14:paraId="3E61DC2D" w14:textId="77777777" w:rsidTr="001C517D">
        <w:tc>
          <w:tcPr>
            <w:tcW w:w="5949" w:type="dxa"/>
          </w:tcPr>
          <w:p w14:paraId="6520D2C1" w14:textId="77777777" w:rsidR="00C1520D" w:rsidRPr="003242D2" w:rsidRDefault="00C1520D" w:rsidP="00C1520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3242D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Numerator: The number of patients in the denominator whose notes record referral to a weight management programme within 90 days of their BMI being recorded.</w:t>
            </w:r>
          </w:p>
          <w:p w14:paraId="3742314C" w14:textId="1FA9735D" w:rsidR="00C1520D" w:rsidRPr="003242D2" w:rsidRDefault="00C1520D" w:rsidP="00C1520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3242D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Denominator: The number of patients with hypertension or diabetes and a </w:t>
            </w:r>
            <w:r w:rsidR="00E469DE" w:rsidRPr="00E469DE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BMI of 27.5 kg/m2 or more (or 30 kg/m2 or more if ethnicity is recorded as White)</w:t>
            </w:r>
            <w:r w:rsidR="00E469DE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Pr="003242D2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in the preceding 12 months.</w:t>
            </w:r>
          </w:p>
          <w:p w14:paraId="1A8C1D16" w14:textId="0169FBC4" w:rsidR="00C1520D" w:rsidRPr="002338EB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3242D2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Exclusions: Patients aged under 18 years </w:t>
            </w:r>
          </w:p>
        </w:tc>
        <w:tc>
          <w:tcPr>
            <w:tcW w:w="3118" w:type="dxa"/>
          </w:tcPr>
          <w:p w14:paraId="59EC48CC" w14:textId="77777777" w:rsidR="00C1520D" w:rsidRPr="003B5B54" w:rsidRDefault="00C1520D" w:rsidP="00C1520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3B5B5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has defined components necessary to construct the indicator, including numerator, </w:t>
            </w:r>
            <w:proofErr w:type="gramStart"/>
            <w:r w:rsidRPr="003B5B5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denominator</w:t>
            </w:r>
            <w:proofErr w:type="gramEnd"/>
            <w:r w:rsidRPr="003B5B5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and exclusions.</w:t>
            </w:r>
          </w:p>
          <w:p w14:paraId="0C449702" w14:textId="77777777" w:rsidR="00C1520D" w:rsidRPr="002338EB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C1520D" w14:paraId="48133640" w14:textId="77777777" w:rsidTr="001C517D">
        <w:tc>
          <w:tcPr>
            <w:tcW w:w="5949" w:type="dxa"/>
          </w:tcPr>
          <w:p w14:paraId="4B4889E2" w14:textId="33AA4538" w:rsidR="00C1520D" w:rsidRPr="002338EB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T</w:t>
            </w:r>
            <w:r w:rsidRPr="00C904D7">
              <w:rPr>
                <w:rFonts w:cs="Arial"/>
                <w:color w:val="000000"/>
                <w:kern w:val="24"/>
                <w:sz w:val="22"/>
                <w:szCs w:val="22"/>
              </w:rPr>
              <w:t>his indicator would be reported at general practice level for practices with more than 20 eligible patients.</w:t>
            </w:r>
          </w:p>
        </w:tc>
        <w:tc>
          <w:tcPr>
            <w:tcW w:w="3118" w:type="dxa"/>
          </w:tcPr>
          <w:p w14:paraId="38DE6D48" w14:textId="59615297" w:rsidR="00C1520D" w:rsidRPr="002338EB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4F6640">
              <w:rPr>
                <w:rFonts w:cs="Arial"/>
                <w:color w:val="000000"/>
                <w:kern w:val="24"/>
                <w:sz w:val="22"/>
                <w:szCs w:val="22"/>
              </w:rPr>
              <w:t>The indicator outline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 xml:space="preserve">s the </w:t>
            </w:r>
            <w:r w:rsidRPr="004F6640">
              <w:rPr>
                <w:rFonts w:cs="Arial"/>
                <w:color w:val="000000"/>
                <w:kern w:val="24"/>
                <w:sz w:val="22"/>
                <w:szCs w:val="22"/>
              </w:rPr>
              <w:t>minimum numbers of patients needed to be confident in the assessment of variation.</w:t>
            </w:r>
          </w:p>
        </w:tc>
      </w:tr>
    </w:tbl>
    <w:p w14:paraId="1F89E1DD" w14:textId="24151FF3" w:rsidR="002338EB" w:rsidRDefault="002338EB" w:rsidP="002338EB">
      <w:pPr>
        <w:pStyle w:val="Paragraph"/>
      </w:pPr>
    </w:p>
    <w:p w14:paraId="597779EE" w14:textId="5E0747D0" w:rsidR="002338EB" w:rsidRDefault="002338EB" w:rsidP="00735337">
      <w:pPr>
        <w:pStyle w:val="Heading3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0453993" w14:textId="77777777" w:rsidTr="001C517D">
        <w:tc>
          <w:tcPr>
            <w:tcW w:w="5949" w:type="dxa"/>
          </w:tcPr>
          <w:p w14:paraId="1B5D3E68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32FEA87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C1520D" w14:paraId="7CB24BE4" w14:textId="77777777" w:rsidTr="001C517D">
        <w:tc>
          <w:tcPr>
            <w:tcW w:w="5949" w:type="dxa"/>
          </w:tcPr>
          <w:p w14:paraId="3ABE91E5" w14:textId="0B62B9C2" w:rsidR="00C1520D" w:rsidRPr="00735337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E43171">
              <w:rPr>
                <w:rFonts w:cs="Arial"/>
                <w:sz w:val="22"/>
                <w:szCs w:val="22"/>
              </w:rPr>
              <w:t>The data could be collected annually from GP clinical systems.</w:t>
            </w:r>
          </w:p>
        </w:tc>
        <w:tc>
          <w:tcPr>
            <w:tcW w:w="3118" w:type="dxa"/>
          </w:tcPr>
          <w:p w14:paraId="657CFC4D" w14:textId="77777777" w:rsidR="00C1520D" w:rsidRPr="003B5B54" w:rsidRDefault="00C1520D" w:rsidP="00C1520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3B5B5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3BEFE1B2" w14:textId="77777777" w:rsidR="00C1520D" w:rsidRPr="00735337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C1520D" w14:paraId="2FE27CD6" w14:textId="77777777" w:rsidTr="001C517D">
        <w:tc>
          <w:tcPr>
            <w:tcW w:w="5949" w:type="dxa"/>
          </w:tcPr>
          <w:p w14:paraId="17CDE92B" w14:textId="77777777" w:rsidR="00C1520D" w:rsidRPr="00C1520D" w:rsidRDefault="00C1520D" w:rsidP="00C152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1520D">
              <w:rPr>
                <w:rFonts w:ascii="Arial" w:hAnsi="Arial" w:cs="Arial"/>
                <w:sz w:val="22"/>
                <w:szCs w:val="22"/>
              </w:rPr>
              <w:t xml:space="preserve">Data fields collected include:  </w:t>
            </w:r>
          </w:p>
          <w:p w14:paraId="5176DC9A" w14:textId="77777777" w:rsidR="00C1520D" w:rsidRPr="00C1520D" w:rsidRDefault="00C1520D" w:rsidP="00C1520D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1520D">
              <w:rPr>
                <w:rFonts w:ascii="Arial" w:hAnsi="Arial" w:cs="Arial"/>
                <w:sz w:val="22"/>
                <w:szCs w:val="22"/>
              </w:rPr>
              <w:t>Date of BMI recording</w:t>
            </w:r>
          </w:p>
          <w:p w14:paraId="57F9F2CF" w14:textId="77777777" w:rsidR="00C1520D" w:rsidRPr="00C1520D" w:rsidRDefault="00C1520D" w:rsidP="00C1520D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1520D">
              <w:rPr>
                <w:rFonts w:ascii="Arial" w:hAnsi="Arial" w:cs="Arial"/>
                <w:sz w:val="22"/>
                <w:szCs w:val="22"/>
              </w:rPr>
              <w:t>BMI measurement</w:t>
            </w:r>
          </w:p>
          <w:p w14:paraId="2AE4DA80" w14:textId="77777777" w:rsidR="00C1520D" w:rsidRPr="00C1520D" w:rsidRDefault="00C1520D" w:rsidP="00C1520D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1520D">
              <w:rPr>
                <w:rFonts w:ascii="Arial" w:hAnsi="Arial" w:cs="Arial"/>
                <w:sz w:val="22"/>
                <w:szCs w:val="22"/>
              </w:rPr>
              <w:t>If patient has diabetes</w:t>
            </w:r>
          </w:p>
          <w:p w14:paraId="289F182C" w14:textId="77777777" w:rsidR="00C1520D" w:rsidRPr="00C1520D" w:rsidRDefault="00C1520D" w:rsidP="00C1520D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1520D">
              <w:rPr>
                <w:rFonts w:ascii="Arial" w:hAnsi="Arial" w:cs="Arial"/>
                <w:sz w:val="22"/>
                <w:szCs w:val="22"/>
              </w:rPr>
              <w:t>If patient has hypertension</w:t>
            </w:r>
          </w:p>
          <w:p w14:paraId="7A6F283F" w14:textId="77777777" w:rsidR="00C1520D" w:rsidRPr="00C1520D" w:rsidRDefault="00C1520D" w:rsidP="00C1520D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1520D">
              <w:rPr>
                <w:rFonts w:ascii="Arial" w:hAnsi="Arial" w:cs="Arial"/>
                <w:sz w:val="22"/>
                <w:szCs w:val="22"/>
              </w:rPr>
              <w:t>Patient ethnicity</w:t>
            </w:r>
          </w:p>
          <w:p w14:paraId="6B3D2BF0" w14:textId="1567F80B" w:rsidR="00C1520D" w:rsidRPr="00C1520D" w:rsidRDefault="00C1520D" w:rsidP="00C1520D">
            <w:pPr>
              <w:numPr>
                <w:ilvl w:val="0"/>
                <w:numId w:val="38"/>
              </w:num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1520D">
              <w:rPr>
                <w:rFonts w:ascii="Arial" w:hAnsi="Arial" w:cs="Arial"/>
                <w:sz w:val="22"/>
                <w:szCs w:val="22"/>
              </w:rPr>
              <w:t>Date of referral to a weight management programme</w:t>
            </w:r>
          </w:p>
        </w:tc>
        <w:tc>
          <w:tcPr>
            <w:tcW w:w="3118" w:type="dxa"/>
          </w:tcPr>
          <w:p w14:paraId="2AAF3056" w14:textId="77777777" w:rsidR="00C1520D" w:rsidRPr="003B5B54" w:rsidRDefault="00C1520D" w:rsidP="00C1520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3B5B5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24CB8CBA" w14:textId="1DDE181B" w:rsidR="00C1520D" w:rsidRPr="00735337" w:rsidRDefault="00C1520D" w:rsidP="00C1520D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3B5B54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585AE468" w14:textId="31F94E90" w:rsidR="002338EB" w:rsidRDefault="002338EB" w:rsidP="002338EB">
      <w:pPr>
        <w:pStyle w:val="Paragraph"/>
      </w:pPr>
    </w:p>
    <w:p w14:paraId="4447A98D" w14:textId="06B983E4" w:rsidR="002338EB" w:rsidRDefault="002338EB" w:rsidP="00A47852">
      <w:pPr>
        <w:pStyle w:val="Heading3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0604C8F6" w14:textId="77777777" w:rsidTr="001C517D">
        <w:tc>
          <w:tcPr>
            <w:tcW w:w="5949" w:type="dxa"/>
          </w:tcPr>
          <w:p w14:paraId="50FC03A9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6F255397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C1520D" w14:paraId="5EC80837" w14:textId="77777777" w:rsidTr="001C517D">
        <w:tc>
          <w:tcPr>
            <w:tcW w:w="5949" w:type="dxa"/>
          </w:tcPr>
          <w:p w14:paraId="27BE8B5A" w14:textId="77777777" w:rsidR="00C1520D" w:rsidRPr="00912FF2" w:rsidRDefault="00C1520D" w:rsidP="00C1520D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912FF2">
              <w:rPr>
                <w:rFonts w:cs="Arial"/>
                <w:sz w:val="22"/>
                <w:szCs w:val="22"/>
              </w:rPr>
              <w:t>Patients refusing the offer of referral to a weight management programme would prevent the delivery of the action. This could be overcome with exception reporting.</w:t>
            </w:r>
          </w:p>
          <w:p w14:paraId="009E37A6" w14:textId="53F4B7A3" w:rsidR="00C1520D" w:rsidRPr="00A47852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912FF2">
              <w:rPr>
                <w:rFonts w:cs="Arial"/>
                <w:sz w:val="22"/>
                <w:szCs w:val="22"/>
              </w:rPr>
              <w:t>Patients not having their ethnicity recorded and refusing to disclose it could prevent the interpretation of BMI measurement. This could be overcome with exception reporting.</w:t>
            </w:r>
          </w:p>
        </w:tc>
        <w:tc>
          <w:tcPr>
            <w:tcW w:w="3118" w:type="dxa"/>
          </w:tcPr>
          <w:p w14:paraId="50C98A36" w14:textId="212E5011" w:rsidR="00C1520D" w:rsidRPr="00A47852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912FF2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</w:p>
        </w:tc>
      </w:tr>
      <w:tr w:rsidR="00C1520D" w14:paraId="7E164FBD" w14:textId="77777777" w:rsidTr="001C517D">
        <w:tc>
          <w:tcPr>
            <w:tcW w:w="5949" w:type="dxa"/>
          </w:tcPr>
          <w:p w14:paraId="3AF0200A" w14:textId="62747516" w:rsidR="00C1520D" w:rsidRPr="00A47852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912FF2">
              <w:rPr>
                <w:rFonts w:cs="Arial"/>
                <w:sz w:val="22"/>
                <w:szCs w:val="22"/>
              </w:rPr>
              <w:t xml:space="preserve">chievement data can be used to highlight rates of </w:t>
            </w:r>
            <w:r>
              <w:rPr>
                <w:rFonts w:cs="Arial"/>
                <w:sz w:val="22"/>
                <w:szCs w:val="22"/>
              </w:rPr>
              <w:t>patient referral</w:t>
            </w:r>
            <w:r w:rsidRPr="00912FF2">
              <w:rPr>
                <w:rFonts w:cs="Arial"/>
                <w:sz w:val="22"/>
                <w:szCs w:val="22"/>
              </w:rPr>
              <w:t xml:space="preserve"> at national and practice level. This can be used to identify areas where improvement is required.</w:t>
            </w:r>
          </w:p>
        </w:tc>
        <w:tc>
          <w:tcPr>
            <w:tcW w:w="3118" w:type="dxa"/>
          </w:tcPr>
          <w:p w14:paraId="2909F55A" w14:textId="6B334134" w:rsidR="00C1520D" w:rsidRPr="00A47852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3B5B54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</w:p>
        </w:tc>
      </w:tr>
    </w:tbl>
    <w:p w14:paraId="359B1BDB" w14:textId="49E7FB46" w:rsidR="002338EB" w:rsidRDefault="002338EB" w:rsidP="002338EB">
      <w:pPr>
        <w:pStyle w:val="Paragraph"/>
      </w:pPr>
    </w:p>
    <w:p w14:paraId="639F934E" w14:textId="090BF21C" w:rsidR="00A47852" w:rsidRDefault="00A47852" w:rsidP="00A47852">
      <w:pPr>
        <w:pStyle w:val="Heading3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F9CECCC" w14:textId="77777777" w:rsidTr="001C517D">
        <w:tc>
          <w:tcPr>
            <w:tcW w:w="5949" w:type="dxa"/>
          </w:tcPr>
          <w:p w14:paraId="7D45A224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736A49C5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C1520D" w14:paraId="2365E62E" w14:textId="77777777" w:rsidTr="001C517D">
        <w:tc>
          <w:tcPr>
            <w:tcW w:w="5949" w:type="dxa"/>
          </w:tcPr>
          <w:p w14:paraId="5D0DDE27" w14:textId="4DF12634" w:rsidR="00C1520D" w:rsidRPr="00A47852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3B5B54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There are risks that a larger volume of referrals to weight management services leads to long waiting lists. </w:t>
            </w: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This may be mitigated by commitments in the NHS Long Term Plan to </w:t>
            </w:r>
            <w:r w:rsidRPr="00616B9C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provide a targeted support offer and weight management services for people with a diagnosis of type 2 diabetes or hypertension with a BMI of 30+</w:t>
            </w: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Pr="00616B9C"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(adjusted appropriately for ethnicity</w:t>
            </w: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).</w:t>
            </w:r>
          </w:p>
        </w:tc>
        <w:tc>
          <w:tcPr>
            <w:tcW w:w="3118" w:type="dxa"/>
          </w:tcPr>
          <w:p w14:paraId="29FB2923" w14:textId="1770C117" w:rsidR="00C1520D" w:rsidRPr="00A47852" w:rsidRDefault="00C1520D" w:rsidP="00C1520D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3B5B54">
              <w:rPr>
                <w:rFonts w:cs="Arial"/>
                <w:color w:val="000000"/>
                <w:kern w:val="24"/>
                <w:sz w:val="22"/>
                <w:szCs w:val="22"/>
              </w:rPr>
              <w:t>The indicator has an acceptable risk of unintended consequences.</w:t>
            </w:r>
          </w:p>
        </w:tc>
      </w:tr>
    </w:tbl>
    <w:p w14:paraId="763A6D9B" w14:textId="48F79B0E" w:rsidR="006C3D61" w:rsidRDefault="006C3D61" w:rsidP="00BC67CC">
      <w:pPr>
        <w:pStyle w:val="Heading3"/>
      </w:pPr>
      <w:r>
        <w:t>NICE indicator advisory committee recommendation</w:t>
      </w:r>
    </w:p>
    <w:p w14:paraId="123085F8" w14:textId="42D3FEAB" w:rsidR="00D73835" w:rsidRDefault="0077603D" w:rsidP="00E469DE">
      <w:pPr>
        <w:pStyle w:val="Paragraph"/>
      </w:pPr>
      <w:r w:rsidRPr="00E469DE">
        <w:t>The NICE indicator advisory committee approved this indicator for publication on the menu.</w:t>
      </w:r>
    </w:p>
    <w:sectPr w:rsidR="00D73835" w:rsidSect="00192B09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CA3B6" w14:textId="77777777" w:rsidR="00BB14CA" w:rsidRDefault="00BB14CA" w:rsidP="00446BEE">
      <w:r>
        <w:separator/>
      </w:r>
    </w:p>
  </w:endnote>
  <w:endnote w:type="continuationSeparator" w:id="0">
    <w:p w14:paraId="22EB9B1D" w14:textId="77777777" w:rsidR="00BB14CA" w:rsidRDefault="00BB14C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2B07A" w14:textId="41926134" w:rsidR="00BB14CA" w:rsidRPr="008C1C95" w:rsidRDefault="00E469DE" w:rsidP="008C1C95">
    <w:pPr>
      <w:pStyle w:val="Footer"/>
      <w:jc w:val="right"/>
    </w:pPr>
    <w:r>
      <w:t>NM203</w:t>
    </w:r>
    <w:r w:rsidR="009B0E59">
      <w:t xml:space="preserve">: Validity assessment </w:t>
    </w:r>
    <w:r>
      <w:t>October 2020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157E4" w14:textId="77777777" w:rsidR="00BB14CA" w:rsidRDefault="00BB14CA" w:rsidP="00446BEE">
      <w:r>
        <w:separator/>
      </w:r>
    </w:p>
  </w:footnote>
  <w:footnote w:type="continuationSeparator" w:id="0">
    <w:p w14:paraId="1B316AC4" w14:textId="77777777" w:rsidR="00BB14CA" w:rsidRDefault="00BB14CA" w:rsidP="00446BEE">
      <w:r>
        <w:continuationSeparator/>
      </w:r>
    </w:p>
  </w:footnote>
  <w:footnote w:id="1">
    <w:p w14:paraId="604F0510" w14:textId="77777777" w:rsidR="00C1520D" w:rsidRPr="00A725EF" w:rsidRDefault="00C1520D" w:rsidP="00445117">
      <w:pPr>
        <w:pStyle w:val="EndnoteText"/>
        <w:rPr>
          <w:rFonts w:ascii="Arial" w:hAnsi="Arial" w:cs="Arial"/>
          <w:lang w:val="en-US"/>
        </w:rPr>
      </w:pPr>
      <w:r w:rsidRPr="00A725EF">
        <w:rPr>
          <w:rStyle w:val="FootnoteReference"/>
          <w:rFonts w:ascii="Arial" w:hAnsi="Arial" w:cs="Arial"/>
        </w:rPr>
        <w:footnoteRef/>
      </w:r>
      <w:r w:rsidRPr="00A725EF">
        <w:rPr>
          <w:rFonts w:ascii="Arial" w:hAnsi="Arial" w:cs="Arial"/>
        </w:rPr>
        <w:t xml:space="preserve"> </w:t>
      </w:r>
      <w:r w:rsidRPr="00A725EF">
        <w:rPr>
          <w:rFonts w:ascii="Arial" w:hAnsi="Arial" w:cs="Arial"/>
          <w:lang w:val="en-US"/>
        </w:rPr>
        <w:t xml:space="preserve">NHS Digital (2020) </w:t>
      </w:r>
      <w:hyperlink r:id="rId1" w:history="1">
        <w:r w:rsidRPr="00A725EF">
          <w:rPr>
            <w:rStyle w:val="Hyperlink"/>
            <w:rFonts w:ascii="Arial" w:hAnsi="Arial" w:cs="Arial"/>
            <w:lang w:val="en-US"/>
          </w:rPr>
          <w:t>https://digital.nhs.uk/data-and-information/publications/statistical/statistics-on-obesity-physical-activity-and-diet/england-2020</w:t>
        </w:r>
      </w:hyperlink>
    </w:p>
    <w:p w14:paraId="52821D50" w14:textId="77777777" w:rsidR="00C1520D" w:rsidRPr="00A725EF" w:rsidRDefault="00C1520D" w:rsidP="00445117">
      <w:pPr>
        <w:pStyle w:val="FootnoteText"/>
        <w:rPr>
          <w:rFonts w:ascii="Arial" w:hAnsi="Arial" w:cs="Arial"/>
          <w:lang w:val="en-US"/>
        </w:rPr>
      </w:pPr>
    </w:p>
  </w:footnote>
  <w:footnote w:id="2">
    <w:p w14:paraId="64AB727B" w14:textId="77777777" w:rsidR="00C1520D" w:rsidRPr="00B740D7" w:rsidRDefault="00C1520D" w:rsidP="00445117">
      <w:pPr>
        <w:pStyle w:val="FootnoteText"/>
      </w:pPr>
      <w:r w:rsidRPr="00A725EF">
        <w:rPr>
          <w:rStyle w:val="FootnoteReference"/>
          <w:rFonts w:ascii="Arial" w:hAnsi="Arial" w:cs="Arial"/>
        </w:rPr>
        <w:footnoteRef/>
      </w:r>
      <w:r w:rsidRPr="00A725EF">
        <w:rPr>
          <w:rFonts w:ascii="Arial" w:hAnsi="Arial" w:cs="Arial"/>
        </w:rPr>
        <w:t xml:space="preserve"> Nicholson et al (2019) Determinants and extent of weight recording in UK primary care: an analysis of 5 million adults’ electronic health records from 2000 to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BF3D4" w14:textId="77777777" w:rsidR="00BB14CA" w:rsidRDefault="00BB14CA" w:rsidP="00670FFB">
    <w:pPr>
      <w:pStyle w:val="Header"/>
      <w:tabs>
        <w:tab w:val="left" w:pos="2768"/>
        <w:tab w:val="center" w:pos="4156"/>
      </w:tabs>
      <w:jc w:val="center"/>
      <w:rPr>
        <w:b/>
        <w:color w:val="FF0000"/>
        <w:sz w:val="22"/>
        <w:szCs w:val="22"/>
      </w:rPr>
    </w:pPr>
  </w:p>
  <w:p w14:paraId="4B4DE189" w14:textId="595FDD5C" w:rsidR="00BB14CA" w:rsidRPr="00750034" w:rsidRDefault="00BB14CA" w:rsidP="00670FFB">
    <w:pPr>
      <w:pStyle w:val="Header"/>
      <w:tabs>
        <w:tab w:val="left" w:pos="2768"/>
        <w:tab w:val="center" w:pos="4156"/>
      </w:tabs>
      <w:jc w:val="center"/>
      <w:rPr>
        <w:b/>
        <w:sz w:val="20"/>
        <w:szCs w:val="22"/>
      </w:rPr>
    </w:pPr>
    <w:r w:rsidRPr="00750034">
      <w:rPr>
        <w:b/>
        <w:sz w:val="22"/>
        <w:szCs w:val="22"/>
      </w:rPr>
      <w:t>CONFIDENTIAL UNTIL PUBLISHED</w:t>
    </w:r>
  </w:p>
  <w:p w14:paraId="686E1FB0" w14:textId="77777777" w:rsidR="00BB14CA" w:rsidRPr="00750034" w:rsidRDefault="00BB14CA" w:rsidP="00670FFB">
    <w:pPr>
      <w:pStyle w:val="Header"/>
      <w:tabs>
        <w:tab w:val="left" w:pos="2768"/>
        <w:tab w:val="center" w:pos="4156"/>
      </w:tabs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7"/>
  </w:num>
  <w:num w:numId="4">
    <w:abstractNumId w:val="12"/>
  </w:num>
  <w:num w:numId="5">
    <w:abstractNumId w:val="24"/>
  </w:num>
  <w:num w:numId="6">
    <w:abstractNumId w:val="1"/>
  </w:num>
  <w:num w:numId="7">
    <w:abstractNumId w:val="10"/>
  </w:num>
  <w:num w:numId="8">
    <w:abstractNumId w:val="22"/>
  </w:num>
  <w:num w:numId="9">
    <w:abstractNumId w:val="23"/>
  </w:num>
  <w:num w:numId="10">
    <w:abstractNumId w:val="5"/>
  </w:num>
  <w:num w:numId="11">
    <w:abstractNumId w:val="7"/>
  </w:num>
  <w:num w:numId="12">
    <w:abstractNumId w:val="2"/>
  </w:num>
  <w:num w:numId="13">
    <w:abstractNumId w:val="30"/>
  </w:num>
  <w:num w:numId="14">
    <w:abstractNumId w:val="14"/>
  </w:num>
  <w:num w:numId="15">
    <w:abstractNumId w:val="9"/>
  </w:num>
  <w:num w:numId="16">
    <w:abstractNumId w:val="19"/>
  </w:num>
  <w:num w:numId="17">
    <w:abstractNumId w:val="16"/>
  </w:num>
  <w:num w:numId="18">
    <w:abstractNumId w:val="21"/>
  </w:num>
  <w:num w:numId="19">
    <w:abstractNumId w:val="25"/>
  </w:num>
  <w:num w:numId="20">
    <w:abstractNumId w:val="6"/>
  </w:num>
  <w:num w:numId="21">
    <w:abstractNumId w:val="28"/>
  </w:num>
  <w:num w:numId="22">
    <w:abstractNumId w:val="0"/>
  </w:num>
  <w:num w:numId="23">
    <w:abstractNumId w:val="4"/>
  </w:num>
  <w:num w:numId="24">
    <w:abstractNumId w:val="26"/>
  </w:num>
  <w:num w:numId="25">
    <w:abstractNumId w:val="18"/>
  </w:num>
  <w:num w:numId="26">
    <w:abstractNumId w:val="1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13"/>
  </w:num>
  <w:num w:numId="31">
    <w:abstractNumId w:val="5"/>
  </w:num>
  <w:num w:numId="32">
    <w:abstractNumId w:val="5"/>
  </w:num>
  <w:num w:numId="33">
    <w:abstractNumId w:val="5"/>
  </w:num>
  <w:num w:numId="3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</w:num>
  <w:num w:numId="37">
    <w:abstractNumId w:val="5"/>
  </w:num>
  <w:num w:numId="38">
    <w:abstractNumId w:val="29"/>
  </w:num>
  <w:num w:numId="39">
    <w:abstractNumId w:val="20"/>
  </w:num>
  <w:num w:numId="40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BE"/>
    <w:rsid w:val="00001DF1"/>
    <w:rsid w:val="00002AC5"/>
    <w:rsid w:val="00011FC6"/>
    <w:rsid w:val="0001222B"/>
    <w:rsid w:val="00015441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D57"/>
    <w:rsid w:val="000C4EE8"/>
    <w:rsid w:val="000C7A5D"/>
    <w:rsid w:val="000D04B0"/>
    <w:rsid w:val="000D1487"/>
    <w:rsid w:val="000D3776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6466"/>
    <w:rsid w:val="001368F7"/>
    <w:rsid w:val="00140B46"/>
    <w:rsid w:val="001413FC"/>
    <w:rsid w:val="00145D3C"/>
    <w:rsid w:val="001503E8"/>
    <w:rsid w:val="00154516"/>
    <w:rsid w:val="00155A83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5F6B"/>
    <w:rsid w:val="00187570"/>
    <w:rsid w:val="00192188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30A13"/>
    <w:rsid w:val="002331C6"/>
    <w:rsid w:val="002338EB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70ACD"/>
    <w:rsid w:val="00371E29"/>
    <w:rsid w:val="003722FA"/>
    <w:rsid w:val="003731E6"/>
    <w:rsid w:val="00373EA4"/>
    <w:rsid w:val="00374EA0"/>
    <w:rsid w:val="00374EB6"/>
    <w:rsid w:val="00375AE7"/>
    <w:rsid w:val="00376C2A"/>
    <w:rsid w:val="00377277"/>
    <w:rsid w:val="0037730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B028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45970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5AFD"/>
    <w:rsid w:val="005F6BB8"/>
    <w:rsid w:val="005F6F0A"/>
    <w:rsid w:val="005F7681"/>
    <w:rsid w:val="00601291"/>
    <w:rsid w:val="0060351B"/>
    <w:rsid w:val="00607959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7F2A"/>
    <w:rsid w:val="00642C45"/>
    <w:rsid w:val="0064313B"/>
    <w:rsid w:val="0064319B"/>
    <w:rsid w:val="006434DF"/>
    <w:rsid w:val="0064604F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F17D4"/>
    <w:rsid w:val="006F255A"/>
    <w:rsid w:val="006F2843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0034"/>
    <w:rsid w:val="007522A0"/>
    <w:rsid w:val="00752F5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561"/>
    <w:rsid w:val="007C4814"/>
    <w:rsid w:val="007C516A"/>
    <w:rsid w:val="007C6CFD"/>
    <w:rsid w:val="007D28D7"/>
    <w:rsid w:val="007D31FD"/>
    <w:rsid w:val="007E1B11"/>
    <w:rsid w:val="007E2014"/>
    <w:rsid w:val="007E21F8"/>
    <w:rsid w:val="007E2696"/>
    <w:rsid w:val="007E3374"/>
    <w:rsid w:val="007E4F40"/>
    <w:rsid w:val="007E6A87"/>
    <w:rsid w:val="007E78BD"/>
    <w:rsid w:val="007F14A6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5549"/>
    <w:rsid w:val="0086032D"/>
    <w:rsid w:val="00861B3D"/>
    <w:rsid w:val="00862879"/>
    <w:rsid w:val="00865CE7"/>
    <w:rsid w:val="0086701C"/>
    <w:rsid w:val="00867262"/>
    <w:rsid w:val="00870BDD"/>
    <w:rsid w:val="008717F1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B183A"/>
    <w:rsid w:val="008B4B98"/>
    <w:rsid w:val="008C183F"/>
    <w:rsid w:val="008C1C95"/>
    <w:rsid w:val="008C3D9F"/>
    <w:rsid w:val="008C4122"/>
    <w:rsid w:val="008C669E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4063"/>
    <w:rsid w:val="009B52E5"/>
    <w:rsid w:val="009B5C5F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269C"/>
    <w:rsid w:val="00B02E55"/>
    <w:rsid w:val="00B03527"/>
    <w:rsid w:val="00B0389A"/>
    <w:rsid w:val="00B0538C"/>
    <w:rsid w:val="00B06D4E"/>
    <w:rsid w:val="00B11A62"/>
    <w:rsid w:val="00B14C5C"/>
    <w:rsid w:val="00B14C68"/>
    <w:rsid w:val="00B14DDE"/>
    <w:rsid w:val="00B157D0"/>
    <w:rsid w:val="00B15EF3"/>
    <w:rsid w:val="00B17751"/>
    <w:rsid w:val="00B17DE0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2BC8"/>
    <w:rsid w:val="00BE387B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520D"/>
    <w:rsid w:val="00C17D6A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3F84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F5A"/>
    <w:rsid w:val="00D7722A"/>
    <w:rsid w:val="00D80B1B"/>
    <w:rsid w:val="00D82293"/>
    <w:rsid w:val="00D8405B"/>
    <w:rsid w:val="00D84E7D"/>
    <w:rsid w:val="00D86BF0"/>
    <w:rsid w:val="00D86DCB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728"/>
    <w:rsid w:val="00DB5AE0"/>
    <w:rsid w:val="00DB6161"/>
    <w:rsid w:val="00DB65B9"/>
    <w:rsid w:val="00DB70FB"/>
    <w:rsid w:val="00DC0CD5"/>
    <w:rsid w:val="00DC334D"/>
    <w:rsid w:val="00DC6AAD"/>
    <w:rsid w:val="00DE165D"/>
    <w:rsid w:val="00DE2FD7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3F71"/>
    <w:rsid w:val="00E045EE"/>
    <w:rsid w:val="00E06ED0"/>
    <w:rsid w:val="00E1082D"/>
    <w:rsid w:val="00E130CB"/>
    <w:rsid w:val="00E14934"/>
    <w:rsid w:val="00E172BE"/>
    <w:rsid w:val="00E2160E"/>
    <w:rsid w:val="00E24E02"/>
    <w:rsid w:val="00E25895"/>
    <w:rsid w:val="00E30CA9"/>
    <w:rsid w:val="00E34A54"/>
    <w:rsid w:val="00E405E1"/>
    <w:rsid w:val="00E408AB"/>
    <w:rsid w:val="00E41E68"/>
    <w:rsid w:val="00E43B2D"/>
    <w:rsid w:val="00E460A6"/>
    <w:rsid w:val="00E469DE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31F"/>
    <w:rsid w:val="00F762D8"/>
    <w:rsid w:val="00F7721E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16DC"/>
    <w:rsid w:val="00F94BD6"/>
    <w:rsid w:val="00F958CC"/>
    <w:rsid w:val="00FA464E"/>
    <w:rsid w:val="00FA60EE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C152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52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ongtermplan.nhs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gital.nhs.uk/data-and-information/publications/statistical/statistics-on-obesity-physical-activity-and-diet/england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2019-10-10T09:35:00Z</dcterms:created>
  <dcterms:modified xsi:type="dcterms:W3CDTF">2020-11-02T17:54:00Z</dcterms:modified>
</cp:coreProperties>
</file>