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83D78" w14:textId="77777777" w:rsidR="000A17BD" w:rsidRDefault="000A17BD" w:rsidP="000A17BD">
      <w:pPr>
        <w:pStyle w:val="Title16pt"/>
      </w:pPr>
      <w:r>
        <w:t xml:space="preserve">NATIONAL INSTITUTE FOR HEALTH AND </w:t>
      </w:r>
      <w:r w:rsidR="00E16C38">
        <w:t>CARE</w:t>
      </w:r>
      <w:r>
        <w:t xml:space="preserve"> EXCELLENCE</w:t>
      </w:r>
    </w:p>
    <w:p w14:paraId="625AF331" w14:textId="1379493E" w:rsidR="009250C3" w:rsidRPr="009250C3" w:rsidRDefault="00595AC6" w:rsidP="009250C3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NICE </w:t>
      </w:r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INDICATOR PROGRAMME </w:t>
      </w:r>
    </w:p>
    <w:p w14:paraId="56308D65" w14:textId="768431F5" w:rsidR="009250C3" w:rsidRPr="009250C3" w:rsidRDefault="009250C3" w:rsidP="009250C3">
      <w:pPr>
        <w:spacing w:before="240" w:after="240"/>
        <w:jc w:val="center"/>
        <w:outlineLvl w:val="0"/>
        <w:rPr>
          <w:rFonts w:ascii="Arial" w:hAnsi="Arial"/>
          <w:b/>
          <w:bCs/>
          <w:kern w:val="28"/>
          <w:sz w:val="32"/>
          <w:szCs w:val="32"/>
          <w:lang w:eastAsia="x-none"/>
        </w:rPr>
      </w:pPr>
      <w:r w:rsidRPr="009250C3">
        <w:rPr>
          <w:rFonts w:ascii="Arial" w:hAnsi="Arial"/>
          <w:b/>
          <w:bCs/>
          <w:kern w:val="28"/>
          <w:sz w:val="32"/>
          <w:szCs w:val="32"/>
          <w:lang w:eastAsia="x-none"/>
        </w:rPr>
        <w:t>Resource</w:t>
      </w:r>
      <w:r w:rsidRPr="009250C3">
        <w:rPr>
          <w:rFonts w:ascii="Arial" w:hAnsi="Arial"/>
          <w:b/>
          <w:bCs/>
          <w:kern w:val="28"/>
          <w:sz w:val="32"/>
          <w:szCs w:val="32"/>
          <w:lang w:val="x-none" w:eastAsia="x-none"/>
        </w:rPr>
        <w:t xml:space="preserve"> impact statement: </w:t>
      </w:r>
      <w:r w:rsidR="00BC5995">
        <w:rPr>
          <w:rFonts w:ascii="Arial" w:hAnsi="Arial"/>
          <w:b/>
          <w:kern w:val="28"/>
          <w:sz w:val="32"/>
          <w:szCs w:val="32"/>
          <w:lang w:eastAsia="x-none"/>
        </w:rPr>
        <w:t>NM204</w:t>
      </w:r>
    </w:p>
    <w:p w14:paraId="1FAD396E" w14:textId="77777777" w:rsidR="000A17BD" w:rsidRPr="00551B68" w:rsidRDefault="000A17BD" w:rsidP="000A17BD">
      <w:pPr>
        <w:pStyle w:val="NICEnormal"/>
      </w:pPr>
    </w:p>
    <w:p w14:paraId="5380ED5A" w14:textId="5D8EAC8E" w:rsidR="000A17BD" w:rsidRDefault="000A17BD" w:rsidP="000A17BD">
      <w:pPr>
        <w:pStyle w:val="NICEnormalsinglespacing"/>
      </w:pPr>
      <w:r>
        <w:rPr>
          <w:b/>
          <w:bCs/>
        </w:rPr>
        <w:t>Date</w:t>
      </w:r>
      <w:r w:rsidRPr="00F71E21">
        <w:rPr>
          <w:b/>
        </w:rPr>
        <w:t>:</w:t>
      </w:r>
      <w:r w:rsidR="009250C3">
        <w:t xml:space="preserve"> </w:t>
      </w:r>
      <w:r w:rsidR="007867E0">
        <w:t>September</w:t>
      </w:r>
      <w:r>
        <w:t xml:space="preserve"> 20</w:t>
      </w:r>
      <w:r w:rsidR="00791D71">
        <w:t>20</w:t>
      </w:r>
    </w:p>
    <w:p w14:paraId="141E7EF9" w14:textId="72DAABB7" w:rsidR="000A17BD" w:rsidRPr="00BC5995" w:rsidRDefault="000A17BD" w:rsidP="00B72114">
      <w:pPr>
        <w:pStyle w:val="Heading1"/>
        <w:spacing w:line="360" w:lineRule="auto"/>
        <w:rPr>
          <w:lang w:val="en-US"/>
        </w:rPr>
      </w:pPr>
      <w:r w:rsidRPr="006A6479">
        <w:t>Indicator</w:t>
      </w:r>
    </w:p>
    <w:p w14:paraId="03B56879" w14:textId="621CFD5A" w:rsidR="00DC5D08" w:rsidRDefault="00BC5995" w:rsidP="00DC5D08">
      <w:pPr>
        <w:pStyle w:val="Paragraphnonumbers"/>
        <w:spacing w:before="0" w:line="360" w:lineRule="auto"/>
        <w:rPr>
          <w:lang w:val="en-US"/>
        </w:rPr>
      </w:pPr>
      <w:r w:rsidRPr="00BC5995">
        <w:rPr>
          <w:lang w:val="en-US"/>
        </w:rPr>
        <w:t>NM204</w:t>
      </w:r>
      <w:r w:rsidR="00986904">
        <w:rPr>
          <w:lang w:val="en-US"/>
        </w:rPr>
        <w:t>.</w:t>
      </w:r>
      <w:r w:rsidR="00EE05D1">
        <w:rPr>
          <w:lang w:val="en-US"/>
        </w:rPr>
        <w:t xml:space="preserve"> </w:t>
      </w:r>
      <w:r w:rsidR="00EE05D1" w:rsidRPr="00EE05D1">
        <w:rPr>
          <w:lang w:val="en-US"/>
        </w:rPr>
        <w:t>The percentage of patients with cancer, diagnosed within the preceding 12 months, who have had a discussion within 3 months of diagnosis about the support available from primary care.</w:t>
      </w:r>
    </w:p>
    <w:p w14:paraId="0B0B1079" w14:textId="77777777" w:rsidR="000F739F" w:rsidRPr="00A82AF0" w:rsidRDefault="000F739F" w:rsidP="0061116E">
      <w:pPr>
        <w:pStyle w:val="Heading1"/>
      </w:pPr>
      <w:r w:rsidRPr="00A82AF0">
        <w:t>Resource impact</w:t>
      </w:r>
    </w:p>
    <w:p w14:paraId="4D77E506" w14:textId="0168E9FF" w:rsidR="006F4C54" w:rsidRDefault="0012497C" w:rsidP="00F90B86">
      <w:pPr>
        <w:pStyle w:val="NICEnormal"/>
        <w:rPr>
          <w:lang w:eastAsia="x-none"/>
        </w:rPr>
      </w:pPr>
      <w:r>
        <w:rPr>
          <w:lang w:eastAsia="x-none"/>
        </w:rPr>
        <w:t xml:space="preserve">It is estimated that </w:t>
      </w:r>
      <w:r w:rsidR="00EF358F">
        <w:rPr>
          <w:lang w:eastAsia="x-none"/>
        </w:rPr>
        <w:t xml:space="preserve">269 million </w:t>
      </w:r>
      <w:r>
        <w:rPr>
          <w:lang w:eastAsia="x-none"/>
        </w:rPr>
        <w:t xml:space="preserve">appointments </w:t>
      </w:r>
      <w:r w:rsidR="00EF358F">
        <w:rPr>
          <w:lang w:eastAsia="x-none"/>
        </w:rPr>
        <w:t xml:space="preserve">in general practice were attended in England </w:t>
      </w:r>
      <w:r>
        <w:rPr>
          <w:lang w:eastAsia="x-none"/>
        </w:rPr>
        <w:t>between 01 January 2019 and 31 December 2019 (</w:t>
      </w:r>
      <w:hyperlink r:id="rId8" w:anchor="resources" w:history="1">
        <w:r w:rsidRPr="0012497C">
          <w:rPr>
            <w:rStyle w:val="Hyperlink"/>
            <w:lang w:eastAsia="x-none"/>
          </w:rPr>
          <w:t>NHS Digital, 2020</w:t>
        </w:r>
      </w:hyperlink>
      <w:r>
        <w:rPr>
          <w:lang w:eastAsia="x-none"/>
        </w:rPr>
        <w:t>)</w:t>
      </w:r>
      <w:r w:rsidR="00EF358F">
        <w:rPr>
          <w:lang w:eastAsia="x-none"/>
        </w:rPr>
        <w:t>, equivalent to around 920 per week for a GP practice assuming a list size of 10,000 people</w:t>
      </w:r>
      <w:r>
        <w:rPr>
          <w:lang w:eastAsia="x-none"/>
        </w:rPr>
        <w:t xml:space="preserve">. </w:t>
      </w:r>
      <w:r w:rsidR="00A845BB">
        <w:rPr>
          <w:lang w:eastAsia="x-none"/>
        </w:rPr>
        <w:t>There are around 5</w:t>
      </w:r>
      <w:r w:rsidR="00DC5D08">
        <w:rPr>
          <w:lang w:eastAsia="x-none"/>
        </w:rPr>
        <w:t>6.0</w:t>
      </w:r>
      <w:r w:rsidR="00A845BB">
        <w:rPr>
          <w:lang w:eastAsia="x-none"/>
        </w:rPr>
        <w:t xml:space="preserve"> million people in England </w:t>
      </w:r>
      <w:hyperlink r:id="rId9" w:history="1">
        <w:r w:rsidR="00A845BB" w:rsidRPr="00DC5D08">
          <w:rPr>
            <w:rStyle w:val="Hyperlink"/>
            <w:lang w:eastAsia="x-none"/>
          </w:rPr>
          <w:t>(Office for National Statistics, 201</w:t>
        </w:r>
        <w:r w:rsidR="00DC5D08" w:rsidRPr="00DC5D08">
          <w:rPr>
            <w:rStyle w:val="Hyperlink"/>
            <w:lang w:eastAsia="x-none"/>
          </w:rPr>
          <w:t>8</w:t>
        </w:r>
      </w:hyperlink>
      <w:r w:rsidR="00A845BB">
        <w:rPr>
          <w:lang w:eastAsia="x-none"/>
        </w:rPr>
        <w:t xml:space="preserve">). </w:t>
      </w:r>
      <w:r w:rsidR="00A845BB">
        <w:t>The latest data available (</w:t>
      </w:r>
      <w:hyperlink r:id="rId10" w:history="1">
        <w:r w:rsidR="00DC5D08">
          <w:rPr>
            <w:rStyle w:val="Hyperlink"/>
            <w:lang w:val="en-GB"/>
          </w:rPr>
          <w:t>Office for National Statistics</w:t>
        </w:r>
        <w:r w:rsidR="00A845BB">
          <w:rPr>
            <w:rStyle w:val="Hyperlink"/>
            <w:lang w:val="en-GB"/>
          </w:rPr>
          <w:t>, 201</w:t>
        </w:r>
        <w:r w:rsidR="00DC5D08">
          <w:rPr>
            <w:rStyle w:val="Hyperlink"/>
            <w:lang w:val="en-GB"/>
          </w:rPr>
          <w:t>7</w:t>
        </w:r>
      </w:hyperlink>
      <w:r w:rsidR="00A845BB" w:rsidRPr="00B60EA5">
        <w:rPr>
          <w:lang w:val="en-GB"/>
        </w:rPr>
        <w:t>)</w:t>
      </w:r>
      <w:r w:rsidR="00A845BB">
        <w:rPr>
          <w:lang w:val="en-GB"/>
        </w:rPr>
        <w:t xml:space="preserve"> indicate</w:t>
      </w:r>
      <w:r w:rsidR="00F51DAF">
        <w:rPr>
          <w:lang w:val="en-GB"/>
        </w:rPr>
        <w:t>s</w:t>
      </w:r>
      <w:r w:rsidR="00A845BB">
        <w:rPr>
          <w:lang w:val="en-GB"/>
        </w:rPr>
        <w:t xml:space="preserve"> that around </w:t>
      </w:r>
      <w:r w:rsidR="00DC5D08">
        <w:rPr>
          <w:lang w:val="en-GB"/>
        </w:rPr>
        <w:t>306</w:t>
      </w:r>
      <w:r w:rsidR="00A845BB">
        <w:rPr>
          <w:lang w:val="en-GB"/>
        </w:rPr>
        <w:t>,000 people in England</w:t>
      </w:r>
      <w:r w:rsidR="00DC5D08">
        <w:rPr>
          <w:lang w:val="en-GB"/>
        </w:rPr>
        <w:t xml:space="preserve"> were diagnosed with cancer in 2017</w:t>
      </w:r>
      <w:r w:rsidR="00A845BB">
        <w:rPr>
          <w:lang w:val="en-GB"/>
        </w:rPr>
        <w:t>.</w:t>
      </w:r>
      <w:r w:rsidR="00A845BB">
        <w:rPr>
          <w:lang w:eastAsia="x-none"/>
        </w:rPr>
        <w:t xml:space="preserve"> This is equivalent to </w:t>
      </w:r>
      <w:r w:rsidR="00C763FB">
        <w:rPr>
          <w:lang w:eastAsia="x-none"/>
        </w:rPr>
        <w:t xml:space="preserve">around </w:t>
      </w:r>
      <w:r w:rsidR="00DC5D08">
        <w:rPr>
          <w:lang w:eastAsia="x-none"/>
        </w:rPr>
        <w:t>55</w:t>
      </w:r>
      <w:r w:rsidR="00C763FB">
        <w:rPr>
          <w:lang w:eastAsia="x-none"/>
        </w:rPr>
        <w:t xml:space="preserve"> </w:t>
      </w:r>
      <w:r w:rsidR="00A845BB">
        <w:rPr>
          <w:lang w:eastAsia="x-none"/>
        </w:rPr>
        <w:t>people</w:t>
      </w:r>
      <w:r w:rsidR="00C763FB">
        <w:rPr>
          <w:lang w:eastAsia="x-none"/>
        </w:rPr>
        <w:t xml:space="preserve"> per 10,000 people.  </w:t>
      </w:r>
    </w:p>
    <w:p w14:paraId="04779480" w14:textId="0A62A117" w:rsidR="00FD7079" w:rsidRDefault="00FD7079" w:rsidP="00F90B86">
      <w:pPr>
        <w:pStyle w:val="NICEnormal"/>
        <w:rPr>
          <w:lang w:val="en-GB"/>
        </w:rPr>
      </w:pPr>
      <w:r>
        <w:rPr>
          <w:lang w:val="en-GB"/>
        </w:rPr>
        <w:t>A</w:t>
      </w:r>
      <w:r w:rsidR="00DC5D08">
        <w:rPr>
          <w:lang w:val="en-GB"/>
        </w:rPr>
        <w:t xml:space="preserve">ssuming that all people with a new diagnosis of cancer </w:t>
      </w:r>
      <w:r w:rsidR="00C97742">
        <w:rPr>
          <w:lang w:val="en-GB"/>
        </w:rPr>
        <w:t>are contacted by a GP</w:t>
      </w:r>
      <w:r w:rsidR="00FA6B96">
        <w:rPr>
          <w:lang w:val="en-GB"/>
        </w:rPr>
        <w:t xml:space="preserve"> </w:t>
      </w:r>
      <w:r w:rsidR="00C30EAF">
        <w:rPr>
          <w:lang w:val="en-GB"/>
        </w:rPr>
        <w:t xml:space="preserve">practice </w:t>
      </w:r>
      <w:r w:rsidR="00FA6B96">
        <w:rPr>
          <w:lang w:val="en-GB"/>
        </w:rPr>
        <w:t>within 3 months</w:t>
      </w:r>
      <w:r w:rsidR="00C97742">
        <w:rPr>
          <w:lang w:val="en-GB"/>
        </w:rPr>
        <w:t xml:space="preserve">, around </w:t>
      </w:r>
      <w:r w:rsidR="004D2B32">
        <w:rPr>
          <w:lang w:val="en-GB"/>
        </w:rPr>
        <w:t>55</w:t>
      </w:r>
      <w:r w:rsidR="00C97742">
        <w:rPr>
          <w:lang w:val="en-GB"/>
        </w:rPr>
        <w:t xml:space="preserve"> GP appointments per year would be </w:t>
      </w:r>
      <w:r w:rsidR="00C97742">
        <w:rPr>
          <w:lang w:val="en-GB"/>
        </w:rPr>
        <w:lastRenderedPageBreak/>
        <w:t>made per GP practice, around 2,730 in a</w:t>
      </w:r>
      <w:r w:rsidR="00435335">
        <w:rPr>
          <w:lang w:val="en-GB"/>
        </w:rPr>
        <w:t xml:space="preserve"> Sustainability and Transformation Partnership (</w:t>
      </w:r>
      <w:r w:rsidR="00C97742">
        <w:rPr>
          <w:lang w:val="en-GB"/>
        </w:rPr>
        <w:t>STP</w:t>
      </w:r>
      <w:r w:rsidR="00435335">
        <w:rPr>
          <w:lang w:val="en-GB"/>
        </w:rPr>
        <w:t>)</w:t>
      </w:r>
      <w:r w:rsidR="00C97742">
        <w:rPr>
          <w:lang w:val="en-GB"/>
        </w:rPr>
        <w:t xml:space="preserve"> area</w:t>
      </w:r>
      <w:r w:rsidR="00AD2A0A">
        <w:rPr>
          <w:lang w:val="en-GB"/>
        </w:rPr>
        <w:t>,</w:t>
      </w:r>
      <w:r w:rsidR="00C97742">
        <w:rPr>
          <w:lang w:val="en-GB"/>
        </w:rPr>
        <w:t xml:space="preserve"> as shown in table 1</w:t>
      </w:r>
      <w:r w:rsidRPr="00B40102">
        <w:rPr>
          <w:lang w:val="en-GB"/>
        </w:rPr>
        <w:t>.</w:t>
      </w:r>
    </w:p>
    <w:p w14:paraId="741478A8" w14:textId="5065AD25" w:rsidR="00EF358F" w:rsidRDefault="00EF358F" w:rsidP="00F90B86">
      <w:pPr>
        <w:pStyle w:val="NICEnormal"/>
        <w:rPr>
          <w:lang w:val="en-GB"/>
        </w:rPr>
      </w:pPr>
    </w:p>
    <w:p w14:paraId="67B03A15" w14:textId="6EB12911" w:rsidR="00EF358F" w:rsidRDefault="00EF358F" w:rsidP="00F90B86">
      <w:pPr>
        <w:pStyle w:val="NICEnormal"/>
        <w:rPr>
          <w:lang w:val="en-GB"/>
        </w:rPr>
      </w:pPr>
    </w:p>
    <w:p w14:paraId="1D817188" w14:textId="77777777" w:rsidR="00EF358F" w:rsidRPr="00B40102" w:rsidRDefault="00EF358F" w:rsidP="00F90B86">
      <w:pPr>
        <w:pStyle w:val="NICEnormal"/>
        <w:rPr>
          <w:lang w:eastAsia="x-none"/>
        </w:rPr>
      </w:pPr>
    </w:p>
    <w:p w14:paraId="44F42E0D" w14:textId="718B3DB1" w:rsidR="0056044A" w:rsidRPr="00391DEA" w:rsidRDefault="00FD7079" w:rsidP="00FD7079">
      <w:pPr>
        <w:pStyle w:val="NICEnormal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Table 1 </w:t>
      </w:r>
      <w:r w:rsidR="00435335">
        <w:rPr>
          <w:rFonts w:cs="Arial"/>
          <w:b/>
          <w:sz w:val="22"/>
          <w:szCs w:val="22"/>
        </w:rPr>
        <w:t>E</w:t>
      </w:r>
      <w:r w:rsidRPr="00C24379">
        <w:rPr>
          <w:rFonts w:cs="Arial"/>
          <w:b/>
          <w:sz w:val="22"/>
          <w:szCs w:val="22"/>
        </w:rPr>
        <w:t xml:space="preserve">stimated </w:t>
      </w:r>
      <w:r>
        <w:rPr>
          <w:rFonts w:cs="Arial"/>
          <w:b/>
          <w:sz w:val="22"/>
          <w:szCs w:val="22"/>
        </w:rPr>
        <w:t xml:space="preserve">annual </w:t>
      </w:r>
      <w:r w:rsidR="00435335">
        <w:rPr>
          <w:rFonts w:cs="Arial"/>
          <w:b/>
          <w:sz w:val="22"/>
          <w:szCs w:val="22"/>
        </w:rPr>
        <w:t>resource impact</w:t>
      </w:r>
      <w:r w:rsidRPr="00C24379">
        <w:rPr>
          <w:rFonts w:cs="Arial"/>
          <w:b/>
          <w:sz w:val="22"/>
          <w:szCs w:val="22"/>
        </w:rPr>
        <w:t xml:space="preserve"> of </w:t>
      </w:r>
      <w:r>
        <w:rPr>
          <w:rFonts w:cs="Arial"/>
          <w:b/>
          <w:sz w:val="22"/>
          <w:szCs w:val="22"/>
        </w:rPr>
        <w:t xml:space="preserve">providing </w:t>
      </w:r>
      <w:r w:rsidR="00435335">
        <w:rPr>
          <w:rFonts w:cs="Arial"/>
          <w:b/>
          <w:sz w:val="22"/>
          <w:szCs w:val="22"/>
        </w:rPr>
        <w:t>discussion</w:t>
      </w:r>
      <w:r>
        <w:rPr>
          <w:rFonts w:cs="Arial"/>
          <w:b/>
          <w:sz w:val="22"/>
          <w:szCs w:val="22"/>
        </w:rPr>
        <w:t xml:space="preserve">s for </w:t>
      </w:r>
      <w:r w:rsidR="00435335">
        <w:rPr>
          <w:rFonts w:cs="Arial"/>
          <w:b/>
          <w:sz w:val="22"/>
          <w:szCs w:val="22"/>
        </w:rPr>
        <w:t>100</w:t>
      </w:r>
      <w:r w:rsidR="00B40102">
        <w:rPr>
          <w:rFonts w:cs="Arial"/>
          <w:b/>
          <w:sz w:val="22"/>
          <w:szCs w:val="22"/>
        </w:rPr>
        <w:t>% of</w:t>
      </w:r>
      <w:r>
        <w:rPr>
          <w:rFonts w:cs="Arial"/>
          <w:b/>
          <w:sz w:val="22"/>
          <w:szCs w:val="22"/>
        </w:rPr>
        <w:t xml:space="preserve"> the eligible population.</w:t>
      </w:r>
    </w:p>
    <w:p w14:paraId="755BCF54" w14:textId="4F7DC727" w:rsidR="00391DEA" w:rsidRDefault="00391DEA" w:rsidP="00FD7079">
      <w:pPr>
        <w:pStyle w:val="NICEnormal"/>
        <w:rPr>
          <w:lang w:eastAsia="x-none"/>
        </w:rPr>
      </w:pPr>
      <w:r w:rsidRPr="00391DEA">
        <w:rPr>
          <w:noProof/>
        </w:rPr>
        <w:drawing>
          <wp:inline distT="0" distB="0" distL="0" distR="0" wp14:anchorId="008C4446" wp14:editId="467E69B4">
            <wp:extent cx="5057140" cy="739775"/>
            <wp:effectExtent l="0" t="0" r="0" b="3175"/>
            <wp:docPr id="3" name="Picture 3" descr="Table showing breakdown of estimate of annual resource impact of people accepting appointment and maximum number of consult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 showing breakdown of estimate of annual resource impact of people accepting appointment and maximum number of consultation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74EEB" w14:textId="05CAA970" w:rsidR="0097716E" w:rsidRPr="00456790" w:rsidRDefault="00435335" w:rsidP="00FA6B96">
      <w:pPr>
        <w:pStyle w:val="NICEnormal"/>
        <w:rPr>
          <w:lang w:eastAsia="x-none"/>
        </w:rPr>
      </w:pPr>
      <w:r>
        <w:rPr>
          <w:lang w:eastAsia="x-none"/>
        </w:rPr>
        <w:t xml:space="preserve">This </w:t>
      </w:r>
      <w:r w:rsidR="00456790" w:rsidRPr="00B40102">
        <w:rPr>
          <w:lang w:eastAsia="x-none"/>
        </w:rPr>
        <w:t>assumes</w:t>
      </w:r>
      <w:r>
        <w:rPr>
          <w:lang w:eastAsia="x-none"/>
        </w:rPr>
        <w:t xml:space="preserve"> a GP practice is 10,000 people and an STP is 500,000 people.  </w:t>
      </w:r>
      <w:r w:rsidR="00CF460D">
        <w:rPr>
          <w:lang w:eastAsia="x-none"/>
        </w:rPr>
        <w:t xml:space="preserve">The numbers shown in the table above are the maximum number of consultations expected per year. If </w:t>
      </w:r>
      <w:r>
        <w:rPr>
          <w:lang w:eastAsia="x-none"/>
        </w:rPr>
        <w:t xml:space="preserve">discussions take place </w:t>
      </w:r>
      <w:r w:rsidR="00456790" w:rsidRPr="00B40102">
        <w:rPr>
          <w:lang w:eastAsia="x-none"/>
        </w:rPr>
        <w:t>during existing consultations</w:t>
      </w:r>
      <w:r w:rsidR="00FA6B96">
        <w:rPr>
          <w:lang w:eastAsia="x-none"/>
        </w:rPr>
        <w:t xml:space="preserve"> or cancer reviews already take place</w:t>
      </w:r>
      <w:r w:rsidR="00CF460D">
        <w:rPr>
          <w:lang w:eastAsia="x-none"/>
        </w:rPr>
        <w:t>, it is not anticipate</w:t>
      </w:r>
      <w:r w:rsidR="00820B75">
        <w:rPr>
          <w:lang w:eastAsia="x-none"/>
        </w:rPr>
        <w:t>d</w:t>
      </w:r>
      <w:r w:rsidR="00CF460D">
        <w:rPr>
          <w:lang w:eastAsia="x-none"/>
        </w:rPr>
        <w:t xml:space="preserve"> that there will be a significant impact</w:t>
      </w:r>
      <w:r w:rsidR="00456790">
        <w:rPr>
          <w:lang w:eastAsia="x-none"/>
        </w:rPr>
        <w:t>.</w:t>
      </w:r>
      <w:r w:rsidR="006229AE">
        <w:rPr>
          <w:lang w:eastAsia="x-none"/>
        </w:rPr>
        <w:t xml:space="preserve"> </w:t>
      </w:r>
      <w:r w:rsidR="00CD2C70">
        <w:rPr>
          <w:lang w:eastAsia="x-none"/>
        </w:rPr>
        <w:t xml:space="preserve">If </w:t>
      </w:r>
      <w:r w:rsidR="00820B75">
        <w:rPr>
          <w:lang w:eastAsia="x-none"/>
        </w:rPr>
        <w:t>any a</w:t>
      </w:r>
      <w:r w:rsidR="00CF460D">
        <w:rPr>
          <w:lang w:eastAsia="x-none"/>
        </w:rPr>
        <w:t>dditional consultations are required or there is a change to the standard slot time,</w:t>
      </w:r>
      <w:r w:rsidR="00FA6B96">
        <w:rPr>
          <w:lang w:eastAsia="x-none"/>
        </w:rPr>
        <w:t xml:space="preserve"> this may </w:t>
      </w:r>
      <w:r w:rsidR="00820B75">
        <w:rPr>
          <w:lang w:eastAsia="x-none"/>
        </w:rPr>
        <w:t>lead to a small</w:t>
      </w:r>
      <w:r w:rsidR="00FA6B96">
        <w:rPr>
          <w:lang w:eastAsia="x-none"/>
        </w:rPr>
        <w:t xml:space="preserve"> resource impact. </w:t>
      </w:r>
      <w:r w:rsidR="006229AE">
        <w:rPr>
          <w:lang w:eastAsia="x-none"/>
        </w:rPr>
        <w:t xml:space="preserve"> </w:t>
      </w:r>
    </w:p>
    <w:sectPr w:rsidR="0097716E" w:rsidRPr="00456790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C0C36" w14:textId="77777777" w:rsidR="00AE06C9" w:rsidRDefault="00AE06C9" w:rsidP="00446BEE">
      <w:r>
        <w:separator/>
      </w:r>
    </w:p>
  </w:endnote>
  <w:endnote w:type="continuationSeparator" w:id="0">
    <w:p w14:paraId="5A00C63E" w14:textId="77777777" w:rsidR="00AE06C9" w:rsidRDefault="00AE06C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17B2A" w14:textId="4DA72FAC" w:rsidR="007E48A9" w:rsidRDefault="00486690" w:rsidP="00446BEE">
    <w:pPr>
      <w:pStyle w:val="Footer"/>
    </w:pPr>
    <w:r>
      <w:rPr>
        <w:lang w:val="en-GB"/>
      </w:rPr>
      <w:t xml:space="preserve">NICE indicator </w:t>
    </w:r>
    <w:r w:rsidR="001705E8">
      <w:rPr>
        <w:lang w:val="en-GB"/>
      </w:rPr>
      <w:t>resource</w:t>
    </w:r>
    <w:r w:rsidR="007E48A9">
      <w:t xml:space="preserve"> impact statement: </w:t>
    </w:r>
    <w:r w:rsidR="00BC5995">
      <w:rPr>
        <w:lang w:val="en-GB"/>
      </w:rPr>
      <w:t>NM204 (</w:t>
    </w:r>
    <w:r w:rsidR="007867E0">
      <w:rPr>
        <w:lang w:val="en-GB"/>
      </w:rPr>
      <w:t>September</w:t>
    </w:r>
    <w:r w:rsidR="009A0066">
      <w:rPr>
        <w:lang w:val="en-GB"/>
      </w:rPr>
      <w:t xml:space="preserve"> </w:t>
    </w:r>
    <w:r>
      <w:rPr>
        <w:lang w:val="en-GB"/>
      </w:rPr>
      <w:t>20</w:t>
    </w:r>
    <w:r w:rsidR="00495A8B">
      <w:rPr>
        <w:lang w:val="en-GB"/>
      </w:rPr>
      <w:t>20</w:t>
    </w:r>
    <w:r w:rsidR="000A17BD">
      <w:rPr>
        <w:lang w:val="en-GB"/>
      </w:rPr>
      <w:t>)</w:t>
    </w:r>
    <w:r w:rsidR="007E48A9">
      <w:tab/>
    </w:r>
    <w:r w:rsidR="001705E8">
      <w:rPr>
        <w:lang w:val="en-GB"/>
      </w:rPr>
      <w:t xml:space="preserve"> </w:t>
    </w:r>
    <w:r w:rsidR="000A17BD">
      <w:rPr>
        <w:lang w:val="en-GB"/>
      </w:rPr>
      <w:t xml:space="preserve">page </w:t>
    </w:r>
    <w:r w:rsidR="007E48A9">
      <w:fldChar w:fldCharType="begin"/>
    </w:r>
    <w:r w:rsidR="007E48A9">
      <w:instrText xml:space="preserve"> PAGE </w:instrText>
    </w:r>
    <w:r w:rsidR="007E48A9">
      <w:fldChar w:fldCharType="separate"/>
    </w:r>
    <w:r w:rsidR="001D7D33">
      <w:rPr>
        <w:noProof/>
      </w:rPr>
      <w:t>3</w:t>
    </w:r>
    <w:r w:rsidR="007E48A9">
      <w:fldChar w:fldCharType="end"/>
    </w:r>
    <w:r w:rsidR="007E48A9">
      <w:t xml:space="preserve"> of </w:t>
    </w:r>
    <w:r w:rsidR="00C9664D">
      <w:fldChar w:fldCharType="begin"/>
    </w:r>
    <w:r w:rsidR="00C9664D">
      <w:instrText xml:space="preserve"> NUMPAGES  </w:instrText>
    </w:r>
    <w:r w:rsidR="00C9664D">
      <w:fldChar w:fldCharType="separate"/>
    </w:r>
    <w:r w:rsidR="001D7D33">
      <w:rPr>
        <w:noProof/>
      </w:rPr>
      <w:t>3</w:t>
    </w:r>
    <w:r w:rsidR="00C9664D">
      <w:rPr>
        <w:noProof/>
      </w:rPr>
      <w:fldChar w:fldCharType="end"/>
    </w:r>
  </w:p>
  <w:p w14:paraId="3ACEBF1E" w14:textId="77777777" w:rsidR="007E48A9" w:rsidRDefault="007E48A9">
    <w:pPr>
      <w:pStyle w:val="Footer"/>
    </w:pPr>
  </w:p>
  <w:p w14:paraId="2886B8F8" w14:textId="77777777" w:rsidR="007E48A9" w:rsidRDefault="007E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E4E58" w14:textId="77777777" w:rsidR="00AE06C9" w:rsidRDefault="00AE06C9" w:rsidP="00446BEE">
      <w:r>
        <w:separator/>
      </w:r>
    </w:p>
  </w:footnote>
  <w:footnote w:type="continuationSeparator" w:id="0">
    <w:p w14:paraId="7EDCF117" w14:textId="77777777" w:rsidR="00AE06C9" w:rsidRDefault="00AE06C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2ACE"/>
    <w:multiLevelType w:val="hybridMultilevel"/>
    <w:tmpl w:val="C6F6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82AD4"/>
    <w:multiLevelType w:val="hybridMultilevel"/>
    <w:tmpl w:val="761C6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35012AED"/>
    <w:multiLevelType w:val="hybridMultilevel"/>
    <w:tmpl w:val="DD6C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73C47"/>
    <w:multiLevelType w:val="hybridMultilevel"/>
    <w:tmpl w:val="70A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8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5"/>
  </w:num>
  <w:num w:numId="21">
    <w:abstractNumId w:val="17"/>
  </w:num>
  <w:num w:numId="22">
    <w:abstractNumId w:val="14"/>
  </w:num>
  <w:num w:numId="23">
    <w:abstractNumId w:val="11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8"/>
    <w:rsid w:val="00002396"/>
    <w:rsid w:val="00003B69"/>
    <w:rsid w:val="00011B05"/>
    <w:rsid w:val="00014E36"/>
    <w:rsid w:val="00024D0A"/>
    <w:rsid w:val="000331AB"/>
    <w:rsid w:val="00033353"/>
    <w:rsid w:val="0004559E"/>
    <w:rsid w:val="00045A48"/>
    <w:rsid w:val="00045EA2"/>
    <w:rsid w:val="0005461C"/>
    <w:rsid w:val="00066B5F"/>
    <w:rsid w:val="00070065"/>
    <w:rsid w:val="00071BF9"/>
    <w:rsid w:val="000728EF"/>
    <w:rsid w:val="000900AC"/>
    <w:rsid w:val="00090264"/>
    <w:rsid w:val="000A17BD"/>
    <w:rsid w:val="000A2D84"/>
    <w:rsid w:val="000A7DD9"/>
    <w:rsid w:val="000B3AD4"/>
    <w:rsid w:val="000B5939"/>
    <w:rsid w:val="000C04E9"/>
    <w:rsid w:val="000D0BB3"/>
    <w:rsid w:val="000D7833"/>
    <w:rsid w:val="000E20F3"/>
    <w:rsid w:val="000E54C3"/>
    <w:rsid w:val="000F08BB"/>
    <w:rsid w:val="000F1374"/>
    <w:rsid w:val="000F4976"/>
    <w:rsid w:val="000F739F"/>
    <w:rsid w:val="00106738"/>
    <w:rsid w:val="00113076"/>
    <w:rsid w:val="001134E7"/>
    <w:rsid w:val="00117336"/>
    <w:rsid w:val="00120A38"/>
    <w:rsid w:val="0012497C"/>
    <w:rsid w:val="001270EC"/>
    <w:rsid w:val="00127A2B"/>
    <w:rsid w:val="00131BB1"/>
    <w:rsid w:val="00134FDA"/>
    <w:rsid w:val="00145AFB"/>
    <w:rsid w:val="00150E04"/>
    <w:rsid w:val="001576DA"/>
    <w:rsid w:val="001705E8"/>
    <w:rsid w:val="00171504"/>
    <w:rsid w:val="0017169E"/>
    <w:rsid w:val="001835B9"/>
    <w:rsid w:val="00186DE9"/>
    <w:rsid w:val="001950CD"/>
    <w:rsid w:val="001A23E4"/>
    <w:rsid w:val="001A3A86"/>
    <w:rsid w:val="001A4978"/>
    <w:rsid w:val="001A7C77"/>
    <w:rsid w:val="001B18C2"/>
    <w:rsid w:val="001B1E97"/>
    <w:rsid w:val="001B2418"/>
    <w:rsid w:val="001B65B3"/>
    <w:rsid w:val="001C2196"/>
    <w:rsid w:val="001C27DA"/>
    <w:rsid w:val="001D7D33"/>
    <w:rsid w:val="001E41B5"/>
    <w:rsid w:val="001E6831"/>
    <w:rsid w:val="001F0E94"/>
    <w:rsid w:val="002014F3"/>
    <w:rsid w:val="00205E1E"/>
    <w:rsid w:val="0020600B"/>
    <w:rsid w:val="002066FD"/>
    <w:rsid w:val="00212DA0"/>
    <w:rsid w:val="00216351"/>
    <w:rsid w:val="00220CEB"/>
    <w:rsid w:val="00221D07"/>
    <w:rsid w:val="00226C51"/>
    <w:rsid w:val="00235B66"/>
    <w:rsid w:val="002408EA"/>
    <w:rsid w:val="00243A0E"/>
    <w:rsid w:val="002470A4"/>
    <w:rsid w:val="00247900"/>
    <w:rsid w:val="00251C0A"/>
    <w:rsid w:val="00252DD7"/>
    <w:rsid w:val="00254D75"/>
    <w:rsid w:val="0025570C"/>
    <w:rsid w:val="00260B25"/>
    <w:rsid w:val="00262E2E"/>
    <w:rsid w:val="00270605"/>
    <w:rsid w:val="00276A6E"/>
    <w:rsid w:val="00290914"/>
    <w:rsid w:val="00292AA3"/>
    <w:rsid w:val="002A1880"/>
    <w:rsid w:val="002A2A33"/>
    <w:rsid w:val="002A4D02"/>
    <w:rsid w:val="002A69C4"/>
    <w:rsid w:val="002A7287"/>
    <w:rsid w:val="002B5942"/>
    <w:rsid w:val="002B5A1C"/>
    <w:rsid w:val="002B7C6E"/>
    <w:rsid w:val="002C1A7E"/>
    <w:rsid w:val="002E2124"/>
    <w:rsid w:val="002F2EEF"/>
    <w:rsid w:val="002F3B2A"/>
    <w:rsid w:val="002F63F9"/>
    <w:rsid w:val="00301C5A"/>
    <w:rsid w:val="00311ED0"/>
    <w:rsid w:val="00337200"/>
    <w:rsid w:val="00342E19"/>
    <w:rsid w:val="00350177"/>
    <w:rsid w:val="00361DD0"/>
    <w:rsid w:val="00365568"/>
    <w:rsid w:val="003666A7"/>
    <w:rsid w:val="00367204"/>
    <w:rsid w:val="003722FA"/>
    <w:rsid w:val="00377277"/>
    <w:rsid w:val="0038251A"/>
    <w:rsid w:val="00387965"/>
    <w:rsid w:val="00391DEA"/>
    <w:rsid w:val="003974AF"/>
    <w:rsid w:val="003B1C33"/>
    <w:rsid w:val="003B42E7"/>
    <w:rsid w:val="003C469D"/>
    <w:rsid w:val="003C71D0"/>
    <w:rsid w:val="003C7AAF"/>
    <w:rsid w:val="003D66DD"/>
    <w:rsid w:val="003D67D8"/>
    <w:rsid w:val="003E12B1"/>
    <w:rsid w:val="003E4C4B"/>
    <w:rsid w:val="003E6431"/>
    <w:rsid w:val="003F139D"/>
    <w:rsid w:val="003F2B20"/>
    <w:rsid w:val="003F2EC0"/>
    <w:rsid w:val="003F3045"/>
    <w:rsid w:val="003F4B14"/>
    <w:rsid w:val="003F4D69"/>
    <w:rsid w:val="003F6059"/>
    <w:rsid w:val="004023ED"/>
    <w:rsid w:val="004075B6"/>
    <w:rsid w:val="00420952"/>
    <w:rsid w:val="004217C2"/>
    <w:rsid w:val="00424250"/>
    <w:rsid w:val="00427727"/>
    <w:rsid w:val="00435335"/>
    <w:rsid w:val="00446BEE"/>
    <w:rsid w:val="004500D4"/>
    <w:rsid w:val="00456790"/>
    <w:rsid w:val="00457C93"/>
    <w:rsid w:val="00460E2F"/>
    <w:rsid w:val="004710D0"/>
    <w:rsid w:val="0047386F"/>
    <w:rsid w:val="00475DB9"/>
    <w:rsid w:val="00476DCF"/>
    <w:rsid w:val="004822CD"/>
    <w:rsid w:val="00486690"/>
    <w:rsid w:val="00495A8B"/>
    <w:rsid w:val="00496A95"/>
    <w:rsid w:val="004A2E02"/>
    <w:rsid w:val="004A31E6"/>
    <w:rsid w:val="004A37AD"/>
    <w:rsid w:val="004C4B1F"/>
    <w:rsid w:val="004D074D"/>
    <w:rsid w:val="004D2A46"/>
    <w:rsid w:val="004D2B32"/>
    <w:rsid w:val="004E5B69"/>
    <w:rsid w:val="004F0DB8"/>
    <w:rsid w:val="004F4F6A"/>
    <w:rsid w:val="004F780A"/>
    <w:rsid w:val="005025A1"/>
    <w:rsid w:val="00502B56"/>
    <w:rsid w:val="00502C4B"/>
    <w:rsid w:val="00512C30"/>
    <w:rsid w:val="00513C15"/>
    <w:rsid w:val="005238CB"/>
    <w:rsid w:val="0053285E"/>
    <w:rsid w:val="00536D74"/>
    <w:rsid w:val="00537D7F"/>
    <w:rsid w:val="00545A0E"/>
    <w:rsid w:val="00545EF3"/>
    <w:rsid w:val="00546349"/>
    <w:rsid w:val="00550807"/>
    <w:rsid w:val="0056031A"/>
    <w:rsid w:val="0056044A"/>
    <w:rsid w:val="00563C38"/>
    <w:rsid w:val="00564A5C"/>
    <w:rsid w:val="00567014"/>
    <w:rsid w:val="005745FF"/>
    <w:rsid w:val="00575C88"/>
    <w:rsid w:val="005831C5"/>
    <w:rsid w:val="00594ABA"/>
    <w:rsid w:val="00595453"/>
    <w:rsid w:val="00595AC6"/>
    <w:rsid w:val="005A017A"/>
    <w:rsid w:val="005A2295"/>
    <w:rsid w:val="005A2763"/>
    <w:rsid w:val="005A3262"/>
    <w:rsid w:val="005B0DCC"/>
    <w:rsid w:val="005B1F9E"/>
    <w:rsid w:val="005B2D03"/>
    <w:rsid w:val="005B71E5"/>
    <w:rsid w:val="005B7BEB"/>
    <w:rsid w:val="005C031A"/>
    <w:rsid w:val="005C19A4"/>
    <w:rsid w:val="005C38D5"/>
    <w:rsid w:val="005C473F"/>
    <w:rsid w:val="005D37A0"/>
    <w:rsid w:val="005D68DB"/>
    <w:rsid w:val="005E510A"/>
    <w:rsid w:val="005F08BF"/>
    <w:rsid w:val="005F08C3"/>
    <w:rsid w:val="005F2E3A"/>
    <w:rsid w:val="0061116E"/>
    <w:rsid w:val="00611F88"/>
    <w:rsid w:val="006154E4"/>
    <w:rsid w:val="0062145A"/>
    <w:rsid w:val="00621A7E"/>
    <w:rsid w:val="00621F9E"/>
    <w:rsid w:val="006229AE"/>
    <w:rsid w:val="00633320"/>
    <w:rsid w:val="006365DE"/>
    <w:rsid w:val="00637574"/>
    <w:rsid w:val="00644DFB"/>
    <w:rsid w:val="0065020B"/>
    <w:rsid w:val="00651123"/>
    <w:rsid w:val="00654754"/>
    <w:rsid w:val="00664AC7"/>
    <w:rsid w:val="00667B23"/>
    <w:rsid w:val="00676F3A"/>
    <w:rsid w:val="00685E62"/>
    <w:rsid w:val="006917A0"/>
    <w:rsid w:val="006921E1"/>
    <w:rsid w:val="0069343A"/>
    <w:rsid w:val="00695365"/>
    <w:rsid w:val="006958E8"/>
    <w:rsid w:val="006A089E"/>
    <w:rsid w:val="006A430C"/>
    <w:rsid w:val="006C085D"/>
    <w:rsid w:val="006C2131"/>
    <w:rsid w:val="006C2DF2"/>
    <w:rsid w:val="006C313C"/>
    <w:rsid w:val="006D0D00"/>
    <w:rsid w:val="006D4BA4"/>
    <w:rsid w:val="006D55A6"/>
    <w:rsid w:val="006D56F1"/>
    <w:rsid w:val="006D6D4B"/>
    <w:rsid w:val="006E0C96"/>
    <w:rsid w:val="006E3DA2"/>
    <w:rsid w:val="006E3F3F"/>
    <w:rsid w:val="006F013A"/>
    <w:rsid w:val="006F0C30"/>
    <w:rsid w:val="006F1B26"/>
    <w:rsid w:val="006F1BFB"/>
    <w:rsid w:val="006F4C54"/>
    <w:rsid w:val="006F54C1"/>
    <w:rsid w:val="00706A8D"/>
    <w:rsid w:val="00710E36"/>
    <w:rsid w:val="007125A7"/>
    <w:rsid w:val="007166E6"/>
    <w:rsid w:val="007179FB"/>
    <w:rsid w:val="00730B45"/>
    <w:rsid w:val="007331F0"/>
    <w:rsid w:val="00736348"/>
    <w:rsid w:val="007424F6"/>
    <w:rsid w:val="00743E13"/>
    <w:rsid w:val="00745D99"/>
    <w:rsid w:val="00751BBE"/>
    <w:rsid w:val="007535B8"/>
    <w:rsid w:val="00753ABD"/>
    <w:rsid w:val="00754764"/>
    <w:rsid w:val="00760F3C"/>
    <w:rsid w:val="00764C26"/>
    <w:rsid w:val="00764D66"/>
    <w:rsid w:val="0076597A"/>
    <w:rsid w:val="00770B9A"/>
    <w:rsid w:val="0077798E"/>
    <w:rsid w:val="00780D83"/>
    <w:rsid w:val="007829B2"/>
    <w:rsid w:val="00786494"/>
    <w:rsid w:val="007867E0"/>
    <w:rsid w:val="00791D71"/>
    <w:rsid w:val="00794BE2"/>
    <w:rsid w:val="00794FF2"/>
    <w:rsid w:val="007B012A"/>
    <w:rsid w:val="007C4131"/>
    <w:rsid w:val="007C4ADC"/>
    <w:rsid w:val="007C5852"/>
    <w:rsid w:val="007C7B31"/>
    <w:rsid w:val="007E48A9"/>
    <w:rsid w:val="007E4AA8"/>
    <w:rsid w:val="007E5415"/>
    <w:rsid w:val="007E564C"/>
    <w:rsid w:val="00810387"/>
    <w:rsid w:val="00820B75"/>
    <w:rsid w:val="008221D5"/>
    <w:rsid w:val="008235AB"/>
    <w:rsid w:val="0082440E"/>
    <w:rsid w:val="008248D0"/>
    <w:rsid w:val="0082656A"/>
    <w:rsid w:val="00827467"/>
    <w:rsid w:val="008325D4"/>
    <w:rsid w:val="008341D9"/>
    <w:rsid w:val="008411AE"/>
    <w:rsid w:val="00844104"/>
    <w:rsid w:val="0084618F"/>
    <w:rsid w:val="00846B22"/>
    <w:rsid w:val="00850BA4"/>
    <w:rsid w:val="0085244C"/>
    <w:rsid w:val="0085548F"/>
    <w:rsid w:val="00862038"/>
    <w:rsid w:val="00871409"/>
    <w:rsid w:val="00871878"/>
    <w:rsid w:val="0087225F"/>
    <w:rsid w:val="00872832"/>
    <w:rsid w:val="008810AA"/>
    <w:rsid w:val="0088372E"/>
    <w:rsid w:val="00884B4D"/>
    <w:rsid w:val="0089264B"/>
    <w:rsid w:val="008A7318"/>
    <w:rsid w:val="008B21D3"/>
    <w:rsid w:val="008C2431"/>
    <w:rsid w:val="008D73A3"/>
    <w:rsid w:val="008D7570"/>
    <w:rsid w:val="008E2B80"/>
    <w:rsid w:val="008E6E8F"/>
    <w:rsid w:val="008F1571"/>
    <w:rsid w:val="008F2060"/>
    <w:rsid w:val="00904B10"/>
    <w:rsid w:val="0091152C"/>
    <w:rsid w:val="00912F72"/>
    <w:rsid w:val="00914443"/>
    <w:rsid w:val="0091742C"/>
    <w:rsid w:val="0092142D"/>
    <w:rsid w:val="009250C3"/>
    <w:rsid w:val="009256AF"/>
    <w:rsid w:val="00925F15"/>
    <w:rsid w:val="00940ACF"/>
    <w:rsid w:val="00954C5D"/>
    <w:rsid w:val="00956D27"/>
    <w:rsid w:val="0097716E"/>
    <w:rsid w:val="00977798"/>
    <w:rsid w:val="0098451C"/>
    <w:rsid w:val="00986904"/>
    <w:rsid w:val="009931D4"/>
    <w:rsid w:val="00996746"/>
    <w:rsid w:val="009A0066"/>
    <w:rsid w:val="009B683B"/>
    <w:rsid w:val="009C5593"/>
    <w:rsid w:val="009D27F9"/>
    <w:rsid w:val="009E680B"/>
    <w:rsid w:val="009F197C"/>
    <w:rsid w:val="009F52FD"/>
    <w:rsid w:val="009F7239"/>
    <w:rsid w:val="00A05F83"/>
    <w:rsid w:val="00A0627E"/>
    <w:rsid w:val="00A067CE"/>
    <w:rsid w:val="00A12DE9"/>
    <w:rsid w:val="00A15A1F"/>
    <w:rsid w:val="00A24EFD"/>
    <w:rsid w:val="00A24F7E"/>
    <w:rsid w:val="00A319C4"/>
    <w:rsid w:val="00A31EDA"/>
    <w:rsid w:val="00A3228F"/>
    <w:rsid w:val="00A3325A"/>
    <w:rsid w:val="00A44D8B"/>
    <w:rsid w:val="00A451F6"/>
    <w:rsid w:val="00A526B2"/>
    <w:rsid w:val="00A54DD4"/>
    <w:rsid w:val="00A55A82"/>
    <w:rsid w:val="00A61DAF"/>
    <w:rsid w:val="00A64113"/>
    <w:rsid w:val="00A72B11"/>
    <w:rsid w:val="00A734BE"/>
    <w:rsid w:val="00A756BB"/>
    <w:rsid w:val="00A75800"/>
    <w:rsid w:val="00A80390"/>
    <w:rsid w:val="00A82056"/>
    <w:rsid w:val="00A821FC"/>
    <w:rsid w:val="00A82AF0"/>
    <w:rsid w:val="00A845BB"/>
    <w:rsid w:val="00A917D1"/>
    <w:rsid w:val="00AA0DC6"/>
    <w:rsid w:val="00AB14BD"/>
    <w:rsid w:val="00AC38D4"/>
    <w:rsid w:val="00AC762C"/>
    <w:rsid w:val="00AD1361"/>
    <w:rsid w:val="00AD2A0A"/>
    <w:rsid w:val="00AD3BEB"/>
    <w:rsid w:val="00AD43E1"/>
    <w:rsid w:val="00AD4CDA"/>
    <w:rsid w:val="00AD64F8"/>
    <w:rsid w:val="00AE06C9"/>
    <w:rsid w:val="00AE2E03"/>
    <w:rsid w:val="00AE6C91"/>
    <w:rsid w:val="00AE78F4"/>
    <w:rsid w:val="00AF0C4E"/>
    <w:rsid w:val="00AF108A"/>
    <w:rsid w:val="00AF3595"/>
    <w:rsid w:val="00AF5509"/>
    <w:rsid w:val="00AF73BE"/>
    <w:rsid w:val="00B02E55"/>
    <w:rsid w:val="00B11028"/>
    <w:rsid w:val="00B12113"/>
    <w:rsid w:val="00B14EF7"/>
    <w:rsid w:val="00B2711F"/>
    <w:rsid w:val="00B27BF5"/>
    <w:rsid w:val="00B32D41"/>
    <w:rsid w:val="00B344CD"/>
    <w:rsid w:val="00B36042"/>
    <w:rsid w:val="00B40102"/>
    <w:rsid w:val="00B467F6"/>
    <w:rsid w:val="00B47E67"/>
    <w:rsid w:val="00B50556"/>
    <w:rsid w:val="00B50E6B"/>
    <w:rsid w:val="00B513F4"/>
    <w:rsid w:val="00B60EA5"/>
    <w:rsid w:val="00B65B8E"/>
    <w:rsid w:val="00B668F3"/>
    <w:rsid w:val="00B70F99"/>
    <w:rsid w:val="00B72114"/>
    <w:rsid w:val="00B8205D"/>
    <w:rsid w:val="00B84DB2"/>
    <w:rsid w:val="00B86B18"/>
    <w:rsid w:val="00B9456E"/>
    <w:rsid w:val="00BA0922"/>
    <w:rsid w:val="00BA3BBC"/>
    <w:rsid w:val="00BA3C50"/>
    <w:rsid w:val="00BA4665"/>
    <w:rsid w:val="00BA5AA6"/>
    <w:rsid w:val="00BB2654"/>
    <w:rsid w:val="00BB56B3"/>
    <w:rsid w:val="00BB5796"/>
    <w:rsid w:val="00BB5D2B"/>
    <w:rsid w:val="00BB6966"/>
    <w:rsid w:val="00BB76E6"/>
    <w:rsid w:val="00BC5995"/>
    <w:rsid w:val="00BD0EDB"/>
    <w:rsid w:val="00BD1202"/>
    <w:rsid w:val="00BD7650"/>
    <w:rsid w:val="00BE5835"/>
    <w:rsid w:val="00BF4AC2"/>
    <w:rsid w:val="00BF7FE0"/>
    <w:rsid w:val="00C01F6D"/>
    <w:rsid w:val="00C24379"/>
    <w:rsid w:val="00C30EAF"/>
    <w:rsid w:val="00C372B7"/>
    <w:rsid w:val="00C40A34"/>
    <w:rsid w:val="00C42D07"/>
    <w:rsid w:val="00C450FD"/>
    <w:rsid w:val="00C4601C"/>
    <w:rsid w:val="00C47DDE"/>
    <w:rsid w:val="00C6723C"/>
    <w:rsid w:val="00C71204"/>
    <w:rsid w:val="00C763FB"/>
    <w:rsid w:val="00C80834"/>
    <w:rsid w:val="00C813B4"/>
    <w:rsid w:val="00C907E1"/>
    <w:rsid w:val="00C94E7A"/>
    <w:rsid w:val="00C9664D"/>
    <w:rsid w:val="00C97742"/>
    <w:rsid w:val="00CA2451"/>
    <w:rsid w:val="00CB1351"/>
    <w:rsid w:val="00CC07FD"/>
    <w:rsid w:val="00CC318C"/>
    <w:rsid w:val="00CC3459"/>
    <w:rsid w:val="00CC6472"/>
    <w:rsid w:val="00CD2C70"/>
    <w:rsid w:val="00CD6267"/>
    <w:rsid w:val="00CE7D50"/>
    <w:rsid w:val="00CF460D"/>
    <w:rsid w:val="00CF521F"/>
    <w:rsid w:val="00CF58B7"/>
    <w:rsid w:val="00CF7300"/>
    <w:rsid w:val="00D062EA"/>
    <w:rsid w:val="00D16CB9"/>
    <w:rsid w:val="00D17F17"/>
    <w:rsid w:val="00D23B94"/>
    <w:rsid w:val="00D25A8E"/>
    <w:rsid w:val="00D351C1"/>
    <w:rsid w:val="00D3693C"/>
    <w:rsid w:val="00D37885"/>
    <w:rsid w:val="00D4067C"/>
    <w:rsid w:val="00D44195"/>
    <w:rsid w:val="00D45686"/>
    <w:rsid w:val="00D516A1"/>
    <w:rsid w:val="00D63D86"/>
    <w:rsid w:val="00D66E9B"/>
    <w:rsid w:val="00D71320"/>
    <w:rsid w:val="00D71758"/>
    <w:rsid w:val="00D72699"/>
    <w:rsid w:val="00D8389B"/>
    <w:rsid w:val="00D86050"/>
    <w:rsid w:val="00D86BF0"/>
    <w:rsid w:val="00D91089"/>
    <w:rsid w:val="00D94905"/>
    <w:rsid w:val="00D95103"/>
    <w:rsid w:val="00D95391"/>
    <w:rsid w:val="00DA2743"/>
    <w:rsid w:val="00DA4FD5"/>
    <w:rsid w:val="00DB0584"/>
    <w:rsid w:val="00DB60BB"/>
    <w:rsid w:val="00DC5D08"/>
    <w:rsid w:val="00DD267D"/>
    <w:rsid w:val="00DD2F44"/>
    <w:rsid w:val="00DE21E5"/>
    <w:rsid w:val="00DF3945"/>
    <w:rsid w:val="00DF4DF5"/>
    <w:rsid w:val="00DF77A7"/>
    <w:rsid w:val="00E0408B"/>
    <w:rsid w:val="00E1100D"/>
    <w:rsid w:val="00E13C63"/>
    <w:rsid w:val="00E1423A"/>
    <w:rsid w:val="00E14C09"/>
    <w:rsid w:val="00E16C38"/>
    <w:rsid w:val="00E257B1"/>
    <w:rsid w:val="00E2595D"/>
    <w:rsid w:val="00E26C62"/>
    <w:rsid w:val="00E36DBA"/>
    <w:rsid w:val="00E37883"/>
    <w:rsid w:val="00E4385C"/>
    <w:rsid w:val="00E45A59"/>
    <w:rsid w:val="00E4777E"/>
    <w:rsid w:val="00E51920"/>
    <w:rsid w:val="00E55000"/>
    <w:rsid w:val="00E56F49"/>
    <w:rsid w:val="00E623D6"/>
    <w:rsid w:val="00E64120"/>
    <w:rsid w:val="00E65E30"/>
    <w:rsid w:val="00E66FFC"/>
    <w:rsid w:val="00E762DA"/>
    <w:rsid w:val="00E82505"/>
    <w:rsid w:val="00E921B6"/>
    <w:rsid w:val="00E94936"/>
    <w:rsid w:val="00EB2C05"/>
    <w:rsid w:val="00EC0744"/>
    <w:rsid w:val="00ED6B11"/>
    <w:rsid w:val="00EE01E5"/>
    <w:rsid w:val="00EE05D1"/>
    <w:rsid w:val="00EE2CDD"/>
    <w:rsid w:val="00EE6A90"/>
    <w:rsid w:val="00EE7AE7"/>
    <w:rsid w:val="00EF0485"/>
    <w:rsid w:val="00EF358F"/>
    <w:rsid w:val="00F024C1"/>
    <w:rsid w:val="00F05175"/>
    <w:rsid w:val="00F055F1"/>
    <w:rsid w:val="00F06BB5"/>
    <w:rsid w:val="00F10F74"/>
    <w:rsid w:val="00F242AC"/>
    <w:rsid w:val="00F317D7"/>
    <w:rsid w:val="00F3555D"/>
    <w:rsid w:val="00F41C65"/>
    <w:rsid w:val="00F44FC7"/>
    <w:rsid w:val="00F46399"/>
    <w:rsid w:val="00F51BF6"/>
    <w:rsid w:val="00F51DAF"/>
    <w:rsid w:val="00F571B3"/>
    <w:rsid w:val="00F6644B"/>
    <w:rsid w:val="00F70E9B"/>
    <w:rsid w:val="00F7154E"/>
    <w:rsid w:val="00F72C78"/>
    <w:rsid w:val="00F738BF"/>
    <w:rsid w:val="00F86D8C"/>
    <w:rsid w:val="00F90B86"/>
    <w:rsid w:val="00F91643"/>
    <w:rsid w:val="00FA05D9"/>
    <w:rsid w:val="00FA0813"/>
    <w:rsid w:val="00FA6B96"/>
    <w:rsid w:val="00FA7972"/>
    <w:rsid w:val="00FB281D"/>
    <w:rsid w:val="00FB6447"/>
    <w:rsid w:val="00FB715D"/>
    <w:rsid w:val="00FC10ED"/>
    <w:rsid w:val="00FC2D11"/>
    <w:rsid w:val="00FC49AE"/>
    <w:rsid w:val="00FC6230"/>
    <w:rsid w:val="00FC76B0"/>
    <w:rsid w:val="00FD2636"/>
    <w:rsid w:val="00FD69B8"/>
    <w:rsid w:val="00FD6D87"/>
    <w:rsid w:val="00FD7079"/>
    <w:rsid w:val="00FE0C7F"/>
    <w:rsid w:val="00FE102C"/>
    <w:rsid w:val="00FF118D"/>
    <w:rsid w:val="00FF2626"/>
    <w:rsid w:val="00FF3C4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04BD7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1A23E4"/>
    <w:pPr>
      <w:spacing w:before="240" w:after="240" w:line="276" w:lineRule="auto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">
    <w:name w:val="Intro text"/>
    <w:basedOn w:val="Normal"/>
    <w:rsid w:val="006F1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character" w:styleId="CommentReference">
    <w:name w:val="annotation reference"/>
    <w:rsid w:val="00247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70A4"/>
  </w:style>
  <w:style w:type="paragraph" w:styleId="CommentSubject">
    <w:name w:val="annotation subject"/>
    <w:basedOn w:val="CommentText"/>
    <w:next w:val="CommentText"/>
    <w:link w:val="CommentSubjectChar"/>
    <w:semiHidden/>
    <w:rsid w:val="002470A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2470A4"/>
    <w:rPr>
      <w:b/>
      <w:bCs/>
    </w:rPr>
  </w:style>
  <w:style w:type="paragraph" w:customStyle="1" w:styleId="NICEnormal">
    <w:name w:val="NICE normal"/>
    <w:link w:val="NICEnormalChar"/>
    <w:rsid w:val="00D4568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D45686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3B42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2E7"/>
  </w:style>
  <w:style w:type="character" w:styleId="FootnoteReference">
    <w:name w:val="footnote reference"/>
    <w:semiHidden/>
    <w:rsid w:val="003B42E7"/>
    <w:rPr>
      <w:vertAlign w:val="superscript"/>
    </w:rPr>
  </w:style>
  <w:style w:type="character" w:styleId="Hyperlink">
    <w:name w:val="Hyperlink"/>
    <w:semiHidden/>
    <w:rsid w:val="003B42E7"/>
    <w:rPr>
      <w:color w:val="0000FF"/>
      <w:u w:val="single"/>
    </w:rPr>
  </w:style>
  <w:style w:type="character" w:customStyle="1" w:styleId="ParagraphnonumbersChar">
    <w:name w:val="Paragraph no numbers Char"/>
    <w:link w:val="Paragraphnonumbers"/>
    <w:rsid w:val="00545EF3"/>
    <w:rPr>
      <w:rFonts w:ascii="Arial" w:hAnsi="Arial"/>
      <w:sz w:val="24"/>
      <w:szCs w:val="24"/>
    </w:rPr>
  </w:style>
  <w:style w:type="paragraph" w:customStyle="1" w:styleId="Numberedheading1">
    <w:name w:val="Numbered heading 1"/>
    <w:basedOn w:val="Heading1"/>
    <w:next w:val="NICEnormal"/>
    <w:rsid w:val="005E510A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rsid w:val="005E510A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ICEnormal"/>
    <w:rsid w:val="005E510A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ICEnormal"/>
    <w:next w:val="NICEnormal"/>
    <w:rsid w:val="005E510A"/>
    <w:pPr>
      <w:numPr>
        <w:ilvl w:val="3"/>
        <w:numId w:val="22"/>
      </w:numPr>
    </w:pPr>
  </w:style>
  <w:style w:type="paragraph" w:customStyle="1" w:styleId="NICEnormalsinglespacing">
    <w:name w:val="NICE normal single spacing"/>
    <w:basedOn w:val="NICEnormal"/>
    <w:rsid w:val="000A17BD"/>
    <w:pPr>
      <w:spacing w:line="240" w:lineRule="auto"/>
    </w:pPr>
    <w:rPr>
      <w:lang w:val="en-GB"/>
    </w:rPr>
  </w:style>
  <w:style w:type="paragraph" w:customStyle="1" w:styleId="Title16pt">
    <w:name w:val="Title 16 pt"/>
    <w:basedOn w:val="Title"/>
    <w:rsid w:val="000A17BD"/>
    <w:pPr>
      <w:keepNext/>
    </w:pPr>
    <w:rPr>
      <w:rFonts w:cs="Arial"/>
      <w:lang w:val="en-GB" w:eastAsia="en-GB"/>
    </w:rPr>
  </w:style>
  <w:style w:type="paragraph" w:customStyle="1" w:styleId="Bulletleft2">
    <w:name w:val="Bullet left 2"/>
    <w:basedOn w:val="NICEnormal"/>
    <w:rsid w:val="000A17BD"/>
    <w:pPr>
      <w:numPr>
        <w:ilvl w:val="1"/>
        <w:numId w:val="23"/>
      </w:numPr>
      <w:spacing w:after="0"/>
      <w:ind w:left="568" w:hanging="284"/>
    </w:pPr>
    <w:rPr>
      <w:lang w:val="en-GB"/>
    </w:rPr>
  </w:style>
  <w:style w:type="paragraph" w:customStyle="1" w:styleId="Tabletitle">
    <w:name w:val="Table title"/>
    <w:basedOn w:val="NICEnormal"/>
    <w:next w:val="NICEnormal"/>
    <w:rsid w:val="000A17BD"/>
    <w:pPr>
      <w:keepNext/>
      <w:spacing w:after="60" w:line="240" w:lineRule="auto"/>
    </w:pPr>
    <w:rPr>
      <w:b/>
      <w:lang w:val="en-GB"/>
    </w:rPr>
  </w:style>
  <w:style w:type="paragraph" w:customStyle="1" w:styleId="Tabletext">
    <w:name w:val="Table text"/>
    <w:basedOn w:val="NICEnormalsinglespacing"/>
    <w:rsid w:val="000A17BD"/>
    <w:pPr>
      <w:keepNext/>
      <w:spacing w:after="60"/>
    </w:pPr>
    <w:rPr>
      <w:sz w:val="22"/>
    </w:rPr>
  </w:style>
  <w:style w:type="paragraph" w:customStyle="1" w:styleId="Default">
    <w:name w:val="Default"/>
    <w:rsid w:val="00342E19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FollowedHyperlink">
    <w:name w:val="FollowedHyperlink"/>
    <w:semiHidden/>
    <w:rsid w:val="00B27BF5"/>
    <w:rPr>
      <w:color w:val="800080"/>
      <w:u w:val="single"/>
    </w:rPr>
  </w:style>
  <w:style w:type="paragraph" w:styleId="Revision">
    <w:name w:val="Revision"/>
    <w:hidden/>
    <w:uiPriority w:val="99"/>
    <w:semiHidden/>
    <w:rsid w:val="00667B2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4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publications/statistical/appointments-in-general-practice/december-20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https://www.ons.gov.uk/peoplepopulationandcommunity/healthandsocialcare/conditionsanddiseases/bulletins/cancerregistrationstatisticsengland/2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s.gov.uk/peoplepopulationandcommunity/populationandmigrathttps:/www.ons.gov.uk/peoplepopulationandcommunity/populationandmigration/populationestimates/datasets/clinicalcommissioninggroupmidyearpopulationestimat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B449E-134D-4207-89FA-12B0C3B5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Links>
    <vt:vector size="78" baseType="variant">
      <vt:variant>
        <vt:i4>6029358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http://www.ncbi.nlm.nih.gov/pubmed/?term=Abera%20SF%5BAuthor%5D&amp;cauthor=true&amp;cauthor_uid=24880830</vt:lpwstr>
      </vt:variant>
      <vt:variant>
        <vt:lpwstr/>
      </vt:variant>
      <vt:variant>
        <vt:i4>8126487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http://www.ncbi.nlm.nih.gov/pubmed/?term=Abbafati%20C%5BAuthor%5D&amp;cauthor=true&amp;cauthor_uid=24880830</vt:lpwstr>
      </vt:variant>
      <vt:variant>
        <vt:lpwstr/>
      </vt:variant>
      <vt:variant>
        <vt:i4>6750209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http://www.ncbi.nlm.nih.gov/pubmed/?term=Biryukov%20S%5BAuthor%5D&amp;cauthor=true&amp;cauthor_uid=24880830</vt:lpwstr>
      </vt:variant>
      <vt:variant>
        <vt:lpwstr/>
      </vt:variant>
      <vt:variant>
        <vt:i4>3539020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http://www.ncbi.nlm.nih.gov/pubmed/?term=Mullany%20EC%5BAuthor%5D&amp;cauthor=true&amp;cauthor_uid=24880830</vt:lpwstr>
      </vt:variant>
      <vt:variant>
        <vt:lpwstr/>
      </vt:variant>
      <vt:variant>
        <vt:i4>1638447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http://www.ncbi.nlm.nih.gov/pubmed/?term=Margono%20C%5BAuthor%5D&amp;cauthor=true&amp;cauthor_uid=24880830</vt:lpwstr>
      </vt:variant>
      <vt:variant>
        <vt:lpwstr/>
      </vt:variant>
      <vt:variant>
        <vt:i4>2031740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http://www.ncbi.nlm.nih.gov/pubmed/?term=Graetz%20N%5BAuthor%5D&amp;cauthor=true&amp;cauthor_uid=24880830</vt:lpwstr>
      </vt:variant>
      <vt:variant>
        <vt:lpwstr/>
      </vt:variant>
      <vt:variant>
        <vt:i4>65581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http://www.ncbi.nlm.nih.gov/pubmed/?term=Thomson%20B%5BAuthor%5D&amp;cauthor=true&amp;cauthor_uid=24880830</vt:lpwstr>
      </vt:variant>
      <vt:variant>
        <vt:lpwstr/>
      </vt:variant>
      <vt:variant>
        <vt:i4>8126473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http://www.ncbi.nlm.nih.gov/pubmed/?term=Robinson%20M%5BAuthor%5D&amp;cauthor=true&amp;cauthor_uid=24880830</vt:lpwstr>
      </vt:variant>
      <vt:variant>
        <vt:lpwstr/>
      </vt:variant>
      <vt:variant>
        <vt:i4>1835048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http://www.ncbi.nlm.nih.gov/pubmed/?term=Fleming%20T%5BAuthor%5D&amp;cauthor=true&amp;cauthor_uid=24880830</vt:lpwstr>
      </vt:variant>
      <vt:variant>
        <vt:lpwstr/>
      </vt:variant>
      <vt:variant>
        <vt:i4>196725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http://www.ncbi.nlm.nih.gov/pubmed/?term=Ng%20M%5BAuthor%5D&amp;cauthor=true&amp;cauthor_uid=24880830</vt:lpwstr>
      </vt:variant>
      <vt:variant>
        <vt:lpwstr/>
      </vt:variant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http://www.hscic.gov.uk/catalogue/PUB15751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http://www.nice.org.uk/guidance/ph53/resources</vt:lpwstr>
      </vt:variant>
      <vt:variant>
        <vt:lpwstr/>
      </vt:variant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http://www.pssru.ac.uk/project-pages/unit-costs/2014/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2020-09-09T17:06:00Z</dcterms:created>
  <dcterms:modified xsi:type="dcterms:W3CDTF">2020-09-09T17:06:00Z</dcterms:modified>
</cp:coreProperties>
</file>