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8966D4" w14:textId="14D056C0" w:rsidR="00482C01" w:rsidRDefault="00482C01" w:rsidP="00363276">
      <w:pPr>
        <w:pStyle w:val="Title"/>
      </w:pPr>
      <w:bookmarkStart w:id="0" w:name="_Toc383595130"/>
      <w:r w:rsidRPr="00861C2E">
        <w:t>NATIONAL INSTITUTE FOR HEALTH AND CARE EXCELLENCE</w:t>
      </w:r>
      <w:bookmarkEnd w:id="0"/>
    </w:p>
    <w:p w14:paraId="6C6B43FC" w14:textId="2F3EF7E2" w:rsidR="00482C01" w:rsidRDefault="009B0E59" w:rsidP="00363276">
      <w:pPr>
        <w:pStyle w:val="Title"/>
      </w:pPr>
      <w:r>
        <w:t>NICE indicator v</w:t>
      </w:r>
      <w:r w:rsidR="00192B09">
        <w:t>alidity assessment</w:t>
      </w:r>
    </w:p>
    <w:p w14:paraId="047E7BC9" w14:textId="7B465B94" w:rsidR="009B0E59" w:rsidRPr="009B0E59" w:rsidRDefault="009B0E59" w:rsidP="00363276">
      <w:pPr>
        <w:pStyle w:val="Heading3"/>
        <w:rPr>
          <w:lang w:eastAsia="en-GB"/>
        </w:rPr>
      </w:pPr>
      <w:r w:rsidRPr="009B0E59">
        <w:rPr>
          <w:lang w:eastAsia="en-GB"/>
        </w:rPr>
        <w:t xml:space="preserve">Indicator </w:t>
      </w:r>
      <w:r w:rsidR="00E200F9">
        <w:rPr>
          <w:lang w:eastAsia="en-GB"/>
        </w:rPr>
        <w:t>N</w:t>
      </w:r>
      <w:r w:rsidR="003B5E1E">
        <w:rPr>
          <w:lang w:eastAsia="en-GB"/>
        </w:rPr>
        <w:t>M</w:t>
      </w:r>
      <w:r w:rsidR="00E200F9">
        <w:rPr>
          <w:lang w:eastAsia="en-GB"/>
        </w:rPr>
        <w:t>204</w:t>
      </w:r>
    </w:p>
    <w:p w14:paraId="035F8373" w14:textId="5F425F2F" w:rsidR="009B0E59" w:rsidRDefault="00E200F9" w:rsidP="009B0E59">
      <w:pPr>
        <w:pStyle w:val="Paragraph"/>
        <w:rPr>
          <w:lang w:eastAsia="en-GB"/>
        </w:rPr>
      </w:pPr>
      <w:r w:rsidRPr="00E200F9">
        <w:rPr>
          <w:lang w:eastAsia="en-GB"/>
        </w:rPr>
        <w:t>The percentage of patients with cancer, diagnosed within the preceding 12 months, who have had a discussion within 3 months of diagnosis about the support available from primary care.</w:t>
      </w:r>
    </w:p>
    <w:p w14:paraId="7C25BFBC" w14:textId="6384F6FD" w:rsidR="007136A7" w:rsidRDefault="002338EB" w:rsidP="00363276">
      <w:pPr>
        <w:pStyle w:val="Heading3"/>
      </w:pPr>
      <w:r>
        <w:t xml:space="preserve">Importance </w:t>
      </w:r>
    </w:p>
    <w:tbl>
      <w:tblPr>
        <w:tblStyle w:val="TableGrid"/>
        <w:tblW w:w="9067" w:type="dxa"/>
        <w:tblLook w:val="04A0" w:firstRow="1" w:lastRow="0" w:firstColumn="1" w:lastColumn="0" w:noHBand="0" w:noVBand="1"/>
      </w:tblPr>
      <w:tblGrid>
        <w:gridCol w:w="5949"/>
        <w:gridCol w:w="3118"/>
      </w:tblGrid>
      <w:tr w:rsidR="002338EB" w14:paraId="6C46B250" w14:textId="77777777" w:rsidTr="002338EB">
        <w:tc>
          <w:tcPr>
            <w:tcW w:w="5949" w:type="dxa"/>
          </w:tcPr>
          <w:p w14:paraId="5472972D" w14:textId="7A9FC88C" w:rsidR="002338EB" w:rsidRPr="002338EB" w:rsidRDefault="002338EB" w:rsidP="002338EB">
            <w:pPr>
              <w:pStyle w:val="Paragraph"/>
              <w:spacing w:before="120" w:after="120" w:line="240" w:lineRule="auto"/>
              <w:rPr>
                <w:b/>
                <w:bCs/>
                <w:sz w:val="22"/>
                <w:szCs w:val="22"/>
              </w:rPr>
            </w:pPr>
            <w:bookmarkStart w:id="1" w:name="_Hlk34309601"/>
            <w:r w:rsidRPr="002338EB">
              <w:rPr>
                <w:b/>
                <w:bCs/>
                <w:sz w:val="22"/>
                <w:szCs w:val="22"/>
              </w:rPr>
              <w:t xml:space="preserve">Considerations </w:t>
            </w:r>
          </w:p>
        </w:tc>
        <w:tc>
          <w:tcPr>
            <w:tcW w:w="3118" w:type="dxa"/>
          </w:tcPr>
          <w:p w14:paraId="4B1E80F9" w14:textId="70CF3A57" w:rsidR="002338EB" w:rsidRPr="002338EB" w:rsidRDefault="002338EB" w:rsidP="002338EB">
            <w:pPr>
              <w:pStyle w:val="Paragraph"/>
              <w:spacing w:before="120" w:after="120" w:line="240" w:lineRule="auto"/>
              <w:rPr>
                <w:b/>
                <w:bCs/>
                <w:sz w:val="22"/>
                <w:szCs w:val="22"/>
              </w:rPr>
            </w:pPr>
            <w:r w:rsidRPr="002338EB">
              <w:rPr>
                <w:b/>
                <w:bCs/>
                <w:sz w:val="22"/>
                <w:szCs w:val="22"/>
              </w:rPr>
              <w:t>Assessment</w:t>
            </w:r>
          </w:p>
        </w:tc>
      </w:tr>
      <w:tr w:rsidR="002338EB" w14:paraId="762654B9" w14:textId="77777777" w:rsidTr="002338EB">
        <w:tc>
          <w:tcPr>
            <w:tcW w:w="5949" w:type="dxa"/>
          </w:tcPr>
          <w:p w14:paraId="14BA4891" w14:textId="041E3E61" w:rsidR="00E200F9" w:rsidRPr="00E200F9" w:rsidRDefault="00E200F9" w:rsidP="002338EB">
            <w:pPr>
              <w:pStyle w:val="Paragraph"/>
              <w:spacing w:before="120" w:after="120" w:line="240" w:lineRule="auto"/>
              <w:rPr>
                <w:rFonts w:cs="Arial"/>
                <w:sz w:val="22"/>
                <w:szCs w:val="22"/>
              </w:rPr>
            </w:pPr>
            <w:r w:rsidRPr="00E200F9">
              <w:rPr>
                <w:rFonts w:cs="Arial"/>
                <w:sz w:val="22"/>
                <w:szCs w:val="22"/>
              </w:rPr>
              <w:t>NHSE identified cancer in primary care as a topic for indicator development.</w:t>
            </w:r>
          </w:p>
          <w:p w14:paraId="6F338971" w14:textId="2572E34B" w:rsidR="002338EB" w:rsidRPr="00E200F9" w:rsidRDefault="002338EB" w:rsidP="002338EB">
            <w:pPr>
              <w:pStyle w:val="Paragraph"/>
              <w:spacing w:before="120" w:after="120" w:line="240" w:lineRule="auto"/>
            </w:pPr>
            <w:r w:rsidRPr="00E200F9">
              <w:rPr>
                <w:rFonts w:cs="Arial"/>
                <w:sz w:val="22"/>
                <w:szCs w:val="22"/>
              </w:rPr>
              <w:t xml:space="preserve">The </w:t>
            </w:r>
            <w:hyperlink r:id="rId7" w:history="1">
              <w:r w:rsidRPr="00E200F9">
                <w:rPr>
                  <w:rFonts w:cs="Arial"/>
                  <w:color w:val="0000FF"/>
                  <w:sz w:val="22"/>
                  <w:szCs w:val="22"/>
                  <w:u w:val="single"/>
                </w:rPr>
                <w:t>NHS Long Term Plan</w:t>
              </w:r>
            </w:hyperlink>
            <w:r w:rsidRPr="00E200F9">
              <w:rPr>
                <w:rFonts w:cs="Arial"/>
                <w:sz w:val="22"/>
                <w:szCs w:val="22"/>
              </w:rPr>
              <w:t xml:space="preserve"> identifies </w:t>
            </w:r>
            <w:r w:rsidR="00E200F9" w:rsidRPr="00E200F9">
              <w:rPr>
                <w:rFonts w:cs="Arial"/>
                <w:sz w:val="22"/>
                <w:szCs w:val="22"/>
              </w:rPr>
              <w:t>cancer as a disease that more people are living with and surviving, and sets targets for personalised care and wellbeing information and support for people with a cancer diagnosis that includes maximising the potential of community-based support. It also prioritises the linking and coordinating of care.</w:t>
            </w:r>
          </w:p>
        </w:tc>
        <w:tc>
          <w:tcPr>
            <w:tcW w:w="3118" w:type="dxa"/>
          </w:tcPr>
          <w:p w14:paraId="062E903B" w14:textId="19F53F68" w:rsidR="002338EB" w:rsidRPr="00E200F9" w:rsidRDefault="002338EB" w:rsidP="002338EB">
            <w:pPr>
              <w:spacing w:before="120" w:after="120"/>
              <w:rPr>
                <w:rFonts w:ascii="Arial" w:hAnsi="Arial" w:cs="Arial"/>
                <w:color w:val="000000"/>
                <w:kern w:val="24"/>
                <w:sz w:val="22"/>
                <w:szCs w:val="22"/>
                <w:lang w:val="en-US"/>
              </w:rPr>
            </w:pPr>
            <w:r w:rsidRPr="00E200F9">
              <w:rPr>
                <w:rFonts w:ascii="Arial" w:hAnsi="Arial" w:cs="Arial"/>
                <w:color w:val="000000"/>
                <w:kern w:val="24"/>
                <w:sz w:val="22"/>
                <w:szCs w:val="22"/>
                <w:lang w:val="en-US"/>
              </w:rPr>
              <w:t>The indicator reflects a specific priority area identified by NHS England.</w:t>
            </w:r>
          </w:p>
          <w:p w14:paraId="272CA0EC" w14:textId="77777777" w:rsidR="002338EB" w:rsidRPr="00E200F9" w:rsidRDefault="002338EB" w:rsidP="002338EB">
            <w:pPr>
              <w:pStyle w:val="Paragraph"/>
              <w:spacing w:before="120" w:after="120" w:line="240" w:lineRule="auto"/>
            </w:pPr>
          </w:p>
        </w:tc>
      </w:tr>
      <w:tr w:rsidR="00735337" w14:paraId="2E2CE1C4" w14:textId="77777777" w:rsidTr="002338EB">
        <w:tc>
          <w:tcPr>
            <w:tcW w:w="5949" w:type="dxa"/>
          </w:tcPr>
          <w:p w14:paraId="378D38FD" w14:textId="4D233926" w:rsidR="00735337" w:rsidRPr="00456C08" w:rsidRDefault="00E200F9" w:rsidP="00735337">
            <w:pPr>
              <w:pStyle w:val="Paragraph"/>
              <w:spacing w:before="120" w:after="120" w:line="240" w:lineRule="auto"/>
              <w:rPr>
                <w:rFonts w:cs="Arial"/>
                <w:sz w:val="22"/>
                <w:szCs w:val="22"/>
              </w:rPr>
            </w:pPr>
            <w:r>
              <w:rPr>
                <w:rFonts w:cs="Arial"/>
                <w:sz w:val="22"/>
                <w:szCs w:val="22"/>
              </w:rPr>
              <w:t xml:space="preserve">Existing </w:t>
            </w:r>
            <w:r w:rsidRPr="00444E10">
              <w:rPr>
                <w:rFonts w:cs="Arial"/>
                <w:sz w:val="22"/>
                <w:szCs w:val="22"/>
              </w:rPr>
              <w:t>QOF indicator CAN003</w:t>
            </w:r>
            <w:r>
              <w:rPr>
                <w:rStyle w:val="FootnoteReference"/>
                <w:rFonts w:cs="Arial"/>
                <w:sz w:val="22"/>
                <w:szCs w:val="22"/>
              </w:rPr>
              <w:footnoteReference w:id="1"/>
            </w:r>
            <w:r w:rsidRPr="00444E10">
              <w:rPr>
                <w:rFonts w:cs="Arial"/>
                <w:sz w:val="22"/>
                <w:szCs w:val="22"/>
              </w:rPr>
              <w:t xml:space="preserve"> which focuses on review at 6 months has high levels of exception reporting</w:t>
            </w:r>
            <w:r w:rsidR="00456C08">
              <w:rPr>
                <w:rFonts w:cs="Arial"/>
                <w:sz w:val="22"/>
                <w:szCs w:val="22"/>
              </w:rPr>
              <w:t>, with exceptions over 25% in 2015/16 and 2016/17 and at 26% in 2017/18.</w:t>
            </w:r>
          </w:p>
        </w:tc>
        <w:tc>
          <w:tcPr>
            <w:tcW w:w="3118" w:type="dxa"/>
          </w:tcPr>
          <w:p w14:paraId="3FD01E72" w14:textId="3711CA1D" w:rsidR="00735337" w:rsidRPr="002338EB" w:rsidRDefault="00E200F9" w:rsidP="00735337">
            <w:pPr>
              <w:pStyle w:val="Paragraph"/>
              <w:spacing w:before="120" w:after="120" w:line="240" w:lineRule="auto"/>
              <w:rPr>
                <w:highlight w:val="lightGray"/>
              </w:rPr>
            </w:pPr>
            <w:r w:rsidRPr="00E200F9">
              <w:rPr>
                <w:rFonts w:cs="Arial"/>
                <w:color w:val="000000"/>
                <w:kern w:val="24"/>
                <w:sz w:val="22"/>
                <w:szCs w:val="22"/>
                <w:lang w:val="en-US"/>
              </w:rPr>
              <w:t>The indicator seeks to increase the number of people accessing support from primary care.</w:t>
            </w:r>
          </w:p>
        </w:tc>
      </w:tr>
      <w:tr w:rsidR="00735337" w14:paraId="373D8AA4" w14:textId="77777777" w:rsidTr="002338EB">
        <w:tc>
          <w:tcPr>
            <w:tcW w:w="5949" w:type="dxa"/>
          </w:tcPr>
          <w:p w14:paraId="40A2EA38" w14:textId="3308F57A" w:rsidR="00735337" w:rsidRPr="00AB6032" w:rsidRDefault="00E200F9" w:rsidP="00735337">
            <w:pPr>
              <w:spacing w:before="120" w:after="120"/>
              <w:rPr>
                <w:rFonts w:ascii="Arial" w:hAnsi="Arial" w:cs="Arial"/>
                <w:sz w:val="22"/>
                <w:szCs w:val="22"/>
                <w:highlight w:val="cyan"/>
              </w:rPr>
            </w:pPr>
            <w:r w:rsidRPr="00E200F9">
              <w:rPr>
                <w:rFonts w:ascii="Arial" w:hAnsi="Arial" w:cs="Arial"/>
                <w:sz w:val="22"/>
                <w:szCs w:val="22"/>
              </w:rPr>
              <w:t>This indicator aims to encourage GP practices to proactively make patients aware of the support available from their GP and wider practice team. The intention is to facilitate early and supportive conversations and ensure patients are aware of what help is available.</w:t>
            </w:r>
          </w:p>
        </w:tc>
        <w:tc>
          <w:tcPr>
            <w:tcW w:w="3118" w:type="dxa"/>
          </w:tcPr>
          <w:p w14:paraId="45004AAC" w14:textId="6AD33057" w:rsidR="00735337" w:rsidRPr="002338EB" w:rsidRDefault="00E200F9" w:rsidP="00735337">
            <w:pPr>
              <w:spacing w:before="120" w:after="120"/>
              <w:rPr>
                <w:rFonts w:ascii="Arial" w:hAnsi="Arial" w:cs="Arial"/>
                <w:color w:val="000000"/>
                <w:kern w:val="24"/>
                <w:sz w:val="22"/>
                <w:szCs w:val="22"/>
                <w:highlight w:val="lightGray"/>
                <w:lang w:val="en-US"/>
              </w:rPr>
            </w:pPr>
            <w:r w:rsidRPr="00E200F9">
              <w:rPr>
                <w:rFonts w:ascii="Arial" w:hAnsi="Arial" w:cs="Arial"/>
                <w:color w:val="000000"/>
                <w:kern w:val="24"/>
                <w:sz w:val="22"/>
                <w:szCs w:val="22"/>
                <w:lang w:val="en-US"/>
              </w:rPr>
              <w:t>The indicator will lead to a meaningful improvement in patient outcomes.</w:t>
            </w:r>
          </w:p>
        </w:tc>
      </w:tr>
      <w:bookmarkEnd w:id="1"/>
    </w:tbl>
    <w:p w14:paraId="7408AD42" w14:textId="77777777" w:rsidR="002338EB" w:rsidRDefault="002338EB" w:rsidP="002338EB">
      <w:pPr>
        <w:pStyle w:val="Heading3"/>
      </w:pPr>
    </w:p>
    <w:p w14:paraId="5BA69987" w14:textId="6FA6FB6E" w:rsidR="002338EB" w:rsidRDefault="002338EB" w:rsidP="00735337">
      <w:pPr>
        <w:pStyle w:val="Heading3"/>
      </w:pPr>
      <w:r>
        <w:t xml:space="preserve">Evidence base </w:t>
      </w:r>
    </w:p>
    <w:tbl>
      <w:tblPr>
        <w:tblStyle w:val="TableGrid"/>
        <w:tblW w:w="9067" w:type="dxa"/>
        <w:tblLook w:val="04A0" w:firstRow="1" w:lastRow="0" w:firstColumn="1" w:lastColumn="0" w:noHBand="0" w:noVBand="1"/>
      </w:tblPr>
      <w:tblGrid>
        <w:gridCol w:w="5949"/>
        <w:gridCol w:w="3118"/>
      </w:tblGrid>
      <w:tr w:rsidR="002338EB" w14:paraId="4A03EAF6" w14:textId="77777777" w:rsidTr="001C517D">
        <w:tc>
          <w:tcPr>
            <w:tcW w:w="5949" w:type="dxa"/>
          </w:tcPr>
          <w:p w14:paraId="39775ECC"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 xml:space="preserve">Considerations </w:t>
            </w:r>
          </w:p>
        </w:tc>
        <w:tc>
          <w:tcPr>
            <w:tcW w:w="3118" w:type="dxa"/>
          </w:tcPr>
          <w:p w14:paraId="337C7E3E"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Assessment</w:t>
            </w:r>
          </w:p>
        </w:tc>
      </w:tr>
      <w:tr w:rsidR="002338EB" w14:paraId="7862F909" w14:textId="77777777" w:rsidTr="001C517D">
        <w:tc>
          <w:tcPr>
            <w:tcW w:w="5949" w:type="dxa"/>
          </w:tcPr>
          <w:p w14:paraId="6153958F" w14:textId="77777777" w:rsidR="00E200F9" w:rsidRDefault="00456C08" w:rsidP="00E200F9">
            <w:pPr>
              <w:pStyle w:val="Paragraph"/>
              <w:spacing w:before="120" w:after="120" w:line="240" w:lineRule="auto"/>
              <w:rPr>
                <w:rFonts w:cs="Arial"/>
                <w:color w:val="000000"/>
                <w:kern w:val="24"/>
                <w:sz w:val="22"/>
                <w:szCs w:val="22"/>
                <w:lang w:eastAsia="en-GB"/>
              </w:rPr>
            </w:pPr>
            <w:hyperlink r:id="rId8" w:history="1">
              <w:r w:rsidR="00E200F9" w:rsidRPr="00CE2B31">
                <w:rPr>
                  <w:rStyle w:val="Hyperlink"/>
                  <w:rFonts w:cs="Arial"/>
                  <w:kern w:val="24"/>
                  <w:sz w:val="22"/>
                  <w:szCs w:val="22"/>
                  <w:lang w:eastAsia="en-GB"/>
                </w:rPr>
                <w:t>Patient experience in adult NHS services</w:t>
              </w:r>
            </w:hyperlink>
            <w:r w:rsidR="00E200F9" w:rsidRPr="00CE2B31">
              <w:rPr>
                <w:rFonts w:cs="Arial"/>
                <w:color w:val="000000"/>
                <w:kern w:val="24"/>
                <w:sz w:val="22"/>
                <w:szCs w:val="22"/>
                <w:lang w:eastAsia="en-GB"/>
              </w:rPr>
              <w:t xml:space="preserve"> </w:t>
            </w:r>
            <w:r w:rsidR="00E200F9">
              <w:rPr>
                <w:rFonts w:cs="Arial"/>
                <w:color w:val="000000"/>
                <w:kern w:val="24"/>
                <w:sz w:val="22"/>
                <w:szCs w:val="22"/>
                <w:lang w:eastAsia="en-GB"/>
              </w:rPr>
              <w:t>CG</w:t>
            </w:r>
            <w:r w:rsidR="00E200F9" w:rsidRPr="00CE2B31">
              <w:rPr>
                <w:rFonts w:cs="Arial"/>
                <w:color w:val="000000"/>
                <w:kern w:val="24"/>
                <w:sz w:val="22"/>
                <w:szCs w:val="22"/>
                <w:lang w:eastAsia="en-GB"/>
              </w:rPr>
              <w:t>138 recommendations 1.1.1, 1.3.4 and 1.3.5</w:t>
            </w:r>
          </w:p>
          <w:p w14:paraId="1359C26D" w14:textId="2039B7F9" w:rsidR="002338EB" w:rsidRPr="002338EB" w:rsidRDefault="002338EB" w:rsidP="002338EB">
            <w:pPr>
              <w:pStyle w:val="Paragraph"/>
              <w:spacing w:before="120" w:after="120" w:line="240" w:lineRule="auto"/>
              <w:rPr>
                <w:highlight w:val="lightGray"/>
              </w:rPr>
            </w:pPr>
          </w:p>
        </w:tc>
        <w:tc>
          <w:tcPr>
            <w:tcW w:w="3118" w:type="dxa"/>
          </w:tcPr>
          <w:p w14:paraId="0D72329A" w14:textId="54F94FB4" w:rsidR="002338EB" w:rsidRPr="00E200F9" w:rsidRDefault="002338EB" w:rsidP="002338EB">
            <w:pPr>
              <w:spacing w:before="120" w:after="120"/>
              <w:rPr>
                <w:rFonts w:ascii="Arial" w:hAnsi="Arial" w:cs="Arial"/>
                <w:color w:val="000000"/>
                <w:kern w:val="24"/>
                <w:sz w:val="22"/>
                <w:szCs w:val="22"/>
                <w:lang w:val="en-US"/>
              </w:rPr>
            </w:pPr>
            <w:r w:rsidRPr="00E200F9">
              <w:rPr>
                <w:rFonts w:ascii="Arial" w:hAnsi="Arial" w:cs="Arial"/>
                <w:color w:val="000000"/>
                <w:kern w:val="24"/>
                <w:sz w:val="22"/>
                <w:szCs w:val="22"/>
                <w:lang w:val="en-US"/>
              </w:rPr>
              <w:t xml:space="preserve">The indicator is derived from a high-quality evidence base. </w:t>
            </w:r>
          </w:p>
          <w:p w14:paraId="75848804" w14:textId="710C020D" w:rsidR="002338EB" w:rsidRPr="002338EB" w:rsidRDefault="002338EB" w:rsidP="002338EB">
            <w:pPr>
              <w:pStyle w:val="Paragraph"/>
              <w:spacing w:before="120" w:after="120" w:line="240" w:lineRule="auto"/>
              <w:rPr>
                <w:highlight w:val="lightGray"/>
              </w:rPr>
            </w:pPr>
            <w:r w:rsidRPr="00E200F9">
              <w:rPr>
                <w:rFonts w:cs="Arial"/>
                <w:color w:val="000000"/>
                <w:kern w:val="24"/>
                <w:sz w:val="22"/>
                <w:szCs w:val="22"/>
                <w:lang w:val="en-US"/>
              </w:rPr>
              <w:t>The indicator aligns with the evidence base.</w:t>
            </w:r>
          </w:p>
        </w:tc>
      </w:tr>
    </w:tbl>
    <w:p w14:paraId="3393013A" w14:textId="29A2DB06" w:rsidR="002338EB" w:rsidRDefault="002338EB" w:rsidP="002338EB">
      <w:pPr>
        <w:pStyle w:val="Paragraph"/>
      </w:pPr>
    </w:p>
    <w:p w14:paraId="67B93D8F" w14:textId="6D992C33" w:rsidR="002338EB" w:rsidRPr="002338EB" w:rsidRDefault="002338EB" w:rsidP="00735337">
      <w:pPr>
        <w:pStyle w:val="Heading3"/>
      </w:pPr>
      <w:r>
        <w:t xml:space="preserve">Specification </w:t>
      </w:r>
    </w:p>
    <w:tbl>
      <w:tblPr>
        <w:tblStyle w:val="TableGrid"/>
        <w:tblW w:w="9067" w:type="dxa"/>
        <w:tblLook w:val="04A0" w:firstRow="1" w:lastRow="0" w:firstColumn="1" w:lastColumn="0" w:noHBand="0" w:noVBand="1"/>
      </w:tblPr>
      <w:tblGrid>
        <w:gridCol w:w="5949"/>
        <w:gridCol w:w="3118"/>
      </w:tblGrid>
      <w:tr w:rsidR="002338EB" w14:paraId="33FA0B31" w14:textId="77777777" w:rsidTr="001C517D">
        <w:tc>
          <w:tcPr>
            <w:tcW w:w="5949" w:type="dxa"/>
          </w:tcPr>
          <w:p w14:paraId="7BD8EB75" w14:textId="77777777" w:rsidR="002338EB" w:rsidRPr="002338EB" w:rsidRDefault="002338EB" w:rsidP="001C517D">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4BCDDF3D" w14:textId="77777777" w:rsidR="002338EB" w:rsidRPr="002338EB" w:rsidRDefault="002338EB" w:rsidP="001C517D">
            <w:pPr>
              <w:pStyle w:val="Paragraph"/>
              <w:spacing w:before="120" w:after="120" w:line="240" w:lineRule="auto"/>
              <w:rPr>
                <w:b/>
                <w:bCs/>
                <w:sz w:val="22"/>
                <w:szCs w:val="22"/>
              </w:rPr>
            </w:pPr>
            <w:r w:rsidRPr="002338EB">
              <w:rPr>
                <w:b/>
                <w:bCs/>
                <w:sz w:val="22"/>
                <w:szCs w:val="22"/>
              </w:rPr>
              <w:t>Assessment</w:t>
            </w:r>
          </w:p>
        </w:tc>
      </w:tr>
      <w:tr w:rsidR="00E200F9" w14:paraId="3E61DC2D" w14:textId="77777777" w:rsidTr="001C517D">
        <w:tc>
          <w:tcPr>
            <w:tcW w:w="5949" w:type="dxa"/>
          </w:tcPr>
          <w:p w14:paraId="5841405A" w14:textId="77777777" w:rsidR="00E200F9" w:rsidRPr="00CE2B31" w:rsidRDefault="00E200F9" w:rsidP="00E200F9">
            <w:pPr>
              <w:spacing w:before="120" w:after="120"/>
              <w:rPr>
                <w:rFonts w:ascii="Arial" w:hAnsi="Arial" w:cs="Arial"/>
                <w:color w:val="000000"/>
                <w:kern w:val="24"/>
                <w:sz w:val="22"/>
                <w:szCs w:val="22"/>
                <w:lang w:eastAsia="en-GB"/>
              </w:rPr>
            </w:pPr>
            <w:r w:rsidRPr="00CE2B31">
              <w:rPr>
                <w:rFonts w:ascii="Arial" w:hAnsi="Arial" w:cs="Arial"/>
                <w:color w:val="000000"/>
                <w:kern w:val="24"/>
                <w:sz w:val="22"/>
                <w:szCs w:val="22"/>
                <w:lang w:eastAsia="en-GB"/>
              </w:rPr>
              <w:t>Numerator: The number of patients in the denominator who have had a discussion within 3 months of diagnosis about the support available from primary care.</w:t>
            </w:r>
          </w:p>
          <w:p w14:paraId="5A4EAFA2" w14:textId="77777777" w:rsidR="00E200F9" w:rsidRPr="00CE2B31" w:rsidRDefault="00E200F9" w:rsidP="00E200F9">
            <w:pPr>
              <w:spacing w:before="120" w:after="120"/>
              <w:rPr>
                <w:rFonts w:ascii="Arial" w:hAnsi="Arial" w:cs="Arial"/>
                <w:color w:val="000000"/>
                <w:kern w:val="24"/>
                <w:sz w:val="22"/>
                <w:szCs w:val="22"/>
                <w:lang w:eastAsia="en-GB"/>
              </w:rPr>
            </w:pPr>
            <w:r w:rsidRPr="00CE2B31">
              <w:rPr>
                <w:rFonts w:ascii="Arial" w:hAnsi="Arial" w:cs="Arial"/>
                <w:color w:val="000000"/>
                <w:kern w:val="24"/>
                <w:sz w:val="22"/>
                <w:szCs w:val="22"/>
                <w:lang w:eastAsia="en-GB"/>
              </w:rPr>
              <w:t xml:space="preserve">Denominator: The number of patients diagnosed with cancer in the preceding 12 months. </w:t>
            </w:r>
          </w:p>
          <w:p w14:paraId="1A8C1D16" w14:textId="17B4CC1F" w:rsidR="00E200F9" w:rsidRPr="002338EB" w:rsidRDefault="00E200F9" w:rsidP="00E200F9">
            <w:pPr>
              <w:pStyle w:val="Paragraph"/>
              <w:spacing w:before="120" w:after="120" w:line="240" w:lineRule="auto"/>
              <w:rPr>
                <w:highlight w:val="lightGray"/>
              </w:rPr>
            </w:pPr>
            <w:r w:rsidRPr="00CE2B31">
              <w:rPr>
                <w:rFonts w:cs="Arial"/>
                <w:color w:val="000000"/>
                <w:kern w:val="24"/>
                <w:sz w:val="22"/>
                <w:szCs w:val="22"/>
                <w:lang w:eastAsia="en-GB"/>
              </w:rPr>
              <w:t xml:space="preserve">Exclusions: </w:t>
            </w:r>
            <w:r w:rsidRPr="004F4567">
              <w:rPr>
                <w:rFonts w:cs="Arial"/>
                <w:color w:val="000000"/>
                <w:kern w:val="24"/>
                <w:sz w:val="22"/>
                <w:szCs w:val="22"/>
                <w:lang w:eastAsia="en-GB"/>
              </w:rPr>
              <w:t>Patients with a diagnosis of non-melanomatous skin lesions</w:t>
            </w:r>
          </w:p>
        </w:tc>
        <w:tc>
          <w:tcPr>
            <w:tcW w:w="3118" w:type="dxa"/>
          </w:tcPr>
          <w:p w14:paraId="0E0774D1" w14:textId="77777777" w:rsidR="00E200F9" w:rsidRPr="004F6640" w:rsidRDefault="00E200F9" w:rsidP="00E200F9">
            <w:pPr>
              <w:spacing w:before="120" w:after="120"/>
              <w:rPr>
                <w:rFonts w:ascii="Arial" w:eastAsiaTheme="minorEastAsia" w:hAnsi="Arial" w:cs="Arial"/>
                <w:color w:val="000000" w:themeColor="dark1"/>
                <w:kern w:val="24"/>
                <w:sz w:val="22"/>
                <w:szCs w:val="22"/>
                <w:lang w:val="en-US"/>
              </w:rPr>
            </w:pPr>
            <w:r w:rsidRPr="004F6640">
              <w:rPr>
                <w:rFonts w:ascii="Arial" w:hAnsi="Arial" w:cs="Arial"/>
                <w:color w:val="000000"/>
                <w:kern w:val="24"/>
                <w:sz w:val="22"/>
                <w:szCs w:val="22"/>
              </w:rPr>
              <w:t>The indicator has defined components necessary to construct the indicator, including numerator, denominator and exclusions.</w:t>
            </w:r>
          </w:p>
          <w:p w14:paraId="0C449702" w14:textId="77777777" w:rsidR="00E200F9" w:rsidRPr="002338EB" w:rsidRDefault="00E200F9" w:rsidP="00E200F9">
            <w:pPr>
              <w:pStyle w:val="Paragraph"/>
              <w:spacing w:before="120" w:after="120" w:line="240" w:lineRule="auto"/>
              <w:rPr>
                <w:highlight w:val="lightGray"/>
              </w:rPr>
            </w:pPr>
          </w:p>
        </w:tc>
      </w:tr>
      <w:tr w:rsidR="00E200F9" w14:paraId="48133640" w14:textId="77777777" w:rsidTr="001C517D">
        <w:tc>
          <w:tcPr>
            <w:tcW w:w="5949" w:type="dxa"/>
          </w:tcPr>
          <w:p w14:paraId="4B4889E2" w14:textId="39853A14" w:rsidR="00E200F9" w:rsidRPr="002338EB" w:rsidRDefault="00B2680D" w:rsidP="00E200F9">
            <w:pPr>
              <w:pStyle w:val="Paragraph"/>
              <w:spacing w:before="120" w:after="120" w:line="240" w:lineRule="auto"/>
              <w:rPr>
                <w:highlight w:val="lightGray"/>
              </w:rPr>
            </w:pPr>
            <w:r>
              <w:rPr>
                <w:rFonts w:cs="Arial"/>
                <w:color w:val="000000"/>
                <w:kern w:val="24"/>
                <w:sz w:val="22"/>
                <w:szCs w:val="22"/>
              </w:rPr>
              <w:t>T</w:t>
            </w:r>
            <w:r w:rsidR="00E200F9" w:rsidRPr="00C904D7">
              <w:rPr>
                <w:rFonts w:cs="Arial"/>
                <w:color w:val="000000"/>
                <w:kern w:val="24"/>
                <w:sz w:val="22"/>
                <w:szCs w:val="22"/>
              </w:rPr>
              <w:t>his indicator would be reported at general practice level for practices with more than 20 eligible patients.</w:t>
            </w:r>
          </w:p>
        </w:tc>
        <w:tc>
          <w:tcPr>
            <w:tcW w:w="3118" w:type="dxa"/>
          </w:tcPr>
          <w:p w14:paraId="38DE6D48" w14:textId="502B74F9" w:rsidR="00E200F9" w:rsidRPr="002338EB" w:rsidRDefault="00E200F9" w:rsidP="00E200F9">
            <w:pPr>
              <w:pStyle w:val="Paragraph"/>
              <w:spacing w:before="120" w:after="120" w:line="240" w:lineRule="auto"/>
              <w:rPr>
                <w:highlight w:val="lightGray"/>
              </w:rPr>
            </w:pPr>
            <w:r w:rsidRPr="004F6640">
              <w:rPr>
                <w:rFonts w:cs="Arial"/>
                <w:color w:val="000000"/>
                <w:kern w:val="24"/>
                <w:sz w:val="22"/>
                <w:szCs w:val="22"/>
              </w:rPr>
              <w:t>The indicator outline</w:t>
            </w:r>
            <w:r>
              <w:rPr>
                <w:rFonts w:cs="Arial"/>
                <w:color w:val="000000"/>
                <w:kern w:val="24"/>
                <w:sz w:val="22"/>
                <w:szCs w:val="22"/>
              </w:rPr>
              <w:t xml:space="preserve">s the </w:t>
            </w:r>
            <w:r w:rsidRPr="004F6640">
              <w:rPr>
                <w:rFonts w:cs="Arial"/>
                <w:color w:val="000000"/>
                <w:kern w:val="24"/>
                <w:sz w:val="22"/>
                <w:szCs w:val="22"/>
              </w:rPr>
              <w:t>minimum numbers of patients needed to be confident in the assessment of variation.</w:t>
            </w:r>
          </w:p>
        </w:tc>
      </w:tr>
    </w:tbl>
    <w:p w14:paraId="1F89E1DD" w14:textId="24151FF3" w:rsidR="002338EB" w:rsidRDefault="002338EB" w:rsidP="002338EB">
      <w:pPr>
        <w:pStyle w:val="Paragraph"/>
      </w:pPr>
    </w:p>
    <w:p w14:paraId="597779EE" w14:textId="5E0747D0" w:rsidR="002338EB" w:rsidRDefault="002338EB" w:rsidP="00735337">
      <w:pPr>
        <w:pStyle w:val="Heading3"/>
      </w:pPr>
      <w:r>
        <w:t xml:space="preserve">Feasibility </w:t>
      </w:r>
    </w:p>
    <w:tbl>
      <w:tblPr>
        <w:tblStyle w:val="TableGrid"/>
        <w:tblW w:w="9067" w:type="dxa"/>
        <w:tblLook w:val="04A0" w:firstRow="1" w:lastRow="0" w:firstColumn="1" w:lastColumn="0" w:noHBand="0" w:noVBand="1"/>
      </w:tblPr>
      <w:tblGrid>
        <w:gridCol w:w="5949"/>
        <w:gridCol w:w="3118"/>
      </w:tblGrid>
      <w:tr w:rsidR="002338EB" w14:paraId="40453993" w14:textId="77777777" w:rsidTr="001C517D">
        <w:tc>
          <w:tcPr>
            <w:tcW w:w="5949" w:type="dxa"/>
          </w:tcPr>
          <w:p w14:paraId="1B5D3E68" w14:textId="77777777" w:rsidR="002338EB" w:rsidRPr="00735337" w:rsidRDefault="002338EB" w:rsidP="001C517D">
            <w:pPr>
              <w:pStyle w:val="Paragraph"/>
              <w:spacing w:before="120" w:after="120" w:line="240" w:lineRule="auto"/>
              <w:rPr>
                <w:b/>
                <w:bCs/>
                <w:sz w:val="22"/>
                <w:szCs w:val="22"/>
              </w:rPr>
            </w:pPr>
            <w:r w:rsidRPr="00735337">
              <w:rPr>
                <w:b/>
                <w:bCs/>
                <w:sz w:val="22"/>
                <w:szCs w:val="22"/>
              </w:rPr>
              <w:t xml:space="preserve">Considerations </w:t>
            </w:r>
          </w:p>
        </w:tc>
        <w:tc>
          <w:tcPr>
            <w:tcW w:w="3118" w:type="dxa"/>
          </w:tcPr>
          <w:p w14:paraId="632FEA87" w14:textId="77777777" w:rsidR="002338EB" w:rsidRPr="00735337" w:rsidRDefault="002338EB" w:rsidP="001C517D">
            <w:pPr>
              <w:pStyle w:val="Paragraph"/>
              <w:spacing w:before="120" w:after="120" w:line="240" w:lineRule="auto"/>
              <w:rPr>
                <w:b/>
                <w:bCs/>
                <w:sz w:val="22"/>
                <w:szCs w:val="22"/>
              </w:rPr>
            </w:pPr>
            <w:r w:rsidRPr="00735337">
              <w:rPr>
                <w:b/>
                <w:bCs/>
                <w:sz w:val="22"/>
                <w:szCs w:val="22"/>
              </w:rPr>
              <w:t>Assessment</w:t>
            </w:r>
          </w:p>
        </w:tc>
      </w:tr>
      <w:tr w:rsidR="00E200F9" w14:paraId="7CB24BE4" w14:textId="77777777" w:rsidTr="001C517D">
        <w:tc>
          <w:tcPr>
            <w:tcW w:w="5949" w:type="dxa"/>
          </w:tcPr>
          <w:p w14:paraId="3ABE91E5" w14:textId="38E15D4F" w:rsidR="00E200F9" w:rsidRPr="00735337" w:rsidRDefault="00E200F9" w:rsidP="00E200F9">
            <w:pPr>
              <w:pStyle w:val="Paragraph"/>
              <w:spacing w:before="120" w:after="120" w:line="240" w:lineRule="auto"/>
              <w:rPr>
                <w:highlight w:val="lightGray"/>
              </w:rPr>
            </w:pPr>
            <w:r>
              <w:rPr>
                <w:rFonts w:cs="Arial"/>
                <w:sz w:val="22"/>
                <w:szCs w:val="22"/>
              </w:rPr>
              <w:t>The data could be collected annually from GP clinical systems</w:t>
            </w:r>
            <w:r w:rsidRPr="004C614A">
              <w:rPr>
                <w:rFonts w:cs="Arial"/>
                <w:sz w:val="22"/>
                <w:szCs w:val="22"/>
              </w:rPr>
              <w:t>.</w:t>
            </w:r>
          </w:p>
        </w:tc>
        <w:tc>
          <w:tcPr>
            <w:tcW w:w="3118" w:type="dxa"/>
          </w:tcPr>
          <w:p w14:paraId="38C5605D" w14:textId="77777777" w:rsidR="00E200F9" w:rsidRPr="004F6640" w:rsidRDefault="00E200F9" w:rsidP="00E200F9">
            <w:pPr>
              <w:spacing w:before="120" w:after="120"/>
              <w:rPr>
                <w:rFonts w:ascii="Arial" w:hAnsi="Arial" w:cs="Arial"/>
                <w:color w:val="000000"/>
                <w:kern w:val="24"/>
                <w:sz w:val="22"/>
                <w:szCs w:val="22"/>
              </w:rPr>
            </w:pPr>
            <w:r w:rsidRPr="004F6640">
              <w:rPr>
                <w:rFonts w:ascii="Arial" w:hAnsi="Arial" w:cs="Arial"/>
                <w:color w:val="000000"/>
                <w:kern w:val="24"/>
                <w:sz w:val="22"/>
                <w:szCs w:val="22"/>
              </w:rPr>
              <w:t>The indicator is repeatable.</w:t>
            </w:r>
          </w:p>
          <w:p w14:paraId="3BEFE1B2" w14:textId="77777777" w:rsidR="00E200F9" w:rsidRPr="00735337" w:rsidRDefault="00E200F9" w:rsidP="00E200F9">
            <w:pPr>
              <w:pStyle w:val="Paragraph"/>
              <w:spacing w:before="120" w:after="120" w:line="240" w:lineRule="auto"/>
              <w:rPr>
                <w:highlight w:val="lightGray"/>
              </w:rPr>
            </w:pPr>
          </w:p>
        </w:tc>
      </w:tr>
      <w:tr w:rsidR="00E200F9" w14:paraId="2FE27CD6" w14:textId="77777777" w:rsidTr="001C517D">
        <w:tc>
          <w:tcPr>
            <w:tcW w:w="5949" w:type="dxa"/>
          </w:tcPr>
          <w:p w14:paraId="5726E0F6" w14:textId="77777777" w:rsidR="00E200F9" w:rsidRPr="00E200F9" w:rsidRDefault="00E200F9" w:rsidP="00E200F9">
            <w:pPr>
              <w:spacing w:before="120" w:after="120"/>
              <w:rPr>
                <w:rFonts w:ascii="Arial" w:hAnsi="Arial" w:cs="Arial"/>
                <w:sz w:val="22"/>
                <w:szCs w:val="22"/>
              </w:rPr>
            </w:pPr>
            <w:r w:rsidRPr="00E200F9">
              <w:rPr>
                <w:rFonts w:ascii="Arial" w:hAnsi="Arial" w:cs="Arial"/>
                <w:sz w:val="22"/>
                <w:szCs w:val="22"/>
              </w:rPr>
              <w:t xml:space="preserve">Data fields collected include:  </w:t>
            </w:r>
          </w:p>
          <w:p w14:paraId="0991272B" w14:textId="77777777" w:rsidR="00E200F9" w:rsidRPr="00E200F9" w:rsidRDefault="00E200F9" w:rsidP="00E200F9">
            <w:pPr>
              <w:numPr>
                <w:ilvl w:val="0"/>
                <w:numId w:val="38"/>
              </w:numPr>
              <w:spacing w:before="120" w:after="120"/>
              <w:contextualSpacing/>
              <w:rPr>
                <w:rFonts w:ascii="Arial" w:hAnsi="Arial" w:cs="Arial"/>
                <w:sz w:val="22"/>
                <w:szCs w:val="22"/>
              </w:rPr>
            </w:pPr>
            <w:r w:rsidRPr="00E200F9">
              <w:rPr>
                <w:rFonts w:ascii="Arial" w:hAnsi="Arial" w:cs="Arial"/>
                <w:sz w:val="22"/>
                <w:szCs w:val="22"/>
              </w:rPr>
              <w:t>Date of cancer diagnosis</w:t>
            </w:r>
          </w:p>
          <w:p w14:paraId="6B3D2BF0" w14:textId="20986262" w:rsidR="00E200F9" w:rsidRPr="00E200F9" w:rsidRDefault="00E200F9" w:rsidP="00E200F9">
            <w:pPr>
              <w:numPr>
                <w:ilvl w:val="0"/>
                <w:numId w:val="38"/>
              </w:numPr>
              <w:spacing w:before="120" w:after="120"/>
              <w:contextualSpacing/>
              <w:rPr>
                <w:rFonts w:ascii="Arial" w:hAnsi="Arial" w:cs="Arial"/>
                <w:sz w:val="22"/>
                <w:szCs w:val="22"/>
              </w:rPr>
            </w:pPr>
            <w:r w:rsidRPr="00E200F9">
              <w:rPr>
                <w:rFonts w:ascii="Arial" w:hAnsi="Arial" w:cs="Arial"/>
                <w:sz w:val="22"/>
                <w:szCs w:val="22"/>
              </w:rPr>
              <w:t>Date of discussion about the support available from primary care</w:t>
            </w:r>
          </w:p>
        </w:tc>
        <w:tc>
          <w:tcPr>
            <w:tcW w:w="3118" w:type="dxa"/>
          </w:tcPr>
          <w:p w14:paraId="24CB8CBA" w14:textId="3B51D2D3" w:rsidR="00E200F9" w:rsidRPr="00E200F9" w:rsidRDefault="00E200F9" w:rsidP="00E200F9">
            <w:pPr>
              <w:spacing w:before="120" w:after="120"/>
              <w:rPr>
                <w:rFonts w:ascii="Arial" w:hAnsi="Arial" w:cs="Arial"/>
                <w:color w:val="000000"/>
                <w:kern w:val="24"/>
                <w:sz w:val="22"/>
                <w:szCs w:val="22"/>
              </w:rPr>
            </w:pPr>
            <w:r w:rsidRPr="00E200F9">
              <w:rPr>
                <w:rFonts w:ascii="Arial" w:hAnsi="Arial" w:cs="Arial"/>
                <w:color w:val="000000"/>
                <w:kern w:val="24"/>
                <w:sz w:val="22"/>
                <w:szCs w:val="22"/>
              </w:rPr>
              <w:t xml:space="preserve">The indicator is measuring what it is designed to measure. </w:t>
            </w:r>
          </w:p>
        </w:tc>
      </w:tr>
    </w:tbl>
    <w:p w14:paraId="585AE468" w14:textId="31F94E90" w:rsidR="002338EB" w:rsidRDefault="002338EB" w:rsidP="002338EB">
      <w:pPr>
        <w:pStyle w:val="Paragraph"/>
      </w:pPr>
    </w:p>
    <w:p w14:paraId="4447A98D" w14:textId="06B983E4" w:rsidR="002338EB" w:rsidRDefault="002338EB" w:rsidP="00A47852">
      <w:pPr>
        <w:pStyle w:val="Heading3"/>
      </w:pPr>
      <w:r>
        <w:t xml:space="preserve">Acceptability </w:t>
      </w:r>
    </w:p>
    <w:tbl>
      <w:tblPr>
        <w:tblStyle w:val="TableGrid"/>
        <w:tblW w:w="9067" w:type="dxa"/>
        <w:tblLook w:val="04A0" w:firstRow="1" w:lastRow="0" w:firstColumn="1" w:lastColumn="0" w:noHBand="0" w:noVBand="1"/>
      </w:tblPr>
      <w:tblGrid>
        <w:gridCol w:w="5949"/>
        <w:gridCol w:w="3118"/>
      </w:tblGrid>
      <w:tr w:rsidR="002338EB" w14:paraId="0604C8F6" w14:textId="77777777" w:rsidTr="001C517D">
        <w:tc>
          <w:tcPr>
            <w:tcW w:w="5949" w:type="dxa"/>
          </w:tcPr>
          <w:p w14:paraId="50FC03A9" w14:textId="77777777" w:rsidR="002338EB" w:rsidRPr="00A47852" w:rsidRDefault="002338EB"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6F255397" w14:textId="77777777" w:rsidR="002338EB" w:rsidRPr="00A47852" w:rsidRDefault="002338EB" w:rsidP="001C517D">
            <w:pPr>
              <w:pStyle w:val="Paragraph"/>
              <w:spacing w:before="120" w:after="120" w:line="240" w:lineRule="auto"/>
              <w:rPr>
                <w:b/>
                <w:bCs/>
                <w:sz w:val="22"/>
                <w:szCs w:val="22"/>
              </w:rPr>
            </w:pPr>
            <w:r w:rsidRPr="00A47852">
              <w:rPr>
                <w:b/>
                <w:bCs/>
                <w:sz w:val="22"/>
                <w:szCs w:val="22"/>
              </w:rPr>
              <w:t>Assessment</w:t>
            </w:r>
          </w:p>
        </w:tc>
      </w:tr>
      <w:tr w:rsidR="00E200F9" w14:paraId="5EC80837" w14:textId="77777777" w:rsidTr="001C517D">
        <w:tc>
          <w:tcPr>
            <w:tcW w:w="5949" w:type="dxa"/>
          </w:tcPr>
          <w:p w14:paraId="13C387DD" w14:textId="77777777" w:rsidR="00E200F9" w:rsidRPr="00E061C3" w:rsidRDefault="00E200F9" w:rsidP="00E200F9">
            <w:pPr>
              <w:pStyle w:val="Paragraph"/>
              <w:spacing w:before="120" w:after="120" w:line="240" w:lineRule="auto"/>
              <w:rPr>
                <w:rFonts w:cs="Arial"/>
                <w:sz w:val="22"/>
                <w:szCs w:val="22"/>
              </w:rPr>
            </w:pPr>
            <w:r w:rsidRPr="00E061C3">
              <w:rPr>
                <w:rFonts w:cs="Arial"/>
                <w:sz w:val="22"/>
                <w:szCs w:val="22"/>
              </w:rPr>
              <w:t xml:space="preserve">Patients unable or </w:t>
            </w:r>
            <w:r>
              <w:rPr>
                <w:rFonts w:cs="Arial"/>
                <w:sz w:val="22"/>
                <w:szCs w:val="22"/>
              </w:rPr>
              <w:t>choosing not to</w:t>
            </w:r>
            <w:r w:rsidRPr="00E061C3">
              <w:rPr>
                <w:rFonts w:cs="Arial"/>
                <w:sz w:val="22"/>
                <w:szCs w:val="22"/>
              </w:rPr>
              <w:t xml:space="preserve"> take part in the discussion within 3 months of diagnosis would prevent the delivery of the action. This could be overcome with </w:t>
            </w:r>
            <w:r>
              <w:rPr>
                <w:rFonts w:cs="Arial"/>
                <w:sz w:val="22"/>
                <w:szCs w:val="22"/>
              </w:rPr>
              <w:t>personalised care adjustment</w:t>
            </w:r>
            <w:r w:rsidRPr="00E061C3">
              <w:rPr>
                <w:rFonts w:cs="Arial"/>
                <w:sz w:val="22"/>
                <w:szCs w:val="22"/>
              </w:rPr>
              <w:t xml:space="preserve"> reporting.</w:t>
            </w:r>
          </w:p>
          <w:p w14:paraId="009E37A6" w14:textId="4F3FE753" w:rsidR="00E200F9" w:rsidRPr="00A47852" w:rsidRDefault="00E200F9" w:rsidP="00E200F9">
            <w:pPr>
              <w:pStyle w:val="Paragraph"/>
              <w:spacing w:before="120" w:after="120" w:line="240" w:lineRule="auto"/>
              <w:rPr>
                <w:highlight w:val="lightGray"/>
              </w:rPr>
            </w:pPr>
            <w:r w:rsidRPr="00E061C3">
              <w:rPr>
                <w:rFonts w:cs="Arial"/>
                <w:sz w:val="22"/>
                <w:szCs w:val="22"/>
              </w:rPr>
              <w:t>Secondary care not notifying primary care of a cancer diagnosis within 3 months would prevent the delivery of the action. This could be overcome by specifying that the discussion takes place within 3 months of primary care notification of the diagnosis.</w:t>
            </w:r>
          </w:p>
        </w:tc>
        <w:tc>
          <w:tcPr>
            <w:tcW w:w="3118" w:type="dxa"/>
          </w:tcPr>
          <w:p w14:paraId="50C98A36" w14:textId="30A61000" w:rsidR="00E200F9" w:rsidRPr="00A47852" w:rsidRDefault="00E200F9" w:rsidP="00E200F9">
            <w:pPr>
              <w:pStyle w:val="Paragraph"/>
              <w:spacing w:before="120" w:after="120" w:line="240" w:lineRule="auto"/>
              <w:rPr>
                <w:highlight w:val="lightGray"/>
              </w:rPr>
            </w:pPr>
            <w:r w:rsidRPr="00E061C3">
              <w:rPr>
                <w:rFonts w:cs="Arial"/>
                <w:color w:val="000000"/>
                <w:kern w:val="24"/>
                <w:sz w:val="22"/>
                <w:szCs w:val="22"/>
              </w:rPr>
              <w:t>The indicator assesses performance that is attributable to or within the control of the audience</w:t>
            </w:r>
          </w:p>
        </w:tc>
      </w:tr>
      <w:tr w:rsidR="00E200F9" w14:paraId="7E164FBD" w14:textId="77777777" w:rsidTr="001C517D">
        <w:tc>
          <w:tcPr>
            <w:tcW w:w="5949" w:type="dxa"/>
          </w:tcPr>
          <w:p w14:paraId="3AF0200A" w14:textId="117A4337" w:rsidR="00E200F9" w:rsidRPr="00A47852" w:rsidRDefault="00E200F9" w:rsidP="00E200F9">
            <w:pPr>
              <w:pStyle w:val="Paragraph"/>
              <w:spacing w:before="120" w:after="120" w:line="240" w:lineRule="auto"/>
              <w:rPr>
                <w:highlight w:val="lightGray"/>
              </w:rPr>
            </w:pPr>
            <w:r>
              <w:rPr>
                <w:rFonts w:cs="Arial"/>
                <w:sz w:val="22"/>
                <w:szCs w:val="22"/>
              </w:rPr>
              <w:lastRenderedPageBreak/>
              <w:t>A</w:t>
            </w:r>
            <w:r w:rsidRPr="00E061C3">
              <w:rPr>
                <w:rFonts w:cs="Arial"/>
                <w:sz w:val="22"/>
                <w:szCs w:val="22"/>
              </w:rPr>
              <w:t>chievement data can be used to highlight patient awareness of cancer support in primary care at national and practice level.</w:t>
            </w:r>
          </w:p>
        </w:tc>
        <w:tc>
          <w:tcPr>
            <w:tcW w:w="3118" w:type="dxa"/>
          </w:tcPr>
          <w:p w14:paraId="2909F55A" w14:textId="06BC04C4" w:rsidR="00E200F9" w:rsidRPr="00A47852" w:rsidRDefault="00E200F9" w:rsidP="00E200F9">
            <w:pPr>
              <w:pStyle w:val="Paragraph"/>
              <w:spacing w:before="120" w:after="120" w:line="240" w:lineRule="auto"/>
              <w:rPr>
                <w:highlight w:val="lightGray"/>
              </w:rPr>
            </w:pPr>
            <w:r w:rsidRPr="00E061C3">
              <w:rPr>
                <w:rFonts w:cs="Arial"/>
                <w:color w:val="000000"/>
                <w:kern w:val="24"/>
                <w:sz w:val="22"/>
                <w:szCs w:val="22"/>
              </w:rPr>
              <w:t>The results of the indicator can be used to improve practice</w:t>
            </w:r>
          </w:p>
        </w:tc>
      </w:tr>
    </w:tbl>
    <w:p w14:paraId="359B1BDB" w14:textId="49E7FB46" w:rsidR="002338EB" w:rsidRDefault="002338EB" w:rsidP="002338EB">
      <w:pPr>
        <w:pStyle w:val="Paragraph"/>
      </w:pPr>
    </w:p>
    <w:p w14:paraId="639F934E" w14:textId="090BF21C" w:rsidR="00A47852" w:rsidRDefault="00A47852" w:rsidP="00A47852">
      <w:pPr>
        <w:pStyle w:val="Heading3"/>
      </w:pPr>
      <w:r>
        <w:t>Risk</w:t>
      </w:r>
    </w:p>
    <w:tbl>
      <w:tblPr>
        <w:tblStyle w:val="TableGrid"/>
        <w:tblW w:w="9067" w:type="dxa"/>
        <w:tblLook w:val="04A0" w:firstRow="1" w:lastRow="0" w:firstColumn="1" w:lastColumn="0" w:noHBand="0" w:noVBand="1"/>
      </w:tblPr>
      <w:tblGrid>
        <w:gridCol w:w="5949"/>
        <w:gridCol w:w="3118"/>
      </w:tblGrid>
      <w:tr w:rsidR="00A47852" w14:paraId="4F9CECCC" w14:textId="77777777" w:rsidTr="001C517D">
        <w:tc>
          <w:tcPr>
            <w:tcW w:w="5949" w:type="dxa"/>
          </w:tcPr>
          <w:p w14:paraId="7D45A224" w14:textId="77777777" w:rsidR="00A47852" w:rsidRPr="00A47852" w:rsidRDefault="00A47852"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736A49C5" w14:textId="77777777" w:rsidR="00A47852" w:rsidRPr="00A47852" w:rsidRDefault="00A47852" w:rsidP="001C517D">
            <w:pPr>
              <w:pStyle w:val="Paragraph"/>
              <w:spacing w:before="120" w:after="120" w:line="240" w:lineRule="auto"/>
              <w:rPr>
                <w:b/>
                <w:bCs/>
                <w:sz w:val="22"/>
                <w:szCs w:val="22"/>
              </w:rPr>
            </w:pPr>
            <w:r w:rsidRPr="00A47852">
              <w:rPr>
                <w:b/>
                <w:bCs/>
                <w:sz w:val="22"/>
                <w:szCs w:val="22"/>
              </w:rPr>
              <w:t>Assessment</w:t>
            </w:r>
          </w:p>
        </w:tc>
      </w:tr>
      <w:tr w:rsidR="00E200F9" w14:paraId="2365E62E" w14:textId="77777777" w:rsidTr="001C517D">
        <w:tc>
          <w:tcPr>
            <w:tcW w:w="5949" w:type="dxa"/>
          </w:tcPr>
          <w:p w14:paraId="5D0DDE27" w14:textId="63BE50EA" w:rsidR="00E200F9" w:rsidRPr="00A47852" w:rsidRDefault="00E200F9" w:rsidP="00E200F9">
            <w:pPr>
              <w:pStyle w:val="Paragraph"/>
              <w:spacing w:before="120" w:after="120" w:line="240" w:lineRule="auto"/>
              <w:rPr>
                <w:highlight w:val="lightGray"/>
              </w:rPr>
            </w:pPr>
            <w:r w:rsidRPr="00E061C3">
              <w:rPr>
                <w:rFonts w:cs="Arial"/>
                <w:color w:val="000000"/>
                <w:kern w:val="24"/>
                <w:sz w:val="22"/>
                <w:szCs w:val="22"/>
                <w:lang w:eastAsia="en-GB"/>
              </w:rPr>
              <w:t xml:space="preserve">There is risk that offering a discussion of support to a patient in a time when they have secondary care commitments is overwhelming. This can be mitigated by exception reporting of </w:t>
            </w:r>
            <w:r>
              <w:rPr>
                <w:rFonts w:cs="Arial"/>
                <w:color w:val="000000"/>
                <w:kern w:val="24"/>
                <w:sz w:val="22"/>
                <w:szCs w:val="22"/>
                <w:lang w:eastAsia="en-GB"/>
              </w:rPr>
              <w:t>people declining the offer of a discussion</w:t>
            </w:r>
            <w:r w:rsidRPr="00E061C3">
              <w:rPr>
                <w:rFonts w:cs="Arial"/>
                <w:color w:val="000000"/>
                <w:kern w:val="24"/>
                <w:sz w:val="22"/>
                <w:szCs w:val="22"/>
                <w:lang w:eastAsia="en-GB"/>
              </w:rPr>
              <w:t>.</w:t>
            </w:r>
          </w:p>
        </w:tc>
        <w:tc>
          <w:tcPr>
            <w:tcW w:w="3118" w:type="dxa"/>
          </w:tcPr>
          <w:p w14:paraId="29FB2923" w14:textId="1BDF10B6" w:rsidR="00E200F9" w:rsidRPr="00A47852" w:rsidRDefault="00E200F9" w:rsidP="00E200F9">
            <w:pPr>
              <w:pStyle w:val="Paragraph"/>
              <w:spacing w:before="120" w:after="120" w:line="240" w:lineRule="auto"/>
              <w:rPr>
                <w:highlight w:val="lightGray"/>
              </w:rPr>
            </w:pPr>
            <w:r w:rsidRPr="00E061C3">
              <w:rPr>
                <w:rFonts w:cs="Arial"/>
                <w:color w:val="000000"/>
                <w:kern w:val="24"/>
                <w:sz w:val="22"/>
                <w:szCs w:val="22"/>
              </w:rPr>
              <w:t>The indicator has an acceptable risk of unintended consequences.</w:t>
            </w:r>
          </w:p>
        </w:tc>
      </w:tr>
    </w:tbl>
    <w:p w14:paraId="763A6D9B" w14:textId="48F79B0E" w:rsidR="006C3D61" w:rsidRDefault="006C3D61" w:rsidP="00BC67CC">
      <w:pPr>
        <w:pStyle w:val="Heading3"/>
      </w:pPr>
      <w:r>
        <w:t>NICE indicator advisory committee recommendation</w:t>
      </w:r>
    </w:p>
    <w:p w14:paraId="1743DB3A" w14:textId="5790D222" w:rsidR="0077603D" w:rsidRPr="00407F14" w:rsidRDefault="0077603D" w:rsidP="00E200F9">
      <w:pPr>
        <w:pStyle w:val="Paragraph"/>
      </w:pPr>
      <w:r w:rsidRPr="00E200F9">
        <w:t xml:space="preserve">The NICE indicator advisory committee approved this indicator for publication on the menu. </w:t>
      </w:r>
    </w:p>
    <w:p w14:paraId="123085F8" w14:textId="46F76CC2" w:rsidR="00D73835" w:rsidRDefault="00D73835" w:rsidP="003605D5">
      <w:pPr>
        <w:pStyle w:val="Heading1"/>
      </w:pPr>
    </w:p>
    <w:sectPr w:rsidR="00D73835" w:rsidSect="00192B09">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CA3B6" w14:textId="77777777" w:rsidR="00BB14CA" w:rsidRDefault="00BB14CA" w:rsidP="00446BEE">
      <w:r>
        <w:separator/>
      </w:r>
    </w:p>
  </w:endnote>
  <w:endnote w:type="continuationSeparator" w:id="0">
    <w:p w14:paraId="22EB9B1D" w14:textId="77777777" w:rsidR="00BB14CA" w:rsidRDefault="00BB14C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E824C" w14:textId="77777777" w:rsidR="00E200F9" w:rsidRDefault="00E200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2B07A" w14:textId="25A6B3F7" w:rsidR="00BB14CA" w:rsidRPr="008C1C95" w:rsidRDefault="00E200F9" w:rsidP="008C1C95">
    <w:pPr>
      <w:pStyle w:val="Footer"/>
      <w:jc w:val="right"/>
    </w:pPr>
    <w:r>
      <w:t>NM204</w:t>
    </w:r>
    <w:r w:rsidR="009B0E59">
      <w:t xml:space="preserve">: Validity assessment </w:t>
    </w:r>
    <w:r>
      <w:t>October 2020</w:t>
    </w:r>
    <w:r w:rsidR="009B0E59">
      <w:tab/>
    </w:r>
    <w:r w:rsidR="009B0E59">
      <w:tab/>
    </w:r>
    <w:r w:rsidR="00BB14CA">
      <w:fldChar w:fldCharType="begin"/>
    </w:r>
    <w:r w:rsidR="00BB14CA">
      <w:instrText xml:space="preserve"> PAGE </w:instrText>
    </w:r>
    <w:r w:rsidR="00BB14CA">
      <w:fldChar w:fldCharType="separate"/>
    </w:r>
    <w:r w:rsidR="00BB14CA">
      <w:rPr>
        <w:noProof/>
      </w:rPr>
      <w:t>21</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BB14CA">
      <w:rPr>
        <w:noProof/>
      </w:rPr>
      <w:t>63</w:t>
    </w:r>
    <w:r w:rsidR="00BB14CA">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B6330" w14:textId="77777777" w:rsidR="00E200F9" w:rsidRDefault="00E200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F157E4" w14:textId="77777777" w:rsidR="00BB14CA" w:rsidRDefault="00BB14CA" w:rsidP="00446BEE">
      <w:r>
        <w:separator/>
      </w:r>
    </w:p>
  </w:footnote>
  <w:footnote w:type="continuationSeparator" w:id="0">
    <w:p w14:paraId="1B316AC4" w14:textId="77777777" w:rsidR="00BB14CA" w:rsidRDefault="00BB14CA" w:rsidP="00446BEE">
      <w:r>
        <w:continuationSeparator/>
      </w:r>
    </w:p>
  </w:footnote>
  <w:footnote w:id="1">
    <w:p w14:paraId="018F197F" w14:textId="77777777" w:rsidR="00E200F9" w:rsidRPr="004F4567" w:rsidRDefault="00E200F9" w:rsidP="00E200F9">
      <w:pPr>
        <w:rPr>
          <w:sz w:val="20"/>
          <w:szCs w:val="20"/>
        </w:rPr>
      </w:pPr>
      <w:r>
        <w:rPr>
          <w:rStyle w:val="FootnoteReference"/>
        </w:rPr>
        <w:footnoteRef/>
      </w:r>
      <w:r>
        <w:t xml:space="preserve"> </w:t>
      </w:r>
      <w:r w:rsidRPr="004F4567">
        <w:rPr>
          <w:sz w:val="20"/>
          <w:szCs w:val="20"/>
        </w:rPr>
        <w:t>The percentage of patients with cancer, diagnosed within the preceding 15 months, who have a patient review recorded as occurring within 6 months of the contractor receiving confirmation of the diagnosis.</w:t>
      </w:r>
    </w:p>
    <w:p w14:paraId="69D1DAA7" w14:textId="77777777" w:rsidR="00E200F9" w:rsidRPr="004F4567" w:rsidRDefault="00E200F9" w:rsidP="00E200F9">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86530" w14:textId="77777777" w:rsidR="00E200F9" w:rsidRDefault="00E200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BF3D4" w14:textId="77777777" w:rsidR="00BB14CA" w:rsidRDefault="00BB14CA" w:rsidP="00670FFB">
    <w:pPr>
      <w:pStyle w:val="Header"/>
      <w:tabs>
        <w:tab w:val="left" w:pos="2768"/>
        <w:tab w:val="center" w:pos="4156"/>
      </w:tabs>
      <w:jc w:val="center"/>
      <w:rPr>
        <w:b/>
        <w:color w:val="FF0000"/>
        <w:sz w:val="22"/>
        <w:szCs w:val="22"/>
      </w:rPr>
    </w:pPr>
  </w:p>
  <w:p w14:paraId="4B4DE189" w14:textId="595FDD5C" w:rsidR="00BB14CA" w:rsidRPr="00584CC9" w:rsidRDefault="00BB14CA" w:rsidP="00670FFB">
    <w:pPr>
      <w:pStyle w:val="Header"/>
      <w:tabs>
        <w:tab w:val="left" w:pos="2768"/>
        <w:tab w:val="center" w:pos="4156"/>
      </w:tabs>
      <w:jc w:val="center"/>
      <w:rPr>
        <w:b/>
        <w:color w:val="FF0000"/>
        <w:sz w:val="20"/>
        <w:szCs w:val="22"/>
      </w:rPr>
    </w:pPr>
    <w:r w:rsidRPr="00597CD8">
      <w:rPr>
        <w:b/>
        <w:color w:val="FF0000"/>
        <w:sz w:val="22"/>
        <w:szCs w:val="22"/>
      </w:rPr>
      <w:t>CONFIDENTIAL UNTIL PUBLISHED</w:t>
    </w:r>
  </w:p>
  <w:p w14:paraId="686E1FB0" w14:textId="77777777" w:rsidR="00BB14CA" w:rsidRPr="00482C01" w:rsidRDefault="00BB14CA" w:rsidP="00670FFB">
    <w:pPr>
      <w:pStyle w:val="Header"/>
      <w:tabs>
        <w:tab w:val="left" w:pos="2768"/>
        <w:tab w:val="center" w:pos="4156"/>
      </w:tabs>
      <w:rPr>
        <w:b/>
        <w:color w:val="FF0000"/>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AE1DB" w14:textId="77777777" w:rsidR="00E200F9" w:rsidRDefault="00E200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1"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27"/>
  </w:num>
  <w:num w:numId="4">
    <w:abstractNumId w:val="12"/>
  </w:num>
  <w:num w:numId="5">
    <w:abstractNumId w:val="24"/>
  </w:num>
  <w:num w:numId="6">
    <w:abstractNumId w:val="1"/>
  </w:num>
  <w:num w:numId="7">
    <w:abstractNumId w:val="10"/>
  </w:num>
  <w:num w:numId="8">
    <w:abstractNumId w:val="22"/>
  </w:num>
  <w:num w:numId="9">
    <w:abstractNumId w:val="23"/>
  </w:num>
  <w:num w:numId="10">
    <w:abstractNumId w:val="5"/>
  </w:num>
  <w:num w:numId="11">
    <w:abstractNumId w:val="7"/>
  </w:num>
  <w:num w:numId="12">
    <w:abstractNumId w:val="2"/>
  </w:num>
  <w:num w:numId="13">
    <w:abstractNumId w:val="30"/>
  </w:num>
  <w:num w:numId="14">
    <w:abstractNumId w:val="14"/>
  </w:num>
  <w:num w:numId="15">
    <w:abstractNumId w:val="9"/>
  </w:num>
  <w:num w:numId="16">
    <w:abstractNumId w:val="19"/>
  </w:num>
  <w:num w:numId="17">
    <w:abstractNumId w:val="16"/>
  </w:num>
  <w:num w:numId="18">
    <w:abstractNumId w:val="21"/>
  </w:num>
  <w:num w:numId="19">
    <w:abstractNumId w:val="25"/>
  </w:num>
  <w:num w:numId="20">
    <w:abstractNumId w:val="6"/>
  </w:num>
  <w:num w:numId="21">
    <w:abstractNumId w:val="28"/>
  </w:num>
  <w:num w:numId="22">
    <w:abstractNumId w:val="0"/>
  </w:num>
  <w:num w:numId="23">
    <w:abstractNumId w:val="4"/>
  </w:num>
  <w:num w:numId="24">
    <w:abstractNumId w:val="26"/>
  </w:num>
  <w:num w:numId="25">
    <w:abstractNumId w:val="18"/>
  </w:num>
  <w:num w:numId="26">
    <w:abstractNumId w:val="17"/>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5"/>
  </w:num>
  <w:num w:numId="30">
    <w:abstractNumId w:val="13"/>
  </w:num>
  <w:num w:numId="31">
    <w:abstractNumId w:val="5"/>
  </w:num>
  <w:num w:numId="32">
    <w:abstractNumId w:val="5"/>
  </w:num>
  <w:num w:numId="33">
    <w:abstractNumId w:val="5"/>
  </w:num>
  <w:num w:numId="34">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5"/>
  </w:num>
  <w:num w:numId="37">
    <w:abstractNumId w:val="5"/>
  </w:num>
  <w:num w:numId="38">
    <w:abstractNumId w:val="29"/>
  </w:num>
  <w:num w:numId="39">
    <w:abstractNumId w:val="20"/>
  </w:num>
  <w:num w:numId="40">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removePersonalInformation/>
  <w:removeDateAndTime/>
  <w:embedSystemFonts/>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28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5D96"/>
    <w:rsid w:val="00036EE4"/>
    <w:rsid w:val="00037552"/>
    <w:rsid w:val="000414CD"/>
    <w:rsid w:val="000453F8"/>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A16C2"/>
    <w:rsid w:val="000A638C"/>
    <w:rsid w:val="000A7163"/>
    <w:rsid w:val="000B1301"/>
    <w:rsid w:val="000B1CBF"/>
    <w:rsid w:val="000B33BD"/>
    <w:rsid w:val="000B34B8"/>
    <w:rsid w:val="000B5939"/>
    <w:rsid w:val="000B5EBE"/>
    <w:rsid w:val="000C22B9"/>
    <w:rsid w:val="000C4D57"/>
    <w:rsid w:val="000C4EE8"/>
    <w:rsid w:val="000C7A5D"/>
    <w:rsid w:val="000D04B0"/>
    <w:rsid w:val="000D1487"/>
    <w:rsid w:val="000D3776"/>
    <w:rsid w:val="000E0E0D"/>
    <w:rsid w:val="000E4899"/>
    <w:rsid w:val="000E7E3C"/>
    <w:rsid w:val="000F3B49"/>
    <w:rsid w:val="000F6502"/>
    <w:rsid w:val="001043B0"/>
    <w:rsid w:val="00110A94"/>
    <w:rsid w:val="00110AD8"/>
    <w:rsid w:val="00112FAE"/>
    <w:rsid w:val="001131E2"/>
    <w:rsid w:val="001134E7"/>
    <w:rsid w:val="00121C0F"/>
    <w:rsid w:val="00124CBD"/>
    <w:rsid w:val="001252AE"/>
    <w:rsid w:val="00125557"/>
    <w:rsid w:val="001306F4"/>
    <w:rsid w:val="00130EC7"/>
    <w:rsid w:val="00134FDA"/>
    <w:rsid w:val="00135081"/>
    <w:rsid w:val="001352C4"/>
    <w:rsid w:val="00136466"/>
    <w:rsid w:val="001368F7"/>
    <w:rsid w:val="00140B46"/>
    <w:rsid w:val="001413FC"/>
    <w:rsid w:val="00145D3C"/>
    <w:rsid w:val="001503E8"/>
    <w:rsid w:val="00154516"/>
    <w:rsid w:val="00155A83"/>
    <w:rsid w:val="00156264"/>
    <w:rsid w:val="00156529"/>
    <w:rsid w:val="001579DA"/>
    <w:rsid w:val="00161EBC"/>
    <w:rsid w:val="00165770"/>
    <w:rsid w:val="00165B01"/>
    <w:rsid w:val="00166C1A"/>
    <w:rsid w:val="0017169E"/>
    <w:rsid w:val="0017396B"/>
    <w:rsid w:val="00175BE8"/>
    <w:rsid w:val="00175F5D"/>
    <w:rsid w:val="00177200"/>
    <w:rsid w:val="001779E5"/>
    <w:rsid w:val="00182263"/>
    <w:rsid w:val="0018281C"/>
    <w:rsid w:val="00185F6B"/>
    <w:rsid w:val="00187570"/>
    <w:rsid w:val="00192188"/>
    <w:rsid w:val="00192B09"/>
    <w:rsid w:val="001936A7"/>
    <w:rsid w:val="00193D4B"/>
    <w:rsid w:val="00194E6C"/>
    <w:rsid w:val="00196653"/>
    <w:rsid w:val="00196E29"/>
    <w:rsid w:val="001976DA"/>
    <w:rsid w:val="001A056C"/>
    <w:rsid w:val="001A23E4"/>
    <w:rsid w:val="001A281B"/>
    <w:rsid w:val="001A3011"/>
    <w:rsid w:val="001A48E7"/>
    <w:rsid w:val="001A73CD"/>
    <w:rsid w:val="001B06E1"/>
    <w:rsid w:val="001B1619"/>
    <w:rsid w:val="001B187B"/>
    <w:rsid w:val="001B3C11"/>
    <w:rsid w:val="001B3DA1"/>
    <w:rsid w:val="001B3FEC"/>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F20"/>
    <w:rsid w:val="001F1315"/>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9AD"/>
    <w:rsid w:val="00224AEE"/>
    <w:rsid w:val="00225FF4"/>
    <w:rsid w:val="00230A13"/>
    <w:rsid w:val="002331C6"/>
    <w:rsid w:val="002338EB"/>
    <w:rsid w:val="00236B76"/>
    <w:rsid w:val="002408EA"/>
    <w:rsid w:val="00241410"/>
    <w:rsid w:val="002549B2"/>
    <w:rsid w:val="002563DF"/>
    <w:rsid w:val="0026014A"/>
    <w:rsid w:val="0026108E"/>
    <w:rsid w:val="002614ED"/>
    <w:rsid w:val="00265142"/>
    <w:rsid w:val="00266AA6"/>
    <w:rsid w:val="00266B50"/>
    <w:rsid w:val="00270605"/>
    <w:rsid w:val="00271804"/>
    <w:rsid w:val="00271857"/>
    <w:rsid w:val="00276AC9"/>
    <w:rsid w:val="00277ED2"/>
    <w:rsid w:val="00280F8A"/>
    <w:rsid w:val="00286537"/>
    <w:rsid w:val="00286C3A"/>
    <w:rsid w:val="00287467"/>
    <w:rsid w:val="00291A5B"/>
    <w:rsid w:val="00292B2C"/>
    <w:rsid w:val="0029330E"/>
    <w:rsid w:val="00296E2E"/>
    <w:rsid w:val="002A5503"/>
    <w:rsid w:val="002A6812"/>
    <w:rsid w:val="002A7339"/>
    <w:rsid w:val="002A7A24"/>
    <w:rsid w:val="002B4762"/>
    <w:rsid w:val="002B565A"/>
    <w:rsid w:val="002B71D2"/>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B26"/>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3276"/>
    <w:rsid w:val="00365698"/>
    <w:rsid w:val="00367685"/>
    <w:rsid w:val="00367A82"/>
    <w:rsid w:val="00370ACD"/>
    <w:rsid w:val="00371E29"/>
    <w:rsid w:val="003722FA"/>
    <w:rsid w:val="003731E6"/>
    <w:rsid w:val="00373EA4"/>
    <w:rsid w:val="00374EA0"/>
    <w:rsid w:val="00374EB6"/>
    <w:rsid w:val="00375AE7"/>
    <w:rsid w:val="00376C2A"/>
    <w:rsid w:val="00377277"/>
    <w:rsid w:val="00377304"/>
    <w:rsid w:val="00381BEA"/>
    <w:rsid w:val="00381FB7"/>
    <w:rsid w:val="00382495"/>
    <w:rsid w:val="00384141"/>
    <w:rsid w:val="003856AA"/>
    <w:rsid w:val="00386007"/>
    <w:rsid w:val="003861AC"/>
    <w:rsid w:val="003862A5"/>
    <w:rsid w:val="00390249"/>
    <w:rsid w:val="00391F56"/>
    <w:rsid w:val="003953C7"/>
    <w:rsid w:val="003A03DC"/>
    <w:rsid w:val="003A1975"/>
    <w:rsid w:val="003A1DE1"/>
    <w:rsid w:val="003A39A0"/>
    <w:rsid w:val="003A3E2A"/>
    <w:rsid w:val="003B0286"/>
    <w:rsid w:val="003B091A"/>
    <w:rsid w:val="003B1C33"/>
    <w:rsid w:val="003B254D"/>
    <w:rsid w:val="003B298F"/>
    <w:rsid w:val="003B5E1E"/>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F0EB9"/>
    <w:rsid w:val="003F2EC0"/>
    <w:rsid w:val="003F40D1"/>
    <w:rsid w:val="003F42F7"/>
    <w:rsid w:val="003F4970"/>
    <w:rsid w:val="003F540E"/>
    <w:rsid w:val="003F694A"/>
    <w:rsid w:val="003F7CE6"/>
    <w:rsid w:val="003F7D78"/>
    <w:rsid w:val="00405B03"/>
    <w:rsid w:val="00405FDF"/>
    <w:rsid w:val="004068EA"/>
    <w:rsid w:val="004075B6"/>
    <w:rsid w:val="00407F14"/>
    <w:rsid w:val="00410E4D"/>
    <w:rsid w:val="00411C38"/>
    <w:rsid w:val="0041238E"/>
    <w:rsid w:val="004150FB"/>
    <w:rsid w:val="00420952"/>
    <w:rsid w:val="00422E2D"/>
    <w:rsid w:val="00423C0E"/>
    <w:rsid w:val="00423DB4"/>
    <w:rsid w:val="0042425C"/>
    <w:rsid w:val="004247FB"/>
    <w:rsid w:val="004271A0"/>
    <w:rsid w:val="0042742A"/>
    <w:rsid w:val="004306C0"/>
    <w:rsid w:val="00431F8B"/>
    <w:rsid w:val="00440CCA"/>
    <w:rsid w:val="00442D76"/>
    <w:rsid w:val="004440AF"/>
    <w:rsid w:val="00446BEE"/>
    <w:rsid w:val="00450E6D"/>
    <w:rsid w:val="004518F7"/>
    <w:rsid w:val="0045334C"/>
    <w:rsid w:val="004539A8"/>
    <w:rsid w:val="004539D9"/>
    <w:rsid w:val="00455B14"/>
    <w:rsid w:val="00456B1D"/>
    <w:rsid w:val="00456C08"/>
    <w:rsid w:val="00461C01"/>
    <w:rsid w:val="00462AFA"/>
    <w:rsid w:val="0046325E"/>
    <w:rsid w:val="0046445C"/>
    <w:rsid w:val="0046709A"/>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517E"/>
    <w:rsid w:val="004A664D"/>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756F"/>
    <w:rsid w:val="004E0E78"/>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3BB4"/>
    <w:rsid w:val="005243EC"/>
    <w:rsid w:val="005249CF"/>
    <w:rsid w:val="00525DD1"/>
    <w:rsid w:val="00527A29"/>
    <w:rsid w:val="005343E1"/>
    <w:rsid w:val="005353CB"/>
    <w:rsid w:val="00535CCD"/>
    <w:rsid w:val="00545970"/>
    <w:rsid w:val="00550783"/>
    <w:rsid w:val="005508EE"/>
    <w:rsid w:val="005536FB"/>
    <w:rsid w:val="00555CC8"/>
    <w:rsid w:val="00556B58"/>
    <w:rsid w:val="005577FA"/>
    <w:rsid w:val="0056425E"/>
    <w:rsid w:val="00565745"/>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AD8"/>
    <w:rsid w:val="005A50D3"/>
    <w:rsid w:val="005A576F"/>
    <w:rsid w:val="005A64F3"/>
    <w:rsid w:val="005A6AB3"/>
    <w:rsid w:val="005B0095"/>
    <w:rsid w:val="005B5C8B"/>
    <w:rsid w:val="005B6D38"/>
    <w:rsid w:val="005B73E7"/>
    <w:rsid w:val="005C05E1"/>
    <w:rsid w:val="005C3893"/>
    <w:rsid w:val="005C5E41"/>
    <w:rsid w:val="005C7DB5"/>
    <w:rsid w:val="005D15B9"/>
    <w:rsid w:val="005D1E0A"/>
    <w:rsid w:val="005D352A"/>
    <w:rsid w:val="005D4C95"/>
    <w:rsid w:val="005E0AC1"/>
    <w:rsid w:val="005E2508"/>
    <w:rsid w:val="005E437F"/>
    <w:rsid w:val="005E58ED"/>
    <w:rsid w:val="005E62A7"/>
    <w:rsid w:val="005E6B30"/>
    <w:rsid w:val="005F25FD"/>
    <w:rsid w:val="005F3989"/>
    <w:rsid w:val="005F3C5C"/>
    <w:rsid w:val="005F5AFD"/>
    <w:rsid w:val="005F6BB8"/>
    <w:rsid w:val="005F6F0A"/>
    <w:rsid w:val="005F7681"/>
    <w:rsid w:val="00601291"/>
    <w:rsid w:val="0060351B"/>
    <w:rsid w:val="00607959"/>
    <w:rsid w:val="0061221F"/>
    <w:rsid w:val="00614078"/>
    <w:rsid w:val="006150A0"/>
    <w:rsid w:val="0062228B"/>
    <w:rsid w:val="00624430"/>
    <w:rsid w:val="00625AEE"/>
    <w:rsid w:val="00627687"/>
    <w:rsid w:val="006276D1"/>
    <w:rsid w:val="006279C2"/>
    <w:rsid w:val="00637F2A"/>
    <w:rsid w:val="00642C45"/>
    <w:rsid w:val="0064313B"/>
    <w:rsid w:val="0064319B"/>
    <w:rsid w:val="006434DF"/>
    <w:rsid w:val="0064604F"/>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B17FD"/>
    <w:rsid w:val="006B44E2"/>
    <w:rsid w:val="006C0C61"/>
    <w:rsid w:val="006C3D61"/>
    <w:rsid w:val="006D4325"/>
    <w:rsid w:val="006D55A6"/>
    <w:rsid w:val="006D6BD0"/>
    <w:rsid w:val="006E09CB"/>
    <w:rsid w:val="006E2124"/>
    <w:rsid w:val="006E23A2"/>
    <w:rsid w:val="006E303F"/>
    <w:rsid w:val="006E46C1"/>
    <w:rsid w:val="006E4E37"/>
    <w:rsid w:val="006E5D76"/>
    <w:rsid w:val="006F17D4"/>
    <w:rsid w:val="006F255A"/>
    <w:rsid w:val="006F2843"/>
    <w:rsid w:val="006F6463"/>
    <w:rsid w:val="0070542C"/>
    <w:rsid w:val="007067D1"/>
    <w:rsid w:val="00713287"/>
    <w:rsid w:val="007136A7"/>
    <w:rsid w:val="007139DD"/>
    <w:rsid w:val="007143AC"/>
    <w:rsid w:val="00716007"/>
    <w:rsid w:val="00716835"/>
    <w:rsid w:val="00716ACF"/>
    <w:rsid w:val="007210C5"/>
    <w:rsid w:val="00726FF0"/>
    <w:rsid w:val="00727230"/>
    <w:rsid w:val="00730AA4"/>
    <w:rsid w:val="0073113B"/>
    <w:rsid w:val="00732C44"/>
    <w:rsid w:val="00734CC7"/>
    <w:rsid w:val="0073533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B1A6C"/>
    <w:rsid w:val="007B5378"/>
    <w:rsid w:val="007C1642"/>
    <w:rsid w:val="007C33F3"/>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40FF7"/>
    <w:rsid w:val="00841169"/>
    <w:rsid w:val="00844032"/>
    <w:rsid w:val="008443D8"/>
    <w:rsid w:val="008445E7"/>
    <w:rsid w:val="00847D3A"/>
    <w:rsid w:val="00855549"/>
    <w:rsid w:val="0086032D"/>
    <w:rsid w:val="00861B3D"/>
    <w:rsid w:val="00862879"/>
    <w:rsid w:val="00865CE7"/>
    <w:rsid w:val="0086701C"/>
    <w:rsid w:val="00867262"/>
    <w:rsid w:val="00870BDD"/>
    <w:rsid w:val="008717F1"/>
    <w:rsid w:val="00876D05"/>
    <w:rsid w:val="00876F5C"/>
    <w:rsid w:val="00880ED3"/>
    <w:rsid w:val="00883721"/>
    <w:rsid w:val="00890137"/>
    <w:rsid w:val="008904D0"/>
    <w:rsid w:val="008924E3"/>
    <w:rsid w:val="0089270D"/>
    <w:rsid w:val="008A1DAE"/>
    <w:rsid w:val="008A247E"/>
    <w:rsid w:val="008A2C2A"/>
    <w:rsid w:val="008A35A2"/>
    <w:rsid w:val="008A3D62"/>
    <w:rsid w:val="008A6605"/>
    <w:rsid w:val="008A6A0C"/>
    <w:rsid w:val="008B183A"/>
    <w:rsid w:val="008B4B98"/>
    <w:rsid w:val="008C183F"/>
    <w:rsid w:val="008C1C95"/>
    <w:rsid w:val="008C3D9F"/>
    <w:rsid w:val="008C4122"/>
    <w:rsid w:val="008C669E"/>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E8B"/>
    <w:rsid w:val="009460E7"/>
    <w:rsid w:val="00947483"/>
    <w:rsid w:val="00947FDB"/>
    <w:rsid w:val="00952219"/>
    <w:rsid w:val="009539B0"/>
    <w:rsid w:val="009543A4"/>
    <w:rsid w:val="00955F17"/>
    <w:rsid w:val="009562D0"/>
    <w:rsid w:val="00957124"/>
    <w:rsid w:val="00960B9B"/>
    <w:rsid w:val="00960CC3"/>
    <w:rsid w:val="0096180D"/>
    <w:rsid w:val="00961E3B"/>
    <w:rsid w:val="00962360"/>
    <w:rsid w:val="009669AD"/>
    <w:rsid w:val="00966EB0"/>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A23F7"/>
    <w:rsid w:val="009A2B2A"/>
    <w:rsid w:val="009A38DA"/>
    <w:rsid w:val="009A3F7F"/>
    <w:rsid w:val="009A4775"/>
    <w:rsid w:val="009A75C4"/>
    <w:rsid w:val="009B0897"/>
    <w:rsid w:val="009B0E59"/>
    <w:rsid w:val="009B276A"/>
    <w:rsid w:val="009B3223"/>
    <w:rsid w:val="009B4063"/>
    <w:rsid w:val="009B52E5"/>
    <w:rsid w:val="009B5C5F"/>
    <w:rsid w:val="009C0968"/>
    <w:rsid w:val="009C1354"/>
    <w:rsid w:val="009C3C0C"/>
    <w:rsid w:val="009C3CDC"/>
    <w:rsid w:val="009C5ADA"/>
    <w:rsid w:val="009C6214"/>
    <w:rsid w:val="009C77BF"/>
    <w:rsid w:val="009D02ED"/>
    <w:rsid w:val="009D1D56"/>
    <w:rsid w:val="009D1EB8"/>
    <w:rsid w:val="009D49AA"/>
    <w:rsid w:val="009D4FBB"/>
    <w:rsid w:val="009D7602"/>
    <w:rsid w:val="009E3151"/>
    <w:rsid w:val="009E680B"/>
    <w:rsid w:val="009F1902"/>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3050E"/>
    <w:rsid w:val="00A305B3"/>
    <w:rsid w:val="00A32C40"/>
    <w:rsid w:val="00A3325A"/>
    <w:rsid w:val="00A4094A"/>
    <w:rsid w:val="00A426BE"/>
    <w:rsid w:val="00A47852"/>
    <w:rsid w:val="00A526EF"/>
    <w:rsid w:val="00A53E97"/>
    <w:rsid w:val="00A54F81"/>
    <w:rsid w:val="00A60794"/>
    <w:rsid w:val="00A611CE"/>
    <w:rsid w:val="00A614C6"/>
    <w:rsid w:val="00A7018B"/>
    <w:rsid w:val="00A70A7A"/>
    <w:rsid w:val="00A71410"/>
    <w:rsid w:val="00A74AE2"/>
    <w:rsid w:val="00A756BB"/>
    <w:rsid w:val="00A77B63"/>
    <w:rsid w:val="00A80975"/>
    <w:rsid w:val="00A80F87"/>
    <w:rsid w:val="00A8249A"/>
    <w:rsid w:val="00A85968"/>
    <w:rsid w:val="00A866E2"/>
    <w:rsid w:val="00A879B5"/>
    <w:rsid w:val="00A90FB2"/>
    <w:rsid w:val="00A922F5"/>
    <w:rsid w:val="00A9270F"/>
    <w:rsid w:val="00A96317"/>
    <w:rsid w:val="00A9690E"/>
    <w:rsid w:val="00A9779D"/>
    <w:rsid w:val="00AA276F"/>
    <w:rsid w:val="00AA32D3"/>
    <w:rsid w:val="00AA4327"/>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831"/>
    <w:rsid w:val="00B0269C"/>
    <w:rsid w:val="00B02E55"/>
    <w:rsid w:val="00B03527"/>
    <w:rsid w:val="00B0389A"/>
    <w:rsid w:val="00B0538C"/>
    <w:rsid w:val="00B06D4E"/>
    <w:rsid w:val="00B11A62"/>
    <w:rsid w:val="00B14C5C"/>
    <w:rsid w:val="00B14C68"/>
    <w:rsid w:val="00B14DDE"/>
    <w:rsid w:val="00B157D0"/>
    <w:rsid w:val="00B15EF3"/>
    <w:rsid w:val="00B17751"/>
    <w:rsid w:val="00B17DE0"/>
    <w:rsid w:val="00B22A36"/>
    <w:rsid w:val="00B265EB"/>
    <w:rsid w:val="00B2680D"/>
    <w:rsid w:val="00B27031"/>
    <w:rsid w:val="00B307EC"/>
    <w:rsid w:val="00B32429"/>
    <w:rsid w:val="00B341DA"/>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7CC"/>
    <w:rsid w:val="00BC6FC8"/>
    <w:rsid w:val="00BC7ABB"/>
    <w:rsid w:val="00BD079D"/>
    <w:rsid w:val="00BD2A8E"/>
    <w:rsid w:val="00BD3051"/>
    <w:rsid w:val="00BD38BB"/>
    <w:rsid w:val="00BD4879"/>
    <w:rsid w:val="00BD50F7"/>
    <w:rsid w:val="00BD674E"/>
    <w:rsid w:val="00BE10A8"/>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130C8"/>
    <w:rsid w:val="00C13168"/>
    <w:rsid w:val="00C13F60"/>
    <w:rsid w:val="00C14404"/>
    <w:rsid w:val="00C17D6A"/>
    <w:rsid w:val="00C203C9"/>
    <w:rsid w:val="00C22E43"/>
    <w:rsid w:val="00C23238"/>
    <w:rsid w:val="00C235DF"/>
    <w:rsid w:val="00C2539E"/>
    <w:rsid w:val="00C278DE"/>
    <w:rsid w:val="00C2796B"/>
    <w:rsid w:val="00C3004B"/>
    <w:rsid w:val="00C31F4C"/>
    <w:rsid w:val="00C3209A"/>
    <w:rsid w:val="00C32ADC"/>
    <w:rsid w:val="00C35755"/>
    <w:rsid w:val="00C42E13"/>
    <w:rsid w:val="00C4427F"/>
    <w:rsid w:val="00C47DDE"/>
    <w:rsid w:val="00C50912"/>
    <w:rsid w:val="00C50FF0"/>
    <w:rsid w:val="00C56073"/>
    <w:rsid w:val="00C578C1"/>
    <w:rsid w:val="00C57E04"/>
    <w:rsid w:val="00C63347"/>
    <w:rsid w:val="00C64D23"/>
    <w:rsid w:val="00C67B74"/>
    <w:rsid w:val="00C7123A"/>
    <w:rsid w:val="00C7128F"/>
    <w:rsid w:val="00C71666"/>
    <w:rsid w:val="00C7331B"/>
    <w:rsid w:val="00C74667"/>
    <w:rsid w:val="00C74D07"/>
    <w:rsid w:val="00C803FD"/>
    <w:rsid w:val="00C80EB4"/>
    <w:rsid w:val="00C8156F"/>
    <w:rsid w:val="00C86682"/>
    <w:rsid w:val="00C90846"/>
    <w:rsid w:val="00C92700"/>
    <w:rsid w:val="00C92E3F"/>
    <w:rsid w:val="00C94681"/>
    <w:rsid w:val="00CA129E"/>
    <w:rsid w:val="00CA20B5"/>
    <w:rsid w:val="00CA3562"/>
    <w:rsid w:val="00CA371D"/>
    <w:rsid w:val="00CA6681"/>
    <w:rsid w:val="00CA77AE"/>
    <w:rsid w:val="00CB0A27"/>
    <w:rsid w:val="00CB2154"/>
    <w:rsid w:val="00CB35D9"/>
    <w:rsid w:val="00CB4A8A"/>
    <w:rsid w:val="00CB60DD"/>
    <w:rsid w:val="00CB6E1F"/>
    <w:rsid w:val="00CB7E4D"/>
    <w:rsid w:val="00CC04DE"/>
    <w:rsid w:val="00CC12E7"/>
    <w:rsid w:val="00CC3F84"/>
    <w:rsid w:val="00CC6E2D"/>
    <w:rsid w:val="00CD24A8"/>
    <w:rsid w:val="00CD315A"/>
    <w:rsid w:val="00CD319A"/>
    <w:rsid w:val="00CD5502"/>
    <w:rsid w:val="00CE0526"/>
    <w:rsid w:val="00CE1ED9"/>
    <w:rsid w:val="00CE3665"/>
    <w:rsid w:val="00CE4F42"/>
    <w:rsid w:val="00CF0BB4"/>
    <w:rsid w:val="00CF1333"/>
    <w:rsid w:val="00CF1BB4"/>
    <w:rsid w:val="00CF2FF8"/>
    <w:rsid w:val="00CF3F6B"/>
    <w:rsid w:val="00CF4851"/>
    <w:rsid w:val="00CF58B7"/>
    <w:rsid w:val="00CF5DD6"/>
    <w:rsid w:val="00D0069F"/>
    <w:rsid w:val="00D007C0"/>
    <w:rsid w:val="00D05493"/>
    <w:rsid w:val="00D103E1"/>
    <w:rsid w:val="00D11C27"/>
    <w:rsid w:val="00D13EFE"/>
    <w:rsid w:val="00D148D5"/>
    <w:rsid w:val="00D16E6A"/>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1511"/>
    <w:rsid w:val="00DA6FB8"/>
    <w:rsid w:val="00DA777A"/>
    <w:rsid w:val="00DB0188"/>
    <w:rsid w:val="00DB26A8"/>
    <w:rsid w:val="00DB3C58"/>
    <w:rsid w:val="00DB4F9F"/>
    <w:rsid w:val="00DB5728"/>
    <w:rsid w:val="00DB5AE0"/>
    <w:rsid w:val="00DB6161"/>
    <w:rsid w:val="00DB65B9"/>
    <w:rsid w:val="00DB70FB"/>
    <w:rsid w:val="00DC0CD5"/>
    <w:rsid w:val="00DC334D"/>
    <w:rsid w:val="00DC6AAD"/>
    <w:rsid w:val="00DE165D"/>
    <w:rsid w:val="00DE2FD7"/>
    <w:rsid w:val="00DE45A3"/>
    <w:rsid w:val="00DE466D"/>
    <w:rsid w:val="00DE5EE7"/>
    <w:rsid w:val="00DF1EC1"/>
    <w:rsid w:val="00DF343E"/>
    <w:rsid w:val="00DF67C3"/>
    <w:rsid w:val="00DF6CEB"/>
    <w:rsid w:val="00E0098A"/>
    <w:rsid w:val="00E009D9"/>
    <w:rsid w:val="00E03F71"/>
    <w:rsid w:val="00E045EE"/>
    <w:rsid w:val="00E06ED0"/>
    <w:rsid w:val="00E1082D"/>
    <w:rsid w:val="00E130CB"/>
    <w:rsid w:val="00E14934"/>
    <w:rsid w:val="00E172BE"/>
    <w:rsid w:val="00E200F9"/>
    <w:rsid w:val="00E2160E"/>
    <w:rsid w:val="00E24E02"/>
    <w:rsid w:val="00E25895"/>
    <w:rsid w:val="00E30CA9"/>
    <w:rsid w:val="00E34A54"/>
    <w:rsid w:val="00E405E1"/>
    <w:rsid w:val="00E408AB"/>
    <w:rsid w:val="00E41E68"/>
    <w:rsid w:val="00E43B2D"/>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45BB"/>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6F5F"/>
    <w:rsid w:val="00ED07B2"/>
    <w:rsid w:val="00ED246E"/>
    <w:rsid w:val="00ED379C"/>
    <w:rsid w:val="00ED4D08"/>
    <w:rsid w:val="00ED5834"/>
    <w:rsid w:val="00ED6AAF"/>
    <w:rsid w:val="00EE065C"/>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2278"/>
    <w:rsid w:val="00F25246"/>
    <w:rsid w:val="00F307D6"/>
    <w:rsid w:val="00F31A8E"/>
    <w:rsid w:val="00F32C2D"/>
    <w:rsid w:val="00F33A4C"/>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3495"/>
    <w:rsid w:val="00F559F9"/>
    <w:rsid w:val="00F56168"/>
    <w:rsid w:val="00F561EE"/>
    <w:rsid w:val="00F63D66"/>
    <w:rsid w:val="00F64504"/>
    <w:rsid w:val="00F6458C"/>
    <w:rsid w:val="00F6478A"/>
    <w:rsid w:val="00F6661C"/>
    <w:rsid w:val="00F6682D"/>
    <w:rsid w:val="00F701C7"/>
    <w:rsid w:val="00F7531F"/>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5BA"/>
    <w:rsid w:val="00FD0638"/>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8EB"/>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cg138"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longtermplan.nhs.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583</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2019-10-10T09:35:00Z</dcterms:created>
  <dcterms:modified xsi:type="dcterms:W3CDTF">2020-11-04T14:10:00Z</dcterms:modified>
</cp:coreProperties>
</file>