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D49AE" w14:textId="12FB8D48" w:rsidR="00F323F9" w:rsidRDefault="00F323F9">
      <w:pPr>
        <w:rPr>
          <w:b/>
          <w:sz w:val="24"/>
          <w:szCs w:val="24"/>
        </w:rPr>
      </w:pPr>
    </w:p>
    <w:p w14:paraId="5767BA9A" w14:textId="64E5BD11" w:rsidR="000B321E" w:rsidRDefault="000B321E" w:rsidP="000B321E">
      <w:pPr>
        <w:jc w:val="center"/>
        <w:rPr>
          <w:b/>
          <w:sz w:val="28"/>
          <w:szCs w:val="28"/>
        </w:rPr>
      </w:pPr>
      <w:r>
        <w:rPr>
          <w:b/>
          <w:sz w:val="28"/>
          <w:szCs w:val="28"/>
        </w:rPr>
        <w:t>NHS Digital</w:t>
      </w:r>
    </w:p>
    <w:p w14:paraId="5C931AA1" w14:textId="28AB6C72" w:rsidR="000B321E" w:rsidRDefault="000B321E" w:rsidP="000B321E">
      <w:pPr>
        <w:jc w:val="center"/>
        <w:rPr>
          <w:b/>
          <w:sz w:val="28"/>
          <w:szCs w:val="28"/>
        </w:rPr>
      </w:pPr>
      <w:r>
        <w:rPr>
          <w:b/>
          <w:sz w:val="28"/>
          <w:szCs w:val="28"/>
        </w:rPr>
        <w:t>Indicator Supporting Documentation</w:t>
      </w:r>
    </w:p>
    <w:p w14:paraId="536C29D4" w14:textId="2CB82351" w:rsidR="000B321E" w:rsidRDefault="000B321E" w:rsidP="000B321E">
      <w:pPr>
        <w:jc w:val="center"/>
        <w:rPr>
          <w:b/>
          <w:sz w:val="28"/>
          <w:szCs w:val="28"/>
        </w:rPr>
      </w:pPr>
      <w:r>
        <w:rPr>
          <w:b/>
          <w:sz w:val="28"/>
          <w:szCs w:val="28"/>
        </w:rPr>
        <w:t>IAP00016 Life expectancy at 75</w:t>
      </w:r>
    </w:p>
    <w:p w14:paraId="2F2F9D43" w14:textId="50B0EE14" w:rsidR="000B321E" w:rsidRDefault="000B321E" w:rsidP="000B321E">
      <w:pPr>
        <w:jc w:val="center"/>
        <w:rPr>
          <w:b/>
          <w:sz w:val="28"/>
          <w:szCs w:val="28"/>
        </w:rPr>
      </w:pPr>
    </w:p>
    <w:p w14:paraId="2EAA4DD5" w14:textId="77777777" w:rsidR="000B321E" w:rsidRPr="000B321E" w:rsidRDefault="000B321E" w:rsidP="000B321E">
      <w:pPr>
        <w:jc w:val="center"/>
        <w:rPr>
          <w:b/>
          <w:sz w:val="28"/>
          <w:szCs w:val="28"/>
        </w:rPr>
      </w:pPr>
    </w:p>
    <w:tbl>
      <w:tblPr>
        <w:tblStyle w:val="ListTable3-Accent1"/>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13830"/>
      </w:tblGrid>
      <w:tr w:rsidR="000B321E" w:rsidRPr="002B3D79" w14:paraId="2EB2F7E1" w14:textId="77777777" w:rsidTr="000B32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tcBorders>
              <w:bottom w:val="none" w:sz="0" w:space="0" w:color="auto"/>
              <w:right w:val="none" w:sz="0" w:space="0" w:color="auto"/>
            </w:tcBorders>
            <w:shd w:val="clear" w:color="auto" w:fill="auto"/>
          </w:tcPr>
          <w:p w14:paraId="3BD1BDF6" w14:textId="360C8412" w:rsidR="000B321E" w:rsidRPr="000B321E" w:rsidRDefault="000B321E" w:rsidP="002E0CE1">
            <w:pPr>
              <w:rPr>
                <w:b w:val="0"/>
                <w:bCs w:val="0"/>
                <w:color w:val="auto"/>
                <w:sz w:val="24"/>
                <w:szCs w:val="24"/>
              </w:rPr>
            </w:pPr>
            <w:r w:rsidRPr="000B321E">
              <w:rPr>
                <w:b w:val="0"/>
                <w:bCs w:val="0"/>
                <w:color w:val="auto"/>
                <w:sz w:val="24"/>
                <w:szCs w:val="24"/>
              </w:rPr>
              <w:t>IAP Code</w:t>
            </w:r>
          </w:p>
        </w:tc>
        <w:tc>
          <w:tcPr>
            <w:tcW w:w="13830" w:type="dxa"/>
            <w:shd w:val="clear" w:color="auto" w:fill="auto"/>
          </w:tcPr>
          <w:p w14:paraId="78715411" w14:textId="77777777" w:rsidR="000B321E" w:rsidRPr="000B321E" w:rsidRDefault="000B321E" w:rsidP="002E0CE1">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0B321E">
              <w:rPr>
                <w:b w:val="0"/>
                <w:bCs w:val="0"/>
                <w:color w:val="auto"/>
                <w:sz w:val="24"/>
                <w:szCs w:val="24"/>
              </w:rPr>
              <w:t>IAP00016</w:t>
            </w:r>
          </w:p>
        </w:tc>
      </w:tr>
      <w:tr w:rsidR="000B321E" w:rsidRPr="002B3D79" w14:paraId="79F0E330"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22DC3534" w14:textId="77777777" w:rsidR="000B321E" w:rsidRPr="000B321E" w:rsidRDefault="000B321E" w:rsidP="002E0CE1">
            <w:pPr>
              <w:rPr>
                <w:b w:val="0"/>
                <w:bCs w:val="0"/>
                <w:sz w:val="24"/>
                <w:szCs w:val="24"/>
              </w:rPr>
            </w:pPr>
            <w:r w:rsidRPr="000B321E">
              <w:rPr>
                <w:b w:val="0"/>
                <w:bCs w:val="0"/>
                <w:sz w:val="24"/>
                <w:szCs w:val="24"/>
              </w:rPr>
              <w:t>Title</w:t>
            </w:r>
          </w:p>
        </w:tc>
        <w:tc>
          <w:tcPr>
            <w:tcW w:w="13830" w:type="dxa"/>
            <w:tcBorders>
              <w:top w:val="none" w:sz="0" w:space="0" w:color="auto"/>
              <w:bottom w:val="none" w:sz="0" w:space="0" w:color="auto"/>
            </w:tcBorders>
          </w:tcPr>
          <w:p w14:paraId="74F1C3C9"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 xml:space="preserve">Life Expectancy at 75 </w:t>
            </w:r>
          </w:p>
        </w:tc>
      </w:tr>
      <w:tr w:rsidR="000B321E" w:rsidRPr="002B3D79" w14:paraId="3DCB48F9"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29489B4E" w14:textId="77777777" w:rsidR="000B321E" w:rsidRPr="000B321E" w:rsidRDefault="000B321E" w:rsidP="002E0CE1">
            <w:pPr>
              <w:rPr>
                <w:b w:val="0"/>
                <w:bCs w:val="0"/>
                <w:sz w:val="24"/>
                <w:szCs w:val="24"/>
              </w:rPr>
            </w:pPr>
            <w:r w:rsidRPr="000B321E">
              <w:rPr>
                <w:b w:val="0"/>
                <w:bCs w:val="0"/>
                <w:sz w:val="24"/>
                <w:szCs w:val="24"/>
              </w:rPr>
              <w:t>Published by</w:t>
            </w:r>
          </w:p>
        </w:tc>
        <w:tc>
          <w:tcPr>
            <w:tcW w:w="13830" w:type="dxa"/>
          </w:tcPr>
          <w:p w14:paraId="617AC458"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Department of Health and Social Care</w:t>
            </w:r>
          </w:p>
        </w:tc>
      </w:tr>
      <w:tr w:rsidR="000B321E" w:rsidRPr="002B3D79" w14:paraId="6476D6DA"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3ABB4C9A" w14:textId="77777777" w:rsidR="000B321E" w:rsidRPr="000B321E" w:rsidRDefault="000B321E" w:rsidP="002E0CE1">
            <w:pPr>
              <w:rPr>
                <w:b w:val="0"/>
                <w:bCs w:val="0"/>
                <w:sz w:val="24"/>
                <w:szCs w:val="24"/>
              </w:rPr>
            </w:pPr>
            <w:r w:rsidRPr="000B321E">
              <w:rPr>
                <w:b w:val="0"/>
                <w:bCs w:val="0"/>
                <w:sz w:val="24"/>
                <w:szCs w:val="24"/>
              </w:rPr>
              <w:t>Reporting period</w:t>
            </w:r>
          </w:p>
        </w:tc>
        <w:tc>
          <w:tcPr>
            <w:tcW w:w="13830" w:type="dxa"/>
            <w:tcBorders>
              <w:top w:val="none" w:sz="0" w:space="0" w:color="auto"/>
              <w:bottom w:val="none" w:sz="0" w:space="0" w:color="auto"/>
            </w:tcBorders>
          </w:tcPr>
          <w:p w14:paraId="3E76891C"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Annual</w:t>
            </w:r>
          </w:p>
        </w:tc>
      </w:tr>
      <w:tr w:rsidR="000B321E" w:rsidRPr="002B3D79" w14:paraId="0A83187A"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3E1D67AD" w14:textId="77777777" w:rsidR="000B321E" w:rsidRPr="000B321E" w:rsidRDefault="000B321E" w:rsidP="002E0CE1">
            <w:pPr>
              <w:rPr>
                <w:b w:val="0"/>
                <w:bCs w:val="0"/>
                <w:sz w:val="24"/>
                <w:szCs w:val="24"/>
              </w:rPr>
            </w:pPr>
            <w:r w:rsidRPr="000B321E">
              <w:rPr>
                <w:b w:val="0"/>
                <w:bCs w:val="0"/>
                <w:sz w:val="24"/>
                <w:szCs w:val="24"/>
              </w:rPr>
              <w:t>Geographical Coverage</w:t>
            </w:r>
          </w:p>
        </w:tc>
        <w:tc>
          <w:tcPr>
            <w:tcW w:w="13830" w:type="dxa"/>
          </w:tcPr>
          <w:p w14:paraId="091F22B4"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England</w:t>
            </w:r>
          </w:p>
        </w:tc>
      </w:tr>
      <w:tr w:rsidR="000B321E" w:rsidRPr="002B3D79" w14:paraId="00216D97"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624EC5ED" w14:textId="77777777" w:rsidR="000B321E" w:rsidRPr="000B321E" w:rsidRDefault="000B321E" w:rsidP="002E0CE1">
            <w:pPr>
              <w:rPr>
                <w:b w:val="0"/>
                <w:bCs w:val="0"/>
                <w:sz w:val="24"/>
                <w:szCs w:val="24"/>
              </w:rPr>
            </w:pPr>
            <w:r w:rsidRPr="000B321E">
              <w:rPr>
                <w:b w:val="0"/>
                <w:bCs w:val="0"/>
                <w:sz w:val="24"/>
                <w:szCs w:val="24"/>
              </w:rPr>
              <w:t>Reporting level(s)</w:t>
            </w:r>
          </w:p>
        </w:tc>
        <w:tc>
          <w:tcPr>
            <w:tcW w:w="13830" w:type="dxa"/>
            <w:tcBorders>
              <w:top w:val="none" w:sz="0" w:space="0" w:color="auto"/>
              <w:bottom w:val="none" w:sz="0" w:space="0" w:color="auto"/>
            </w:tcBorders>
          </w:tcPr>
          <w:p w14:paraId="030C0B7D"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National</w:t>
            </w:r>
          </w:p>
        </w:tc>
      </w:tr>
      <w:tr w:rsidR="000B321E" w:rsidRPr="002B3D79" w14:paraId="40737742"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1D75EFA9" w14:textId="77777777" w:rsidR="000B321E" w:rsidRPr="000B321E" w:rsidRDefault="000B321E" w:rsidP="002E0CE1">
            <w:pPr>
              <w:rPr>
                <w:b w:val="0"/>
                <w:bCs w:val="0"/>
                <w:sz w:val="24"/>
                <w:szCs w:val="24"/>
              </w:rPr>
            </w:pPr>
            <w:r w:rsidRPr="000B321E">
              <w:rPr>
                <w:b w:val="0"/>
                <w:bCs w:val="0"/>
                <w:sz w:val="24"/>
                <w:szCs w:val="24"/>
              </w:rPr>
              <w:t>Based on data from</w:t>
            </w:r>
          </w:p>
        </w:tc>
        <w:tc>
          <w:tcPr>
            <w:tcW w:w="13830" w:type="dxa"/>
          </w:tcPr>
          <w:p w14:paraId="5077DA8A"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Office of National Statistics (ONS) Interim Life Tables, England.</w:t>
            </w:r>
          </w:p>
          <w:p w14:paraId="2107B9E6"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http://www.ons.gov.uk/ons/rel/lifetables/interim-life-tables/interim-life-tables/united-kingdom--interim-life-tables--1980-82-to-2007-09.xls</w:t>
            </w:r>
          </w:p>
        </w:tc>
      </w:tr>
      <w:tr w:rsidR="000B321E" w:rsidRPr="002B3D79" w14:paraId="40757A9D"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28B2FC7D" w14:textId="77777777" w:rsidR="000B321E" w:rsidRPr="000B321E" w:rsidRDefault="000B321E" w:rsidP="002E0CE1">
            <w:pPr>
              <w:rPr>
                <w:b w:val="0"/>
                <w:bCs w:val="0"/>
                <w:sz w:val="24"/>
                <w:szCs w:val="24"/>
              </w:rPr>
            </w:pPr>
            <w:r w:rsidRPr="000B321E">
              <w:rPr>
                <w:b w:val="0"/>
                <w:bCs w:val="0"/>
                <w:sz w:val="24"/>
                <w:szCs w:val="24"/>
              </w:rPr>
              <w:t>Contact Author Name</w:t>
            </w:r>
          </w:p>
        </w:tc>
        <w:tc>
          <w:tcPr>
            <w:tcW w:w="13830" w:type="dxa"/>
            <w:tcBorders>
              <w:top w:val="none" w:sz="0" w:space="0" w:color="auto"/>
              <w:bottom w:val="none" w:sz="0" w:space="0" w:color="auto"/>
            </w:tcBorders>
          </w:tcPr>
          <w:p w14:paraId="758D1542"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Andrew Parker</w:t>
            </w:r>
          </w:p>
        </w:tc>
      </w:tr>
      <w:tr w:rsidR="000B321E" w:rsidRPr="002B3D79" w14:paraId="60F36CD7"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75EDB9C4" w14:textId="77777777" w:rsidR="000B321E" w:rsidRPr="000B321E" w:rsidRDefault="000B321E" w:rsidP="002E0CE1">
            <w:pPr>
              <w:rPr>
                <w:b w:val="0"/>
                <w:bCs w:val="0"/>
                <w:sz w:val="24"/>
                <w:szCs w:val="24"/>
              </w:rPr>
            </w:pPr>
            <w:r w:rsidRPr="000B321E">
              <w:rPr>
                <w:b w:val="0"/>
                <w:bCs w:val="0"/>
                <w:sz w:val="24"/>
                <w:szCs w:val="24"/>
              </w:rPr>
              <w:t>Contact Author Email</w:t>
            </w:r>
          </w:p>
        </w:tc>
        <w:tc>
          <w:tcPr>
            <w:tcW w:w="13830" w:type="dxa"/>
          </w:tcPr>
          <w:p w14:paraId="3BFC8126"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Andrew.Parker@dh.gsi.gov.uk</w:t>
            </w:r>
          </w:p>
        </w:tc>
      </w:tr>
      <w:tr w:rsidR="000B321E" w:rsidRPr="002B3D79" w14:paraId="195FBA41"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75A34C5E" w14:textId="77777777" w:rsidR="000B321E" w:rsidRPr="000B321E" w:rsidRDefault="000B321E" w:rsidP="002E0CE1">
            <w:pPr>
              <w:rPr>
                <w:b w:val="0"/>
                <w:bCs w:val="0"/>
                <w:sz w:val="24"/>
                <w:szCs w:val="24"/>
              </w:rPr>
            </w:pPr>
            <w:r w:rsidRPr="000B321E">
              <w:rPr>
                <w:b w:val="0"/>
                <w:bCs w:val="0"/>
                <w:sz w:val="24"/>
                <w:szCs w:val="24"/>
              </w:rPr>
              <w:t>Rating</w:t>
            </w:r>
          </w:p>
        </w:tc>
        <w:tc>
          <w:tcPr>
            <w:tcW w:w="13830" w:type="dxa"/>
            <w:tcBorders>
              <w:top w:val="none" w:sz="0" w:space="0" w:color="auto"/>
              <w:bottom w:val="none" w:sz="0" w:space="0" w:color="auto"/>
            </w:tcBorders>
          </w:tcPr>
          <w:p w14:paraId="14B5B14E"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Fit for use</w:t>
            </w:r>
          </w:p>
        </w:tc>
      </w:tr>
      <w:tr w:rsidR="000B321E" w:rsidRPr="002B3D79" w14:paraId="322DA936"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08791CF1" w14:textId="77777777" w:rsidR="000B321E" w:rsidRPr="000B321E" w:rsidRDefault="000B321E" w:rsidP="002E0CE1">
            <w:pPr>
              <w:rPr>
                <w:b w:val="0"/>
                <w:bCs w:val="0"/>
                <w:sz w:val="24"/>
                <w:szCs w:val="24"/>
              </w:rPr>
            </w:pPr>
            <w:r w:rsidRPr="000B321E">
              <w:rPr>
                <w:b w:val="0"/>
                <w:bCs w:val="0"/>
                <w:sz w:val="24"/>
                <w:szCs w:val="24"/>
              </w:rPr>
              <w:t>Assurance date</w:t>
            </w:r>
          </w:p>
        </w:tc>
        <w:tc>
          <w:tcPr>
            <w:tcW w:w="13830" w:type="dxa"/>
          </w:tcPr>
          <w:p w14:paraId="29580E69"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14/12/2016</w:t>
            </w:r>
          </w:p>
        </w:tc>
      </w:tr>
      <w:tr w:rsidR="000B321E" w:rsidRPr="002B3D79" w14:paraId="161AE006"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1CC15902" w14:textId="77777777" w:rsidR="000B321E" w:rsidRPr="000B321E" w:rsidRDefault="000B321E" w:rsidP="002E0CE1">
            <w:pPr>
              <w:rPr>
                <w:b w:val="0"/>
                <w:bCs w:val="0"/>
                <w:sz w:val="24"/>
                <w:szCs w:val="24"/>
              </w:rPr>
            </w:pPr>
            <w:r w:rsidRPr="000B321E">
              <w:rPr>
                <w:b w:val="0"/>
                <w:bCs w:val="0"/>
                <w:sz w:val="24"/>
                <w:szCs w:val="24"/>
              </w:rPr>
              <w:t>Review date</w:t>
            </w:r>
          </w:p>
        </w:tc>
        <w:tc>
          <w:tcPr>
            <w:tcW w:w="13830" w:type="dxa"/>
            <w:tcBorders>
              <w:top w:val="none" w:sz="0" w:space="0" w:color="auto"/>
              <w:bottom w:val="none" w:sz="0" w:space="0" w:color="auto"/>
            </w:tcBorders>
          </w:tcPr>
          <w:p w14:paraId="408053C7"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 xml:space="preserve">14/12/2019 </w:t>
            </w:r>
          </w:p>
        </w:tc>
      </w:tr>
      <w:tr w:rsidR="000B321E" w:rsidRPr="002B3D79" w14:paraId="0DF1CE25"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2010FAC8" w14:textId="77777777" w:rsidR="000B321E" w:rsidRPr="000B321E" w:rsidRDefault="000B321E" w:rsidP="002E0CE1">
            <w:pPr>
              <w:rPr>
                <w:b w:val="0"/>
                <w:bCs w:val="0"/>
                <w:sz w:val="24"/>
                <w:szCs w:val="24"/>
              </w:rPr>
            </w:pPr>
            <w:r w:rsidRPr="000B321E">
              <w:rPr>
                <w:b w:val="0"/>
                <w:bCs w:val="0"/>
                <w:sz w:val="24"/>
                <w:szCs w:val="24"/>
              </w:rPr>
              <w:t>Indicator set</w:t>
            </w:r>
          </w:p>
        </w:tc>
        <w:tc>
          <w:tcPr>
            <w:tcW w:w="13830" w:type="dxa"/>
          </w:tcPr>
          <w:p w14:paraId="467191C3"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NHS Outcomes Framework</w:t>
            </w:r>
          </w:p>
        </w:tc>
      </w:tr>
      <w:tr w:rsidR="000B321E" w:rsidRPr="002B3D79" w14:paraId="62D32BF8"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4F0F5763" w14:textId="618615E5" w:rsidR="000B321E" w:rsidRPr="000B321E" w:rsidRDefault="000B321E" w:rsidP="002E0CE1">
            <w:pPr>
              <w:rPr>
                <w:b w:val="0"/>
                <w:bCs w:val="0"/>
                <w:sz w:val="24"/>
                <w:szCs w:val="24"/>
              </w:rPr>
            </w:pPr>
            <w:r w:rsidRPr="000B321E">
              <w:rPr>
                <w:b w:val="0"/>
                <w:bCs w:val="0"/>
                <w:sz w:val="24"/>
                <w:szCs w:val="24"/>
              </w:rPr>
              <w:t>Brief Description</w:t>
            </w:r>
          </w:p>
        </w:tc>
        <w:tc>
          <w:tcPr>
            <w:tcW w:w="13830" w:type="dxa"/>
            <w:tcBorders>
              <w:top w:val="none" w:sz="0" w:space="0" w:color="auto"/>
              <w:bottom w:val="none" w:sz="0" w:space="0" w:color="auto"/>
            </w:tcBorders>
          </w:tcPr>
          <w:p w14:paraId="1A986123"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 xml:space="preserve">This indicator reports the average number of additional years a man or woman aged 75 can be expected to live if they continue to live in the same place and the death rates in their area remain the same for the rest of their life. </w:t>
            </w:r>
          </w:p>
        </w:tc>
      </w:tr>
      <w:tr w:rsidR="000B321E" w:rsidRPr="002B3D79" w14:paraId="37BEE69B"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5A4AA208" w14:textId="77777777" w:rsidR="000B321E" w:rsidRPr="000B321E" w:rsidRDefault="000B321E" w:rsidP="002E0CE1">
            <w:pPr>
              <w:rPr>
                <w:b w:val="0"/>
                <w:bCs w:val="0"/>
                <w:sz w:val="24"/>
                <w:szCs w:val="24"/>
              </w:rPr>
            </w:pPr>
            <w:r w:rsidRPr="000B321E">
              <w:rPr>
                <w:b w:val="0"/>
                <w:bCs w:val="0"/>
                <w:sz w:val="24"/>
                <w:szCs w:val="24"/>
              </w:rPr>
              <w:t>Purpose</w:t>
            </w:r>
          </w:p>
        </w:tc>
        <w:tc>
          <w:tcPr>
            <w:tcW w:w="13830" w:type="dxa"/>
          </w:tcPr>
          <w:p w14:paraId="7C36FE0B"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 xml:space="preserve">The purpose and use of the NHS Outcomes Framework is to: </w:t>
            </w:r>
          </w:p>
          <w:p w14:paraId="64BCF6D6" w14:textId="77777777" w:rsidR="000B321E" w:rsidRPr="000B321E" w:rsidRDefault="000B321E" w:rsidP="000B321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321E">
              <w:rPr>
                <w:rFonts w:ascii="Arial" w:hAnsi="Arial" w:cs="Arial"/>
                <w:sz w:val="24"/>
                <w:szCs w:val="24"/>
              </w:rPr>
              <w:t xml:space="preserve"> Understand overall health and care outcomes for England alongside the Public Health Outcomes Framework and Adult Social Care Outcomes Framework, including international comparisons where possible</w:t>
            </w:r>
          </w:p>
          <w:p w14:paraId="40565FE9" w14:textId="77777777" w:rsidR="000B321E" w:rsidRPr="000B321E" w:rsidRDefault="000B321E" w:rsidP="000B321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321E">
              <w:rPr>
                <w:rFonts w:ascii="Arial" w:hAnsi="Arial" w:cs="Arial"/>
                <w:sz w:val="24"/>
                <w:szCs w:val="24"/>
              </w:rPr>
              <w:lastRenderedPageBreak/>
              <w:t>Provide an accountability mechanism to the public and Parliament and inform public debate on how well Government is improving health and care outcomes for England. For example, it supports the Annual Report and Accounts required by law and the Shared Delivery Plan agreed with the Treasury</w:t>
            </w:r>
          </w:p>
          <w:p w14:paraId="4CAA4443" w14:textId="77777777" w:rsidR="000B321E" w:rsidRPr="000B321E" w:rsidRDefault="000B321E" w:rsidP="000B321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321E">
              <w:rPr>
                <w:rFonts w:ascii="Arial" w:hAnsi="Arial" w:cs="Arial"/>
                <w:sz w:val="24"/>
                <w:szCs w:val="24"/>
              </w:rPr>
              <w:t>Underpin the mandate from Department of Health and Social Care (DHSC) to NHS England (NHSE) as part of the NHSE assessment process required by law, with NHSE being expected to make progress against each of the indicators</w:t>
            </w:r>
          </w:p>
          <w:p w14:paraId="3B099748" w14:textId="77777777" w:rsidR="000B321E" w:rsidRPr="000B321E" w:rsidRDefault="000B321E" w:rsidP="000B321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321E">
              <w:rPr>
                <w:rFonts w:ascii="Arial" w:hAnsi="Arial" w:cs="Arial"/>
                <w:sz w:val="24"/>
                <w:szCs w:val="24"/>
              </w:rPr>
              <w:t>Demonstrate the government’s commitment to reduce inequality under both the Equality Act 2010 and Section 1C of the National Health Service Act 2006, whereby patients should all be able to expect the same quality of service from the NHS, regardless of who they are or where they live</w:t>
            </w:r>
          </w:p>
          <w:p w14:paraId="79FD6FEE" w14:textId="77777777" w:rsidR="000B321E" w:rsidRPr="000B321E" w:rsidRDefault="000B321E" w:rsidP="000B321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321E">
              <w:rPr>
                <w:rFonts w:ascii="Arial" w:hAnsi="Arial" w:cs="Arial"/>
                <w:sz w:val="24"/>
                <w:szCs w:val="24"/>
              </w:rPr>
              <w:t>Operationally within the NHS, help managers target areas where they can most improve the health of their patients and review progress</w:t>
            </w:r>
          </w:p>
          <w:p w14:paraId="0ABC084F"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 xml:space="preserve"> The NHS Outcomes Framework includes a number of indicators relating to premature mortality, defined as deaths at age under 75. Determining a single, clear cause of death becomes more difficult as the age of death increases as people commonly suffer from multiple conditions, so these condition-specific premature mortality indicators are limited to those under 75. </w:t>
            </w:r>
          </w:p>
          <w:p w14:paraId="6A976223"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p>
          <w:p w14:paraId="4C9CD5B2"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To ensure that the NHS is held to account for doing all that it can to prevent avoidable deaths in older people, life expectancy at 75 is included as an overarching indicator in Domain 1. This indicator captures all deaths at ages 75 and over.</w:t>
            </w:r>
          </w:p>
        </w:tc>
      </w:tr>
      <w:tr w:rsidR="000B321E" w:rsidRPr="002B3D79" w14:paraId="6B6A1D95"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31A19317" w14:textId="77777777" w:rsidR="000B321E" w:rsidRPr="000B321E" w:rsidRDefault="000B321E" w:rsidP="002E0CE1">
            <w:pPr>
              <w:rPr>
                <w:b w:val="0"/>
                <w:bCs w:val="0"/>
                <w:sz w:val="24"/>
                <w:szCs w:val="24"/>
              </w:rPr>
            </w:pPr>
            <w:r w:rsidRPr="000B321E">
              <w:rPr>
                <w:b w:val="0"/>
                <w:bCs w:val="0"/>
                <w:sz w:val="24"/>
                <w:szCs w:val="24"/>
              </w:rPr>
              <w:lastRenderedPageBreak/>
              <w:t>Definition</w:t>
            </w:r>
          </w:p>
        </w:tc>
        <w:tc>
          <w:tcPr>
            <w:tcW w:w="13830" w:type="dxa"/>
            <w:tcBorders>
              <w:top w:val="none" w:sz="0" w:space="0" w:color="auto"/>
              <w:bottom w:val="none" w:sz="0" w:space="0" w:color="auto"/>
            </w:tcBorders>
          </w:tcPr>
          <w:p w14:paraId="1E949779"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 xml:space="preserve">The national indicator value is the sum of all life expectancy divided by the population. It is reported as expected years of life both for single year periods at England level with no confidence intervals and for 3 year periods with 95% confidence intervals at England, Region, Local authority and Deprivation decile levels. </w:t>
            </w:r>
          </w:p>
          <w:p w14:paraId="4583C6B0"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p>
        </w:tc>
      </w:tr>
      <w:tr w:rsidR="000B321E" w:rsidRPr="002B3D79" w14:paraId="3AD39EA7"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60FDE08D" w14:textId="77777777" w:rsidR="000B321E" w:rsidRPr="000B321E" w:rsidRDefault="000B321E" w:rsidP="002E0CE1">
            <w:pPr>
              <w:rPr>
                <w:b w:val="0"/>
                <w:bCs w:val="0"/>
                <w:sz w:val="24"/>
                <w:szCs w:val="24"/>
              </w:rPr>
            </w:pPr>
            <w:r w:rsidRPr="000B321E">
              <w:rPr>
                <w:b w:val="0"/>
                <w:bCs w:val="0"/>
                <w:sz w:val="24"/>
                <w:szCs w:val="24"/>
              </w:rPr>
              <w:t>Data Source</w:t>
            </w:r>
          </w:p>
        </w:tc>
        <w:tc>
          <w:tcPr>
            <w:tcW w:w="13830" w:type="dxa"/>
          </w:tcPr>
          <w:p w14:paraId="069C7225"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Office of National Statistics (ONS). Mortality and population statistics.</w:t>
            </w:r>
          </w:p>
        </w:tc>
      </w:tr>
      <w:tr w:rsidR="000B321E" w:rsidRPr="002B3D79" w14:paraId="52213469"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637A42C2" w14:textId="77777777" w:rsidR="000B321E" w:rsidRPr="000B321E" w:rsidRDefault="000B321E" w:rsidP="002E0CE1">
            <w:pPr>
              <w:rPr>
                <w:b w:val="0"/>
                <w:bCs w:val="0"/>
                <w:sz w:val="24"/>
                <w:szCs w:val="24"/>
              </w:rPr>
            </w:pPr>
            <w:r w:rsidRPr="000B321E">
              <w:rPr>
                <w:b w:val="0"/>
                <w:bCs w:val="0"/>
                <w:sz w:val="24"/>
                <w:szCs w:val="24"/>
              </w:rPr>
              <w:t>Numerator</w:t>
            </w:r>
          </w:p>
        </w:tc>
        <w:tc>
          <w:tcPr>
            <w:tcW w:w="13830" w:type="dxa"/>
            <w:tcBorders>
              <w:top w:val="none" w:sz="0" w:space="0" w:color="auto"/>
              <w:bottom w:val="none" w:sz="0" w:space="0" w:color="auto"/>
            </w:tcBorders>
          </w:tcPr>
          <w:p w14:paraId="6460015D"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Estimated number of years of life expectancy at age 75. The figures are produced by aggregating deaths and population estimates.</w:t>
            </w:r>
          </w:p>
        </w:tc>
      </w:tr>
      <w:tr w:rsidR="000B321E" w:rsidRPr="002B3D79" w14:paraId="0BB9A20A"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5EE48200" w14:textId="77777777" w:rsidR="000B321E" w:rsidRPr="000B321E" w:rsidRDefault="000B321E" w:rsidP="002E0CE1">
            <w:pPr>
              <w:rPr>
                <w:b w:val="0"/>
                <w:bCs w:val="0"/>
                <w:sz w:val="24"/>
                <w:szCs w:val="24"/>
              </w:rPr>
            </w:pPr>
            <w:r w:rsidRPr="000B321E">
              <w:rPr>
                <w:b w:val="0"/>
                <w:bCs w:val="0"/>
                <w:sz w:val="24"/>
                <w:szCs w:val="24"/>
              </w:rPr>
              <w:t>Denominator</w:t>
            </w:r>
          </w:p>
        </w:tc>
        <w:tc>
          <w:tcPr>
            <w:tcW w:w="13830" w:type="dxa"/>
          </w:tcPr>
          <w:p w14:paraId="7F5C1C61"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See application form</w:t>
            </w:r>
          </w:p>
        </w:tc>
      </w:tr>
      <w:tr w:rsidR="000B321E" w:rsidRPr="002B3D79" w14:paraId="287BEA71"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6B8A0337" w14:textId="77777777" w:rsidR="000B321E" w:rsidRPr="000B321E" w:rsidRDefault="000B321E" w:rsidP="002E0CE1">
            <w:pPr>
              <w:rPr>
                <w:b w:val="0"/>
                <w:bCs w:val="0"/>
                <w:sz w:val="24"/>
                <w:szCs w:val="24"/>
              </w:rPr>
            </w:pPr>
            <w:r w:rsidRPr="000B321E">
              <w:rPr>
                <w:b w:val="0"/>
                <w:bCs w:val="0"/>
                <w:sz w:val="24"/>
                <w:szCs w:val="24"/>
              </w:rPr>
              <w:t>Calculation</w:t>
            </w:r>
          </w:p>
        </w:tc>
        <w:tc>
          <w:tcPr>
            <w:tcW w:w="13830" w:type="dxa"/>
            <w:tcBorders>
              <w:top w:val="none" w:sz="0" w:space="0" w:color="auto"/>
              <w:bottom w:val="none" w:sz="0" w:space="0" w:color="auto"/>
            </w:tcBorders>
          </w:tcPr>
          <w:p w14:paraId="28AA4DEB"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See application form</w:t>
            </w:r>
          </w:p>
        </w:tc>
      </w:tr>
      <w:tr w:rsidR="000B321E" w:rsidRPr="002B3D79" w14:paraId="2D0640AB" w14:textId="77777777" w:rsidTr="000B321E">
        <w:tc>
          <w:tcPr>
            <w:cnfStyle w:val="001000000000" w:firstRow="0" w:lastRow="0" w:firstColumn="1" w:lastColumn="0" w:oddVBand="0" w:evenVBand="0" w:oddHBand="0" w:evenHBand="0" w:firstRowFirstColumn="0" w:firstRowLastColumn="0" w:lastRowFirstColumn="0" w:lastRowLastColumn="0"/>
            <w:tcW w:w="1763" w:type="dxa"/>
            <w:tcBorders>
              <w:right w:val="none" w:sz="0" w:space="0" w:color="auto"/>
            </w:tcBorders>
          </w:tcPr>
          <w:p w14:paraId="34DDC220" w14:textId="77777777" w:rsidR="000B321E" w:rsidRPr="000B321E" w:rsidRDefault="000B321E" w:rsidP="002E0CE1">
            <w:pPr>
              <w:rPr>
                <w:b w:val="0"/>
                <w:bCs w:val="0"/>
                <w:sz w:val="24"/>
                <w:szCs w:val="24"/>
              </w:rPr>
            </w:pPr>
            <w:r w:rsidRPr="000B321E">
              <w:rPr>
                <w:b w:val="0"/>
                <w:bCs w:val="0"/>
                <w:sz w:val="24"/>
                <w:szCs w:val="24"/>
              </w:rPr>
              <w:t>Interpretation Guidelines</w:t>
            </w:r>
          </w:p>
        </w:tc>
        <w:tc>
          <w:tcPr>
            <w:tcW w:w="13830" w:type="dxa"/>
          </w:tcPr>
          <w:p w14:paraId="3A6D0DA2"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t>Three-year rolling averages are used to smooth fluctuations due to exceptional events, for example a flu epidemic. They are known as interim life tables since fully graduated life tables have also been prepared every 10 years based on data around a census year.</w:t>
            </w:r>
          </w:p>
          <w:p w14:paraId="04B0C8B0"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p>
          <w:p w14:paraId="0D0FAA55" w14:textId="77777777" w:rsidR="000B321E" w:rsidRPr="000B321E" w:rsidRDefault="000B321E" w:rsidP="002E0CE1">
            <w:pPr>
              <w:cnfStyle w:val="000000000000" w:firstRow="0" w:lastRow="0" w:firstColumn="0" w:lastColumn="0" w:oddVBand="0" w:evenVBand="0" w:oddHBand="0" w:evenHBand="0" w:firstRowFirstColumn="0" w:firstRowLastColumn="0" w:lastRowFirstColumn="0" w:lastRowLastColumn="0"/>
              <w:rPr>
                <w:sz w:val="24"/>
                <w:szCs w:val="24"/>
              </w:rPr>
            </w:pPr>
            <w:r w:rsidRPr="000B321E">
              <w:rPr>
                <w:sz w:val="24"/>
                <w:szCs w:val="24"/>
              </w:rPr>
              <w:lastRenderedPageBreak/>
              <w:t>The indicator will be used to ensure that focus on amenable mortality (by definition covering only deaths below age 75) will not have a detrimental effect on expectancy of life at 75. Although women live longer than men, they also spend more years in sub-optimal health. This indicator does not reflect these differences, but they will hopefully be picked up in other domains.</w:t>
            </w:r>
          </w:p>
        </w:tc>
      </w:tr>
      <w:tr w:rsidR="000B321E" w:rsidRPr="002B3D79" w14:paraId="4994261B" w14:textId="77777777" w:rsidTr="000B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bottom w:val="none" w:sz="0" w:space="0" w:color="auto"/>
              <w:right w:val="none" w:sz="0" w:space="0" w:color="auto"/>
            </w:tcBorders>
          </w:tcPr>
          <w:p w14:paraId="63EBA607" w14:textId="77777777" w:rsidR="000B321E" w:rsidRPr="000B321E" w:rsidRDefault="000B321E" w:rsidP="002E0CE1">
            <w:pPr>
              <w:rPr>
                <w:b w:val="0"/>
                <w:bCs w:val="0"/>
                <w:sz w:val="24"/>
                <w:szCs w:val="24"/>
              </w:rPr>
            </w:pPr>
            <w:r w:rsidRPr="000B321E">
              <w:rPr>
                <w:b w:val="0"/>
                <w:bCs w:val="0"/>
                <w:sz w:val="24"/>
                <w:szCs w:val="24"/>
              </w:rPr>
              <w:lastRenderedPageBreak/>
              <w:t>Caveats</w:t>
            </w:r>
          </w:p>
        </w:tc>
        <w:tc>
          <w:tcPr>
            <w:tcW w:w="13830" w:type="dxa"/>
            <w:tcBorders>
              <w:top w:val="none" w:sz="0" w:space="0" w:color="auto"/>
              <w:bottom w:val="none" w:sz="0" w:space="0" w:color="auto"/>
            </w:tcBorders>
          </w:tcPr>
          <w:p w14:paraId="624D4670" w14:textId="77777777" w:rsidR="000B321E" w:rsidRPr="000B321E" w:rsidRDefault="000B321E" w:rsidP="002E0CE1">
            <w:pPr>
              <w:cnfStyle w:val="000000100000" w:firstRow="0" w:lastRow="0" w:firstColumn="0" w:lastColumn="0" w:oddVBand="0" w:evenVBand="0" w:oddHBand="1" w:evenHBand="0" w:firstRowFirstColumn="0" w:firstRowLastColumn="0" w:lastRowFirstColumn="0" w:lastRowLastColumn="0"/>
              <w:rPr>
                <w:sz w:val="24"/>
                <w:szCs w:val="24"/>
              </w:rPr>
            </w:pPr>
            <w:r w:rsidRPr="000B321E">
              <w:rPr>
                <w:sz w:val="24"/>
                <w:szCs w:val="24"/>
              </w:rPr>
              <w:t>None.</w:t>
            </w:r>
          </w:p>
        </w:tc>
      </w:tr>
    </w:tbl>
    <w:p w14:paraId="5386B778" w14:textId="77777777" w:rsidR="000B321E" w:rsidRPr="002B3D79" w:rsidRDefault="000B321E" w:rsidP="000B321E">
      <w:pPr>
        <w:rPr>
          <w:b/>
          <w:sz w:val="24"/>
          <w:szCs w:val="24"/>
        </w:rPr>
      </w:pPr>
    </w:p>
    <w:p w14:paraId="59044F80" w14:textId="77777777" w:rsidR="000B321E" w:rsidRDefault="000B321E" w:rsidP="000B321E">
      <w:pPr>
        <w:rPr>
          <w:b/>
          <w:sz w:val="24"/>
          <w:szCs w:val="24"/>
        </w:rPr>
      </w:pPr>
    </w:p>
    <w:p w14:paraId="5F72CF65" w14:textId="77777777" w:rsidR="000B321E" w:rsidRDefault="000B321E" w:rsidP="000B321E">
      <w:pPr>
        <w:rPr>
          <w:b/>
          <w:sz w:val="24"/>
          <w:szCs w:val="24"/>
        </w:rPr>
      </w:pPr>
    </w:p>
    <w:p w14:paraId="50E44766" w14:textId="792A1BA0" w:rsidR="000B321E" w:rsidRPr="000B321E" w:rsidRDefault="000B321E" w:rsidP="000B321E">
      <w:pPr>
        <w:rPr>
          <w:sz w:val="24"/>
          <w:szCs w:val="24"/>
        </w:rPr>
        <w:sectPr w:rsidR="000B321E" w:rsidRPr="000B321E" w:rsidSect="00F323F9">
          <w:headerReference w:type="default" r:id="rId8"/>
          <w:footerReference w:type="default" r:id="rId9"/>
          <w:pgSz w:w="16838" w:h="11906" w:orient="landscape"/>
          <w:pgMar w:top="851" w:right="1440" w:bottom="851" w:left="1440" w:header="709" w:footer="709" w:gutter="0"/>
          <w:cols w:space="708"/>
          <w:docGrid w:linePitch="360"/>
        </w:sectPr>
      </w:pPr>
    </w:p>
    <w:p w14:paraId="1B99C8BB" w14:textId="55C5CF76" w:rsidR="00173180" w:rsidRDefault="000B321E" w:rsidP="000B321E">
      <w:pPr>
        <w:rPr>
          <w:b/>
          <w:sz w:val="28"/>
          <w:szCs w:val="28"/>
        </w:rPr>
      </w:pPr>
      <w:r>
        <w:rPr>
          <w:b/>
          <w:sz w:val="28"/>
          <w:szCs w:val="28"/>
        </w:rPr>
        <w:lastRenderedPageBreak/>
        <w:t>Application form</w:t>
      </w:r>
    </w:p>
    <w:p w14:paraId="20B4C00E" w14:textId="6B589D07" w:rsidR="0070468C" w:rsidRDefault="000F013F" w:rsidP="000B321E">
      <w:pPr>
        <w:rPr>
          <w:b/>
          <w:sz w:val="28"/>
          <w:szCs w:val="28"/>
        </w:rPr>
      </w:pPr>
      <w:r w:rsidRPr="007F6CCC">
        <w:rPr>
          <w:bCs/>
          <w:sz w:val="24"/>
          <w:szCs w:val="24"/>
        </w:rPr>
        <w:t>Introduction / Overview</w:t>
      </w:r>
    </w:p>
    <w:tbl>
      <w:tblPr>
        <w:tblStyle w:val="TableGrid"/>
        <w:tblW w:w="0" w:type="auto"/>
        <w:tblLook w:val="04A0" w:firstRow="1" w:lastRow="0" w:firstColumn="1" w:lastColumn="0" w:noHBand="0" w:noVBand="1"/>
      </w:tblPr>
      <w:tblGrid>
        <w:gridCol w:w="2403"/>
        <w:gridCol w:w="7791"/>
      </w:tblGrid>
      <w:tr w:rsidR="003F080A" w14:paraId="294A07EF" w14:textId="77777777" w:rsidTr="000F013F">
        <w:tc>
          <w:tcPr>
            <w:tcW w:w="2403" w:type="dxa"/>
          </w:tcPr>
          <w:p w14:paraId="74F32D80" w14:textId="37FDB794" w:rsidR="003F080A" w:rsidRPr="007F6CCC" w:rsidRDefault="003F080A" w:rsidP="000B321E">
            <w:pPr>
              <w:rPr>
                <w:bCs/>
                <w:sz w:val="24"/>
                <w:szCs w:val="24"/>
              </w:rPr>
            </w:pPr>
            <w:r w:rsidRPr="007F6CCC">
              <w:rPr>
                <w:bCs/>
                <w:sz w:val="24"/>
                <w:szCs w:val="24"/>
              </w:rPr>
              <w:t>Title</w:t>
            </w:r>
          </w:p>
        </w:tc>
        <w:tc>
          <w:tcPr>
            <w:tcW w:w="7791" w:type="dxa"/>
          </w:tcPr>
          <w:p w14:paraId="30257D70" w14:textId="207322F9" w:rsidR="003F080A" w:rsidRPr="007F6CCC" w:rsidRDefault="003F080A" w:rsidP="000B321E">
            <w:pPr>
              <w:rPr>
                <w:bCs/>
                <w:sz w:val="24"/>
                <w:szCs w:val="24"/>
              </w:rPr>
            </w:pPr>
            <w:r w:rsidRPr="007F6CCC">
              <w:rPr>
                <w:bCs/>
                <w:sz w:val="24"/>
                <w:szCs w:val="24"/>
              </w:rPr>
              <w:t>Life expectancy at 75</w:t>
            </w:r>
          </w:p>
        </w:tc>
      </w:tr>
      <w:tr w:rsidR="003F080A" w14:paraId="3396E381" w14:textId="77777777" w:rsidTr="000F013F">
        <w:tc>
          <w:tcPr>
            <w:tcW w:w="2403" w:type="dxa"/>
          </w:tcPr>
          <w:p w14:paraId="181F11ED" w14:textId="65D5D7FD" w:rsidR="003F080A" w:rsidRPr="007F6CCC" w:rsidRDefault="003F080A" w:rsidP="000B321E">
            <w:pPr>
              <w:rPr>
                <w:bCs/>
                <w:sz w:val="24"/>
                <w:szCs w:val="24"/>
              </w:rPr>
            </w:pPr>
            <w:r w:rsidRPr="007F6CCC">
              <w:rPr>
                <w:bCs/>
                <w:sz w:val="24"/>
                <w:szCs w:val="24"/>
              </w:rPr>
              <w:t>Set or domain</w:t>
            </w:r>
          </w:p>
        </w:tc>
        <w:tc>
          <w:tcPr>
            <w:tcW w:w="7791" w:type="dxa"/>
          </w:tcPr>
          <w:p w14:paraId="75C8316A" w14:textId="77777777" w:rsidR="003F080A" w:rsidRPr="007F6CCC" w:rsidRDefault="003F080A" w:rsidP="003F080A">
            <w:pPr>
              <w:spacing w:before="240"/>
              <w:rPr>
                <w:bCs/>
                <w:sz w:val="24"/>
                <w:szCs w:val="24"/>
              </w:rPr>
            </w:pPr>
            <w:r w:rsidRPr="007F6CCC">
              <w:rPr>
                <w:bCs/>
                <w:sz w:val="24"/>
                <w:szCs w:val="24"/>
              </w:rPr>
              <w:t>1b NHS Outcomes Framework – Domain 1 – Preventing people from dying prematurely</w:t>
            </w:r>
          </w:p>
          <w:p w14:paraId="7AFF6A1D" w14:textId="1C1CAEAA" w:rsidR="003F080A" w:rsidRPr="007F6CCC" w:rsidRDefault="003F080A" w:rsidP="003F080A">
            <w:pPr>
              <w:rPr>
                <w:bCs/>
                <w:sz w:val="24"/>
                <w:szCs w:val="24"/>
              </w:rPr>
            </w:pPr>
            <w:r w:rsidRPr="007F6CCC">
              <w:rPr>
                <w:bCs/>
                <w:sz w:val="24"/>
                <w:szCs w:val="24"/>
              </w:rPr>
              <w:t>Overarching indicator</w:t>
            </w:r>
          </w:p>
        </w:tc>
      </w:tr>
      <w:tr w:rsidR="003F080A" w14:paraId="5AAAD104" w14:textId="77777777" w:rsidTr="000F013F">
        <w:tc>
          <w:tcPr>
            <w:tcW w:w="2403" w:type="dxa"/>
          </w:tcPr>
          <w:p w14:paraId="3EA2A734" w14:textId="29B1772D" w:rsidR="003F080A" w:rsidRPr="007F6CCC" w:rsidRDefault="003F080A" w:rsidP="000B321E">
            <w:pPr>
              <w:rPr>
                <w:bCs/>
                <w:sz w:val="24"/>
                <w:szCs w:val="24"/>
              </w:rPr>
            </w:pPr>
            <w:r w:rsidRPr="007F6CCC">
              <w:rPr>
                <w:bCs/>
                <w:sz w:val="24"/>
                <w:szCs w:val="24"/>
              </w:rPr>
              <w:t>Topic area</w:t>
            </w:r>
          </w:p>
        </w:tc>
        <w:tc>
          <w:tcPr>
            <w:tcW w:w="7791" w:type="dxa"/>
          </w:tcPr>
          <w:p w14:paraId="00F5397B" w14:textId="0C4E0CE1" w:rsidR="003F080A" w:rsidRPr="007F6CCC" w:rsidRDefault="003F080A" w:rsidP="000B321E">
            <w:pPr>
              <w:rPr>
                <w:bCs/>
                <w:sz w:val="24"/>
                <w:szCs w:val="24"/>
              </w:rPr>
            </w:pPr>
            <w:r w:rsidRPr="007F6CCC">
              <w:rPr>
                <w:bCs/>
                <w:sz w:val="24"/>
                <w:szCs w:val="24"/>
              </w:rPr>
              <w:t>Premature mortality</w:t>
            </w:r>
          </w:p>
        </w:tc>
      </w:tr>
      <w:tr w:rsidR="003F080A" w14:paraId="49AC92FD" w14:textId="77777777" w:rsidTr="000F013F">
        <w:tc>
          <w:tcPr>
            <w:tcW w:w="2403" w:type="dxa"/>
          </w:tcPr>
          <w:p w14:paraId="66215C2C" w14:textId="738AC614" w:rsidR="003F080A" w:rsidRPr="007F6CCC" w:rsidRDefault="003F080A" w:rsidP="000B321E">
            <w:pPr>
              <w:rPr>
                <w:bCs/>
                <w:sz w:val="24"/>
                <w:szCs w:val="24"/>
              </w:rPr>
            </w:pPr>
            <w:r w:rsidRPr="007F6CCC">
              <w:rPr>
                <w:bCs/>
                <w:sz w:val="24"/>
                <w:szCs w:val="24"/>
              </w:rPr>
              <w:t>Definition</w:t>
            </w:r>
          </w:p>
        </w:tc>
        <w:tc>
          <w:tcPr>
            <w:tcW w:w="7791" w:type="dxa"/>
          </w:tcPr>
          <w:p w14:paraId="644257C8" w14:textId="5F45D071" w:rsidR="003F080A" w:rsidRPr="007F6CCC" w:rsidRDefault="003F080A" w:rsidP="003F080A">
            <w:pPr>
              <w:rPr>
                <w:bCs/>
                <w:sz w:val="24"/>
                <w:szCs w:val="24"/>
              </w:rPr>
            </w:pPr>
            <w:r w:rsidRPr="007F6CCC">
              <w:rPr>
                <w:bCs/>
                <w:sz w:val="24"/>
                <w:szCs w:val="24"/>
              </w:rPr>
              <w:t>This indicator reports the average number of additional years a man or woman aged 75 can be expected to live if they continue to live in the same place and the death rates in their area remain the same for the rest of their life.</w:t>
            </w:r>
          </w:p>
          <w:p w14:paraId="145A74D7" w14:textId="77777777" w:rsidR="003F080A" w:rsidRPr="007F6CCC" w:rsidRDefault="003F080A" w:rsidP="003F080A">
            <w:pPr>
              <w:rPr>
                <w:bCs/>
                <w:sz w:val="24"/>
                <w:szCs w:val="24"/>
              </w:rPr>
            </w:pPr>
          </w:p>
          <w:p w14:paraId="602E8240" w14:textId="6D412442" w:rsidR="003F080A" w:rsidRPr="007F6CCC" w:rsidRDefault="003F080A" w:rsidP="003F080A">
            <w:pPr>
              <w:rPr>
                <w:bCs/>
                <w:sz w:val="24"/>
                <w:szCs w:val="24"/>
              </w:rPr>
            </w:pPr>
            <w:r w:rsidRPr="007F6CCC">
              <w:rPr>
                <w:bCs/>
                <w:sz w:val="24"/>
                <w:szCs w:val="24"/>
              </w:rPr>
              <w:t>The national indicator value is the sum of all life expectancy divided by the population.</w:t>
            </w:r>
          </w:p>
          <w:p w14:paraId="7718F51B" w14:textId="77777777" w:rsidR="003F080A" w:rsidRPr="007F6CCC" w:rsidRDefault="003F080A" w:rsidP="003F080A">
            <w:pPr>
              <w:rPr>
                <w:bCs/>
                <w:sz w:val="24"/>
                <w:szCs w:val="24"/>
              </w:rPr>
            </w:pPr>
          </w:p>
          <w:p w14:paraId="7347AEFC" w14:textId="137FF3D7" w:rsidR="003F080A" w:rsidRPr="007F6CCC" w:rsidRDefault="003F080A" w:rsidP="003F080A">
            <w:pPr>
              <w:rPr>
                <w:bCs/>
                <w:sz w:val="24"/>
                <w:szCs w:val="24"/>
                <w:lang w:eastAsia="en-GB"/>
              </w:rPr>
            </w:pPr>
            <w:r w:rsidRPr="007F6CCC">
              <w:rPr>
                <w:bCs/>
                <w:sz w:val="24"/>
                <w:szCs w:val="24"/>
                <w:lang w:eastAsia="en-GB"/>
              </w:rPr>
              <w:t>It is reported as expected years of life both for single year periods at England level with no confidence intervals, and for 3 year periods with 95% confidence intervals at England, Region, Local authority and Deprivation decile levels.</w:t>
            </w:r>
          </w:p>
          <w:p w14:paraId="2EBA294B" w14:textId="77777777" w:rsidR="003F080A" w:rsidRPr="007F6CCC" w:rsidRDefault="003F080A" w:rsidP="003F080A">
            <w:pPr>
              <w:rPr>
                <w:bCs/>
                <w:sz w:val="24"/>
                <w:szCs w:val="24"/>
                <w:lang w:eastAsia="en-GB"/>
              </w:rPr>
            </w:pPr>
          </w:p>
          <w:p w14:paraId="28D9E17F" w14:textId="2010DC4E" w:rsidR="003F080A" w:rsidRPr="007F6CCC" w:rsidRDefault="003F080A" w:rsidP="003F080A">
            <w:pPr>
              <w:rPr>
                <w:bCs/>
                <w:sz w:val="24"/>
                <w:szCs w:val="24"/>
              </w:rPr>
            </w:pPr>
            <w:r w:rsidRPr="007F6CCC">
              <w:rPr>
                <w:bCs/>
                <w:sz w:val="24"/>
                <w:szCs w:val="24"/>
                <w:lang w:eastAsia="en-GB"/>
              </w:rPr>
              <w:t xml:space="preserve">Data for the national indicator (single year estimates) are from the period life expectancy tables published biennially (every two years) by the ONS. Life expectancy is one of the three components of demographic change used by the ONS for their biennial population estimates and projections. The 3-year average figures at national level and for the </w:t>
            </w:r>
            <w:proofErr w:type="spellStart"/>
            <w:r w:rsidRPr="007F6CCC">
              <w:rPr>
                <w:bCs/>
                <w:sz w:val="24"/>
                <w:szCs w:val="24"/>
                <w:lang w:eastAsia="en-GB"/>
              </w:rPr>
              <w:t>disaggregations</w:t>
            </w:r>
            <w:proofErr w:type="spellEnd"/>
            <w:r w:rsidRPr="007F6CCC">
              <w:rPr>
                <w:bCs/>
                <w:sz w:val="24"/>
                <w:szCs w:val="24"/>
                <w:lang w:eastAsia="en-GB"/>
              </w:rPr>
              <w:t xml:space="preserve"> are supplied annually by the ONS.</w:t>
            </w:r>
          </w:p>
        </w:tc>
      </w:tr>
      <w:tr w:rsidR="003F080A" w14:paraId="531B861D" w14:textId="77777777" w:rsidTr="000F013F">
        <w:tc>
          <w:tcPr>
            <w:tcW w:w="2403" w:type="dxa"/>
          </w:tcPr>
          <w:p w14:paraId="7C8FC32E" w14:textId="4B2CC75E" w:rsidR="003F080A" w:rsidRPr="007F6CCC" w:rsidRDefault="003F080A" w:rsidP="000B321E">
            <w:pPr>
              <w:rPr>
                <w:bCs/>
                <w:sz w:val="24"/>
                <w:szCs w:val="24"/>
              </w:rPr>
            </w:pPr>
            <w:r w:rsidRPr="007F6CCC">
              <w:rPr>
                <w:bCs/>
                <w:sz w:val="24"/>
                <w:szCs w:val="24"/>
              </w:rPr>
              <w:t>Indicator owner &amp; contact details</w:t>
            </w:r>
          </w:p>
        </w:tc>
        <w:tc>
          <w:tcPr>
            <w:tcW w:w="7791" w:type="dxa"/>
          </w:tcPr>
          <w:p w14:paraId="4A2E8EA1" w14:textId="77777777" w:rsidR="003F080A" w:rsidRPr="007F6CCC" w:rsidRDefault="003F080A" w:rsidP="003F080A">
            <w:pPr>
              <w:rPr>
                <w:rStyle w:val="Hyperlink"/>
                <w:bCs/>
                <w:color w:val="auto"/>
                <w:sz w:val="24"/>
                <w:szCs w:val="24"/>
              </w:rPr>
            </w:pPr>
            <w:r w:rsidRPr="007F6CCC">
              <w:rPr>
                <w:rStyle w:val="Hyperlink"/>
                <w:bCs/>
                <w:color w:val="auto"/>
                <w:sz w:val="24"/>
                <w:szCs w:val="24"/>
              </w:rPr>
              <w:t>Department of Health</w:t>
            </w:r>
          </w:p>
          <w:p w14:paraId="7722A36E" w14:textId="77777777" w:rsidR="003F080A" w:rsidRPr="007F6CCC" w:rsidRDefault="003F080A" w:rsidP="003F080A">
            <w:pPr>
              <w:rPr>
                <w:rStyle w:val="Hyperlink"/>
                <w:bCs/>
                <w:color w:val="auto"/>
                <w:sz w:val="24"/>
                <w:szCs w:val="24"/>
              </w:rPr>
            </w:pPr>
            <w:r w:rsidRPr="007F6CCC">
              <w:rPr>
                <w:rStyle w:val="Hyperlink"/>
                <w:bCs/>
                <w:color w:val="auto"/>
                <w:sz w:val="24"/>
                <w:szCs w:val="24"/>
              </w:rPr>
              <w:t>Andrew Parker</w:t>
            </w:r>
          </w:p>
          <w:p w14:paraId="06E4B737" w14:textId="77777777" w:rsidR="003F080A" w:rsidRPr="007F6CCC" w:rsidRDefault="003F080A" w:rsidP="003F080A">
            <w:pPr>
              <w:rPr>
                <w:bCs/>
                <w:sz w:val="24"/>
                <w:szCs w:val="24"/>
              </w:rPr>
            </w:pPr>
            <w:r w:rsidRPr="007F6CCC">
              <w:rPr>
                <w:bCs/>
                <w:sz w:val="24"/>
                <w:szCs w:val="24"/>
              </w:rPr>
              <w:t>Principal Operational Research Analyst</w:t>
            </w:r>
          </w:p>
          <w:p w14:paraId="0F555D06" w14:textId="77777777" w:rsidR="003F080A" w:rsidRPr="007F6CCC" w:rsidRDefault="003F080A" w:rsidP="003F080A">
            <w:pPr>
              <w:rPr>
                <w:bCs/>
                <w:sz w:val="24"/>
                <w:szCs w:val="24"/>
              </w:rPr>
            </w:pPr>
            <w:r w:rsidRPr="007F6CCC">
              <w:rPr>
                <w:bCs/>
                <w:sz w:val="24"/>
                <w:szCs w:val="24"/>
              </w:rPr>
              <w:t>Outcomes Analysis Team</w:t>
            </w:r>
          </w:p>
          <w:p w14:paraId="58DE70D1" w14:textId="77777777" w:rsidR="003F080A" w:rsidRPr="007F6CCC" w:rsidRDefault="003F080A" w:rsidP="003F080A">
            <w:pPr>
              <w:rPr>
                <w:bCs/>
                <w:sz w:val="24"/>
                <w:szCs w:val="24"/>
              </w:rPr>
            </w:pPr>
            <w:r w:rsidRPr="007F6CCC">
              <w:rPr>
                <w:bCs/>
                <w:sz w:val="24"/>
                <w:szCs w:val="24"/>
              </w:rPr>
              <w:t>Department of Health</w:t>
            </w:r>
          </w:p>
          <w:p w14:paraId="323FC2A8" w14:textId="689AE042" w:rsidR="003F080A" w:rsidRPr="007F6CCC" w:rsidRDefault="00B8386F" w:rsidP="003F080A">
            <w:pPr>
              <w:rPr>
                <w:bCs/>
                <w:sz w:val="24"/>
                <w:szCs w:val="24"/>
              </w:rPr>
            </w:pPr>
            <w:hyperlink r:id="rId10" w:history="1">
              <w:r w:rsidR="003F080A" w:rsidRPr="007F6CCC">
                <w:rPr>
                  <w:rStyle w:val="Hyperlink"/>
                  <w:bCs/>
                  <w:color w:val="auto"/>
                  <w:sz w:val="24"/>
                  <w:szCs w:val="24"/>
                </w:rPr>
                <w:t>Andrew.Parker@dh.gsi.gov.uk</w:t>
              </w:r>
            </w:hyperlink>
          </w:p>
        </w:tc>
      </w:tr>
      <w:tr w:rsidR="003F080A" w14:paraId="050FE627" w14:textId="77777777" w:rsidTr="000F013F">
        <w:tc>
          <w:tcPr>
            <w:tcW w:w="2403" w:type="dxa"/>
          </w:tcPr>
          <w:p w14:paraId="61F4F3A1" w14:textId="094D07EC" w:rsidR="003F080A" w:rsidRPr="007F6CCC" w:rsidRDefault="003F080A" w:rsidP="000B321E">
            <w:pPr>
              <w:rPr>
                <w:bCs/>
                <w:sz w:val="24"/>
                <w:szCs w:val="24"/>
              </w:rPr>
            </w:pPr>
            <w:r w:rsidRPr="007F6CCC">
              <w:rPr>
                <w:bCs/>
                <w:sz w:val="24"/>
                <w:szCs w:val="24"/>
              </w:rPr>
              <w:t>Publication status</w:t>
            </w:r>
          </w:p>
        </w:tc>
        <w:sdt>
          <w:sdtPr>
            <w:rPr>
              <w:bCs/>
              <w:sz w:val="24"/>
              <w:szCs w:val="24"/>
            </w:rPr>
            <w:alias w:val="Publication status"/>
            <w:tag w:val="Publication status"/>
            <w:id w:val="-694159432"/>
            <w:placeholder>
              <w:docPart w:val="8B06A11A3C7F41BFBACA9D2165465C13"/>
            </w:placeholder>
            <w:comboBox>
              <w:listItem w:value="Choose an item."/>
              <w:listItem w:displayText="Currently in publication" w:value="Currently in publication"/>
              <w:listItem w:displayText="Not currently in publication" w:value="Not currently in publication"/>
            </w:comboBox>
          </w:sdtPr>
          <w:sdtEndPr/>
          <w:sdtContent>
            <w:tc>
              <w:tcPr>
                <w:tcW w:w="7791" w:type="dxa"/>
              </w:tcPr>
              <w:p w14:paraId="0D335350" w14:textId="32930AC0" w:rsidR="003F080A" w:rsidRPr="007F6CCC" w:rsidRDefault="003F080A" w:rsidP="000B321E">
                <w:pPr>
                  <w:rPr>
                    <w:bCs/>
                    <w:sz w:val="24"/>
                    <w:szCs w:val="24"/>
                  </w:rPr>
                </w:pPr>
                <w:r w:rsidRPr="007F6CCC">
                  <w:rPr>
                    <w:bCs/>
                    <w:sz w:val="24"/>
                    <w:szCs w:val="24"/>
                  </w:rPr>
                  <w:t>Currently in publication</w:t>
                </w:r>
              </w:p>
            </w:tc>
          </w:sdtContent>
        </w:sdt>
      </w:tr>
    </w:tbl>
    <w:p w14:paraId="418D1273" w14:textId="37F67BEF" w:rsidR="000F013F" w:rsidRDefault="000F013F">
      <w:r w:rsidRPr="007F6CCC">
        <w:rPr>
          <w:bCs/>
          <w:sz w:val="24"/>
          <w:szCs w:val="24"/>
        </w:rPr>
        <w:t>Rationale</w:t>
      </w:r>
    </w:p>
    <w:tbl>
      <w:tblPr>
        <w:tblStyle w:val="TableGrid"/>
        <w:tblW w:w="0" w:type="auto"/>
        <w:tblLook w:val="04A0" w:firstRow="1" w:lastRow="0" w:firstColumn="1" w:lastColumn="0" w:noHBand="0" w:noVBand="1"/>
      </w:tblPr>
      <w:tblGrid>
        <w:gridCol w:w="2403"/>
        <w:gridCol w:w="7791"/>
      </w:tblGrid>
      <w:tr w:rsidR="003F080A" w14:paraId="4074EB02" w14:textId="77777777" w:rsidTr="000F013F">
        <w:tc>
          <w:tcPr>
            <w:tcW w:w="2403" w:type="dxa"/>
          </w:tcPr>
          <w:p w14:paraId="54BFD951" w14:textId="4B85BE8E" w:rsidR="003F080A" w:rsidRPr="007F6CCC" w:rsidRDefault="003F080A" w:rsidP="000B321E">
            <w:pPr>
              <w:rPr>
                <w:bCs/>
                <w:sz w:val="24"/>
                <w:szCs w:val="24"/>
              </w:rPr>
            </w:pPr>
            <w:r w:rsidRPr="007F6CCC">
              <w:rPr>
                <w:bCs/>
                <w:sz w:val="24"/>
                <w:szCs w:val="24"/>
              </w:rPr>
              <w:t>Purpose</w:t>
            </w:r>
          </w:p>
        </w:tc>
        <w:tc>
          <w:tcPr>
            <w:tcW w:w="7791" w:type="dxa"/>
          </w:tcPr>
          <w:p w14:paraId="6EE9C722" w14:textId="77777777" w:rsidR="003F080A" w:rsidRPr="007F6CCC" w:rsidRDefault="003F080A" w:rsidP="003F080A">
            <w:pPr>
              <w:contextualSpacing/>
              <w:rPr>
                <w:bCs/>
                <w:sz w:val="24"/>
                <w:szCs w:val="24"/>
              </w:rPr>
            </w:pPr>
            <w:r w:rsidRPr="007F6CCC">
              <w:rPr>
                <w:bCs/>
                <w:sz w:val="24"/>
                <w:szCs w:val="24"/>
              </w:rPr>
              <w:t>The purpose and use of the NHS Outcomes Framework is to:</w:t>
            </w:r>
          </w:p>
          <w:p w14:paraId="19895BC4" w14:textId="77777777" w:rsidR="003F080A" w:rsidRPr="007F6CCC" w:rsidRDefault="003F080A" w:rsidP="003F080A">
            <w:pPr>
              <w:contextualSpacing/>
              <w:rPr>
                <w:bCs/>
                <w:sz w:val="24"/>
                <w:szCs w:val="24"/>
              </w:rPr>
            </w:pPr>
            <w:r w:rsidRPr="007F6CCC">
              <w:rPr>
                <w:bCs/>
                <w:sz w:val="24"/>
                <w:szCs w:val="24"/>
              </w:rPr>
              <w:t>a. Understand overall health &amp; care outcomes for England, alongside the Public Health Outcomes Framework and Adult Social Care Outcomes Framework, including international comparisons where possible;</w:t>
            </w:r>
          </w:p>
          <w:p w14:paraId="45921DC8" w14:textId="77777777" w:rsidR="003F080A" w:rsidRPr="007F6CCC" w:rsidRDefault="003F080A" w:rsidP="003F080A">
            <w:pPr>
              <w:contextualSpacing/>
              <w:rPr>
                <w:bCs/>
                <w:sz w:val="24"/>
                <w:szCs w:val="24"/>
              </w:rPr>
            </w:pPr>
            <w:r w:rsidRPr="007F6CCC">
              <w:rPr>
                <w:bCs/>
                <w:sz w:val="24"/>
                <w:szCs w:val="24"/>
              </w:rPr>
              <w:t>b. Provide an accountability mechanism to the public and Parliament and inform public debate on how well Government is improving health &amp; care outcomes for England. For example, it supports the Annual Report &amp; Accounts required by law</w:t>
            </w:r>
            <w:r w:rsidRPr="007F6CCC">
              <w:rPr>
                <w:rStyle w:val="FootnoteReference"/>
                <w:bCs/>
                <w:sz w:val="24"/>
                <w:szCs w:val="24"/>
              </w:rPr>
              <w:footnoteReference w:id="1"/>
            </w:r>
            <w:r w:rsidRPr="007F6CCC">
              <w:rPr>
                <w:bCs/>
                <w:sz w:val="24"/>
                <w:szCs w:val="24"/>
              </w:rPr>
              <w:t>, and the Shared Delivery Plan agreed with the Treasury;</w:t>
            </w:r>
          </w:p>
          <w:p w14:paraId="118D689C" w14:textId="77777777" w:rsidR="003F080A" w:rsidRPr="007F6CCC" w:rsidRDefault="003F080A" w:rsidP="003F080A">
            <w:pPr>
              <w:contextualSpacing/>
              <w:rPr>
                <w:bCs/>
                <w:sz w:val="24"/>
                <w:szCs w:val="24"/>
              </w:rPr>
            </w:pPr>
            <w:r w:rsidRPr="007F6CCC">
              <w:rPr>
                <w:bCs/>
                <w:sz w:val="24"/>
                <w:szCs w:val="24"/>
              </w:rPr>
              <w:lastRenderedPageBreak/>
              <w:t>c. Underpin the mandate from DH to NHS England (NHSE) as part of the NHSE assessment process required by law</w:t>
            </w:r>
            <w:r w:rsidRPr="007F6CCC">
              <w:rPr>
                <w:rStyle w:val="FootnoteReference"/>
                <w:bCs/>
                <w:sz w:val="24"/>
                <w:szCs w:val="24"/>
              </w:rPr>
              <w:footnoteReference w:id="2"/>
            </w:r>
            <w:r w:rsidRPr="007F6CCC">
              <w:rPr>
                <w:bCs/>
                <w:sz w:val="24"/>
                <w:szCs w:val="24"/>
              </w:rPr>
              <w:t>, with NHSE being expected to make progress against each of the indicators;</w:t>
            </w:r>
          </w:p>
          <w:p w14:paraId="78F2F22C" w14:textId="77777777" w:rsidR="003F080A" w:rsidRPr="007F6CCC" w:rsidRDefault="003F080A" w:rsidP="003F080A">
            <w:pPr>
              <w:contextualSpacing/>
              <w:rPr>
                <w:bCs/>
                <w:sz w:val="24"/>
                <w:szCs w:val="24"/>
              </w:rPr>
            </w:pPr>
            <w:r w:rsidRPr="007F6CCC">
              <w:rPr>
                <w:bCs/>
                <w:sz w:val="24"/>
                <w:szCs w:val="24"/>
              </w:rPr>
              <w:t>d. Demonstrate the government’s commitment to reduce inequality, under both the Equality Act 2010 and Section 1C of the National Health Service Act 2006, whereby patients should all be able to expect the same quality of service from the NHS, regardless of who they are or where they live;</w:t>
            </w:r>
          </w:p>
          <w:p w14:paraId="1B418975" w14:textId="77777777" w:rsidR="003F080A" w:rsidRPr="007F6CCC" w:rsidRDefault="003F080A" w:rsidP="003F080A">
            <w:pPr>
              <w:pStyle w:val="CM13"/>
              <w:ind w:right="102"/>
              <w:rPr>
                <w:rFonts w:ascii="Arial" w:hAnsi="Arial" w:cs="Arial"/>
                <w:bCs/>
              </w:rPr>
            </w:pPr>
            <w:r w:rsidRPr="007F6CCC">
              <w:rPr>
                <w:rFonts w:ascii="Arial" w:hAnsi="Arial" w:cs="Arial"/>
                <w:bCs/>
              </w:rPr>
              <w:t>e. Operationally, within the NHS, to help managers target areas where they can most improve the health of their patients, and review progress.</w:t>
            </w:r>
            <w:r w:rsidRPr="007F6CCC">
              <w:rPr>
                <w:rFonts w:ascii="Arial" w:hAnsi="Arial" w:cs="Arial"/>
                <w:bCs/>
              </w:rPr>
              <w:br/>
            </w:r>
          </w:p>
          <w:p w14:paraId="3C431091" w14:textId="77777777" w:rsidR="003F080A" w:rsidRPr="007F6CCC" w:rsidRDefault="003F080A" w:rsidP="003F080A">
            <w:pPr>
              <w:rPr>
                <w:bCs/>
                <w:sz w:val="24"/>
                <w:szCs w:val="24"/>
              </w:rPr>
            </w:pPr>
            <w:r w:rsidRPr="007F6CCC">
              <w:rPr>
                <w:bCs/>
                <w:sz w:val="24"/>
                <w:szCs w:val="24"/>
              </w:rPr>
              <w:t>The NHS Outcomes framework includes a number of indicators relating to premature mortality, defined as deaths at age under 75. Determining a single, clear cause of death becomes more difficult as the age of death increases, as people commonly suffer from multiple conditions, so these condition-specific premature mortality indicators are limited to those under 75.</w:t>
            </w:r>
          </w:p>
          <w:p w14:paraId="73DF53F4" w14:textId="77777777" w:rsidR="003F080A" w:rsidRPr="007F6CCC" w:rsidRDefault="003F080A" w:rsidP="003F080A">
            <w:pPr>
              <w:pStyle w:val="CM13"/>
              <w:ind w:right="102"/>
              <w:rPr>
                <w:rFonts w:ascii="Arial" w:hAnsi="Arial" w:cs="Arial"/>
                <w:bCs/>
              </w:rPr>
            </w:pPr>
            <w:r w:rsidRPr="007F6CCC">
              <w:rPr>
                <w:rFonts w:ascii="Arial" w:hAnsi="Arial" w:cs="Arial"/>
                <w:bCs/>
              </w:rPr>
              <w:t xml:space="preserve">To ensure that the NHS is held to account for doing all that it can to prevent avoidable deaths in older people, life expectancy at 75 is included as an overarching indicator in Domain 1 </w:t>
            </w:r>
          </w:p>
          <w:p w14:paraId="5F00E598" w14:textId="59A4AA34" w:rsidR="003F080A" w:rsidRPr="007F6CCC" w:rsidRDefault="003F080A" w:rsidP="003F080A">
            <w:pPr>
              <w:rPr>
                <w:bCs/>
                <w:sz w:val="24"/>
                <w:szCs w:val="24"/>
              </w:rPr>
            </w:pPr>
            <w:r w:rsidRPr="007F6CCC">
              <w:rPr>
                <w:bCs/>
                <w:sz w:val="24"/>
                <w:szCs w:val="24"/>
              </w:rPr>
              <w:t>This indicator captures all deaths at ages 75 and over</w:t>
            </w:r>
          </w:p>
        </w:tc>
      </w:tr>
      <w:tr w:rsidR="003F080A" w14:paraId="7D326169" w14:textId="77777777" w:rsidTr="000F013F">
        <w:tc>
          <w:tcPr>
            <w:tcW w:w="2403" w:type="dxa"/>
          </w:tcPr>
          <w:p w14:paraId="6068900E" w14:textId="6851BE2C" w:rsidR="003F080A" w:rsidRPr="007F6CCC" w:rsidRDefault="003F080A" w:rsidP="003F080A">
            <w:pPr>
              <w:tabs>
                <w:tab w:val="left" w:pos="1335"/>
              </w:tabs>
              <w:rPr>
                <w:bCs/>
                <w:sz w:val="24"/>
                <w:szCs w:val="24"/>
              </w:rPr>
            </w:pPr>
            <w:r w:rsidRPr="007F6CCC">
              <w:rPr>
                <w:bCs/>
                <w:sz w:val="24"/>
                <w:szCs w:val="24"/>
              </w:rPr>
              <w:lastRenderedPageBreak/>
              <w:t>Sponsor</w:t>
            </w:r>
          </w:p>
        </w:tc>
        <w:tc>
          <w:tcPr>
            <w:tcW w:w="7791" w:type="dxa"/>
          </w:tcPr>
          <w:p w14:paraId="411451C3" w14:textId="77777777" w:rsidR="003F080A" w:rsidRPr="007F6CCC" w:rsidRDefault="003F080A" w:rsidP="003F080A">
            <w:pPr>
              <w:rPr>
                <w:bCs/>
                <w:sz w:val="24"/>
                <w:szCs w:val="24"/>
              </w:rPr>
            </w:pPr>
            <w:r w:rsidRPr="007F6CCC">
              <w:rPr>
                <w:bCs/>
                <w:sz w:val="24"/>
                <w:szCs w:val="24"/>
              </w:rPr>
              <w:t>Heather White, NHS Services Team, Department of Health</w:t>
            </w:r>
          </w:p>
          <w:p w14:paraId="43918B71" w14:textId="77777777" w:rsidR="003F080A" w:rsidRPr="007F6CCC" w:rsidRDefault="003F080A" w:rsidP="003F080A">
            <w:pPr>
              <w:rPr>
                <w:bCs/>
                <w:sz w:val="24"/>
                <w:szCs w:val="24"/>
              </w:rPr>
            </w:pPr>
            <w:r w:rsidRPr="007F6CCC">
              <w:rPr>
                <w:bCs/>
                <w:sz w:val="24"/>
                <w:szCs w:val="24"/>
              </w:rPr>
              <w:t>Tel: 020 7210 5811</w:t>
            </w:r>
          </w:p>
          <w:p w14:paraId="266B4B3E" w14:textId="419F5394" w:rsidR="003F080A" w:rsidRPr="007F6CCC" w:rsidRDefault="003F080A" w:rsidP="003F080A">
            <w:pPr>
              <w:rPr>
                <w:bCs/>
                <w:sz w:val="24"/>
                <w:szCs w:val="24"/>
              </w:rPr>
            </w:pPr>
            <w:r w:rsidRPr="007F6CCC">
              <w:rPr>
                <w:bCs/>
                <w:sz w:val="24"/>
                <w:szCs w:val="24"/>
              </w:rPr>
              <w:t xml:space="preserve">e-mail: </w:t>
            </w:r>
            <w:hyperlink r:id="rId11" w:history="1">
              <w:r w:rsidRPr="007F6CCC">
                <w:rPr>
                  <w:rStyle w:val="Hyperlink"/>
                  <w:bCs/>
                  <w:color w:val="auto"/>
                  <w:sz w:val="24"/>
                  <w:szCs w:val="24"/>
                </w:rPr>
                <w:t>Heather.White@dh.gsi.gov.uk</w:t>
              </w:r>
            </w:hyperlink>
          </w:p>
        </w:tc>
      </w:tr>
      <w:tr w:rsidR="003F080A" w14:paraId="11B0AF26" w14:textId="77777777" w:rsidTr="000F013F">
        <w:tc>
          <w:tcPr>
            <w:tcW w:w="2403" w:type="dxa"/>
          </w:tcPr>
          <w:p w14:paraId="10CFFBD3" w14:textId="75E5B87D" w:rsidR="003F080A" w:rsidRPr="007F6CCC" w:rsidRDefault="003F080A" w:rsidP="000B321E">
            <w:pPr>
              <w:rPr>
                <w:bCs/>
                <w:sz w:val="24"/>
                <w:szCs w:val="24"/>
              </w:rPr>
            </w:pPr>
            <w:r w:rsidRPr="007F6CCC">
              <w:rPr>
                <w:bCs/>
                <w:sz w:val="24"/>
                <w:szCs w:val="24"/>
              </w:rPr>
              <w:t>Endorsement</w:t>
            </w:r>
          </w:p>
        </w:tc>
        <w:tc>
          <w:tcPr>
            <w:tcW w:w="7791" w:type="dxa"/>
          </w:tcPr>
          <w:p w14:paraId="24AA933C" w14:textId="77777777" w:rsidR="003F080A" w:rsidRPr="007F6CCC" w:rsidRDefault="003F080A" w:rsidP="003F080A">
            <w:pPr>
              <w:spacing w:before="240"/>
              <w:rPr>
                <w:bCs/>
                <w:sz w:val="24"/>
                <w:szCs w:val="24"/>
              </w:rPr>
            </w:pPr>
            <w:r w:rsidRPr="007F6CCC">
              <w:rPr>
                <w:bCs/>
                <w:sz w:val="24"/>
                <w:szCs w:val="24"/>
              </w:rPr>
              <w:t>Life expectancy is a commonly used measure of the overall health of the population and can be used to measure change over time and variation between areas.</w:t>
            </w:r>
          </w:p>
          <w:p w14:paraId="3EDF3CC3" w14:textId="77777777" w:rsidR="003F080A" w:rsidRPr="007F6CCC" w:rsidRDefault="003F080A" w:rsidP="003F080A">
            <w:pPr>
              <w:spacing w:before="240"/>
              <w:rPr>
                <w:bCs/>
                <w:sz w:val="24"/>
                <w:szCs w:val="24"/>
              </w:rPr>
            </w:pPr>
            <w:r w:rsidRPr="007F6CCC">
              <w:rPr>
                <w:bCs/>
                <w:sz w:val="24"/>
                <w:szCs w:val="24"/>
              </w:rPr>
              <w:t>The ONS have published life expectancy data as National Statistics at birth and at 65 for many years. They use a well-established method of calculating life expectancy, based on the numbers of births and deaths observed. The indicator presented in the NHS Outcomes Framework is a consolidation of data in the public domain and data provided specifically for this purpose by the ONS.</w:t>
            </w:r>
          </w:p>
          <w:p w14:paraId="15FC78BD" w14:textId="152AE81F" w:rsidR="003F080A" w:rsidRPr="007F6CCC" w:rsidRDefault="003F080A" w:rsidP="003F080A">
            <w:pPr>
              <w:rPr>
                <w:bCs/>
                <w:sz w:val="24"/>
                <w:szCs w:val="24"/>
              </w:rPr>
            </w:pPr>
            <w:r w:rsidRPr="007F6CCC">
              <w:rPr>
                <w:bCs/>
                <w:sz w:val="24"/>
                <w:szCs w:val="24"/>
              </w:rPr>
              <w:t>PHE have begun publishing analysis of life expectancy at older ages in response to a demand to monitor the health of older age groups</w:t>
            </w:r>
          </w:p>
        </w:tc>
      </w:tr>
      <w:tr w:rsidR="003F080A" w14:paraId="11AFC851" w14:textId="77777777" w:rsidTr="000F013F">
        <w:tc>
          <w:tcPr>
            <w:tcW w:w="2403" w:type="dxa"/>
          </w:tcPr>
          <w:p w14:paraId="4BFA8C96" w14:textId="77777777" w:rsidR="00161F03" w:rsidRPr="007F6CCC" w:rsidRDefault="00161F03" w:rsidP="00161F03">
            <w:pPr>
              <w:spacing w:before="240"/>
              <w:rPr>
                <w:bCs/>
                <w:sz w:val="24"/>
                <w:szCs w:val="24"/>
              </w:rPr>
            </w:pPr>
            <w:r w:rsidRPr="007F6CCC">
              <w:rPr>
                <w:bCs/>
                <w:sz w:val="24"/>
                <w:szCs w:val="24"/>
              </w:rPr>
              <w:t>Evidence and Policy base</w:t>
            </w:r>
          </w:p>
          <w:p w14:paraId="423BF908" w14:textId="77777777" w:rsidR="003F080A" w:rsidRPr="007F6CCC" w:rsidRDefault="003F080A" w:rsidP="000B321E">
            <w:pPr>
              <w:rPr>
                <w:bCs/>
                <w:sz w:val="24"/>
                <w:szCs w:val="24"/>
              </w:rPr>
            </w:pPr>
          </w:p>
        </w:tc>
        <w:tc>
          <w:tcPr>
            <w:tcW w:w="7791" w:type="dxa"/>
          </w:tcPr>
          <w:p w14:paraId="11CD728A" w14:textId="25D141E4" w:rsidR="003F080A" w:rsidRPr="007F6CCC" w:rsidRDefault="00161F03" w:rsidP="000B321E">
            <w:pPr>
              <w:rPr>
                <w:bCs/>
                <w:sz w:val="24"/>
                <w:szCs w:val="24"/>
              </w:rPr>
            </w:pPr>
            <w:r w:rsidRPr="007F6CCC">
              <w:rPr>
                <w:bCs/>
                <w:sz w:val="24"/>
                <w:szCs w:val="24"/>
              </w:rPr>
              <w:t>While many mortality indicators consider premature (often considered to be under 75) mortality, as the average age at death increases, patterns of mortality in older age groups become increasingly important both in their own right and as a contribution to overall mortality.</w:t>
            </w:r>
          </w:p>
        </w:tc>
      </w:tr>
    </w:tbl>
    <w:p w14:paraId="05FD5EFD" w14:textId="067327EE" w:rsidR="000F013F" w:rsidRDefault="000F013F">
      <w:r w:rsidRPr="007F6CCC">
        <w:rPr>
          <w:bCs/>
          <w:sz w:val="24"/>
          <w:szCs w:val="24"/>
        </w:rPr>
        <w:t>Data</w:t>
      </w:r>
    </w:p>
    <w:tbl>
      <w:tblPr>
        <w:tblStyle w:val="TableGrid"/>
        <w:tblW w:w="0" w:type="auto"/>
        <w:tblLook w:val="04A0" w:firstRow="1" w:lastRow="0" w:firstColumn="1" w:lastColumn="0" w:noHBand="0" w:noVBand="1"/>
      </w:tblPr>
      <w:tblGrid>
        <w:gridCol w:w="2403"/>
        <w:gridCol w:w="7791"/>
      </w:tblGrid>
      <w:tr w:rsidR="003F080A" w14:paraId="2BE7A3AF" w14:textId="77777777" w:rsidTr="000F013F">
        <w:tc>
          <w:tcPr>
            <w:tcW w:w="2403" w:type="dxa"/>
          </w:tcPr>
          <w:p w14:paraId="09A048D3" w14:textId="38AF7D89" w:rsidR="003F080A" w:rsidRPr="007F6CCC" w:rsidRDefault="00161F03" w:rsidP="000B321E">
            <w:pPr>
              <w:rPr>
                <w:bCs/>
                <w:sz w:val="24"/>
                <w:szCs w:val="24"/>
              </w:rPr>
            </w:pPr>
            <w:r w:rsidRPr="007F6CCC">
              <w:rPr>
                <w:bCs/>
                <w:sz w:val="24"/>
                <w:szCs w:val="24"/>
              </w:rPr>
              <w:t>Data source</w:t>
            </w:r>
          </w:p>
        </w:tc>
        <w:tc>
          <w:tcPr>
            <w:tcW w:w="7791" w:type="dxa"/>
          </w:tcPr>
          <w:p w14:paraId="0EE61E15" w14:textId="77777777" w:rsidR="00161F03" w:rsidRPr="007F6CCC" w:rsidRDefault="00161F03" w:rsidP="00161F03">
            <w:pPr>
              <w:rPr>
                <w:bCs/>
                <w:sz w:val="24"/>
                <w:szCs w:val="24"/>
              </w:rPr>
            </w:pPr>
            <w:r w:rsidRPr="007F6CCC">
              <w:rPr>
                <w:bCs/>
                <w:sz w:val="24"/>
                <w:szCs w:val="24"/>
              </w:rPr>
              <w:t>England period life expectancy tables (single year figures) – National Statistics:</w:t>
            </w:r>
          </w:p>
          <w:p w14:paraId="2D1CB6A4" w14:textId="77777777" w:rsidR="00161F03" w:rsidRPr="007F6CCC" w:rsidRDefault="00161F03" w:rsidP="00161F03">
            <w:pPr>
              <w:ind w:left="720"/>
              <w:rPr>
                <w:bCs/>
                <w:sz w:val="24"/>
                <w:szCs w:val="24"/>
              </w:rPr>
            </w:pPr>
            <w:r w:rsidRPr="007F6CCC">
              <w:rPr>
                <w:bCs/>
                <w:sz w:val="24"/>
                <w:szCs w:val="24"/>
              </w:rPr>
              <w:t>Published every two years (calendar years) by the Office for National Statistics (ONS).</w:t>
            </w:r>
          </w:p>
          <w:p w14:paraId="41976F18" w14:textId="77777777" w:rsidR="00161F03" w:rsidRPr="007F6CCC" w:rsidRDefault="00161F03" w:rsidP="00161F03">
            <w:pPr>
              <w:ind w:left="720"/>
              <w:rPr>
                <w:bCs/>
                <w:sz w:val="24"/>
                <w:szCs w:val="24"/>
              </w:rPr>
            </w:pPr>
            <w:r w:rsidRPr="007F6CCC">
              <w:rPr>
                <w:bCs/>
                <w:sz w:val="24"/>
                <w:szCs w:val="24"/>
              </w:rPr>
              <w:t>Available in autumn following end of second year.</w:t>
            </w:r>
          </w:p>
          <w:p w14:paraId="698DCA6D" w14:textId="77777777" w:rsidR="00161F03" w:rsidRPr="007F6CCC" w:rsidRDefault="00161F03" w:rsidP="00161F03">
            <w:pPr>
              <w:rPr>
                <w:bCs/>
                <w:sz w:val="24"/>
                <w:szCs w:val="24"/>
              </w:rPr>
            </w:pPr>
            <w:r w:rsidRPr="007F6CCC">
              <w:rPr>
                <w:bCs/>
                <w:sz w:val="24"/>
                <w:szCs w:val="24"/>
              </w:rPr>
              <w:lastRenderedPageBreak/>
              <w:t>England interim life tables (3-year average figures) – National Statistics:</w:t>
            </w:r>
          </w:p>
          <w:p w14:paraId="7F9BA836" w14:textId="77777777" w:rsidR="00161F03" w:rsidRPr="007F6CCC" w:rsidRDefault="00161F03" w:rsidP="00161F03">
            <w:pPr>
              <w:ind w:left="720"/>
              <w:rPr>
                <w:bCs/>
                <w:sz w:val="24"/>
                <w:szCs w:val="24"/>
              </w:rPr>
            </w:pPr>
            <w:r w:rsidRPr="007F6CCC">
              <w:rPr>
                <w:bCs/>
                <w:sz w:val="24"/>
                <w:szCs w:val="24"/>
              </w:rPr>
              <w:t>Published annually (calendar years) by the ONS.</w:t>
            </w:r>
          </w:p>
          <w:p w14:paraId="6516848B" w14:textId="1191200C" w:rsidR="003F080A" w:rsidRPr="007F6CCC" w:rsidRDefault="00161F03" w:rsidP="00161F03">
            <w:pPr>
              <w:rPr>
                <w:bCs/>
                <w:sz w:val="24"/>
                <w:szCs w:val="24"/>
              </w:rPr>
            </w:pPr>
            <w:r w:rsidRPr="007F6CCC">
              <w:rPr>
                <w:bCs/>
                <w:sz w:val="24"/>
                <w:szCs w:val="24"/>
              </w:rPr>
              <w:t>Available in autumn following year-end.</w:t>
            </w:r>
          </w:p>
        </w:tc>
      </w:tr>
      <w:tr w:rsidR="003F080A" w14:paraId="38C63B01" w14:textId="77777777" w:rsidTr="000F013F">
        <w:tc>
          <w:tcPr>
            <w:tcW w:w="2403" w:type="dxa"/>
          </w:tcPr>
          <w:p w14:paraId="707F4C95" w14:textId="0D4519E1" w:rsidR="003F080A" w:rsidRPr="007F6CCC" w:rsidRDefault="00161F03" w:rsidP="000B321E">
            <w:pPr>
              <w:rPr>
                <w:bCs/>
                <w:sz w:val="24"/>
                <w:szCs w:val="24"/>
              </w:rPr>
            </w:pPr>
            <w:r w:rsidRPr="007F6CCC">
              <w:rPr>
                <w:bCs/>
                <w:sz w:val="24"/>
                <w:szCs w:val="24"/>
              </w:rPr>
              <w:lastRenderedPageBreak/>
              <w:t>Justification of source and others considered</w:t>
            </w:r>
          </w:p>
        </w:tc>
        <w:tc>
          <w:tcPr>
            <w:tcW w:w="7791" w:type="dxa"/>
          </w:tcPr>
          <w:p w14:paraId="5C6D459D" w14:textId="77777777" w:rsidR="00161F03" w:rsidRPr="007F6CCC" w:rsidRDefault="00161F03" w:rsidP="00161F03">
            <w:pPr>
              <w:spacing w:before="240"/>
              <w:rPr>
                <w:bCs/>
                <w:sz w:val="24"/>
                <w:szCs w:val="24"/>
              </w:rPr>
            </w:pPr>
            <w:r w:rsidRPr="007F6CCC">
              <w:rPr>
                <w:bCs/>
                <w:sz w:val="24"/>
                <w:szCs w:val="24"/>
              </w:rPr>
              <w:t>The ONS are the producer of life expectancy tables for England; they supply indicator values fully calculated.</w:t>
            </w:r>
          </w:p>
          <w:p w14:paraId="67148EA5" w14:textId="77777777" w:rsidR="00161F03" w:rsidRPr="007F6CCC" w:rsidRDefault="00161F03" w:rsidP="00161F03">
            <w:pPr>
              <w:rPr>
                <w:bCs/>
                <w:sz w:val="24"/>
                <w:szCs w:val="24"/>
              </w:rPr>
            </w:pPr>
            <w:r w:rsidRPr="007F6CCC">
              <w:rPr>
                <w:bCs/>
                <w:sz w:val="24"/>
                <w:szCs w:val="24"/>
              </w:rPr>
              <w:t>Expectations of life can be calculated in 2 ways: “period life expectancy” or “cohort life expectancy”.</w:t>
            </w:r>
          </w:p>
          <w:p w14:paraId="1AB13E63" w14:textId="77777777" w:rsidR="00161F03" w:rsidRPr="007F6CCC" w:rsidRDefault="00161F03" w:rsidP="00161F03">
            <w:pPr>
              <w:rPr>
                <w:bCs/>
                <w:sz w:val="24"/>
                <w:szCs w:val="24"/>
              </w:rPr>
            </w:pPr>
            <w:r w:rsidRPr="007F6CCC">
              <w:rPr>
                <w:bCs/>
                <w:sz w:val="24"/>
                <w:szCs w:val="24"/>
              </w:rPr>
              <w:t>Period life expectancy at a given age for a local area is the average number of years a person would live, if he or she experienced the particular local area’s age-specific mortality rates for that time period throughout his or her life. It makes no allowance for any later actual or projected changes in mortality. In practice, death rates of the area are likely to change in the future, so period life expectancy does not therefore give the number of years someone could actually expect to live. Also, people may live in other areas for at least some part of their lives.</w:t>
            </w:r>
          </w:p>
          <w:p w14:paraId="1CB32BC4" w14:textId="77777777" w:rsidR="00161F03" w:rsidRPr="007F6CCC" w:rsidRDefault="00161F03" w:rsidP="00161F03">
            <w:pPr>
              <w:rPr>
                <w:bCs/>
                <w:sz w:val="24"/>
                <w:szCs w:val="24"/>
              </w:rPr>
            </w:pPr>
            <w:r w:rsidRPr="007F6CCC">
              <w:rPr>
                <w:bCs/>
                <w:sz w:val="24"/>
                <w:szCs w:val="24"/>
              </w:rPr>
              <w:t>Cohort life expectancies are calculated using age-specific mortality rates that allow for known or projected changes in mortality in later years and are thus regarded as a more appropriate measure of how long a person of a given age would be expected to live, on average, than period life expectancy.</w:t>
            </w:r>
          </w:p>
          <w:p w14:paraId="20A2C2D7" w14:textId="77777777" w:rsidR="00161F03" w:rsidRPr="007F6CCC" w:rsidRDefault="00161F03" w:rsidP="00161F03">
            <w:pPr>
              <w:rPr>
                <w:bCs/>
                <w:sz w:val="24"/>
                <w:szCs w:val="24"/>
              </w:rPr>
            </w:pPr>
            <w:r w:rsidRPr="007F6CCC">
              <w:rPr>
                <w:bCs/>
                <w:sz w:val="24"/>
                <w:szCs w:val="24"/>
              </w:rPr>
              <w:t>For example, period life expectancy at age 65 in 2000 would be worked out using the mortality rate for age 65 in 2000, for age 66 in 2000, for age 67 in 2000, and so on. Cohort life expectancy at age 65 in 2000 would be worked out using the mortality rate for age 65 in 2000, for age 66 in 2001, for age 67 in 2002, and so on.</w:t>
            </w:r>
          </w:p>
          <w:p w14:paraId="1F197445" w14:textId="77777777" w:rsidR="00161F03" w:rsidRPr="007F6CCC" w:rsidRDefault="00161F03" w:rsidP="00161F03">
            <w:pPr>
              <w:rPr>
                <w:bCs/>
                <w:sz w:val="24"/>
                <w:szCs w:val="24"/>
              </w:rPr>
            </w:pPr>
            <w:r w:rsidRPr="007F6CCC">
              <w:rPr>
                <w:bCs/>
                <w:sz w:val="24"/>
                <w:szCs w:val="24"/>
              </w:rPr>
              <w:t>Period life expectancies are a useful measure of mortality rates actually experienced over a given period and, for past years, provide an objective means of comparison of the trends in mortality over time, between areas of a country and with other countries. Official life tables in the UK and in other countries which relate to past years are generally period life tables for these reasons. Cohort life expectancies, even for past years, usually require projected mortality rates for their calculation and hence, in such cases, involve an element of subjectivity.</w:t>
            </w:r>
          </w:p>
          <w:p w14:paraId="2E8E3D74" w14:textId="77777777" w:rsidR="00161F03" w:rsidRPr="007F6CCC" w:rsidRDefault="00161F03" w:rsidP="00161F03">
            <w:pPr>
              <w:rPr>
                <w:bCs/>
                <w:sz w:val="24"/>
                <w:szCs w:val="24"/>
              </w:rPr>
            </w:pPr>
            <w:r w:rsidRPr="007F6CCC">
              <w:rPr>
                <w:bCs/>
                <w:sz w:val="24"/>
                <w:szCs w:val="24"/>
              </w:rPr>
              <w:t>Period life expectancies are sometimes mistakenly interpreted by users as allowing for subsequent mortality changes. Period life expectancy answers the question “For a group of people aged x in a given year, how long would they live, on average, if they experienced the age-specific mortality rates above age x of the period in question over the course of their remaining lives?”</w:t>
            </w:r>
          </w:p>
          <w:p w14:paraId="21D8626F" w14:textId="77777777" w:rsidR="00161F03" w:rsidRPr="007F6CCC" w:rsidRDefault="00161F03" w:rsidP="00161F03">
            <w:pPr>
              <w:rPr>
                <w:bCs/>
                <w:sz w:val="24"/>
                <w:szCs w:val="24"/>
              </w:rPr>
            </w:pPr>
            <w:r w:rsidRPr="007F6CCC">
              <w:rPr>
                <w:bCs/>
                <w:sz w:val="24"/>
                <w:szCs w:val="24"/>
              </w:rPr>
              <w:t xml:space="preserve">The cohort life expectancy answers the question “For a group of people aged x in a given year, how long would we expect them to live, on average, if they experienced the actual or projected future age-specific mortality rates not from the given year but from the series of future years in which they will actually reach each succeeding age if they survive?” If mortality rates at age x and above are projected to </w:t>
            </w:r>
            <w:r w:rsidRPr="007F6CCC">
              <w:rPr>
                <w:bCs/>
                <w:sz w:val="24"/>
                <w:szCs w:val="24"/>
              </w:rPr>
              <w:lastRenderedPageBreak/>
              <w:t>decrease in future years, the cohort life expectancy at age x will be greater than the period life expectancy at age x.</w:t>
            </w:r>
          </w:p>
          <w:p w14:paraId="05450742" w14:textId="77777777" w:rsidR="00161F03" w:rsidRPr="007F6CCC" w:rsidRDefault="00161F03" w:rsidP="00161F03">
            <w:pPr>
              <w:spacing w:before="240"/>
              <w:rPr>
                <w:bCs/>
                <w:sz w:val="24"/>
                <w:szCs w:val="24"/>
              </w:rPr>
            </w:pPr>
            <w:r w:rsidRPr="007F6CCC">
              <w:rPr>
                <w:bCs/>
                <w:sz w:val="24"/>
                <w:szCs w:val="24"/>
              </w:rPr>
              <w:t>Period life expectancy is used in all indicators as it is based on actual events and does not require or rely on any predictions.</w:t>
            </w:r>
          </w:p>
          <w:p w14:paraId="5EA9F26D" w14:textId="443414AA" w:rsidR="003F080A" w:rsidRPr="007F6CCC" w:rsidRDefault="00161F03" w:rsidP="00161F03">
            <w:pPr>
              <w:rPr>
                <w:bCs/>
                <w:sz w:val="24"/>
                <w:szCs w:val="24"/>
              </w:rPr>
            </w:pPr>
            <w:r w:rsidRPr="007F6CCC">
              <w:rPr>
                <w:bCs/>
                <w:sz w:val="24"/>
                <w:szCs w:val="24"/>
              </w:rPr>
              <w:t>No other data sources were considered suitable for this indicator.</w:t>
            </w:r>
          </w:p>
        </w:tc>
      </w:tr>
      <w:tr w:rsidR="007F6CCC" w14:paraId="32C795A1" w14:textId="77777777" w:rsidTr="000F013F">
        <w:tc>
          <w:tcPr>
            <w:tcW w:w="2403" w:type="dxa"/>
          </w:tcPr>
          <w:p w14:paraId="27D2756C" w14:textId="2044F39D" w:rsidR="003F080A" w:rsidRPr="007F6CCC" w:rsidRDefault="00161F03" w:rsidP="000B321E">
            <w:pPr>
              <w:rPr>
                <w:bCs/>
                <w:sz w:val="24"/>
                <w:szCs w:val="24"/>
              </w:rPr>
            </w:pPr>
            <w:r w:rsidRPr="007F6CCC">
              <w:rPr>
                <w:bCs/>
                <w:sz w:val="24"/>
                <w:szCs w:val="24"/>
              </w:rPr>
              <w:lastRenderedPageBreak/>
              <w:t>Data availability</w:t>
            </w:r>
          </w:p>
        </w:tc>
        <w:tc>
          <w:tcPr>
            <w:tcW w:w="7791" w:type="dxa"/>
          </w:tcPr>
          <w:p w14:paraId="552A74E2" w14:textId="7190D0CB" w:rsidR="007F6CCC" w:rsidRPr="007F6CCC" w:rsidRDefault="00161F03" w:rsidP="00161F03">
            <w:pPr>
              <w:spacing w:before="240"/>
              <w:rPr>
                <w:bCs/>
                <w:sz w:val="24"/>
                <w:szCs w:val="24"/>
              </w:rPr>
            </w:pPr>
            <w:r w:rsidRPr="007F6CCC">
              <w:rPr>
                <w:bCs/>
                <w:sz w:val="24"/>
                <w:szCs w:val="24"/>
              </w:rPr>
              <w:t>Data for the national indicator (single year estimates) are from the period life expectancy tables published biennially by the ONS</w:t>
            </w:r>
            <w:r w:rsidR="007F6CCC" w:rsidRPr="007F6CCC">
              <w:rPr>
                <w:rStyle w:val="EndnoteReference"/>
                <w:bCs/>
                <w:sz w:val="24"/>
                <w:szCs w:val="24"/>
              </w:rPr>
              <w:endnoteReference w:id="1"/>
            </w:r>
            <w:r w:rsidR="007F6CCC" w:rsidRPr="007F6CCC">
              <w:rPr>
                <w:bCs/>
                <w:sz w:val="24"/>
                <w:szCs w:val="24"/>
              </w:rPr>
              <w:t xml:space="preserve">. Life expectancy is one of the three components of demographic change used by the ONS for their biennial population estimates and projections. The 3-year average figures at national level and for all </w:t>
            </w:r>
            <w:proofErr w:type="spellStart"/>
            <w:r w:rsidR="007F6CCC" w:rsidRPr="007F6CCC">
              <w:rPr>
                <w:bCs/>
                <w:sz w:val="24"/>
                <w:szCs w:val="24"/>
              </w:rPr>
              <w:t>disaggregations</w:t>
            </w:r>
            <w:proofErr w:type="spellEnd"/>
            <w:r w:rsidR="007F6CCC" w:rsidRPr="007F6CCC">
              <w:rPr>
                <w:bCs/>
                <w:sz w:val="24"/>
                <w:szCs w:val="24"/>
              </w:rPr>
              <w:t xml:space="preserve"> are supplied annually by the ONS.</w:t>
            </w:r>
          </w:p>
          <w:p w14:paraId="4FEF84D4" w14:textId="58D2EAED" w:rsidR="007F6CCC" w:rsidRPr="007F6CCC" w:rsidRDefault="007F6CCC" w:rsidP="00161F03">
            <w:pPr>
              <w:rPr>
                <w:bCs/>
                <w:sz w:val="24"/>
                <w:szCs w:val="24"/>
              </w:rPr>
            </w:pPr>
            <w:r w:rsidRPr="007F6CCC">
              <w:rPr>
                <w:bCs/>
                <w:sz w:val="24"/>
                <w:szCs w:val="24"/>
              </w:rPr>
              <w:t xml:space="preserve">3-year average values are presented for sub-national </w:t>
            </w:r>
            <w:proofErr w:type="spellStart"/>
            <w:r w:rsidRPr="007F6CCC">
              <w:rPr>
                <w:bCs/>
                <w:sz w:val="24"/>
                <w:szCs w:val="24"/>
              </w:rPr>
              <w:t>disaggregations</w:t>
            </w:r>
            <w:proofErr w:type="spellEnd"/>
            <w:r w:rsidRPr="007F6CCC">
              <w:rPr>
                <w:bCs/>
                <w:sz w:val="24"/>
                <w:szCs w:val="24"/>
              </w:rPr>
              <w:t xml:space="preserve"> to reduce the effect of random variation where a small number of deaths in an age group in a small area would cause fluctuation in life expectancy.</w:t>
            </w:r>
          </w:p>
        </w:tc>
      </w:tr>
      <w:tr w:rsidR="003F080A" w14:paraId="0756C962" w14:textId="77777777" w:rsidTr="000F013F">
        <w:tc>
          <w:tcPr>
            <w:tcW w:w="2403" w:type="dxa"/>
          </w:tcPr>
          <w:p w14:paraId="2DC40872" w14:textId="238C518B" w:rsidR="007F6CCC" w:rsidRPr="007F6CCC" w:rsidRDefault="007F6CCC" w:rsidP="000B321E">
            <w:pPr>
              <w:rPr>
                <w:bCs/>
                <w:sz w:val="24"/>
                <w:szCs w:val="24"/>
              </w:rPr>
            </w:pPr>
            <w:r w:rsidRPr="007F6CCC">
              <w:rPr>
                <w:bCs/>
                <w:sz w:val="24"/>
                <w:szCs w:val="24"/>
              </w:rPr>
              <w:t>Data quality</w:t>
            </w:r>
          </w:p>
        </w:tc>
        <w:tc>
          <w:tcPr>
            <w:tcW w:w="7791" w:type="dxa"/>
          </w:tcPr>
          <w:p w14:paraId="3B8039D6" w14:textId="77777777" w:rsidR="007F6CCC" w:rsidRPr="007F6CCC" w:rsidRDefault="007F6CCC" w:rsidP="00161F03">
            <w:pPr>
              <w:spacing w:before="240"/>
              <w:rPr>
                <w:bCs/>
                <w:sz w:val="24"/>
                <w:szCs w:val="24"/>
              </w:rPr>
            </w:pPr>
            <w:r w:rsidRPr="007F6CCC">
              <w:rPr>
                <w:bCs/>
                <w:sz w:val="24"/>
                <w:szCs w:val="24"/>
              </w:rPr>
              <w:t xml:space="preserve">The data source for the calculation of life expectancy is the number of births, deaths and population estimates. Summary quality reports for the data used in the calculation of national life tables are available here: </w:t>
            </w:r>
            <w:hyperlink r:id="rId12" w:tooltip="Quality and Methodology Information for Birth Statistics" w:history="1">
              <w:r w:rsidRPr="007F6CCC">
                <w:rPr>
                  <w:bCs/>
                  <w:sz w:val="24"/>
                  <w:szCs w:val="24"/>
                  <w:u w:val="single"/>
                </w:rPr>
                <w:t>births</w:t>
              </w:r>
            </w:hyperlink>
            <w:r w:rsidRPr="007F6CCC">
              <w:rPr>
                <w:bCs/>
                <w:sz w:val="24"/>
                <w:szCs w:val="24"/>
              </w:rPr>
              <w:t xml:space="preserve"> (257.9 </w:t>
            </w:r>
            <w:proofErr w:type="spellStart"/>
            <w:r w:rsidRPr="007F6CCC">
              <w:rPr>
                <w:bCs/>
                <w:sz w:val="24"/>
                <w:szCs w:val="24"/>
              </w:rPr>
              <w:t>Kb</w:t>
            </w:r>
            <w:proofErr w:type="spellEnd"/>
            <w:r w:rsidRPr="007F6CCC">
              <w:rPr>
                <w:bCs/>
                <w:sz w:val="24"/>
                <w:szCs w:val="24"/>
              </w:rPr>
              <w:t xml:space="preserve"> Pdf) , </w:t>
            </w:r>
            <w:hyperlink r:id="rId13" w:tooltip="Quality and Methodology Information for Mortality Statistics in England and Wales" w:history="1">
              <w:r w:rsidRPr="007F6CCC">
                <w:rPr>
                  <w:bCs/>
                  <w:sz w:val="24"/>
                  <w:szCs w:val="24"/>
                  <w:u w:val="single"/>
                </w:rPr>
                <w:t>deaths</w:t>
              </w:r>
            </w:hyperlink>
            <w:r w:rsidRPr="007F6CCC">
              <w:rPr>
                <w:bCs/>
                <w:sz w:val="24"/>
                <w:szCs w:val="24"/>
              </w:rPr>
              <w:t xml:space="preserve"> (222.3 </w:t>
            </w:r>
            <w:proofErr w:type="spellStart"/>
            <w:r w:rsidRPr="007F6CCC">
              <w:rPr>
                <w:bCs/>
                <w:sz w:val="24"/>
                <w:szCs w:val="24"/>
              </w:rPr>
              <w:t>Kb</w:t>
            </w:r>
            <w:proofErr w:type="spellEnd"/>
            <w:r w:rsidRPr="007F6CCC">
              <w:rPr>
                <w:bCs/>
                <w:sz w:val="24"/>
                <w:szCs w:val="24"/>
              </w:rPr>
              <w:t xml:space="preserve"> Pdf) and </w:t>
            </w:r>
            <w:hyperlink r:id="rId14" w:tooltip="Quality and Methodology Information for Annual Mid-Year Population Estimates" w:history="1">
              <w:r w:rsidRPr="007F6CCC">
                <w:rPr>
                  <w:bCs/>
                  <w:sz w:val="24"/>
                  <w:szCs w:val="24"/>
                  <w:u w:val="single"/>
                </w:rPr>
                <w:t>population estimates</w:t>
              </w:r>
            </w:hyperlink>
            <w:r w:rsidRPr="007F6CCC">
              <w:rPr>
                <w:bCs/>
                <w:sz w:val="24"/>
                <w:szCs w:val="24"/>
              </w:rPr>
              <w:t xml:space="preserve"> (236.8 </w:t>
            </w:r>
            <w:proofErr w:type="spellStart"/>
            <w:r w:rsidRPr="007F6CCC">
              <w:rPr>
                <w:bCs/>
                <w:sz w:val="24"/>
                <w:szCs w:val="24"/>
              </w:rPr>
              <w:t>Kb</w:t>
            </w:r>
            <w:proofErr w:type="spellEnd"/>
            <w:r w:rsidRPr="007F6CCC">
              <w:rPr>
                <w:bCs/>
                <w:sz w:val="24"/>
                <w:szCs w:val="24"/>
              </w:rPr>
              <w:t xml:space="preserve"> Pdf) .</w:t>
            </w:r>
          </w:p>
          <w:p w14:paraId="4137969E" w14:textId="77777777" w:rsidR="007F6CCC" w:rsidRPr="007F6CCC" w:rsidRDefault="007F6CCC" w:rsidP="00161F03">
            <w:pPr>
              <w:spacing w:before="240"/>
              <w:rPr>
                <w:bCs/>
                <w:sz w:val="24"/>
                <w:szCs w:val="24"/>
              </w:rPr>
            </w:pPr>
            <w:r w:rsidRPr="007F6CCC">
              <w:rPr>
                <w:bCs/>
                <w:sz w:val="24"/>
                <w:szCs w:val="24"/>
              </w:rPr>
              <w:t>The ONS use well-established and internationally recognised methods to calculate national life tables</w:t>
            </w:r>
            <w:r w:rsidRPr="007F6CCC">
              <w:rPr>
                <w:rStyle w:val="EndnoteReference"/>
                <w:bCs/>
                <w:sz w:val="24"/>
                <w:szCs w:val="24"/>
              </w:rPr>
              <w:endnoteReference w:id="2"/>
            </w:r>
            <w:r w:rsidRPr="007F6CCC">
              <w:rPr>
                <w:bCs/>
                <w:sz w:val="24"/>
                <w:szCs w:val="24"/>
              </w:rPr>
              <w:t>. These are used at the national level and are described as ‘complete’ life tables because single-year age groups are used throughout, as the data used at national level are sufficiently reliable to do so. This is preferable to the ‘abridged’ life table where some data are lost in the grouping of ages. Area-specific abridged life tables are used at the local area level. These are more suitable for calculating sub-national life expectancy than complete life tables due to small numbers of deaths by single year of age, particularly among younger age groups and in smaller areas. Sub-national life expectancy</w:t>
            </w:r>
            <w:r w:rsidRPr="007F6CCC">
              <w:rPr>
                <w:rStyle w:val="EndnoteReference"/>
                <w:bCs/>
                <w:sz w:val="24"/>
                <w:szCs w:val="24"/>
              </w:rPr>
              <w:endnoteReference w:id="3"/>
            </w:r>
            <w:r w:rsidRPr="007F6CCC">
              <w:rPr>
                <w:bCs/>
                <w:sz w:val="24"/>
                <w:szCs w:val="24"/>
              </w:rPr>
              <w:t xml:space="preserve"> and associated quality report</w:t>
            </w:r>
            <w:r w:rsidRPr="007F6CCC">
              <w:rPr>
                <w:rStyle w:val="EndnoteReference"/>
                <w:bCs/>
                <w:sz w:val="24"/>
                <w:szCs w:val="24"/>
              </w:rPr>
              <w:endnoteReference w:id="4"/>
            </w:r>
            <w:r w:rsidRPr="007F6CCC">
              <w:rPr>
                <w:bCs/>
                <w:sz w:val="24"/>
                <w:szCs w:val="24"/>
              </w:rPr>
              <w:t xml:space="preserve"> are published on the ONS web site.</w:t>
            </w:r>
          </w:p>
          <w:p w14:paraId="5484D7C7" w14:textId="0C99F701" w:rsidR="003F080A" w:rsidRPr="007F6CCC" w:rsidRDefault="007F6CCC" w:rsidP="00161F03">
            <w:pPr>
              <w:rPr>
                <w:bCs/>
                <w:sz w:val="24"/>
                <w:szCs w:val="24"/>
              </w:rPr>
            </w:pPr>
            <w:r w:rsidRPr="007F6CCC">
              <w:rPr>
                <w:bCs/>
                <w:sz w:val="24"/>
                <w:szCs w:val="24"/>
              </w:rPr>
              <w:t>Where there has been a revision in the input data, ONS has checked that this would not imply any revision of practical significance to users. There have been revisions</w:t>
            </w:r>
            <w:r w:rsidRPr="007F6CCC">
              <w:rPr>
                <w:rStyle w:val="EndnoteReference"/>
                <w:bCs/>
                <w:sz w:val="24"/>
                <w:szCs w:val="24"/>
              </w:rPr>
              <w:endnoteReference w:id="5"/>
            </w:r>
            <w:r w:rsidRPr="007F6CCC">
              <w:rPr>
                <w:bCs/>
                <w:sz w:val="24"/>
                <w:szCs w:val="24"/>
              </w:rPr>
              <w:t xml:space="preserve"> to the life tables for 2000-02 to 2010-12 following the rebasing of the mid-year population estimates to the 2011 Census results. Any revisions observe the Population Statistics Revisions Policy</w:t>
            </w:r>
            <w:r w:rsidRPr="007F6CCC">
              <w:rPr>
                <w:rStyle w:val="EndnoteReference"/>
                <w:bCs/>
                <w:sz w:val="24"/>
                <w:szCs w:val="24"/>
              </w:rPr>
              <w:endnoteReference w:id="6"/>
            </w:r>
            <w:r w:rsidRPr="007F6CCC">
              <w:rPr>
                <w:bCs/>
                <w:sz w:val="24"/>
                <w:szCs w:val="24"/>
              </w:rPr>
              <w:t xml:space="preserve"> </w:t>
            </w:r>
            <w:r w:rsidR="00161F03" w:rsidRPr="007F6CCC">
              <w:rPr>
                <w:bCs/>
                <w:sz w:val="24"/>
                <w:szCs w:val="24"/>
              </w:rPr>
              <w:t>which is consistent with the ONS Revisions policy.</w:t>
            </w:r>
          </w:p>
        </w:tc>
      </w:tr>
      <w:tr w:rsidR="003F080A" w14:paraId="62691558" w14:textId="77777777" w:rsidTr="000F013F">
        <w:tc>
          <w:tcPr>
            <w:tcW w:w="2403" w:type="dxa"/>
          </w:tcPr>
          <w:p w14:paraId="27787125" w14:textId="5D3098F7" w:rsidR="003F080A" w:rsidRPr="007F6CCC" w:rsidRDefault="00161F03" w:rsidP="000B321E">
            <w:pPr>
              <w:rPr>
                <w:bCs/>
                <w:sz w:val="24"/>
                <w:szCs w:val="24"/>
              </w:rPr>
            </w:pPr>
            <w:r w:rsidRPr="007F6CCC">
              <w:rPr>
                <w:bCs/>
                <w:sz w:val="24"/>
                <w:szCs w:val="24"/>
              </w:rPr>
              <w:t>Quality assurance</w:t>
            </w:r>
          </w:p>
        </w:tc>
        <w:tc>
          <w:tcPr>
            <w:tcW w:w="7791" w:type="dxa"/>
          </w:tcPr>
          <w:p w14:paraId="6BC79A45" w14:textId="77777777" w:rsidR="00161F03" w:rsidRPr="007F6CCC" w:rsidRDefault="00161F03" w:rsidP="00161F03">
            <w:pPr>
              <w:spacing w:before="240"/>
              <w:rPr>
                <w:bCs/>
                <w:sz w:val="24"/>
                <w:szCs w:val="24"/>
              </w:rPr>
            </w:pPr>
            <w:r w:rsidRPr="007F6CCC">
              <w:rPr>
                <w:bCs/>
                <w:sz w:val="24"/>
                <w:szCs w:val="24"/>
              </w:rPr>
              <w:t xml:space="preserve">Quality assurance of the period and cohort life expectancy figures is provided by expert discussion of mortality assumptions (which also feed into the National Population Projections). The expert advisory group was set up following a recommendation of the NS Quality Review Series No. 8 - National Population Projections: Review of </w:t>
            </w:r>
            <w:r w:rsidRPr="007F6CCC">
              <w:rPr>
                <w:bCs/>
                <w:sz w:val="24"/>
                <w:szCs w:val="24"/>
              </w:rPr>
              <w:lastRenderedPageBreak/>
              <w:t>Methodology for Projecting Mortality</w:t>
            </w:r>
            <w:r w:rsidRPr="007F6CCC">
              <w:rPr>
                <w:rStyle w:val="FootnoteReference"/>
                <w:bCs/>
                <w:sz w:val="24"/>
                <w:szCs w:val="24"/>
              </w:rPr>
              <w:footnoteReference w:id="3"/>
            </w:r>
            <w:r w:rsidRPr="007F6CCC">
              <w:rPr>
                <w:bCs/>
                <w:sz w:val="24"/>
                <w:szCs w:val="24"/>
              </w:rPr>
              <w:t xml:space="preserve"> specifically for this purpose. The minutes</w:t>
            </w:r>
            <w:r w:rsidRPr="007F6CCC">
              <w:rPr>
                <w:rStyle w:val="FootnoteReference"/>
                <w:bCs/>
                <w:sz w:val="24"/>
                <w:szCs w:val="24"/>
              </w:rPr>
              <w:footnoteReference w:id="4"/>
            </w:r>
            <w:r w:rsidRPr="007F6CCC">
              <w:rPr>
                <w:bCs/>
                <w:sz w:val="24"/>
                <w:szCs w:val="24"/>
              </w:rPr>
              <w:t xml:space="preserve"> of meetings and responses to the expert questionnaire have all been published on the ONS website.</w:t>
            </w:r>
          </w:p>
          <w:p w14:paraId="5299694A" w14:textId="6376370F" w:rsidR="003F080A" w:rsidRPr="007F6CCC" w:rsidRDefault="00161F03" w:rsidP="00161F03">
            <w:pPr>
              <w:rPr>
                <w:bCs/>
                <w:sz w:val="24"/>
                <w:szCs w:val="24"/>
              </w:rPr>
            </w:pPr>
            <w:r w:rsidRPr="007F6CCC">
              <w:rPr>
                <w:bCs/>
                <w:sz w:val="24"/>
                <w:szCs w:val="24"/>
              </w:rPr>
              <w:t>NHS Digital review the supplied data on receipt, comparing change over time at national and sub-national level to detect unusual change.</w:t>
            </w:r>
          </w:p>
        </w:tc>
      </w:tr>
      <w:tr w:rsidR="003F080A" w14:paraId="5E309F33" w14:textId="77777777" w:rsidTr="000F013F">
        <w:tc>
          <w:tcPr>
            <w:tcW w:w="2403" w:type="dxa"/>
          </w:tcPr>
          <w:p w14:paraId="72DF56C0" w14:textId="77777777" w:rsidR="00161F03" w:rsidRPr="007F6CCC" w:rsidRDefault="00161F03" w:rsidP="00161F03">
            <w:pPr>
              <w:spacing w:before="240"/>
              <w:ind w:left="34"/>
              <w:rPr>
                <w:bCs/>
                <w:sz w:val="24"/>
                <w:szCs w:val="24"/>
              </w:rPr>
            </w:pPr>
            <w:r w:rsidRPr="007F6CCC">
              <w:rPr>
                <w:bCs/>
                <w:sz w:val="24"/>
                <w:szCs w:val="24"/>
              </w:rPr>
              <w:lastRenderedPageBreak/>
              <w:t xml:space="preserve">Quality improvement plan </w:t>
            </w:r>
          </w:p>
          <w:p w14:paraId="7464CC86" w14:textId="77777777" w:rsidR="003F080A" w:rsidRPr="007F6CCC" w:rsidRDefault="003F080A" w:rsidP="000B321E">
            <w:pPr>
              <w:rPr>
                <w:bCs/>
                <w:sz w:val="24"/>
                <w:szCs w:val="24"/>
              </w:rPr>
            </w:pPr>
          </w:p>
        </w:tc>
        <w:tc>
          <w:tcPr>
            <w:tcW w:w="7791" w:type="dxa"/>
          </w:tcPr>
          <w:p w14:paraId="5A071EAC" w14:textId="09047F46" w:rsidR="003F080A" w:rsidRPr="007F6CCC" w:rsidRDefault="00161F03" w:rsidP="000B321E">
            <w:pPr>
              <w:rPr>
                <w:bCs/>
                <w:sz w:val="24"/>
                <w:szCs w:val="24"/>
              </w:rPr>
            </w:pPr>
            <w:r w:rsidRPr="007F6CCC">
              <w:rPr>
                <w:bCs/>
                <w:sz w:val="24"/>
                <w:szCs w:val="24"/>
              </w:rPr>
              <w:t>N/A</w:t>
            </w:r>
          </w:p>
        </w:tc>
      </w:tr>
      <w:tr w:rsidR="003F080A" w14:paraId="7771B689" w14:textId="77777777" w:rsidTr="000F013F">
        <w:tc>
          <w:tcPr>
            <w:tcW w:w="2403" w:type="dxa"/>
          </w:tcPr>
          <w:p w14:paraId="0A5844E4" w14:textId="0B5A1935" w:rsidR="003F080A" w:rsidRPr="007F6CCC" w:rsidRDefault="00161F03" w:rsidP="000B321E">
            <w:pPr>
              <w:rPr>
                <w:bCs/>
                <w:sz w:val="24"/>
                <w:szCs w:val="24"/>
              </w:rPr>
            </w:pPr>
            <w:r w:rsidRPr="007F6CCC">
              <w:rPr>
                <w:bCs/>
                <w:sz w:val="24"/>
                <w:szCs w:val="24"/>
              </w:rPr>
              <w:t>Data linkage</w:t>
            </w:r>
          </w:p>
        </w:tc>
        <w:tc>
          <w:tcPr>
            <w:tcW w:w="7791" w:type="dxa"/>
          </w:tcPr>
          <w:p w14:paraId="77579EBD" w14:textId="03447E63" w:rsidR="003F080A" w:rsidRPr="007F6CCC" w:rsidRDefault="00161F03" w:rsidP="000B321E">
            <w:pPr>
              <w:rPr>
                <w:bCs/>
                <w:sz w:val="24"/>
                <w:szCs w:val="24"/>
              </w:rPr>
            </w:pPr>
            <w:r w:rsidRPr="007F6CCC">
              <w:rPr>
                <w:bCs/>
                <w:sz w:val="24"/>
                <w:szCs w:val="24"/>
              </w:rPr>
              <w:t>No data linkage is carried out</w:t>
            </w:r>
          </w:p>
        </w:tc>
      </w:tr>
      <w:tr w:rsidR="003F080A" w14:paraId="57BEA980" w14:textId="77777777" w:rsidTr="000F013F">
        <w:tc>
          <w:tcPr>
            <w:tcW w:w="2403" w:type="dxa"/>
          </w:tcPr>
          <w:p w14:paraId="6074ABF7" w14:textId="03E28869" w:rsidR="003F080A" w:rsidRPr="007F6CCC" w:rsidRDefault="00161F03" w:rsidP="000B321E">
            <w:pPr>
              <w:rPr>
                <w:bCs/>
                <w:sz w:val="24"/>
                <w:szCs w:val="24"/>
              </w:rPr>
            </w:pPr>
            <w:r w:rsidRPr="007F6CCC">
              <w:rPr>
                <w:bCs/>
                <w:sz w:val="24"/>
                <w:szCs w:val="24"/>
              </w:rPr>
              <w:t>Quality of data linkage</w:t>
            </w:r>
          </w:p>
        </w:tc>
        <w:tc>
          <w:tcPr>
            <w:tcW w:w="7791" w:type="dxa"/>
          </w:tcPr>
          <w:p w14:paraId="76F608DB" w14:textId="5FE9038D" w:rsidR="003F080A" w:rsidRPr="007F6CCC" w:rsidRDefault="00161F03" w:rsidP="000B321E">
            <w:pPr>
              <w:rPr>
                <w:bCs/>
                <w:sz w:val="24"/>
                <w:szCs w:val="24"/>
              </w:rPr>
            </w:pPr>
            <w:r w:rsidRPr="007F6CCC">
              <w:rPr>
                <w:bCs/>
                <w:sz w:val="24"/>
                <w:szCs w:val="24"/>
              </w:rPr>
              <w:t>N/A</w:t>
            </w:r>
          </w:p>
        </w:tc>
      </w:tr>
      <w:tr w:rsidR="003F080A" w14:paraId="5E9D0C30" w14:textId="77777777" w:rsidTr="000F013F">
        <w:tc>
          <w:tcPr>
            <w:tcW w:w="2403" w:type="dxa"/>
          </w:tcPr>
          <w:p w14:paraId="48797BBA" w14:textId="02166E48" w:rsidR="003F080A" w:rsidRPr="007F6CCC" w:rsidRDefault="00161F03" w:rsidP="000B321E">
            <w:pPr>
              <w:rPr>
                <w:bCs/>
                <w:sz w:val="24"/>
                <w:szCs w:val="24"/>
              </w:rPr>
            </w:pPr>
            <w:r w:rsidRPr="007F6CCC">
              <w:rPr>
                <w:bCs/>
                <w:sz w:val="24"/>
                <w:szCs w:val="24"/>
              </w:rPr>
              <w:t>Data fields</w:t>
            </w:r>
          </w:p>
        </w:tc>
        <w:tc>
          <w:tcPr>
            <w:tcW w:w="7791" w:type="dxa"/>
          </w:tcPr>
          <w:p w14:paraId="778C5B72" w14:textId="6E2B184F" w:rsidR="003F080A" w:rsidRPr="007F6CCC" w:rsidRDefault="00161F03" w:rsidP="000B321E">
            <w:pPr>
              <w:rPr>
                <w:bCs/>
                <w:sz w:val="24"/>
                <w:szCs w:val="24"/>
              </w:rPr>
            </w:pPr>
            <w:r w:rsidRPr="007F6CCC">
              <w:rPr>
                <w:bCs/>
                <w:sz w:val="24"/>
                <w:szCs w:val="24"/>
              </w:rPr>
              <w:t>The life expectancy and 95 per cent confidence intervals are extracted from the files that the ONS supply.</w:t>
            </w:r>
          </w:p>
        </w:tc>
      </w:tr>
      <w:tr w:rsidR="003F080A" w14:paraId="452CAA7A" w14:textId="77777777" w:rsidTr="000F013F">
        <w:tc>
          <w:tcPr>
            <w:tcW w:w="2403" w:type="dxa"/>
          </w:tcPr>
          <w:p w14:paraId="49E97D4E" w14:textId="15FF4E31" w:rsidR="003F080A" w:rsidRPr="007F6CCC" w:rsidRDefault="00161F03" w:rsidP="000B321E">
            <w:pPr>
              <w:rPr>
                <w:bCs/>
                <w:sz w:val="24"/>
                <w:szCs w:val="24"/>
              </w:rPr>
            </w:pPr>
            <w:r w:rsidRPr="007F6CCC">
              <w:rPr>
                <w:bCs/>
                <w:sz w:val="24"/>
                <w:szCs w:val="24"/>
              </w:rPr>
              <w:t>Data filters</w:t>
            </w:r>
          </w:p>
        </w:tc>
        <w:tc>
          <w:tcPr>
            <w:tcW w:w="7791" w:type="dxa"/>
          </w:tcPr>
          <w:p w14:paraId="1D78FA72" w14:textId="4F2EF627" w:rsidR="003F080A" w:rsidRPr="007F6CCC" w:rsidRDefault="00161F03" w:rsidP="000B321E">
            <w:pPr>
              <w:rPr>
                <w:bCs/>
                <w:sz w:val="24"/>
                <w:szCs w:val="24"/>
              </w:rPr>
            </w:pPr>
            <w:r w:rsidRPr="007F6CCC">
              <w:rPr>
                <w:bCs/>
                <w:sz w:val="24"/>
                <w:szCs w:val="24"/>
              </w:rPr>
              <w:t>Rows relating to age band 75-79, for abridged life tables, and 75 for complete life tables are extracted.</w:t>
            </w:r>
          </w:p>
        </w:tc>
      </w:tr>
      <w:tr w:rsidR="003F080A" w14:paraId="10FB8C3B" w14:textId="77777777" w:rsidTr="000F013F">
        <w:tc>
          <w:tcPr>
            <w:tcW w:w="2403" w:type="dxa"/>
          </w:tcPr>
          <w:p w14:paraId="24F5B82F" w14:textId="77777777" w:rsidR="00161F03" w:rsidRPr="007F6CCC" w:rsidRDefault="00161F03" w:rsidP="00161F03">
            <w:pPr>
              <w:spacing w:before="240"/>
              <w:ind w:left="34"/>
              <w:rPr>
                <w:bCs/>
                <w:sz w:val="24"/>
                <w:szCs w:val="24"/>
              </w:rPr>
            </w:pPr>
            <w:r w:rsidRPr="007F6CCC">
              <w:rPr>
                <w:bCs/>
                <w:sz w:val="24"/>
                <w:szCs w:val="24"/>
              </w:rPr>
              <w:t xml:space="preserve">Justifications of inclusions and exclusions </w:t>
            </w:r>
          </w:p>
          <w:p w14:paraId="5D94D399" w14:textId="77777777" w:rsidR="003F080A" w:rsidRPr="007F6CCC" w:rsidRDefault="003F080A" w:rsidP="000B321E">
            <w:pPr>
              <w:rPr>
                <w:bCs/>
                <w:sz w:val="24"/>
                <w:szCs w:val="24"/>
              </w:rPr>
            </w:pPr>
          </w:p>
        </w:tc>
        <w:tc>
          <w:tcPr>
            <w:tcW w:w="7791" w:type="dxa"/>
          </w:tcPr>
          <w:p w14:paraId="31868726" w14:textId="2BD5238E" w:rsidR="003F080A" w:rsidRPr="007F6CCC" w:rsidRDefault="00161F03" w:rsidP="000B321E">
            <w:pPr>
              <w:rPr>
                <w:bCs/>
                <w:sz w:val="24"/>
                <w:szCs w:val="24"/>
              </w:rPr>
            </w:pPr>
            <w:r w:rsidRPr="007F6CCC">
              <w:rPr>
                <w:bCs/>
                <w:sz w:val="24"/>
                <w:szCs w:val="24"/>
              </w:rPr>
              <w:t>N/A</w:t>
            </w:r>
          </w:p>
        </w:tc>
      </w:tr>
      <w:tr w:rsidR="003F080A" w14:paraId="545788A3" w14:textId="77777777" w:rsidTr="000F013F">
        <w:tc>
          <w:tcPr>
            <w:tcW w:w="2403" w:type="dxa"/>
          </w:tcPr>
          <w:p w14:paraId="1D3F7B98" w14:textId="53177D84" w:rsidR="003F080A" w:rsidRPr="007F6CCC" w:rsidRDefault="00161F03" w:rsidP="000B321E">
            <w:pPr>
              <w:rPr>
                <w:bCs/>
                <w:sz w:val="24"/>
                <w:szCs w:val="24"/>
              </w:rPr>
            </w:pPr>
            <w:r w:rsidRPr="007F6CCC">
              <w:rPr>
                <w:bCs/>
                <w:sz w:val="24"/>
                <w:szCs w:val="24"/>
              </w:rPr>
              <w:t>Data processing</w:t>
            </w:r>
          </w:p>
        </w:tc>
        <w:tc>
          <w:tcPr>
            <w:tcW w:w="7791" w:type="dxa"/>
          </w:tcPr>
          <w:p w14:paraId="277526A0" w14:textId="1AFA0CBD" w:rsidR="003F080A" w:rsidRPr="007F6CCC" w:rsidRDefault="00161F03" w:rsidP="000B321E">
            <w:pPr>
              <w:rPr>
                <w:bCs/>
                <w:sz w:val="24"/>
                <w:szCs w:val="24"/>
              </w:rPr>
            </w:pPr>
            <w:r w:rsidRPr="007F6CCC">
              <w:rPr>
                <w:bCs/>
                <w:sz w:val="24"/>
                <w:szCs w:val="24"/>
              </w:rPr>
              <w:t>The indicator values are supplied fully calculated by the ONS; NHS Digital staff collate the data into a single file for publication.</w:t>
            </w:r>
          </w:p>
        </w:tc>
      </w:tr>
    </w:tbl>
    <w:p w14:paraId="0ACF8F89" w14:textId="10B08256" w:rsidR="000F013F" w:rsidRDefault="000F013F">
      <w:r w:rsidRPr="007F6CCC">
        <w:rPr>
          <w:bCs/>
          <w:sz w:val="24"/>
          <w:szCs w:val="24"/>
        </w:rPr>
        <w:t>Construction</w:t>
      </w:r>
    </w:p>
    <w:tbl>
      <w:tblPr>
        <w:tblStyle w:val="TableGrid"/>
        <w:tblW w:w="0" w:type="auto"/>
        <w:tblLook w:val="04A0" w:firstRow="1" w:lastRow="0" w:firstColumn="1" w:lastColumn="0" w:noHBand="0" w:noVBand="1"/>
      </w:tblPr>
      <w:tblGrid>
        <w:gridCol w:w="2403"/>
        <w:gridCol w:w="7791"/>
      </w:tblGrid>
      <w:tr w:rsidR="003F080A" w14:paraId="13E7D52A" w14:textId="77777777" w:rsidTr="000F013F">
        <w:tc>
          <w:tcPr>
            <w:tcW w:w="2403" w:type="dxa"/>
          </w:tcPr>
          <w:p w14:paraId="600D8FA1" w14:textId="7EF05358" w:rsidR="003F080A" w:rsidRPr="007F6CCC" w:rsidRDefault="00161F03" w:rsidP="000B321E">
            <w:pPr>
              <w:rPr>
                <w:bCs/>
                <w:sz w:val="24"/>
                <w:szCs w:val="24"/>
              </w:rPr>
            </w:pPr>
            <w:r w:rsidRPr="007F6CCC">
              <w:rPr>
                <w:bCs/>
                <w:sz w:val="24"/>
                <w:szCs w:val="24"/>
              </w:rPr>
              <w:t>Numerator</w:t>
            </w:r>
          </w:p>
        </w:tc>
        <w:tc>
          <w:tcPr>
            <w:tcW w:w="7791" w:type="dxa"/>
          </w:tcPr>
          <w:p w14:paraId="034BF44D" w14:textId="5B0A953A" w:rsidR="003F080A" w:rsidRPr="007F6CCC" w:rsidRDefault="00161F03" w:rsidP="000B321E">
            <w:pPr>
              <w:rPr>
                <w:bCs/>
                <w:sz w:val="24"/>
                <w:szCs w:val="24"/>
              </w:rPr>
            </w:pPr>
            <w:r w:rsidRPr="007F6CCC">
              <w:rPr>
                <w:bCs/>
                <w:sz w:val="24"/>
                <w:szCs w:val="24"/>
              </w:rPr>
              <w:t>See computation below</w:t>
            </w:r>
          </w:p>
        </w:tc>
      </w:tr>
      <w:tr w:rsidR="003F080A" w14:paraId="7E2E91E3" w14:textId="77777777" w:rsidTr="000F013F">
        <w:tc>
          <w:tcPr>
            <w:tcW w:w="2403" w:type="dxa"/>
          </w:tcPr>
          <w:p w14:paraId="3FE95FA9" w14:textId="703475D7" w:rsidR="003F080A" w:rsidRPr="007F6CCC" w:rsidRDefault="00161F03" w:rsidP="000B321E">
            <w:pPr>
              <w:rPr>
                <w:bCs/>
                <w:sz w:val="24"/>
                <w:szCs w:val="24"/>
              </w:rPr>
            </w:pPr>
            <w:r w:rsidRPr="007F6CCC">
              <w:rPr>
                <w:bCs/>
                <w:sz w:val="24"/>
                <w:szCs w:val="24"/>
              </w:rPr>
              <w:t>Denominator</w:t>
            </w:r>
          </w:p>
        </w:tc>
        <w:tc>
          <w:tcPr>
            <w:tcW w:w="7791" w:type="dxa"/>
          </w:tcPr>
          <w:p w14:paraId="7707B819" w14:textId="46923611" w:rsidR="003F080A" w:rsidRPr="007F6CCC" w:rsidRDefault="00161F03" w:rsidP="000B321E">
            <w:pPr>
              <w:rPr>
                <w:bCs/>
                <w:sz w:val="24"/>
                <w:szCs w:val="24"/>
              </w:rPr>
            </w:pPr>
            <w:r w:rsidRPr="007F6CCC">
              <w:rPr>
                <w:bCs/>
                <w:sz w:val="24"/>
                <w:szCs w:val="24"/>
              </w:rPr>
              <w:t>See computation below</w:t>
            </w:r>
          </w:p>
        </w:tc>
      </w:tr>
      <w:tr w:rsidR="003F080A" w14:paraId="5144F330" w14:textId="77777777" w:rsidTr="000F013F">
        <w:tc>
          <w:tcPr>
            <w:tcW w:w="2403" w:type="dxa"/>
          </w:tcPr>
          <w:p w14:paraId="5B9FA694" w14:textId="2C8FA070" w:rsidR="003F080A" w:rsidRPr="007F6CCC" w:rsidRDefault="00161F03" w:rsidP="000B321E">
            <w:pPr>
              <w:rPr>
                <w:bCs/>
                <w:sz w:val="24"/>
                <w:szCs w:val="24"/>
              </w:rPr>
            </w:pPr>
            <w:r w:rsidRPr="007F6CCC">
              <w:rPr>
                <w:bCs/>
                <w:sz w:val="24"/>
                <w:szCs w:val="24"/>
              </w:rPr>
              <w:t>Computation</w:t>
            </w:r>
          </w:p>
        </w:tc>
        <w:tc>
          <w:tcPr>
            <w:tcW w:w="7791" w:type="dxa"/>
          </w:tcPr>
          <w:p w14:paraId="1BA718EA"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England level, single year values are calculated from complete life tables, i.e. where life expectancy at age 75 is available. The maximum age present in the table for deaths in 2014 is 100.</w:t>
            </w:r>
          </w:p>
          <w:p w14:paraId="74738A31"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sub-national, pooled year values are calculated from abridged life tables, i.e. where life expectancy for age 75-79 to available. The maximum age band present in the table for deaths in 2012-14 is 85+.</w:t>
            </w:r>
          </w:p>
          <w:p w14:paraId="0F897B0E" w14:textId="77777777" w:rsidR="00161F03" w:rsidRPr="007F6CCC" w:rsidRDefault="00161F03" w:rsidP="00161F03">
            <w:pPr>
              <w:pStyle w:val="NormalWeb"/>
              <w:shd w:val="clear" w:color="auto" w:fill="FFFFFF"/>
              <w:rPr>
                <w:rFonts w:ascii="Arial" w:hAnsi="Arial" w:cs="Arial"/>
                <w:bCs/>
              </w:rPr>
            </w:pPr>
          </w:p>
          <w:p w14:paraId="2842884D"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Each life table is based on the population estimates and deaths by date of registration data for a period of 3 consecutive years. This helps to reduce the effect of annual fluctuations in the number of deaths caused by seasonal events such as winter ’flu. The national life tables are based on the mid-year population estimates and corresponding data on births, infant deaths and deaths by individual age from those years.</w:t>
            </w:r>
          </w:p>
          <w:p w14:paraId="1B73BF00" w14:textId="77777777" w:rsidR="00161F03" w:rsidRPr="007F6CCC" w:rsidRDefault="00161F03" w:rsidP="00161F03">
            <w:pPr>
              <w:shd w:val="clear" w:color="auto" w:fill="FFFFFF"/>
              <w:spacing w:before="100" w:beforeAutospacing="1" w:after="100" w:afterAutospacing="1"/>
              <w:outlineLvl w:val="3"/>
              <w:rPr>
                <w:bCs/>
                <w:sz w:val="24"/>
                <w:szCs w:val="24"/>
              </w:rPr>
            </w:pPr>
            <w:r w:rsidRPr="007F6CCC">
              <w:rPr>
                <w:bCs/>
                <w:sz w:val="24"/>
                <w:szCs w:val="24"/>
              </w:rPr>
              <w:lastRenderedPageBreak/>
              <w:t>Life tables</w:t>
            </w:r>
          </w:p>
          <w:p w14:paraId="42733259"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Life tables are usually constructed separately for males and females because of their very different mortality patterns. A life table describes the course of mortality throughout the life cycle. A life table contains:</w:t>
            </w:r>
          </w:p>
          <w:p w14:paraId="585F67E2"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 xml:space="preserve">mx </w:t>
            </w:r>
          </w:p>
          <w:p w14:paraId="5F2123FD"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central rate of mortality, defined as the average annual number of deaths at age x last birthday in the 3-year period to which the national life table relates, divided by the average population at that age over the same period.</w:t>
            </w:r>
          </w:p>
          <w:p w14:paraId="156E876A" w14:textId="77777777" w:rsidR="00161F03" w:rsidRPr="007F6CCC" w:rsidRDefault="00161F03" w:rsidP="00161F03">
            <w:pPr>
              <w:pStyle w:val="NormalWeb"/>
              <w:shd w:val="clear" w:color="auto" w:fill="FFFFFF"/>
              <w:rPr>
                <w:rFonts w:ascii="Arial" w:hAnsi="Arial" w:cs="Arial"/>
                <w:bCs/>
              </w:rPr>
            </w:pPr>
            <w:proofErr w:type="spellStart"/>
            <w:r w:rsidRPr="007F6CCC">
              <w:rPr>
                <w:rFonts w:ascii="Arial" w:hAnsi="Arial" w:cs="Arial"/>
                <w:bCs/>
              </w:rPr>
              <w:t>qx</w:t>
            </w:r>
            <w:proofErr w:type="spellEnd"/>
            <w:r w:rsidRPr="007F6CCC">
              <w:rPr>
                <w:rFonts w:ascii="Arial" w:hAnsi="Arial" w:cs="Arial"/>
                <w:bCs/>
              </w:rPr>
              <w:t xml:space="preserve"> </w:t>
            </w:r>
          </w:p>
          <w:p w14:paraId="4C4DB391"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mortality rate between age x and (x +1); that is, the probability that a person aged x exactly will die before reaching age (x +1).</w:t>
            </w:r>
          </w:p>
          <w:p w14:paraId="5BEE9525"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 xml:space="preserve">lx </w:t>
            </w:r>
          </w:p>
          <w:p w14:paraId="6ADC939E"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number of survivors to exact age x of 100,000 live births of the same sex who are assumed to be subject throughout their lives to the mortality rates experienced in the 3-year period to which the national life table relates.</w:t>
            </w:r>
          </w:p>
          <w:p w14:paraId="2B17F2CF"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 xml:space="preserve">dx </w:t>
            </w:r>
          </w:p>
          <w:p w14:paraId="50CAC3F1"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number dying between exact age x and (x +1) described similarly to lx, that is, dx=lx–lx+1.</w:t>
            </w:r>
          </w:p>
          <w:p w14:paraId="0DCBDF1A"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 xml:space="preserve">ex </w:t>
            </w:r>
          </w:p>
          <w:p w14:paraId="613AA729"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The average period expectation of life at exactly age x, that is, the average number of years that those aged x exactly will live thereafter based on the mortality rates experienced in the 3-year period to which the national life table relates.</w:t>
            </w:r>
          </w:p>
          <w:p w14:paraId="222BAB02" w14:textId="77777777" w:rsidR="00161F03" w:rsidRPr="007F6CCC" w:rsidRDefault="00161F03" w:rsidP="00161F03">
            <w:pPr>
              <w:shd w:val="clear" w:color="auto" w:fill="FFFFFF"/>
              <w:spacing w:before="100" w:beforeAutospacing="1" w:after="100" w:afterAutospacing="1"/>
              <w:outlineLvl w:val="3"/>
              <w:rPr>
                <w:bCs/>
                <w:sz w:val="24"/>
                <w:szCs w:val="24"/>
              </w:rPr>
            </w:pPr>
            <w:r w:rsidRPr="007F6CCC">
              <w:rPr>
                <w:bCs/>
                <w:sz w:val="24"/>
                <w:szCs w:val="24"/>
              </w:rPr>
              <w:t>Methodology</w:t>
            </w:r>
          </w:p>
          <w:p w14:paraId="004C40C6"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Starting with a radix of 100,000 simultaneous births (l0), the life table population is calculated by multiplying l0 by q0 to give d0, the number of deaths aged 0. The resulting d0 is then subtracted from the l0 to give l1. Similarly l2 is l1 less d1 (where d1 = l1 x q1) and so on.</w:t>
            </w:r>
          </w:p>
          <w:p w14:paraId="085DA5A1"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Generally:</w:t>
            </w:r>
          </w:p>
          <w:p w14:paraId="0BA7BFB9"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d</w:t>
            </w:r>
            <w:r w:rsidRPr="007F6CCC">
              <w:rPr>
                <w:rFonts w:ascii="Arial" w:hAnsi="Arial" w:cs="Arial"/>
                <w:bCs/>
                <w:vertAlign w:val="subscript"/>
              </w:rPr>
              <w:t>x</w:t>
            </w:r>
            <w:r w:rsidRPr="007F6CCC">
              <w:rPr>
                <w:rFonts w:ascii="Arial" w:hAnsi="Arial" w:cs="Arial"/>
                <w:bCs/>
              </w:rPr>
              <w:t xml:space="preserve">= </w:t>
            </w:r>
            <w:proofErr w:type="spellStart"/>
            <w:r w:rsidRPr="007F6CCC">
              <w:rPr>
                <w:rFonts w:ascii="Arial" w:hAnsi="Arial" w:cs="Arial"/>
                <w:bCs/>
              </w:rPr>
              <w:t>q</w:t>
            </w:r>
            <w:r w:rsidRPr="007F6CCC">
              <w:rPr>
                <w:rFonts w:ascii="Arial" w:hAnsi="Arial" w:cs="Arial"/>
                <w:bCs/>
                <w:vertAlign w:val="subscript"/>
              </w:rPr>
              <w:t>x</w:t>
            </w:r>
            <w:r w:rsidRPr="007F6CCC">
              <w:rPr>
                <w:rFonts w:ascii="Arial" w:hAnsi="Arial" w:cs="Arial"/>
                <w:bCs/>
              </w:rPr>
              <w:t>.l</w:t>
            </w:r>
            <w:r w:rsidRPr="007F6CCC">
              <w:rPr>
                <w:rFonts w:ascii="Arial" w:hAnsi="Arial" w:cs="Arial"/>
                <w:bCs/>
                <w:vertAlign w:val="subscript"/>
              </w:rPr>
              <w:t>x</w:t>
            </w:r>
            <w:proofErr w:type="spellEnd"/>
            <w:r w:rsidRPr="007F6CCC">
              <w:rPr>
                <w:rFonts w:ascii="Arial" w:hAnsi="Arial" w:cs="Arial"/>
                <w:bCs/>
              </w:rPr>
              <w:t xml:space="preserve"> </w:t>
            </w:r>
          </w:p>
          <w:p w14:paraId="3D72E0D5"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lastRenderedPageBreak/>
              <w:t>l</w:t>
            </w:r>
            <w:r w:rsidRPr="007F6CCC">
              <w:rPr>
                <w:rFonts w:ascii="Arial" w:hAnsi="Arial" w:cs="Arial"/>
                <w:bCs/>
                <w:vertAlign w:val="subscript"/>
              </w:rPr>
              <w:t>x+1</w:t>
            </w:r>
            <w:r w:rsidRPr="007F6CCC">
              <w:rPr>
                <w:rFonts w:ascii="Arial" w:hAnsi="Arial" w:cs="Arial"/>
                <w:bCs/>
              </w:rPr>
              <w:t>= l</w:t>
            </w:r>
            <w:r w:rsidRPr="007F6CCC">
              <w:rPr>
                <w:rFonts w:ascii="Arial" w:hAnsi="Arial" w:cs="Arial"/>
                <w:bCs/>
                <w:vertAlign w:val="subscript"/>
              </w:rPr>
              <w:t>x</w:t>
            </w:r>
            <w:r w:rsidRPr="007F6CCC">
              <w:rPr>
                <w:rFonts w:ascii="Arial" w:hAnsi="Arial" w:cs="Arial"/>
                <w:bCs/>
              </w:rPr>
              <w:t xml:space="preserve"> – d</w:t>
            </w:r>
            <w:r w:rsidRPr="007F6CCC">
              <w:rPr>
                <w:rFonts w:ascii="Arial" w:hAnsi="Arial" w:cs="Arial"/>
                <w:bCs/>
                <w:vertAlign w:val="subscript"/>
              </w:rPr>
              <w:t>x</w:t>
            </w:r>
          </w:p>
          <w:p w14:paraId="7B2824A5" w14:textId="77777777" w:rsidR="00161F03" w:rsidRPr="007F6CCC" w:rsidRDefault="00161F03" w:rsidP="00161F03">
            <w:pPr>
              <w:shd w:val="clear" w:color="auto" w:fill="FFFFFF"/>
              <w:spacing w:before="100" w:beforeAutospacing="1" w:after="100" w:afterAutospacing="1"/>
              <w:outlineLvl w:val="3"/>
              <w:rPr>
                <w:bCs/>
                <w:sz w:val="24"/>
                <w:szCs w:val="24"/>
              </w:rPr>
            </w:pPr>
            <w:r w:rsidRPr="007F6CCC">
              <w:rPr>
                <w:bCs/>
                <w:sz w:val="24"/>
                <w:szCs w:val="24"/>
              </w:rPr>
              <w:t>The calculation of expectation of life at each age</w:t>
            </w:r>
          </w:p>
          <w:p w14:paraId="4E12BC03"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In order to calculate the expectation of life at exact age x, the number of “years alive” at each individual age (L</w:t>
            </w:r>
            <w:r w:rsidRPr="007F6CCC">
              <w:rPr>
                <w:rFonts w:ascii="Arial" w:hAnsi="Arial" w:cs="Arial"/>
                <w:bCs/>
                <w:vertAlign w:val="subscript"/>
              </w:rPr>
              <w:t>x</w:t>
            </w:r>
            <w:r w:rsidRPr="007F6CCC">
              <w:rPr>
                <w:rFonts w:ascii="Arial" w:hAnsi="Arial" w:cs="Arial"/>
                <w:bCs/>
              </w:rPr>
              <w:t>) needs to be calculated.</w:t>
            </w:r>
          </w:p>
          <w:p w14:paraId="3FC3927C"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For ages above 1, where deaths can be assumed to occur linearly over a year of age, this can be taken as:</w:t>
            </w:r>
          </w:p>
          <w:p w14:paraId="4CD77F41" w14:textId="77777777" w:rsidR="00161F03" w:rsidRPr="007F6CCC" w:rsidRDefault="00161F03" w:rsidP="00161F03">
            <w:pPr>
              <w:shd w:val="clear" w:color="auto" w:fill="FFFFFF"/>
              <w:rPr>
                <w:bCs/>
                <w:sz w:val="24"/>
                <w:szCs w:val="24"/>
              </w:rPr>
            </w:pPr>
            <w:r w:rsidRPr="007F6CCC">
              <w:rPr>
                <w:bCs/>
                <w:noProof/>
                <w:sz w:val="24"/>
                <w:szCs w:val="24"/>
                <w:lang w:eastAsia="en-GB"/>
              </w:rPr>
              <w:drawing>
                <wp:inline distT="0" distB="0" distL="0" distR="0" wp14:anchorId="5323BDBD" wp14:editId="1D32E649">
                  <wp:extent cx="876300" cy="514350"/>
                  <wp:effectExtent l="0" t="0" r="0" b="0"/>
                  <wp:docPr id="10" name="Picture 10" descr="equation for calculation of life expec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quation for calculation of life expectan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514350"/>
                          </a:xfrm>
                          <a:prstGeom prst="rect">
                            <a:avLst/>
                          </a:prstGeom>
                          <a:noFill/>
                          <a:ln>
                            <a:noFill/>
                          </a:ln>
                        </pic:spPr>
                      </pic:pic>
                    </a:graphicData>
                  </a:graphic>
                </wp:inline>
              </w:drawing>
            </w:r>
          </w:p>
          <w:p w14:paraId="0239C326" w14:textId="77777777" w:rsidR="00161F03" w:rsidRPr="007F6CCC" w:rsidRDefault="00161F03" w:rsidP="00161F03">
            <w:pPr>
              <w:shd w:val="clear" w:color="auto" w:fill="FFFFFF"/>
              <w:rPr>
                <w:bCs/>
                <w:sz w:val="24"/>
                <w:szCs w:val="24"/>
              </w:rPr>
            </w:pPr>
            <w:r w:rsidRPr="007F6CCC">
              <w:rPr>
                <w:bCs/>
                <w:sz w:val="24"/>
                <w:szCs w:val="24"/>
              </w:rPr>
              <w:t>Below age 1, this assumption is unrealistic. L0 is calculated using the following formula:</w:t>
            </w:r>
          </w:p>
          <w:p w14:paraId="7D0036CF"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L</w:t>
            </w:r>
            <w:r w:rsidRPr="007F6CCC">
              <w:rPr>
                <w:rFonts w:ascii="Arial" w:hAnsi="Arial" w:cs="Arial"/>
                <w:bCs/>
                <w:vertAlign w:val="subscript"/>
              </w:rPr>
              <w:t>0</w:t>
            </w:r>
            <w:r w:rsidRPr="007F6CCC">
              <w:rPr>
                <w:rFonts w:ascii="Arial" w:hAnsi="Arial" w:cs="Arial"/>
                <w:bCs/>
              </w:rPr>
              <w:t xml:space="preserve"> = a</w:t>
            </w:r>
            <w:r w:rsidRPr="007F6CCC">
              <w:rPr>
                <w:rFonts w:ascii="Arial" w:hAnsi="Arial" w:cs="Arial"/>
                <w:bCs/>
                <w:vertAlign w:val="subscript"/>
              </w:rPr>
              <w:t>0</w:t>
            </w:r>
            <w:r w:rsidRPr="007F6CCC">
              <w:rPr>
                <w:rFonts w:ascii="Arial" w:hAnsi="Arial" w:cs="Arial"/>
                <w:bCs/>
              </w:rPr>
              <w:t>l</w:t>
            </w:r>
            <w:r w:rsidRPr="007F6CCC">
              <w:rPr>
                <w:rFonts w:ascii="Arial" w:hAnsi="Arial" w:cs="Arial"/>
                <w:bCs/>
                <w:vertAlign w:val="subscript"/>
              </w:rPr>
              <w:t>0</w:t>
            </w:r>
            <w:r w:rsidRPr="007F6CCC">
              <w:rPr>
                <w:rFonts w:ascii="Arial" w:hAnsi="Arial" w:cs="Arial"/>
                <w:bCs/>
              </w:rPr>
              <w:t>+(1–a</w:t>
            </w:r>
            <w:r w:rsidRPr="007F6CCC">
              <w:rPr>
                <w:rFonts w:ascii="Arial" w:hAnsi="Arial" w:cs="Arial"/>
                <w:bCs/>
                <w:vertAlign w:val="subscript"/>
              </w:rPr>
              <w:t>0</w:t>
            </w:r>
            <w:r w:rsidRPr="007F6CCC">
              <w:rPr>
                <w:rFonts w:ascii="Arial" w:hAnsi="Arial" w:cs="Arial"/>
                <w:bCs/>
              </w:rPr>
              <w:t xml:space="preserve">)l1 </w:t>
            </w:r>
          </w:p>
          <w:p w14:paraId="0C439146"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where a</w:t>
            </w:r>
            <w:r w:rsidRPr="007F6CCC">
              <w:rPr>
                <w:rFonts w:ascii="Arial" w:hAnsi="Arial" w:cs="Arial"/>
                <w:bCs/>
                <w:vertAlign w:val="subscript"/>
              </w:rPr>
              <w:t>0</w:t>
            </w:r>
            <w:r w:rsidRPr="007F6CCC">
              <w:rPr>
                <w:rFonts w:ascii="Arial" w:hAnsi="Arial" w:cs="Arial"/>
                <w:bCs/>
              </w:rPr>
              <w:t xml:space="preserve"> is the average age of death of those dying within the first year of life (see </w:t>
            </w:r>
            <w:hyperlink r:id="rId16" w:tooltip="Appendix A" w:history="1">
              <w:r w:rsidRPr="007F6CCC">
                <w:rPr>
                  <w:rFonts w:ascii="Arial" w:hAnsi="Arial" w:cs="Arial"/>
                  <w:bCs/>
                </w:rPr>
                <w:t>Appendix A</w:t>
              </w:r>
            </w:hyperlink>
            <w:r w:rsidRPr="007F6CCC">
              <w:rPr>
                <w:rFonts w:ascii="Arial" w:hAnsi="Arial" w:cs="Arial"/>
                <w:bCs/>
              </w:rPr>
              <w:t xml:space="preserve">). </w:t>
            </w:r>
          </w:p>
          <w:p w14:paraId="1728EE64" w14:textId="77777777" w:rsidR="00161F03" w:rsidRPr="007F6CCC" w:rsidRDefault="00161F03" w:rsidP="00161F03">
            <w:pPr>
              <w:pStyle w:val="NormalWeb"/>
              <w:shd w:val="clear" w:color="auto" w:fill="FFFFFF"/>
              <w:rPr>
                <w:rFonts w:ascii="Arial" w:hAnsi="Arial" w:cs="Arial"/>
                <w:bCs/>
              </w:rPr>
            </w:pPr>
            <w:r w:rsidRPr="007F6CCC">
              <w:rPr>
                <w:rFonts w:ascii="Arial" w:hAnsi="Arial" w:cs="Arial"/>
                <w:bCs/>
              </w:rPr>
              <w:t>Summing the L</w:t>
            </w:r>
            <w:r w:rsidRPr="007F6CCC">
              <w:rPr>
                <w:rFonts w:ascii="Arial" w:hAnsi="Arial" w:cs="Arial"/>
                <w:bCs/>
                <w:vertAlign w:val="subscript"/>
              </w:rPr>
              <w:t>x</w:t>
            </w:r>
            <w:r w:rsidRPr="007F6CCC">
              <w:rPr>
                <w:rFonts w:ascii="Arial" w:hAnsi="Arial" w:cs="Arial"/>
                <w:bCs/>
              </w:rPr>
              <w:t xml:space="preserve"> column from age x to the oldest age gives the total number of years lived (T</w:t>
            </w:r>
            <w:r w:rsidRPr="007F6CCC">
              <w:rPr>
                <w:rFonts w:ascii="Arial" w:hAnsi="Arial" w:cs="Arial"/>
                <w:bCs/>
                <w:vertAlign w:val="subscript"/>
              </w:rPr>
              <w:t>x</w:t>
            </w:r>
            <w:r w:rsidRPr="007F6CCC">
              <w:rPr>
                <w:rFonts w:ascii="Arial" w:hAnsi="Arial" w:cs="Arial"/>
                <w:bCs/>
              </w:rPr>
              <w:t>) from age x. The period expectation of life at exact age x is given by dividing the number of years lived by the number at that age, that is:</w:t>
            </w:r>
          </w:p>
          <w:p w14:paraId="184E4281" w14:textId="77777777" w:rsidR="00161F03" w:rsidRPr="007F6CCC" w:rsidRDefault="00161F03" w:rsidP="00161F03">
            <w:pPr>
              <w:shd w:val="clear" w:color="auto" w:fill="FFFFFF"/>
              <w:rPr>
                <w:bCs/>
                <w:sz w:val="24"/>
                <w:szCs w:val="24"/>
              </w:rPr>
            </w:pPr>
            <w:r w:rsidRPr="007F6CCC">
              <w:rPr>
                <w:bCs/>
                <w:noProof/>
                <w:sz w:val="24"/>
                <w:szCs w:val="24"/>
                <w:lang w:eastAsia="en-GB"/>
              </w:rPr>
              <w:drawing>
                <wp:inline distT="0" distB="0" distL="0" distR="0" wp14:anchorId="44B94434" wp14:editId="127A55E3">
                  <wp:extent cx="352425" cy="504825"/>
                  <wp:effectExtent l="0" t="0" r="9525" b="9525"/>
                  <wp:docPr id="9" name="Picture 9" descr="Equation to show life expectancy at a given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quation to show life expectancy at a given 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504825"/>
                          </a:xfrm>
                          <a:prstGeom prst="rect">
                            <a:avLst/>
                          </a:prstGeom>
                          <a:noFill/>
                          <a:ln>
                            <a:noFill/>
                          </a:ln>
                        </pic:spPr>
                      </pic:pic>
                    </a:graphicData>
                  </a:graphic>
                </wp:inline>
              </w:drawing>
            </w:r>
          </w:p>
          <w:p w14:paraId="16C65203" w14:textId="0D5A0FFB" w:rsidR="003F080A" w:rsidRPr="007F6CCC" w:rsidRDefault="00161F03" w:rsidP="00161F03">
            <w:pPr>
              <w:rPr>
                <w:bCs/>
                <w:sz w:val="24"/>
                <w:szCs w:val="24"/>
              </w:rPr>
            </w:pPr>
            <w:r w:rsidRPr="007F6CCC">
              <w:rPr>
                <w:bCs/>
                <w:sz w:val="24"/>
                <w:szCs w:val="24"/>
              </w:rPr>
              <w:t xml:space="preserve">A life table template which illustrates the method used to calculate life expectancy (and 95% confidence intervals) can be found on the ONS website: </w:t>
            </w:r>
            <w:hyperlink r:id="rId18" w:history="1">
              <w:r w:rsidRPr="007F6CCC">
                <w:rPr>
                  <w:rStyle w:val="Hyperlink"/>
                  <w:bCs/>
                  <w:color w:val="auto"/>
                  <w:sz w:val="24"/>
                  <w:szCs w:val="24"/>
                </w:rPr>
                <w:t>http://www.ons.gov.uk/ons/rel/subnational-health4/life-expec-at-birth-age-65/2004-06-to-2008-10/ref-life-table-template.xls</w:t>
              </w:r>
            </w:hyperlink>
          </w:p>
        </w:tc>
      </w:tr>
      <w:tr w:rsidR="003F080A" w14:paraId="4F692D87" w14:textId="77777777" w:rsidTr="000F013F">
        <w:tc>
          <w:tcPr>
            <w:tcW w:w="2403" w:type="dxa"/>
          </w:tcPr>
          <w:p w14:paraId="5D3257D2" w14:textId="4AFBE992" w:rsidR="003F080A" w:rsidRPr="007F6CCC" w:rsidRDefault="00161F03" w:rsidP="000B321E">
            <w:pPr>
              <w:rPr>
                <w:bCs/>
                <w:sz w:val="24"/>
                <w:szCs w:val="24"/>
              </w:rPr>
            </w:pPr>
            <w:r w:rsidRPr="007F6CCC">
              <w:rPr>
                <w:bCs/>
                <w:sz w:val="24"/>
                <w:szCs w:val="24"/>
              </w:rPr>
              <w:lastRenderedPageBreak/>
              <w:t>Risk adjustment or standardisation type and methodology</w:t>
            </w:r>
          </w:p>
        </w:tc>
        <w:tc>
          <w:tcPr>
            <w:tcW w:w="7791" w:type="dxa"/>
          </w:tcPr>
          <w:p w14:paraId="6F5FF5E4" w14:textId="66196E06" w:rsidR="003F080A" w:rsidRPr="007F6CCC" w:rsidRDefault="00161F03" w:rsidP="000B321E">
            <w:pPr>
              <w:rPr>
                <w:bCs/>
                <w:sz w:val="24"/>
                <w:szCs w:val="24"/>
              </w:rPr>
            </w:pPr>
            <w:r w:rsidRPr="007F6CCC">
              <w:rPr>
                <w:bCs/>
                <w:sz w:val="24"/>
                <w:szCs w:val="24"/>
              </w:rPr>
              <w:t>None</w:t>
            </w:r>
          </w:p>
        </w:tc>
      </w:tr>
      <w:tr w:rsidR="003F080A" w14:paraId="687605B3" w14:textId="77777777" w:rsidTr="000F013F">
        <w:tc>
          <w:tcPr>
            <w:tcW w:w="2403" w:type="dxa"/>
          </w:tcPr>
          <w:p w14:paraId="054619E7" w14:textId="77777777" w:rsidR="00161F03" w:rsidRPr="007F6CCC" w:rsidRDefault="00161F03" w:rsidP="00161F03">
            <w:pPr>
              <w:spacing w:before="240"/>
              <w:ind w:left="34"/>
              <w:rPr>
                <w:bCs/>
                <w:sz w:val="24"/>
                <w:szCs w:val="24"/>
              </w:rPr>
            </w:pPr>
            <w:r w:rsidRPr="007F6CCC">
              <w:rPr>
                <w:bCs/>
                <w:sz w:val="24"/>
                <w:szCs w:val="24"/>
              </w:rPr>
              <w:t>Justification of risk adjustment type and variables</w:t>
            </w:r>
          </w:p>
          <w:p w14:paraId="11047E12" w14:textId="77777777" w:rsidR="003F080A" w:rsidRPr="007F6CCC" w:rsidRDefault="003F080A" w:rsidP="000B321E">
            <w:pPr>
              <w:rPr>
                <w:bCs/>
                <w:sz w:val="24"/>
                <w:szCs w:val="24"/>
              </w:rPr>
            </w:pPr>
          </w:p>
        </w:tc>
        <w:tc>
          <w:tcPr>
            <w:tcW w:w="7791" w:type="dxa"/>
          </w:tcPr>
          <w:p w14:paraId="74652CD6" w14:textId="5498D32B" w:rsidR="003F080A" w:rsidRPr="007F6CCC" w:rsidRDefault="00161F03" w:rsidP="000B321E">
            <w:pPr>
              <w:rPr>
                <w:bCs/>
                <w:sz w:val="24"/>
                <w:szCs w:val="24"/>
              </w:rPr>
            </w:pPr>
            <w:r w:rsidRPr="007F6CCC">
              <w:rPr>
                <w:bCs/>
                <w:sz w:val="24"/>
                <w:szCs w:val="24"/>
              </w:rPr>
              <w:t>Life tables are constructed separately for men and for women because of their very different mortality patterns.</w:t>
            </w:r>
          </w:p>
        </w:tc>
      </w:tr>
      <w:tr w:rsidR="003F080A" w14:paraId="755284E9" w14:textId="77777777" w:rsidTr="000F013F">
        <w:tc>
          <w:tcPr>
            <w:tcW w:w="2403" w:type="dxa"/>
          </w:tcPr>
          <w:p w14:paraId="12C59CE4" w14:textId="78BB4939" w:rsidR="003F080A" w:rsidRPr="007F6CCC" w:rsidRDefault="00161F03" w:rsidP="000B321E">
            <w:pPr>
              <w:rPr>
                <w:bCs/>
                <w:sz w:val="24"/>
                <w:szCs w:val="24"/>
              </w:rPr>
            </w:pPr>
            <w:r w:rsidRPr="007F6CCC">
              <w:rPr>
                <w:bCs/>
                <w:sz w:val="24"/>
                <w:szCs w:val="24"/>
              </w:rPr>
              <w:t>Confidence interval / control limit use and methodology</w:t>
            </w:r>
          </w:p>
        </w:tc>
        <w:tc>
          <w:tcPr>
            <w:tcW w:w="7791" w:type="dxa"/>
          </w:tcPr>
          <w:p w14:paraId="06A33B6B" w14:textId="77777777" w:rsidR="003F080A" w:rsidRPr="007F6CCC" w:rsidRDefault="00161F03" w:rsidP="00161F03">
            <w:pPr>
              <w:rPr>
                <w:bCs/>
                <w:sz w:val="24"/>
                <w:szCs w:val="24"/>
              </w:rPr>
            </w:pPr>
            <w:r w:rsidRPr="007F6CCC">
              <w:rPr>
                <w:bCs/>
                <w:sz w:val="24"/>
                <w:szCs w:val="24"/>
              </w:rPr>
              <w:t>Confidence intervals</w:t>
            </w:r>
          </w:p>
          <w:p w14:paraId="0CC8B1E5" w14:textId="77777777" w:rsidR="00161F03" w:rsidRPr="007F6CCC" w:rsidRDefault="00161F03" w:rsidP="00161F03">
            <w:pPr>
              <w:spacing w:before="240"/>
              <w:rPr>
                <w:bCs/>
                <w:sz w:val="24"/>
                <w:szCs w:val="24"/>
              </w:rPr>
            </w:pPr>
            <w:r w:rsidRPr="007F6CCC">
              <w:rPr>
                <w:bCs/>
                <w:sz w:val="24"/>
                <w:szCs w:val="24"/>
              </w:rPr>
              <w:t xml:space="preserve">The 95 per cent confidence interval for each area is calculated using the revised Chiang method (Chiang II - </w:t>
            </w:r>
            <w:hyperlink r:id="rId19" w:history="1">
              <w:r w:rsidRPr="007F6CCC">
                <w:rPr>
                  <w:rStyle w:val="Hyperlink"/>
                  <w:bCs/>
                  <w:color w:val="auto"/>
                  <w:sz w:val="24"/>
                  <w:szCs w:val="24"/>
                </w:rPr>
                <w:t>http://www.ons.gov.uk/ons/rel/subnational-health4/life-expec-at-birth-age-65/2004-06-to-2008-10/ref-life-table-template.xls</w:t>
              </w:r>
            </w:hyperlink>
            <w:r w:rsidRPr="007F6CCC">
              <w:rPr>
                <w:bCs/>
                <w:sz w:val="24"/>
                <w:szCs w:val="24"/>
              </w:rPr>
              <w:t>), allowing the calculation of the variance of the mortality rates for those age groups with no deaths registered in the analysis period.</w:t>
            </w:r>
          </w:p>
          <w:p w14:paraId="422089C8" w14:textId="0A5D53EB" w:rsidR="00161F03" w:rsidRPr="007F6CCC" w:rsidRDefault="00161F03" w:rsidP="00161F03">
            <w:pPr>
              <w:rPr>
                <w:bCs/>
                <w:sz w:val="24"/>
                <w:szCs w:val="24"/>
              </w:rPr>
            </w:pPr>
            <w:r w:rsidRPr="007F6CCC">
              <w:rPr>
                <w:bCs/>
                <w:sz w:val="24"/>
                <w:szCs w:val="24"/>
              </w:rPr>
              <w:lastRenderedPageBreak/>
              <w:t>At present confidence intervals are only available for the bespoke data supplied by the ONS; the single year, published England level figures do not present confidence intervals. NHS Digital has requested that these be made available and will include them if possible.</w:t>
            </w:r>
          </w:p>
        </w:tc>
      </w:tr>
      <w:tr w:rsidR="003F080A" w14:paraId="46EA769C" w14:textId="77777777" w:rsidTr="000F013F">
        <w:tc>
          <w:tcPr>
            <w:tcW w:w="2403" w:type="dxa"/>
          </w:tcPr>
          <w:p w14:paraId="79C1D4E1" w14:textId="66EFFB81" w:rsidR="003F080A" w:rsidRPr="007F6CCC" w:rsidRDefault="00161F03" w:rsidP="000B321E">
            <w:pPr>
              <w:rPr>
                <w:bCs/>
                <w:sz w:val="24"/>
                <w:szCs w:val="24"/>
              </w:rPr>
            </w:pPr>
            <w:r w:rsidRPr="007F6CCC">
              <w:rPr>
                <w:bCs/>
                <w:sz w:val="24"/>
                <w:szCs w:val="24"/>
              </w:rPr>
              <w:lastRenderedPageBreak/>
              <w:t>Justification of confidence intervals / control limits used</w:t>
            </w:r>
          </w:p>
        </w:tc>
        <w:tc>
          <w:tcPr>
            <w:tcW w:w="7791" w:type="dxa"/>
          </w:tcPr>
          <w:p w14:paraId="1C10ADDB" w14:textId="03FB8929" w:rsidR="003F080A" w:rsidRPr="007F6CCC" w:rsidRDefault="00161F03" w:rsidP="000B321E">
            <w:pPr>
              <w:rPr>
                <w:bCs/>
                <w:sz w:val="24"/>
                <w:szCs w:val="24"/>
              </w:rPr>
            </w:pPr>
            <w:r w:rsidRPr="007F6CCC">
              <w:rPr>
                <w:bCs/>
                <w:sz w:val="24"/>
                <w:szCs w:val="24"/>
              </w:rPr>
              <w:t>Chiang II is the approved standard for ONS outputs of life expectancy at sub-national level.</w:t>
            </w:r>
          </w:p>
        </w:tc>
      </w:tr>
    </w:tbl>
    <w:p w14:paraId="0DAA0457" w14:textId="7FFEFAB9" w:rsidR="000F013F" w:rsidRDefault="000F013F">
      <w:pPr>
        <w:rPr>
          <w:bCs/>
          <w:sz w:val="24"/>
          <w:szCs w:val="24"/>
        </w:rPr>
      </w:pPr>
      <w:r w:rsidRPr="007F6CCC">
        <w:rPr>
          <w:bCs/>
          <w:sz w:val="24"/>
          <w:szCs w:val="24"/>
        </w:rPr>
        <w:t>Presentation and Interpretation</w:t>
      </w:r>
    </w:p>
    <w:p w14:paraId="73E58437" w14:textId="470E194E" w:rsidR="000F013F" w:rsidRDefault="000F013F">
      <w:pPr>
        <w:rPr>
          <w:bCs/>
          <w:sz w:val="24"/>
          <w:szCs w:val="24"/>
        </w:rPr>
      </w:pPr>
    </w:p>
    <w:p w14:paraId="02EDB1C3" w14:textId="40818CE2" w:rsidR="000F013F" w:rsidRDefault="000F013F">
      <w:pPr>
        <w:rPr>
          <w:bCs/>
          <w:sz w:val="24"/>
          <w:szCs w:val="24"/>
        </w:rPr>
      </w:pPr>
      <w:r w:rsidRPr="007F6CCC">
        <w:rPr>
          <w:bCs/>
          <w:sz w:val="24"/>
          <w:szCs w:val="24"/>
        </w:rPr>
        <w:t>Presentation of indicator</w:t>
      </w:r>
    </w:p>
    <w:p w14:paraId="45068D92" w14:textId="27720138" w:rsidR="000F013F" w:rsidRDefault="000F013F">
      <w:pPr>
        <w:rPr>
          <w:bCs/>
          <w:sz w:val="24"/>
          <w:szCs w:val="24"/>
        </w:rPr>
      </w:pPr>
    </w:p>
    <w:p w14:paraId="5BA57964" w14:textId="1238D86B" w:rsidR="000F013F" w:rsidRDefault="000F013F">
      <w:pPr>
        <w:rPr>
          <w:bCs/>
          <w:sz w:val="24"/>
          <w:szCs w:val="24"/>
        </w:rPr>
      </w:pPr>
      <w:r w:rsidRPr="007F6CCC">
        <w:rPr>
          <w:bCs/>
          <w:sz w:val="24"/>
          <w:szCs w:val="24"/>
        </w:rPr>
        <w:t>The indicator is published on the NHS Digital Indicator Portal (</w:t>
      </w:r>
      <w:hyperlink r:id="rId20" w:history="1">
        <w:r w:rsidRPr="007F6CCC">
          <w:rPr>
            <w:rStyle w:val="Hyperlink"/>
            <w:bCs/>
            <w:color w:val="auto"/>
            <w:sz w:val="24"/>
            <w:szCs w:val="24"/>
          </w:rPr>
          <w:t>https://indicators.hscic.gov.uk/webview/</w:t>
        </w:r>
      </w:hyperlink>
      <w:r w:rsidRPr="007F6CCC">
        <w:rPr>
          <w:bCs/>
          <w:sz w:val="24"/>
          <w:szCs w:val="24"/>
        </w:rPr>
        <w:t>) and includes an Excel and CSV file, a domain specification document including information on this indicator and an indicator quality statement. Data output fields include</w:t>
      </w:r>
      <w:r>
        <w:rPr>
          <w:bCs/>
          <w:sz w:val="24"/>
          <w:szCs w:val="24"/>
        </w:rPr>
        <w:t>:</w:t>
      </w:r>
    </w:p>
    <w:p w14:paraId="29D32B95" w14:textId="77777777" w:rsidR="000F013F" w:rsidRDefault="000F013F">
      <w:pPr>
        <w:rPr>
          <w:bCs/>
          <w:sz w:val="24"/>
          <w:szCs w:val="24"/>
        </w:rPr>
      </w:pPr>
    </w:p>
    <w:tbl>
      <w:tblPr>
        <w:tblStyle w:val="TableGrid1"/>
        <w:tblW w:w="0" w:type="auto"/>
        <w:tblLook w:val="0020" w:firstRow="1" w:lastRow="0" w:firstColumn="0" w:lastColumn="0" w:noHBand="0" w:noVBand="0"/>
      </w:tblPr>
      <w:tblGrid>
        <w:gridCol w:w="1971"/>
        <w:gridCol w:w="8223"/>
      </w:tblGrid>
      <w:tr w:rsidR="000F013F" w:rsidRPr="007F6CCC" w14:paraId="3125FE43" w14:textId="77777777" w:rsidTr="000F013F">
        <w:trPr>
          <w:trHeight w:val="112"/>
        </w:trPr>
        <w:tc>
          <w:tcPr>
            <w:tcW w:w="0" w:type="auto"/>
          </w:tcPr>
          <w:p w14:paraId="17A27173" w14:textId="77777777" w:rsidR="000F013F" w:rsidRPr="007F6CCC" w:rsidRDefault="000F013F" w:rsidP="00A924C7">
            <w:pPr>
              <w:pStyle w:val="Default"/>
              <w:rPr>
                <w:bCs/>
                <w:color w:val="auto"/>
              </w:rPr>
            </w:pPr>
            <w:r w:rsidRPr="007F6CCC">
              <w:rPr>
                <w:bCs/>
                <w:color w:val="auto"/>
              </w:rPr>
              <w:t xml:space="preserve">Column name </w:t>
            </w:r>
          </w:p>
        </w:tc>
        <w:tc>
          <w:tcPr>
            <w:tcW w:w="0" w:type="auto"/>
          </w:tcPr>
          <w:p w14:paraId="4DE6FA87" w14:textId="77777777" w:rsidR="000F013F" w:rsidRPr="007F6CCC" w:rsidRDefault="000F013F" w:rsidP="00A924C7">
            <w:pPr>
              <w:pStyle w:val="Default"/>
              <w:rPr>
                <w:bCs/>
                <w:color w:val="auto"/>
              </w:rPr>
            </w:pPr>
            <w:r w:rsidRPr="007F6CCC">
              <w:rPr>
                <w:bCs/>
                <w:color w:val="auto"/>
              </w:rPr>
              <w:t xml:space="preserve">Output </w:t>
            </w:r>
          </w:p>
        </w:tc>
      </w:tr>
      <w:tr w:rsidR="000F013F" w:rsidRPr="007F6CCC" w14:paraId="51930D47" w14:textId="77777777" w:rsidTr="000F013F">
        <w:trPr>
          <w:trHeight w:val="112"/>
        </w:trPr>
        <w:tc>
          <w:tcPr>
            <w:tcW w:w="0" w:type="auto"/>
          </w:tcPr>
          <w:p w14:paraId="1998156D" w14:textId="77777777" w:rsidR="000F013F" w:rsidRPr="007F6CCC" w:rsidRDefault="000F013F" w:rsidP="00A924C7">
            <w:pPr>
              <w:pStyle w:val="Default"/>
              <w:rPr>
                <w:bCs/>
                <w:color w:val="auto"/>
              </w:rPr>
            </w:pPr>
            <w:r w:rsidRPr="007F6CCC">
              <w:rPr>
                <w:bCs/>
                <w:color w:val="auto"/>
              </w:rPr>
              <w:t xml:space="preserve">Year </w:t>
            </w:r>
          </w:p>
        </w:tc>
        <w:tc>
          <w:tcPr>
            <w:tcW w:w="0" w:type="auto"/>
          </w:tcPr>
          <w:p w14:paraId="7A7ABC34" w14:textId="77777777" w:rsidR="000F013F" w:rsidRPr="007F6CCC" w:rsidRDefault="000F013F" w:rsidP="00A924C7">
            <w:pPr>
              <w:pStyle w:val="Default"/>
              <w:rPr>
                <w:bCs/>
                <w:color w:val="auto"/>
              </w:rPr>
            </w:pPr>
            <w:r w:rsidRPr="007F6CCC">
              <w:rPr>
                <w:bCs/>
                <w:color w:val="auto"/>
              </w:rPr>
              <w:t xml:space="preserve">Calendar year and 3-year period </w:t>
            </w:r>
          </w:p>
        </w:tc>
      </w:tr>
      <w:tr w:rsidR="000F013F" w:rsidRPr="007F6CCC" w14:paraId="50D26481" w14:textId="77777777" w:rsidTr="000F013F">
        <w:trPr>
          <w:trHeight w:val="112"/>
        </w:trPr>
        <w:tc>
          <w:tcPr>
            <w:tcW w:w="0" w:type="auto"/>
          </w:tcPr>
          <w:p w14:paraId="11713656" w14:textId="77777777" w:rsidR="000F013F" w:rsidRPr="007F6CCC" w:rsidRDefault="000F013F" w:rsidP="00A924C7">
            <w:pPr>
              <w:pStyle w:val="Default"/>
              <w:rPr>
                <w:bCs/>
                <w:color w:val="auto"/>
              </w:rPr>
            </w:pPr>
            <w:r w:rsidRPr="007F6CCC">
              <w:rPr>
                <w:bCs/>
                <w:color w:val="auto"/>
              </w:rPr>
              <w:t xml:space="preserve">Period of coverage </w:t>
            </w:r>
          </w:p>
        </w:tc>
        <w:tc>
          <w:tcPr>
            <w:tcW w:w="0" w:type="auto"/>
          </w:tcPr>
          <w:p w14:paraId="3F3E370B" w14:textId="77777777" w:rsidR="000F013F" w:rsidRPr="007F6CCC" w:rsidRDefault="000F013F" w:rsidP="00A924C7">
            <w:pPr>
              <w:pStyle w:val="Default"/>
              <w:rPr>
                <w:bCs/>
                <w:color w:val="auto"/>
              </w:rPr>
            </w:pPr>
            <w:r w:rsidRPr="007F6CCC">
              <w:rPr>
                <w:bCs/>
                <w:color w:val="auto"/>
              </w:rPr>
              <w:t xml:space="preserve">1/1 to 31/12 of respective period </w:t>
            </w:r>
          </w:p>
        </w:tc>
      </w:tr>
      <w:tr w:rsidR="000F013F" w:rsidRPr="007F6CCC" w14:paraId="49CD755B" w14:textId="77777777" w:rsidTr="000F013F">
        <w:trPr>
          <w:trHeight w:val="112"/>
        </w:trPr>
        <w:tc>
          <w:tcPr>
            <w:tcW w:w="0" w:type="auto"/>
          </w:tcPr>
          <w:p w14:paraId="32669BF4" w14:textId="77777777" w:rsidR="000F013F" w:rsidRPr="007F6CCC" w:rsidRDefault="000F013F" w:rsidP="00A924C7">
            <w:pPr>
              <w:pStyle w:val="Default"/>
              <w:rPr>
                <w:bCs/>
                <w:color w:val="auto"/>
              </w:rPr>
            </w:pPr>
            <w:r w:rsidRPr="007F6CCC">
              <w:rPr>
                <w:bCs/>
                <w:color w:val="auto"/>
              </w:rPr>
              <w:t xml:space="preserve">Breakdown </w:t>
            </w:r>
          </w:p>
        </w:tc>
        <w:tc>
          <w:tcPr>
            <w:tcW w:w="0" w:type="auto"/>
          </w:tcPr>
          <w:p w14:paraId="2579B97B" w14:textId="77777777" w:rsidR="000F013F" w:rsidRPr="007F6CCC" w:rsidRDefault="000F013F" w:rsidP="00A924C7">
            <w:pPr>
              <w:pStyle w:val="Default"/>
              <w:rPr>
                <w:bCs/>
                <w:color w:val="auto"/>
              </w:rPr>
            </w:pPr>
            <w:r w:rsidRPr="007F6CCC">
              <w:rPr>
                <w:bCs/>
                <w:color w:val="auto"/>
              </w:rPr>
              <w:t xml:space="preserve">England, local authority, region, deprivation decile </w:t>
            </w:r>
          </w:p>
        </w:tc>
      </w:tr>
      <w:tr w:rsidR="000F013F" w:rsidRPr="007F6CCC" w14:paraId="2735391E" w14:textId="77777777" w:rsidTr="000F013F">
        <w:trPr>
          <w:trHeight w:val="112"/>
        </w:trPr>
        <w:tc>
          <w:tcPr>
            <w:tcW w:w="0" w:type="auto"/>
          </w:tcPr>
          <w:p w14:paraId="6A1BFD72" w14:textId="77777777" w:rsidR="000F013F" w:rsidRPr="007F6CCC" w:rsidRDefault="000F013F" w:rsidP="00A924C7">
            <w:pPr>
              <w:pStyle w:val="Default"/>
              <w:rPr>
                <w:bCs/>
                <w:color w:val="auto"/>
              </w:rPr>
            </w:pPr>
            <w:r w:rsidRPr="007F6CCC">
              <w:rPr>
                <w:bCs/>
                <w:color w:val="auto"/>
              </w:rPr>
              <w:t xml:space="preserve">Level </w:t>
            </w:r>
          </w:p>
        </w:tc>
        <w:tc>
          <w:tcPr>
            <w:tcW w:w="0" w:type="auto"/>
          </w:tcPr>
          <w:p w14:paraId="4ED6F300" w14:textId="77777777" w:rsidR="000F013F" w:rsidRPr="007F6CCC" w:rsidRDefault="000F013F" w:rsidP="00A924C7">
            <w:pPr>
              <w:pStyle w:val="Default"/>
              <w:rPr>
                <w:bCs/>
                <w:color w:val="auto"/>
              </w:rPr>
            </w:pPr>
            <w:r w:rsidRPr="007F6CCC">
              <w:rPr>
                <w:bCs/>
                <w:color w:val="auto"/>
              </w:rPr>
              <w:t xml:space="preserve">Level of breakdown </w:t>
            </w:r>
          </w:p>
        </w:tc>
      </w:tr>
      <w:tr w:rsidR="000F013F" w:rsidRPr="007F6CCC" w14:paraId="6DA9597E" w14:textId="77777777" w:rsidTr="000F013F">
        <w:trPr>
          <w:trHeight w:val="112"/>
        </w:trPr>
        <w:tc>
          <w:tcPr>
            <w:tcW w:w="0" w:type="auto"/>
          </w:tcPr>
          <w:p w14:paraId="3FDCFFE0" w14:textId="77777777" w:rsidR="000F013F" w:rsidRPr="007F6CCC" w:rsidRDefault="000F013F" w:rsidP="00A924C7">
            <w:pPr>
              <w:pStyle w:val="Default"/>
              <w:rPr>
                <w:bCs/>
                <w:color w:val="auto"/>
              </w:rPr>
            </w:pPr>
            <w:r w:rsidRPr="007F6CCC">
              <w:rPr>
                <w:bCs/>
                <w:color w:val="auto"/>
              </w:rPr>
              <w:t xml:space="preserve">Level description </w:t>
            </w:r>
          </w:p>
        </w:tc>
        <w:tc>
          <w:tcPr>
            <w:tcW w:w="0" w:type="auto"/>
          </w:tcPr>
          <w:p w14:paraId="1C511543" w14:textId="77777777" w:rsidR="000F013F" w:rsidRPr="007F6CCC" w:rsidRDefault="000F013F" w:rsidP="00A924C7">
            <w:pPr>
              <w:pStyle w:val="Default"/>
              <w:rPr>
                <w:bCs/>
                <w:color w:val="auto"/>
              </w:rPr>
            </w:pPr>
            <w:r w:rsidRPr="007F6CCC">
              <w:rPr>
                <w:bCs/>
                <w:color w:val="auto"/>
              </w:rPr>
              <w:t xml:space="preserve">Description of breakdown category </w:t>
            </w:r>
          </w:p>
        </w:tc>
      </w:tr>
      <w:tr w:rsidR="000F013F" w:rsidRPr="007F6CCC" w14:paraId="54AAFF28" w14:textId="77777777" w:rsidTr="000F013F">
        <w:trPr>
          <w:trHeight w:val="112"/>
        </w:trPr>
        <w:tc>
          <w:tcPr>
            <w:tcW w:w="0" w:type="auto"/>
          </w:tcPr>
          <w:p w14:paraId="14DB32C8" w14:textId="77777777" w:rsidR="000F013F" w:rsidRPr="007F6CCC" w:rsidRDefault="000F013F" w:rsidP="00A924C7">
            <w:pPr>
              <w:pStyle w:val="Default"/>
              <w:rPr>
                <w:bCs/>
                <w:color w:val="auto"/>
              </w:rPr>
            </w:pPr>
            <w:r w:rsidRPr="007F6CCC">
              <w:rPr>
                <w:bCs/>
                <w:color w:val="auto"/>
              </w:rPr>
              <w:t xml:space="preserve">Gender </w:t>
            </w:r>
          </w:p>
        </w:tc>
        <w:tc>
          <w:tcPr>
            <w:tcW w:w="0" w:type="auto"/>
          </w:tcPr>
          <w:p w14:paraId="3837EDCF" w14:textId="77777777" w:rsidR="000F013F" w:rsidRPr="007F6CCC" w:rsidRDefault="000F013F" w:rsidP="00A924C7">
            <w:pPr>
              <w:pStyle w:val="Default"/>
              <w:rPr>
                <w:bCs/>
                <w:color w:val="auto"/>
              </w:rPr>
            </w:pPr>
            <w:r w:rsidRPr="007F6CCC">
              <w:rPr>
                <w:bCs/>
                <w:color w:val="auto"/>
              </w:rPr>
              <w:t xml:space="preserve">Male or female </w:t>
            </w:r>
          </w:p>
        </w:tc>
      </w:tr>
      <w:tr w:rsidR="000F013F" w:rsidRPr="007F6CCC" w14:paraId="30DBA70F" w14:textId="77777777" w:rsidTr="000F013F">
        <w:trPr>
          <w:trHeight w:val="112"/>
        </w:trPr>
        <w:tc>
          <w:tcPr>
            <w:tcW w:w="0" w:type="auto"/>
          </w:tcPr>
          <w:p w14:paraId="3F0B7D05" w14:textId="77777777" w:rsidR="000F013F" w:rsidRPr="007F6CCC" w:rsidRDefault="000F013F" w:rsidP="00A924C7">
            <w:pPr>
              <w:pStyle w:val="Default"/>
              <w:rPr>
                <w:bCs/>
                <w:color w:val="auto"/>
              </w:rPr>
            </w:pPr>
            <w:r w:rsidRPr="007F6CCC">
              <w:rPr>
                <w:bCs/>
                <w:color w:val="auto"/>
              </w:rPr>
              <w:t xml:space="preserve">Indicator value </w:t>
            </w:r>
          </w:p>
        </w:tc>
        <w:tc>
          <w:tcPr>
            <w:tcW w:w="0" w:type="auto"/>
          </w:tcPr>
          <w:p w14:paraId="36C7FA57" w14:textId="77777777" w:rsidR="000F013F" w:rsidRPr="007F6CCC" w:rsidRDefault="000F013F" w:rsidP="00A924C7">
            <w:pPr>
              <w:pStyle w:val="Default"/>
              <w:rPr>
                <w:bCs/>
                <w:color w:val="auto"/>
              </w:rPr>
            </w:pPr>
            <w:r w:rsidRPr="007F6CCC">
              <w:rPr>
                <w:bCs/>
                <w:color w:val="auto"/>
              </w:rPr>
              <w:t xml:space="preserve">Period expectations of life (years) </w:t>
            </w:r>
          </w:p>
        </w:tc>
      </w:tr>
      <w:tr w:rsidR="000F013F" w:rsidRPr="007F6CCC" w14:paraId="5BF2AFF8" w14:textId="77777777" w:rsidTr="000F013F">
        <w:trPr>
          <w:trHeight w:val="112"/>
        </w:trPr>
        <w:tc>
          <w:tcPr>
            <w:tcW w:w="0" w:type="auto"/>
          </w:tcPr>
          <w:p w14:paraId="75A4C0EA" w14:textId="77777777" w:rsidR="000F013F" w:rsidRPr="007F6CCC" w:rsidRDefault="000F013F" w:rsidP="00A924C7">
            <w:pPr>
              <w:pStyle w:val="Default"/>
              <w:rPr>
                <w:bCs/>
                <w:color w:val="auto"/>
              </w:rPr>
            </w:pPr>
            <w:r w:rsidRPr="007F6CCC">
              <w:rPr>
                <w:bCs/>
                <w:color w:val="auto"/>
              </w:rPr>
              <w:t xml:space="preserve">Lower CI </w:t>
            </w:r>
          </w:p>
        </w:tc>
        <w:tc>
          <w:tcPr>
            <w:tcW w:w="0" w:type="auto"/>
          </w:tcPr>
          <w:p w14:paraId="4C89C260" w14:textId="77777777" w:rsidR="000F013F" w:rsidRPr="007F6CCC" w:rsidRDefault="000F013F" w:rsidP="00A924C7">
            <w:pPr>
              <w:pStyle w:val="Default"/>
              <w:rPr>
                <w:bCs/>
                <w:color w:val="auto"/>
              </w:rPr>
            </w:pPr>
            <w:r w:rsidRPr="007F6CCC">
              <w:rPr>
                <w:bCs/>
                <w:color w:val="auto"/>
              </w:rPr>
              <w:t xml:space="preserve">Lower limit of 95% confidence interval where applicable </w:t>
            </w:r>
          </w:p>
        </w:tc>
      </w:tr>
      <w:tr w:rsidR="000F013F" w:rsidRPr="007F6CCC" w14:paraId="44AA92ED" w14:textId="77777777" w:rsidTr="000F013F">
        <w:trPr>
          <w:trHeight w:val="112"/>
        </w:trPr>
        <w:tc>
          <w:tcPr>
            <w:tcW w:w="0" w:type="auto"/>
          </w:tcPr>
          <w:p w14:paraId="0855A7CC" w14:textId="77777777" w:rsidR="000F013F" w:rsidRPr="007F6CCC" w:rsidRDefault="000F013F" w:rsidP="00A924C7">
            <w:pPr>
              <w:pStyle w:val="Default"/>
              <w:rPr>
                <w:bCs/>
                <w:color w:val="auto"/>
              </w:rPr>
            </w:pPr>
            <w:r w:rsidRPr="007F6CCC">
              <w:rPr>
                <w:bCs/>
                <w:color w:val="auto"/>
              </w:rPr>
              <w:t xml:space="preserve">Upper CI </w:t>
            </w:r>
          </w:p>
        </w:tc>
        <w:tc>
          <w:tcPr>
            <w:tcW w:w="0" w:type="auto"/>
          </w:tcPr>
          <w:p w14:paraId="5912E366" w14:textId="77777777" w:rsidR="000F013F" w:rsidRPr="007F6CCC" w:rsidRDefault="000F013F" w:rsidP="00A924C7">
            <w:pPr>
              <w:pStyle w:val="Default"/>
              <w:rPr>
                <w:bCs/>
                <w:color w:val="auto"/>
              </w:rPr>
            </w:pPr>
            <w:r w:rsidRPr="007F6CCC">
              <w:rPr>
                <w:bCs/>
                <w:color w:val="auto"/>
              </w:rPr>
              <w:t xml:space="preserve">Upper limit of 95% confidence interval where applicable </w:t>
            </w:r>
          </w:p>
        </w:tc>
      </w:tr>
      <w:tr w:rsidR="000F013F" w:rsidRPr="007F6CCC" w14:paraId="56C30237" w14:textId="77777777" w:rsidTr="000F013F">
        <w:trPr>
          <w:trHeight w:val="112"/>
        </w:trPr>
        <w:tc>
          <w:tcPr>
            <w:tcW w:w="0" w:type="auto"/>
          </w:tcPr>
          <w:p w14:paraId="5ED363E4" w14:textId="77777777" w:rsidR="000F013F" w:rsidRPr="007F6CCC" w:rsidRDefault="000F013F" w:rsidP="00A924C7">
            <w:pPr>
              <w:pStyle w:val="Default"/>
              <w:rPr>
                <w:bCs/>
                <w:color w:val="auto"/>
              </w:rPr>
            </w:pPr>
            <w:r w:rsidRPr="007F6CCC">
              <w:rPr>
                <w:bCs/>
                <w:color w:val="auto"/>
              </w:rPr>
              <w:t>Population</w:t>
            </w:r>
          </w:p>
        </w:tc>
        <w:tc>
          <w:tcPr>
            <w:tcW w:w="0" w:type="auto"/>
          </w:tcPr>
          <w:p w14:paraId="6EABFAD7" w14:textId="77777777" w:rsidR="000F013F" w:rsidRPr="007F6CCC" w:rsidRDefault="000F013F" w:rsidP="00A924C7">
            <w:pPr>
              <w:pStyle w:val="Default"/>
              <w:rPr>
                <w:bCs/>
                <w:color w:val="auto"/>
              </w:rPr>
            </w:pPr>
            <w:r w:rsidRPr="007F6CCC">
              <w:rPr>
                <w:bCs/>
                <w:color w:val="auto"/>
              </w:rPr>
              <w:t>The population of the deprivation deciles is presented to allow the calculation of slope index of inequality.</w:t>
            </w:r>
          </w:p>
        </w:tc>
      </w:tr>
    </w:tbl>
    <w:p w14:paraId="6486BA37" w14:textId="1FA2AE78" w:rsidR="000F013F" w:rsidRDefault="000F013F">
      <w:pPr>
        <w:rPr>
          <w:bCs/>
          <w:sz w:val="24"/>
          <w:szCs w:val="24"/>
        </w:rPr>
      </w:pPr>
    </w:p>
    <w:p w14:paraId="3F0BE6F1" w14:textId="77777777" w:rsidR="000F013F" w:rsidRDefault="000F013F"/>
    <w:tbl>
      <w:tblPr>
        <w:tblStyle w:val="TableGrid"/>
        <w:tblW w:w="0" w:type="auto"/>
        <w:tblLook w:val="04A0" w:firstRow="1" w:lastRow="0" w:firstColumn="1" w:lastColumn="0" w:noHBand="0" w:noVBand="1"/>
      </w:tblPr>
      <w:tblGrid>
        <w:gridCol w:w="2403"/>
        <w:gridCol w:w="7791"/>
      </w:tblGrid>
      <w:tr w:rsidR="003F080A" w14:paraId="0411BA95" w14:textId="77777777" w:rsidTr="000F013F">
        <w:tc>
          <w:tcPr>
            <w:tcW w:w="2403" w:type="dxa"/>
          </w:tcPr>
          <w:p w14:paraId="3751F1FF" w14:textId="77777777" w:rsidR="00161F03" w:rsidRPr="007F6CCC" w:rsidRDefault="00161F03" w:rsidP="00161F03">
            <w:pPr>
              <w:spacing w:before="240"/>
              <w:ind w:left="34"/>
              <w:rPr>
                <w:bCs/>
                <w:sz w:val="24"/>
                <w:szCs w:val="24"/>
              </w:rPr>
            </w:pPr>
            <w:r w:rsidRPr="007F6CCC">
              <w:rPr>
                <w:bCs/>
                <w:sz w:val="24"/>
                <w:szCs w:val="24"/>
              </w:rPr>
              <w:t>Contextual information provided alongside indicator</w:t>
            </w:r>
          </w:p>
          <w:p w14:paraId="0E0D83B0" w14:textId="77777777" w:rsidR="003F080A" w:rsidRPr="007F6CCC" w:rsidRDefault="003F080A" w:rsidP="000B321E">
            <w:pPr>
              <w:rPr>
                <w:bCs/>
                <w:sz w:val="24"/>
                <w:szCs w:val="24"/>
              </w:rPr>
            </w:pPr>
          </w:p>
        </w:tc>
        <w:tc>
          <w:tcPr>
            <w:tcW w:w="7791" w:type="dxa"/>
          </w:tcPr>
          <w:p w14:paraId="3781A7DE" w14:textId="6D7001BF" w:rsidR="003F080A" w:rsidRPr="007F6CCC" w:rsidRDefault="00161F03" w:rsidP="000B321E">
            <w:pPr>
              <w:rPr>
                <w:bCs/>
                <w:sz w:val="24"/>
                <w:szCs w:val="24"/>
              </w:rPr>
            </w:pPr>
            <w:r w:rsidRPr="007F6CCC">
              <w:rPr>
                <w:bCs/>
                <w:sz w:val="24"/>
                <w:szCs w:val="24"/>
              </w:rPr>
              <w:t>The population for deprivation deciles are shown in the data file.</w:t>
            </w:r>
          </w:p>
        </w:tc>
      </w:tr>
      <w:tr w:rsidR="003F080A" w14:paraId="2DA47AB1" w14:textId="77777777" w:rsidTr="000F013F">
        <w:tc>
          <w:tcPr>
            <w:tcW w:w="2403" w:type="dxa"/>
          </w:tcPr>
          <w:p w14:paraId="372F8BD2" w14:textId="1892412C" w:rsidR="003F080A" w:rsidRPr="007F6CCC" w:rsidRDefault="00161F03" w:rsidP="000B321E">
            <w:pPr>
              <w:rPr>
                <w:bCs/>
                <w:sz w:val="24"/>
                <w:szCs w:val="24"/>
              </w:rPr>
            </w:pPr>
            <w:r w:rsidRPr="007F6CCC">
              <w:rPr>
                <w:bCs/>
                <w:sz w:val="24"/>
                <w:szCs w:val="24"/>
              </w:rPr>
              <w:t>Calculation and data source of contextual information</w:t>
            </w:r>
          </w:p>
        </w:tc>
        <w:tc>
          <w:tcPr>
            <w:tcW w:w="7791" w:type="dxa"/>
          </w:tcPr>
          <w:p w14:paraId="3613B8C7" w14:textId="44FF1065" w:rsidR="003F080A" w:rsidRPr="007F6CCC" w:rsidRDefault="00161F03" w:rsidP="000B321E">
            <w:pPr>
              <w:rPr>
                <w:bCs/>
                <w:sz w:val="24"/>
                <w:szCs w:val="24"/>
              </w:rPr>
            </w:pPr>
            <w:r w:rsidRPr="007F6CCC">
              <w:rPr>
                <w:bCs/>
                <w:sz w:val="24"/>
                <w:szCs w:val="24"/>
              </w:rPr>
              <w:t>N/A</w:t>
            </w:r>
          </w:p>
        </w:tc>
      </w:tr>
      <w:tr w:rsidR="003F080A" w14:paraId="2214E6B8" w14:textId="77777777" w:rsidTr="000F013F">
        <w:tc>
          <w:tcPr>
            <w:tcW w:w="2403" w:type="dxa"/>
          </w:tcPr>
          <w:p w14:paraId="55423F9D" w14:textId="77777777" w:rsidR="00161F03" w:rsidRPr="007F6CCC" w:rsidRDefault="00161F03" w:rsidP="00161F03">
            <w:pPr>
              <w:spacing w:before="240"/>
              <w:ind w:left="34"/>
              <w:rPr>
                <w:bCs/>
                <w:sz w:val="24"/>
                <w:szCs w:val="24"/>
              </w:rPr>
            </w:pPr>
            <w:r w:rsidRPr="007F6CCC">
              <w:rPr>
                <w:bCs/>
                <w:sz w:val="24"/>
                <w:szCs w:val="24"/>
              </w:rPr>
              <w:t>Use of bandings, benchmarks or targets</w:t>
            </w:r>
          </w:p>
          <w:p w14:paraId="1A03AE52" w14:textId="77777777" w:rsidR="003F080A" w:rsidRPr="007F6CCC" w:rsidRDefault="003F080A" w:rsidP="000B321E">
            <w:pPr>
              <w:rPr>
                <w:bCs/>
                <w:sz w:val="24"/>
                <w:szCs w:val="24"/>
              </w:rPr>
            </w:pPr>
          </w:p>
        </w:tc>
        <w:tc>
          <w:tcPr>
            <w:tcW w:w="7791" w:type="dxa"/>
          </w:tcPr>
          <w:p w14:paraId="6ECD221A" w14:textId="457CBC2D" w:rsidR="00161F03" w:rsidRPr="007F6CCC" w:rsidRDefault="00161F03" w:rsidP="00161F03">
            <w:pPr>
              <w:spacing w:before="240"/>
              <w:rPr>
                <w:bCs/>
                <w:sz w:val="24"/>
                <w:szCs w:val="24"/>
              </w:rPr>
            </w:pPr>
            <w:r w:rsidRPr="007F6CCC">
              <w:rPr>
                <w:bCs/>
                <w:sz w:val="24"/>
                <w:szCs w:val="24"/>
              </w:rPr>
              <w:t>The NHS Outcomes Framework does not employ bandings or benchmarks as it is not part of the purpose of the framework.</w:t>
            </w:r>
          </w:p>
          <w:p w14:paraId="5D4BDC51" w14:textId="77777777" w:rsidR="00161F03" w:rsidRPr="007F6CCC" w:rsidRDefault="00161F03" w:rsidP="00161F03">
            <w:pPr>
              <w:spacing w:before="240"/>
              <w:rPr>
                <w:bCs/>
                <w:sz w:val="24"/>
                <w:szCs w:val="24"/>
              </w:rPr>
            </w:pPr>
          </w:p>
          <w:p w14:paraId="1A434759" w14:textId="4EA22B1E" w:rsidR="003F080A" w:rsidRPr="007F6CCC" w:rsidRDefault="00161F03" w:rsidP="00161F03">
            <w:pPr>
              <w:rPr>
                <w:bCs/>
                <w:sz w:val="24"/>
                <w:szCs w:val="24"/>
              </w:rPr>
            </w:pPr>
            <w:r w:rsidRPr="007F6CCC">
              <w:rPr>
                <w:bCs/>
                <w:sz w:val="24"/>
                <w:szCs w:val="24"/>
              </w:rPr>
              <w:t>Values can be compared over time and against the England rate to see how a Local Authority is performing against its region, nationally and its neighbours. Values can also be used to review performance over time.</w:t>
            </w:r>
          </w:p>
        </w:tc>
      </w:tr>
      <w:tr w:rsidR="003F080A" w14:paraId="75B2FC1A" w14:textId="77777777" w:rsidTr="000F013F">
        <w:tc>
          <w:tcPr>
            <w:tcW w:w="2403" w:type="dxa"/>
          </w:tcPr>
          <w:p w14:paraId="6C314B3F" w14:textId="77777777" w:rsidR="00161F03" w:rsidRPr="007F6CCC" w:rsidRDefault="00161F03" w:rsidP="00161F03">
            <w:pPr>
              <w:spacing w:before="240"/>
              <w:ind w:left="34"/>
              <w:rPr>
                <w:bCs/>
                <w:sz w:val="24"/>
                <w:szCs w:val="24"/>
              </w:rPr>
            </w:pPr>
            <w:r w:rsidRPr="007F6CCC">
              <w:rPr>
                <w:bCs/>
                <w:sz w:val="24"/>
                <w:szCs w:val="24"/>
              </w:rPr>
              <w:lastRenderedPageBreak/>
              <w:t>Banding, benchmark or target methodology</w:t>
            </w:r>
          </w:p>
          <w:p w14:paraId="16E3DBF7" w14:textId="77777777" w:rsidR="003F080A" w:rsidRPr="007F6CCC" w:rsidRDefault="003F080A" w:rsidP="000B321E">
            <w:pPr>
              <w:rPr>
                <w:bCs/>
                <w:sz w:val="24"/>
                <w:szCs w:val="24"/>
              </w:rPr>
            </w:pPr>
          </w:p>
        </w:tc>
        <w:tc>
          <w:tcPr>
            <w:tcW w:w="7791" w:type="dxa"/>
          </w:tcPr>
          <w:p w14:paraId="3E7A5245" w14:textId="47B39C33" w:rsidR="003F080A" w:rsidRPr="007F6CCC" w:rsidRDefault="00161F03" w:rsidP="000B321E">
            <w:pPr>
              <w:rPr>
                <w:bCs/>
                <w:sz w:val="24"/>
                <w:szCs w:val="24"/>
              </w:rPr>
            </w:pPr>
            <w:r w:rsidRPr="007F6CCC">
              <w:rPr>
                <w:bCs/>
                <w:sz w:val="24"/>
                <w:szCs w:val="24"/>
              </w:rPr>
              <w:t>N/A</w:t>
            </w:r>
          </w:p>
        </w:tc>
      </w:tr>
      <w:tr w:rsidR="003F080A" w14:paraId="58B42531" w14:textId="77777777" w:rsidTr="000F013F">
        <w:tc>
          <w:tcPr>
            <w:tcW w:w="2403" w:type="dxa"/>
          </w:tcPr>
          <w:p w14:paraId="6E7E65E2" w14:textId="28F07239" w:rsidR="003F080A" w:rsidRPr="007F6CCC" w:rsidRDefault="00161F03" w:rsidP="000B321E">
            <w:pPr>
              <w:rPr>
                <w:bCs/>
                <w:sz w:val="24"/>
                <w:szCs w:val="24"/>
              </w:rPr>
            </w:pPr>
            <w:r w:rsidRPr="007F6CCC">
              <w:rPr>
                <w:bCs/>
                <w:sz w:val="24"/>
                <w:szCs w:val="24"/>
              </w:rPr>
              <w:t>Interpretation guidelines</w:t>
            </w:r>
          </w:p>
        </w:tc>
        <w:tc>
          <w:tcPr>
            <w:tcW w:w="7791" w:type="dxa"/>
          </w:tcPr>
          <w:p w14:paraId="364BFE66" w14:textId="77777777" w:rsidR="00161F03" w:rsidRPr="007F6CCC" w:rsidRDefault="00161F03" w:rsidP="00161F03">
            <w:pPr>
              <w:spacing w:before="240"/>
              <w:rPr>
                <w:bCs/>
                <w:sz w:val="24"/>
                <w:szCs w:val="24"/>
              </w:rPr>
            </w:pPr>
            <w:r w:rsidRPr="007F6CCC">
              <w:rPr>
                <w:bCs/>
                <w:sz w:val="24"/>
                <w:szCs w:val="24"/>
              </w:rPr>
              <w:t>Interim life tables</w:t>
            </w:r>
            <w:r w:rsidRPr="007F6CCC">
              <w:rPr>
                <w:rStyle w:val="FootnoteReference"/>
                <w:bCs/>
                <w:sz w:val="24"/>
                <w:szCs w:val="24"/>
              </w:rPr>
              <w:footnoteReference w:id="5"/>
            </w:r>
            <w:r w:rsidRPr="007F6CCC">
              <w:rPr>
                <w:bCs/>
                <w:sz w:val="24"/>
                <w:szCs w:val="24"/>
              </w:rPr>
              <w:t xml:space="preserve"> are not fully graduated life tables. Three-year rolling averages are used to smooth fluctuations due to exceptional events, for example a flu epidemic. They are known as interim life tables since fully graduated life tables have also been prepared every 10 years (decennial life tables</w:t>
            </w:r>
            <w:r w:rsidRPr="007F6CCC">
              <w:rPr>
                <w:rStyle w:val="FootnoteReference"/>
                <w:bCs/>
                <w:sz w:val="24"/>
                <w:szCs w:val="24"/>
              </w:rPr>
              <w:footnoteReference w:id="6"/>
            </w:r>
            <w:r w:rsidRPr="007F6CCC">
              <w:rPr>
                <w:bCs/>
                <w:sz w:val="24"/>
                <w:szCs w:val="24"/>
              </w:rPr>
              <w:t>), based on data around a census year.</w:t>
            </w:r>
          </w:p>
          <w:p w14:paraId="1C6B5F15" w14:textId="77777777" w:rsidR="00161F03" w:rsidRPr="007F6CCC" w:rsidRDefault="00161F03" w:rsidP="00161F03">
            <w:pPr>
              <w:spacing w:before="240"/>
              <w:rPr>
                <w:bCs/>
                <w:sz w:val="24"/>
                <w:szCs w:val="24"/>
              </w:rPr>
            </w:pPr>
            <w:r w:rsidRPr="007F6CCC">
              <w:rPr>
                <w:bCs/>
                <w:sz w:val="24"/>
                <w:szCs w:val="24"/>
              </w:rPr>
              <w:t>Birth and death registration data necessary for the calculation of mortality rates (the major component of a life table) are from high quality administrative sources based on a statutory obligation to register these events. The ONS official mid-year population estimates are used as the denominator in the calculation of mortality rates and these estimates are the best estimates of the UK population available.</w:t>
            </w:r>
          </w:p>
          <w:p w14:paraId="5E2B5BCE" w14:textId="77777777" w:rsidR="00161F03" w:rsidRPr="007F6CCC" w:rsidRDefault="00161F03" w:rsidP="00161F03">
            <w:pPr>
              <w:spacing w:before="240"/>
              <w:rPr>
                <w:bCs/>
                <w:sz w:val="24"/>
                <w:szCs w:val="24"/>
              </w:rPr>
            </w:pPr>
            <w:r w:rsidRPr="007F6CCC">
              <w:rPr>
                <w:bCs/>
                <w:sz w:val="24"/>
                <w:szCs w:val="24"/>
              </w:rPr>
              <w:t>Existing sources of data are used, namely: birth and death registrations, mid-year population estimates and estimates of the very elderly, so there is no additional cost or burden in the collection of statistics. These data are the best possible sources for the calculation of life tables.</w:t>
            </w:r>
          </w:p>
          <w:p w14:paraId="0217736F" w14:textId="406DC9FF" w:rsidR="003F080A" w:rsidRPr="007F6CCC" w:rsidRDefault="00161F03" w:rsidP="00161F03">
            <w:pPr>
              <w:rPr>
                <w:bCs/>
                <w:sz w:val="24"/>
                <w:szCs w:val="24"/>
              </w:rPr>
            </w:pPr>
            <w:r w:rsidRPr="007F6CCC">
              <w:rPr>
                <w:bCs/>
                <w:sz w:val="24"/>
                <w:szCs w:val="24"/>
              </w:rPr>
              <w:t>Users should note that comparison over time is limited by changes to the calculation methods of the underlying data and of the life tables. For example, a planned extension of the maximum age band for the abridged life tables is likely to affect the 75-79 age band life expectancy estimate.</w:t>
            </w:r>
          </w:p>
        </w:tc>
      </w:tr>
      <w:tr w:rsidR="003F080A" w14:paraId="15FE829D" w14:textId="77777777" w:rsidTr="000F013F">
        <w:tc>
          <w:tcPr>
            <w:tcW w:w="2403" w:type="dxa"/>
          </w:tcPr>
          <w:p w14:paraId="1203A7AA" w14:textId="0282B600" w:rsidR="003F080A" w:rsidRPr="007F6CCC" w:rsidRDefault="00161F03" w:rsidP="000B321E">
            <w:pPr>
              <w:rPr>
                <w:bCs/>
                <w:sz w:val="24"/>
                <w:szCs w:val="24"/>
              </w:rPr>
            </w:pPr>
            <w:r w:rsidRPr="007F6CCC">
              <w:rPr>
                <w:bCs/>
                <w:sz w:val="24"/>
                <w:szCs w:val="24"/>
              </w:rPr>
              <w:t>Limitations and potential bias</w:t>
            </w:r>
          </w:p>
        </w:tc>
        <w:tc>
          <w:tcPr>
            <w:tcW w:w="7791" w:type="dxa"/>
          </w:tcPr>
          <w:p w14:paraId="567F2861" w14:textId="77777777" w:rsidR="00161F03" w:rsidRPr="007F6CCC" w:rsidRDefault="00161F03" w:rsidP="00161F03">
            <w:pPr>
              <w:spacing w:before="240"/>
              <w:rPr>
                <w:bCs/>
                <w:sz w:val="24"/>
                <w:szCs w:val="24"/>
              </w:rPr>
            </w:pPr>
            <w:r w:rsidRPr="007F6CCC">
              <w:rPr>
                <w:bCs/>
                <w:sz w:val="24"/>
                <w:szCs w:val="24"/>
              </w:rPr>
              <w:t>In some cases local biases may influence ward/Local authority level life expectancy results. For example, the presence of nursing homes in a ward/local authority may lead to local migration effects which will influence mortality rates. The interpretation of ward level life expectancies will in some cases therefore require local knowledge</w:t>
            </w:r>
            <w:r w:rsidRPr="007F6CCC">
              <w:rPr>
                <w:rStyle w:val="FootnoteReference"/>
                <w:bCs/>
                <w:sz w:val="24"/>
                <w:szCs w:val="24"/>
              </w:rPr>
              <w:footnoteReference w:id="7"/>
            </w:r>
            <w:r w:rsidRPr="007F6CCC">
              <w:rPr>
                <w:bCs/>
                <w:sz w:val="24"/>
                <w:szCs w:val="24"/>
              </w:rPr>
              <w:t>, though the fact that the lowest level of geography presented in the NHS OF is local authority mitigates this issue.</w:t>
            </w:r>
          </w:p>
          <w:p w14:paraId="3143ED97" w14:textId="673CF1AB" w:rsidR="003F080A" w:rsidRPr="007F6CCC" w:rsidRDefault="00161F03" w:rsidP="00161F03">
            <w:pPr>
              <w:rPr>
                <w:bCs/>
                <w:sz w:val="24"/>
                <w:szCs w:val="24"/>
              </w:rPr>
            </w:pPr>
            <w:r w:rsidRPr="007F6CCC">
              <w:rPr>
                <w:bCs/>
                <w:sz w:val="24"/>
                <w:szCs w:val="24"/>
                <w:lang w:val="en"/>
              </w:rPr>
              <w:t>As period life expectancy presents contemporary life expectancy, it does not give the number of years someone could actually expect to live. Also, people may live in other areas for at least some part of their lives.</w:t>
            </w:r>
          </w:p>
        </w:tc>
      </w:tr>
      <w:tr w:rsidR="003F080A" w14:paraId="4B47BFD8" w14:textId="77777777" w:rsidTr="000F013F">
        <w:tc>
          <w:tcPr>
            <w:tcW w:w="2403" w:type="dxa"/>
          </w:tcPr>
          <w:p w14:paraId="5FE582D2" w14:textId="204C4AF1" w:rsidR="003F080A" w:rsidRPr="007F6CCC" w:rsidRDefault="00161F03" w:rsidP="000B321E">
            <w:pPr>
              <w:rPr>
                <w:bCs/>
                <w:sz w:val="24"/>
                <w:szCs w:val="24"/>
              </w:rPr>
            </w:pPr>
            <w:r w:rsidRPr="007F6CCC">
              <w:rPr>
                <w:bCs/>
                <w:sz w:val="24"/>
                <w:szCs w:val="24"/>
              </w:rPr>
              <w:t>Improvement actions</w:t>
            </w:r>
          </w:p>
        </w:tc>
        <w:tc>
          <w:tcPr>
            <w:tcW w:w="7791" w:type="dxa"/>
          </w:tcPr>
          <w:p w14:paraId="02D89E91" w14:textId="11895A59" w:rsidR="003F080A" w:rsidRPr="007F6CCC" w:rsidRDefault="00161F03" w:rsidP="000B321E">
            <w:pPr>
              <w:rPr>
                <w:bCs/>
                <w:sz w:val="24"/>
                <w:szCs w:val="24"/>
              </w:rPr>
            </w:pPr>
            <w:r w:rsidRPr="007F6CCC">
              <w:rPr>
                <w:bCs/>
                <w:sz w:val="24"/>
                <w:szCs w:val="24"/>
              </w:rPr>
              <w:t>None identified</w:t>
            </w:r>
          </w:p>
        </w:tc>
      </w:tr>
      <w:tr w:rsidR="003F080A" w14:paraId="222169B6" w14:textId="77777777" w:rsidTr="000F013F">
        <w:tc>
          <w:tcPr>
            <w:tcW w:w="2403" w:type="dxa"/>
          </w:tcPr>
          <w:p w14:paraId="1A97B0E4" w14:textId="544099F0" w:rsidR="003F080A" w:rsidRDefault="00161F03" w:rsidP="000B321E">
            <w:pPr>
              <w:rPr>
                <w:b/>
                <w:sz w:val="28"/>
                <w:szCs w:val="28"/>
              </w:rPr>
            </w:pPr>
            <w:r w:rsidRPr="000F013F">
              <w:rPr>
                <w:b/>
              </w:rPr>
              <w:lastRenderedPageBreak/>
              <w:t>Evidence of variability</w:t>
            </w:r>
          </w:p>
        </w:tc>
        <w:tc>
          <w:tcPr>
            <w:tcW w:w="7791" w:type="dxa"/>
          </w:tcPr>
          <w:p w14:paraId="4869E921" w14:textId="1AD1A1BC" w:rsidR="003F080A" w:rsidRDefault="00161F03" w:rsidP="000B321E">
            <w:pPr>
              <w:rPr>
                <w:b/>
                <w:sz w:val="28"/>
                <w:szCs w:val="28"/>
              </w:rPr>
            </w:pPr>
            <w:r>
              <w:rPr>
                <w:noProof/>
                <w:lang w:eastAsia="en-GB"/>
              </w:rPr>
              <w:drawing>
                <wp:inline distT="0" distB="0" distL="0" distR="0" wp14:anchorId="773669CF" wp14:editId="4BF232D4">
                  <wp:extent cx="4810125" cy="3114675"/>
                  <wp:effectExtent l="0" t="0" r="0" b="0"/>
                  <wp:docPr id="8" name="Chart 8" descr="Chart showing of Life Expecta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034F8CA6" w14:textId="45C6BC09" w:rsidR="0070468C" w:rsidRDefault="0070468C" w:rsidP="000B321E">
      <w:pPr>
        <w:rPr>
          <w:b/>
          <w:sz w:val="28"/>
          <w:szCs w:val="28"/>
        </w:rPr>
      </w:pPr>
    </w:p>
    <w:p w14:paraId="742876F0" w14:textId="4F67D4F1" w:rsidR="00FF601B" w:rsidRDefault="00FF601B" w:rsidP="000B321E">
      <w:pPr>
        <w:rPr>
          <w:b/>
          <w:sz w:val="28"/>
          <w:szCs w:val="28"/>
        </w:rPr>
      </w:pPr>
    </w:p>
    <w:p w14:paraId="5D60EFD9" w14:textId="6ADE50EA" w:rsidR="00FF601B" w:rsidRDefault="00FF601B" w:rsidP="000B321E">
      <w:pPr>
        <w:rPr>
          <w:b/>
          <w:sz w:val="28"/>
          <w:szCs w:val="28"/>
        </w:rPr>
      </w:pPr>
    </w:p>
    <w:p w14:paraId="6DD30F3A" w14:textId="54FC0567" w:rsidR="00FF601B" w:rsidRDefault="00FF601B" w:rsidP="000B321E">
      <w:pPr>
        <w:rPr>
          <w:b/>
          <w:sz w:val="28"/>
          <w:szCs w:val="28"/>
        </w:rPr>
      </w:pPr>
    </w:p>
    <w:p w14:paraId="63681875" w14:textId="2B7F2AC1" w:rsidR="00FF601B" w:rsidRDefault="00FF601B" w:rsidP="000B321E">
      <w:pPr>
        <w:rPr>
          <w:b/>
          <w:sz w:val="28"/>
          <w:szCs w:val="28"/>
        </w:rPr>
      </w:pPr>
    </w:p>
    <w:p w14:paraId="4897F751" w14:textId="08F7CA07" w:rsidR="00FF601B" w:rsidRDefault="00FF601B" w:rsidP="000B321E">
      <w:pPr>
        <w:rPr>
          <w:b/>
          <w:sz w:val="28"/>
          <w:szCs w:val="28"/>
        </w:rPr>
      </w:pPr>
    </w:p>
    <w:p w14:paraId="250E1BBA" w14:textId="294A765A" w:rsidR="00FF601B" w:rsidRDefault="00FF601B" w:rsidP="000B321E">
      <w:pPr>
        <w:rPr>
          <w:b/>
          <w:sz w:val="28"/>
          <w:szCs w:val="28"/>
        </w:rPr>
      </w:pPr>
    </w:p>
    <w:p w14:paraId="28AB34FC" w14:textId="4B1C7CAA" w:rsidR="00FF601B" w:rsidRDefault="00FF601B" w:rsidP="000B321E">
      <w:pPr>
        <w:rPr>
          <w:b/>
          <w:sz w:val="28"/>
          <w:szCs w:val="28"/>
        </w:rPr>
      </w:pPr>
    </w:p>
    <w:p w14:paraId="1EE76CC9" w14:textId="2F452B7E" w:rsidR="00FF601B" w:rsidRDefault="00FF601B" w:rsidP="000B321E">
      <w:pPr>
        <w:rPr>
          <w:b/>
          <w:sz w:val="28"/>
          <w:szCs w:val="28"/>
        </w:rPr>
      </w:pPr>
    </w:p>
    <w:p w14:paraId="0BA25DC3" w14:textId="6EF3C546" w:rsidR="00FF601B" w:rsidRDefault="00FF601B" w:rsidP="000B321E">
      <w:pPr>
        <w:rPr>
          <w:b/>
          <w:sz w:val="28"/>
          <w:szCs w:val="28"/>
        </w:rPr>
      </w:pPr>
    </w:p>
    <w:p w14:paraId="18E3FA8E" w14:textId="7D0FD141" w:rsidR="00FF601B" w:rsidRDefault="00FF601B" w:rsidP="000B321E">
      <w:pPr>
        <w:rPr>
          <w:b/>
          <w:sz w:val="28"/>
          <w:szCs w:val="28"/>
        </w:rPr>
      </w:pPr>
    </w:p>
    <w:p w14:paraId="3F1E10D3" w14:textId="77777777" w:rsidR="007F6CCC" w:rsidRDefault="007F6CCC" w:rsidP="00FF601B">
      <w:pPr>
        <w:rPr>
          <w:b/>
          <w:sz w:val="28"/>
          <w:szCs w:val="28"/>
        </w:rPr>
      </w:pPr>
    </w:p>
    <w:p w14:paraId="45735095" w14:textId="77777777" w:rsidR="007F6CCC" w:rsidRDefault="007F6CCC" w:rsidP="00FF601B">
      <w:pPr>
        <w:rPr>
          <w:b/>
          <w:sz w:val="28"/>
          <w:szCs w:val="28"/>
        </w:rPr>
      </w:pPr>
    </w:p>
    <w:p w14:paraId="091326D7" w14:textId="77777777" w:rsidR="007F6CCC" w:rsidRDefault="007F6CCC" w:rsidP="00FF601B">
      <w:pPr>
        <w:rPr>
          <w:b/>
          <w:sz w:val="28"/>
          <w:szCs w:val="28"/>
        </w:rPr>
      </w:pPr>
    </w:p>
    <w:p w14:paraId="40C3EDF1" w14:textId="77777777" w:rsidR="007F6CCC" w:rsidRDefault="007F6CCC" w:rsidP="00FF601B">
      <w:pPr>
        <w:rPr>
          <w:b/>
          <w:sz w:val="28"/>
          <w:szCs w:val="28"/>
        </w:rPr>
      </w:pPr>
    </w:p>
    <w:p w14:paraId="12B6E581" w14:textId="77777777" w:rsidR="007F6CCC" w:rsidRDefault="007F6CCC" w:rsidP="00FF601B">
      <w:pPr>
        <w:rPr>
          <w:b/>
          <w:sz w:val="28"/>
          <w:szCs w:val="28"/>
        </w:rPr>
      </w:pPr>
    </w:p>
    <w:p w14:paraId="4BD981CB" w14:textId="77777777" w:rsidR="007F6CCC" w:rsidRDefault="007F6CCC" w:rsidP="00FF601B">
      <w:pPr>
        <w:rPr>
          <w:b/>
          <w:sz w:val="28"/>
          <w:szCs w:val="28"/>
        </w:rPr>
      </w:pPr>
    </w:p>
    <w:p w14:paraId="46DD6902" w14:textId="77777777" w:rsidR="007F6CCC" w:rsidRDefault="007F6CCC" w:rsidP="00FF601B">
      <w:pPr>
        <w:rPr>
          <w:b/>
          <w:sz w:val="28"/>
          <w:szCs w:val="28"/>
        </w:rPr>
      </w:pPr>
    </w:p>
    <w:p w14:paraId="55EF3411" w14:textId="77777777" w:rsidR="007F6CCC" w:rsidRDefault="007F6CCC" w:rsidP="00FF601B">
      <w:pPr>
        <w:rPr>
          <w:b/>
          <w:sz w:val="28"/>
          <w:szCs w:val="28"/>
        </w:rPr>
      </w:pPr>
    </w:p>
    <w:p w14:paraId="1ABD61EF" w14:textId="77777777" w:rsidR="007F6CCC" w:rsidRDefault="007F6CCC" w:rsidP="00FF601B">
      <w:pPr>
        <w:rPr>
          <w:b/>
          <w:sz w:val="28"/>
          <w:szCs w:val="28"/>
        </w:rPr>
      </w:pPr>
    </w:p>
    <w:p w14:paraId="5E3F7167" w14:textId="77777777" w:rsidR="007F6CCC" w:rsidRDefault="007F6CCC" w:rsidP="00FF601B">
      <w:pPr>
        <w:rPr>
          <w:b/>
          <w:sz w:val="28"/>
          <w:szCs w:val="28"/>
        </w:rPr>
      </w:pPr>
    </w:p>
    <w:p w14:paraId="4C4D7533" w14:textId="77777777" w:rsidR="007F6CCC" w:rsidRDefault="007F6CCC" w:rsidP="00FF601B">
      <w:pPr>
        <w:rPr>
          <w:b/>
          <w:sz w:val="28"/>
          <w:szCs w:val="28"/>
        </w:rPr>
      </w:pPr>
    </w:p>
    <w:p w14:paraId="610AB874" w14:textId="77777777" w:rsidR="007F6CCC" w:rsidRDefault="007F6CCC" w:rsidP="00FF601B">
      <w:pPr>
        <w:rPr>
          <w:b/>
          <w:sz w:val="28"/>
          <w:szCs w:val="28"/>
        </w:rPr>
      </w:pPr>
    </w:p>
    <w:p w14:paraId="596B253A" w14:textId="77777777" w:rsidR="007F6CCC" w:rsidRDefault="007F6CCC" w:rsidP="00FF601B">
      <w:pPr>
        <w:rPr>
          <w:b/>
          <w:sz w:val="28"/>
          <w:szCs w:val="28"/>
        </w:rPr>
      </w:pPr>
    </w:p>
    <w:p w14:paraId="1265437D" w14:textId="77777777" w:rsidR="007F6CCC" w:rsidRDefault="007F6CCC" w:rsidP="00FF601B">
      <w:pPr>
        <w:rPr>
          <w:b/>
          <w:sz w:val="28"/>
          <w:szCs w:val="28"/>
        </w:rPr>
      </w:pPr>
    </w:p>
    <w:p w14:paraId="505C6D58" w14:textId="77777777" w:rsidR="007F6CCC" w:rsidRDefault="007F6CCC" w:rsidP="00FF601B">
      <w:pPr>
        <w:rPr>
          <w:b/>
          <w:sz w:val="28"/>
          <w:szCs w:val="28"/>
        </w:rPr>
      </w:pPr>
    </w:p>
    <w:p w14:paraId="79D6674C" w14:textId="77777777" w:rsidR="007F6CCC" w:rsidRDefault="007F6CCC" w:rsidP="00FF601B">
      <w:pPr>
        <w:rPr>
          <w:b/>
          <w:sz w:val="28"/>
          <w:szCs w:val="28"/>
        </w:rPr>
      </w:pPr>
    </w:p>
    <w:p w14:paraId="35E54A0A" w14:textId="04DBA85B" w:rsidR="00FF601B" w:rsidRDefault="00FF601B" w:rsidP="00FF601B">
      <w:pPr>
        <w:rPr>
          <w:b/>
          <w:sz w:val="28"/>
          <w:szCs w:val="28"/>
        </w:rPr>
      </w:pPr>
      <w:r>
        <w:rPr>
          <w:b/>
          <w:sz w:val="28"/>
          <w:szCs w:val="28"/>
        </w:rPr>
        <w:lastRenderedPageBreak/>
        <w:t>Appraisal log</w:t>
      </w:r>
    </w:p>
    <w:p w14:paraId="713A57BA" w14:textId="66445D79" w:rsidR="00FF601B" w:rsidRDefault="00FF601B" w:rsidP="00FF601B">
      <w:pPr>
        <w:rPr>
          <w:b/>
          <w:sz w:val="28"/>
          <w:szCs w:val="28"/>
        </w:rPr>
      </w:pPr>
    </w:p>
    <w:p w14:paraId="429AAAEF" w14:textId="716CA28D"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 xml:space="preserve">Final Assurance Rating from the Indicator Governance Board – </w:t>
      </w:r>
    </w:p>
    <w:p w14:paraId="6626C7A9" w14:textId="08AB7ACD"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14/12/2016</w:t>
      </w:r>
    </w:p>
    <w:p w14:paraId="3592C511" w14:textId="5A9EF8A9" w:rsidR="00FF601B" w:rsidRPr="007F6CCC" w:rsidRDefault="00FF601B" w:rsidP="00FF601B">
      <w:pPr>
        <w:pStyle w:val="NormalWeb"/>
        <w:spacing w:before="0" w:beforeAutospacing="0" w:after="0" w:afterAutospacing="0"/>
        <w:rPr>
          <w:rFonts w:ascii="Arial" w:eastAsia="+mn-ea" w:hAnsi="Arial" w:cs="Arial"/>
          <w:bCs/>
          <w:position w:val="1"/>
        </w:rPr>
      </w:pPr>
    </w:p>
    <w:tbl>
      <w:tblPr>
        <w:tblStyle w:val="TableGrid"/>
        <w:tblW w:w="0" w:type="auto"/>
        <w:tblLook w:val="04A0" w:firstRow="1" w:lastRow="0" w:firstColumn="1" w:lastColumn="0" w:noHBand="0" w:noVBand="1"/>
      </w:tblPr>
      <w:tblGrid>
        <w:gridCol w:w="5097"/>
        <w:gridCol w:w="5097"/>
      </w:tblGrid>
      <w:tr w:rsidR="007F6CCC" w:rsidRPr="007F6CCC" w14:paraId="4D84B679" w14:textId="77777777" w:rsidTr="00FF601B">
        <w:tc>
          <w:tcPr>
            <w:tcW w:w="5097" w:type="dxa"/>
          </w:tcPr>
          <w:p w14:paraId="1833B738" w14:textId="074AC67B"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Reason for assessment</w:t>
            </w:r>
          </w:p>
        </w:tc>
        <w:tc>
          <w:tcPr>
            <w:tcW w:w="5097" w:type="dxa"/>
          </w:tcPr>
          <w:p w14:paraId="1308A3E8" w14:textId="1802F52D"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Scheduled review (review date reached)</w:t>
            </w:r>
          </w:p>
        </w:tc>
      </w:tr>
      <w:tr w:rsidR="007F6CCC" w:rsidRPr="007F6CCC" w14:paraId="77E67A45" w14:textId="77777777" w:rsidTr="00FF601B">
        <w:tc>
          <w:tcPr>
            <w:tcW w:w="5097" w:type="dxa"/>
          </w:tcPr>
          <w:p w14:paraId="77592CD3" w14:textId="628896C5"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Iteration</w:t>
            </w:r>
          </w:p>
        </w:tc>
        <w:tc>
          <w:tcPr>
            <w:tcW w:w="5097" w:type="dxa"/>
          </w:tcPr>
          <w:p w14:paraId="331997EF" w14:textId="097ADB16"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1</w:t>
            </w:r>
            <w:r w:rsidRPr="007F6CCC">
              <w:rPr>
                <w:rFonts w:ascii="Arial" w:eastAsia="+mn-ea" w:hAnsi="Arial" w:cs="Arial"/>
                <w:bCs/>
                <w:position w:val="1"/>
                <w:vertAlign w:val="superscript"/>
              </w:rPr>
              <w:t>st</w:t>
            </w:r>
            <w:r w:rsidRPr="007F6CCC">
              <w:rPr>
                <w:rFonts w:ascii="Arial" w:eastAsia="+mn-ea" w:hAnsi="Arial" w:cs="Arial"/>
                <w:bCs/>
                <w:position w:val="1"/>
              </w:rPr>
              <w:t xml:space="preserve"> IGB meeting</w:t>
            </w:r>
          </w:p>
        </w:tc>
      </w:tr>
      <w:tr w:rsidR="00FF601B" w:rsidRPr="007F6CCC" w14:paraId="39C72FB4" w14:textId="77777777" w:rsidTr="00FF601B">
        <w:tc>
          <w:tcPr>
            <w:tcW w:w="5097" w:type="dxa"/>
          </w:tcPr>
          <w:p w14:paraId="6198D60B" w14:textId="42AE5F13"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Outcome</w:t>
            </w:r>
          </w:p>
        </w:tc>
        <w:sdt>
          <w:sdtPr>
            <w:rPr>
              <w:rFonts w:ascii="Arial" w:eastAsia="+mn-ea" w:hAnsi="Arial" w:cs="Arial"/>
              <w:bCs/>
              <w:position w:val="1"/>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5097" w:type="dxa"/>
              </w:tcPr>
              <w:p w14:paraId="3F584E78" w14:textId="5497D815" w:rsidR="00FF601B" w:rsidRPr="007F6CCC" w:rsidRDefault="00FF601B" w:rsidP="00FF601B">
                <w:pPr>
                  <w:pStyle w:val="NormalWeb"/>
                  <w:spacing w:before="0" w:beforeAutospacing="0" w:after="0" w:afterAutospacing="0"/>
                  <w:rPr>
                    <w:rFonts w:ascii="Arial" w:eastAsia="+mn-ea" w:hAnsi="Arial" w:cs="Arial"/>
                    <w:bCs/>
                    <w:position w:val="1"/>
                  </w:rPr>
                </w:pPr>
                <w:r w:rsidRPr="007F6CCC">
                  <w:rPr>
                    <w:rFonts w:ascii="Arial" w:eastAsia="+mn-ea" w:hAnsi="Arial" w:cs="Arial"/>
                    <w:bCs/>
                    <w:position w:val="1"/>
                  </w:rPr>
                  <w:t>This indicator has been approved for inclusion in the National Library of Quality Assured Indicators</w:t>
                </w:r>
              </w:p>
            </w:tc>
          </w:sdtContent>
        </w:sdt>
      </w:tr>
    </w:tbl>
    <w:p w14:paraId="1FB66348" w14:textId="77777777" w:rsidR="00FF601B" w:rsidRPr="007F6CCC" w:rsidRDefault="00FF601B" w:rsidP="00FF601B">
      <w:pPr>
        <w:pStyle w:val="NormalWeb"/>
        <w:spacing w:before="0" w:beforeAutospacing="0" w:after="0" w:afterAutospacing="0"/>
        <w:rPr>
          <w:rFonts w:ascii="Arial" w:eastAsia="+mn-ea" w:hAnsi="Arial" w:cs="Arial"/>
          <w:bCs/>
          <w:position w:val="1"/>
        </w:rPr>
      </w:pPr>
    </w:p>
    <w:p w14:paraId="6C18F62A" w14:textId="59E3CF3B" w:rsidR="00FF601B" w:rsidRPr="007F6CCC" w:rsidRDefault="00FF601B" w:rsidP="00FF601B">
      <w:pPr>
        <w:rPr>
          <w:rFonts w:eastAsia="+mn-ea"/>
          <w:bCs/>
          <w:position w:val="1"/>
          <w:sz w:val="24"/>
          <w:szCs w:val="24"/>
        </w:rPr>
      </w:pPr>
      <w:r w:rsidRPr="007F6CCC">
        <w:rPr>
          <w:rFonts w:eastAsia="+mn-ea"/>
          <w:bCs/>
          <w:position w:val="1"/>
          <w:sz w:val="24"/>
          <w:szCs w:val="24"/>
        </w:rPr>
        <w:t>Key findings from Assurance</w:t>
      </w:r>
    </w:p>
    <w:p w14:paraId="79DB941D" w14:textId="12B8E0C0" w:rsidR="00FF601B" w:rsidRPr="007F6CCC" w:rsidRDefault="00FF601B" w:rsidP="00FF601B">
      <w:pPr>
        <w:pStyle w:val="NormalWeb"/>
        <w:numPr>
          <w:ilvl w:val="0"/>
          <w:numId w:val="17"/>
        </w:numPr>
        <w:spacing w:before="240" w:beforeAutospacing="0" w:after="0" w:afterAutospacing="0"/>
        <w:rPr>
          <w:rFonts w:ascii="Arial" w:eastAsia="+mn-ea" w:hAnsi="Arial" w:cs="Arial"/>
          <w:bCs/>
          <w:position w:val="1"/>
        </w:rPr>
      </w:pPr>
      <w:r w:rsidRPr="007F6CCC">
        <w:rPr>
          <w:rFonts w:ascii="Arial" w:eastAsia="+mn-ea" w:hAnsi="Arial" w:cs="Arial"/>
          <w:bCs/>
          <w:position w:val="1"/>
        </w:rPr>
        <w:t xml:space="preserve">IGB endorse the MRG’s recommendation that the indicator is rated ‘Fit for use’ and is suitable for inclusion in the Library. </w:t>
      </w:r>
    </w:p>
    <w:p w14:paraId="5992D853" w14:textId="13920073" w:rsidR="00FF601B" w:rsidRPr="007F6CCC" w:rsidRDefault="00FF601B" w:rsidP="00FF601B">
      <w:pPr>
        <w:pStyle w:val="ListParagraph"/>
        <w:numPr>
          <w:ilvl w:val="0"/>
          <w:numId w:val="17"/>
        </w:numPr>
        <w:rPr>
          <w:rFonts w:ascii="Arial" w:hAnsi="Arial" w:cs="Arial"/>
          <w:bCs/>
          <w:sz w:val="24"/>
          <w:szCs w:val="24"/>
        </w:rPr>
      </w:pPr>
      <w:r w:rsidRPr="007F6CCC">
        <w:rPr>
          <w:rFonts w:ascii="Arial" w:eastAsia="+mn-ea" w:hAnsi="Arial" w:cs="Arial"/>
          <w:bCs/>
          <w:position w:val="1"/>
          <w:sz w:val="24"/>
          <w:szCs w:val="24"/>
        </w:rPr>
        <w:t>A three year review period has been set, after which the indicator will be reconsidered by the assurance process.</w:t>
      </w:r>
    </w:p>
    <w:tbl>
      <w:tblPr>
        <w:tblStyle w:val="TableGrid"/>
        <w:tblW w:w="0" w:type="auto"/>
        <w:tblLook w:val="04A0" w:firstRow="1" w:lastRow="0" w:firstColumn="1" w:lastColumn="0" w:noHBand="0" w:noVBand="1"/>
      </w:tblPr>
      <w:tblGrid>
        <w:gridCol w:w="5097"/>
        <w:gridCol w:w="5097"/>
      </w:tblGrid>
      <w:tr w:rsidR="007F6CCC" w:rsidRPr="007F6CCC" w14:paraId="3F1C789C" w14:textId="77777777" w:rsidTr="00FF601B">
        <w:tc>
          <w:tcPr>
            <w:tcW w:w="5097" w:type="dxa"/>
          </w:tcPr>
          <w:p w14:paraId="51203A49" w14:textId="180CFE92" w:rsidR="00FF601B" w:rsidRPr="007F6CCC" w:rsidRDefault="00FF601B" w:rsidP="00FF601B">
            <w:pPr>
              <w:rPr>
                <w:bCs/>
                <w:sz w:val="24"/>
                <w:szCs w:val="24"/>
              </w:rPr>
            </w:pPr>
            <w:r w:rsidRPr="007F6CCC">
              <w:rPr>
                <w:bCs/>
                <w:sz w:val="24"/>
                <w:szCs w:val="24"/>
              </w:rPr>
              <w:t>Approval date</w:t>
            </w:r>
          </w:p>
        </w:tc>
        <w:tc>
          <w:tcPr>
            <w:tcW w:w="5097" w:type="dxa"/>
          </w:tcPr>
          <w:p w14:paraId="5C68E4C0" w14:textId="5F0C7352" w:rsidR="00FF601B" w:rsidRPr="007F6CCC" w:rsidRDefault="00FF601B" w:rsidP="00FF601B">
            <w:pPr>
              <w:rPr>
                <w:bCs/>
                <w:sz w:val="24"/>
                <w:szCs w:val="24"/>
              </w:rPr>
            </w:pPr>
            <w:r w:rsidRPr="007F6CCC">
              <w:rPr>
                <w:bCs/>
                <w:sz w:val="24"/>
                <w:szCs w:val="24"/>
              </w:rPr>
              <w:t>14/12/2016</w:t>
            </w:r>
          </w:p>
        </w:tc>
      </w:tr>
      <w:tr w:rsidR="007F6CCC" w:rsidRPr="007F6CCC" w14:paraId="02777324" w14:textId="77777777" w:rsidTr="00FF601B">
        <w:tc>
          <w:tcPr>
            <w:tcW w:w="5097" w:type="dxa"/>
          </w:tcPr>
          <w:p w14:paraId="424BD0DD" w14:textId="211CB2D1" w:rsidR="00FF601B" w:rsidRPr="007F6CCC" w:rsidRDefault="00FF601B" w:rsidP="00FF601B">
            <w:pPr>
              <w:rPr>
                <w:bCs/>
                <w:sz w:val="24"/>
                <w:szCs w:val="24"/>
              </w:rPr>
            </w:pPr>
            <w:r w:rsidRPr="007F6CCC">
              <w:rPr>
                <w:bCs/>
                <w:sz w:val="24"/>
                <w:szCs w:val="24"/>
              </w:rPr>
              <w:t>Review date</w:t>
            </w:r>
          </w:p>
        </w:tc>
        <w:tc>
          <w:tcPr>
            <w:tcW w:w="5097" w:type="dxa"/>
          </w:tcPr>
          <w:p w14:paraId="7198801B" w14:textId="3168EC01" w:rsidR="00FF601B" w:rsidRPr="007F6CCC" w:rsidRDefault="00FF601B" w:rsidP="00FF601B">
            <w:pPr>
              <w:rPr>
                <w:bCs/>
                <w:sz w:val="24"/>
                <w:szCs w:val="24"/>
              </w:rPr>
            </w:pPr>
            <w:r w:rsidRPr="007F6CCC">
              <w:rPr>
                <w:bCs/>
                <w:sz w:val="24"/>
                <w:szCs w:val="24"/>
              </w:rPr>
              <w:t>14/12/2019</w:t>
            </w:r>
          </w:p>
        </w:tc>
      </w:tr>
    </w:tbl>
    <w:p w14:paraId="6327F279" w14:textId="77777777" w:rsidR="00FF601B" w:rsidRPr="007F6CCC" w:rsidRDefault="00FF601B" w:rsidP="00FF601B">
      <w:pPr>
        <w:rPr>
          <w:bCs/>
          <w:sz w:val="24"/>
          <w:szCs w:val="24"/>
        </w:rPr>
      </w:pPr>
    </w:p>
    <w:p w14:paraId="62DBA93E" w14:textId="5FB4E422" w:rsidR="00FF601B" w:rsidRPr="007F6CCC" w:rsidRDefault="00FF601B" w:rsidP="000B321E">
      <w:pPr>
        <w:rPr>
          <w:rFonts w:eastAsia="+mn-ea"/>
          <w:bCs/>
          <w:position w:val="1"/>
          <w:sz w:val="24"/>
          <w:szCs w:val="24"/>
        </w:rPr>
      </w:pPr>
      <w:r w:rsidRPr="007F6CCC">
        <w:rPr>
          <w:rFonts w:eastAsia="+mn-ea"/>
          <w:bCs/>
          <w:position w:val="1"/>
          <w:sz w:val="24"/>
          <w:szCs w:val="24"/>
        </w:rPr>
        <w:t>Details of Methodology Appraisal</w:t>
      </w:r>
    </w:p>
    <w:p w14:paraId="39A0DFAB" w14:textId="6BB16B80" w:rsidR="00FF601B" w:rsidRPr="007F6CCC" w:rsidRDefault="00FF601B" w:rsidP="000B321E">
      <w:pPr>
        <w:rPr>
          <w:rFonts w:eastAsia="+mn-ea"/>
          <w:bCs/>
          <w:position w:val="1"/>
          <w:sz w:val="24"/>
          <w:szCs w:val="24"/>
        </w:rPr>
      </w:pPr>
    </w:p>
    <w:tbl>
      <w:tblPr>
        <w:tblStyle w:val="TableGrid"/>
        <w:tblW w:w="0" w:type="auto"/>
        <w:tblLook w:val="04A0" w:firstRow="1" w:lastRow="0" w:firstColumn="1" w:lastColumn="0" w:noHBand="0" w:noVBand="1"/>
      </w:tblPr>
      <w:tblGrid>
        <w:gridCol w:w="5097"/>
        <w:gridCol w:w="5097"/>
      </w:tblGrid>
      <w:tr w:rsidR="007F6CCC" w:rsidRPr="007F6CCC" w14:paraId="772EBADD" w14:textId="77777777" w:rsidTr="00FF601B">
        <w:tc>
          <w:tcPr>
            <w:tcW w:w="5097" w:type="dxa"/>
          </w:tcPr>
          <w:p w14:paraId="670A25E4" w14:textId="54A46253" w:rsidR="00FF601B" w:rsidRPr="007F6CCC" w:rsidRDefault="00FF601B" w:rsidP="000B321E">
            <w:pPr>
              <w:rPr>
                <w:bCs/>
                <w:sz w:val="24"/>
                <w:szCs w:val="24"/>
              </w:rPr>
            </w:pPr>
            <w:r w:rsidRPr="007F6CCC">
              <w:rPr>
                <w:rFonts w:eastAsia="+mn-ea"/>
                <w:bCs/>
                <w:position w:val="1"/>
                <w:sz w:val="24"/>
                <w:szCs w:val="24"/>
              </w:rPr>
              <w:t>Methodology appraisal body</w:t>
            </w:r>
          </w:p>
        </w:tc>
        <w:tc>
          <w:tcPr>
            <w:tcW w:w="5097" w:type="dxa"/>
          </w:tcPr>
          <w:p w14:paraId="0B5C8388" w14:textId="6106A49D" w:rsidR="00FF601B" w:rsidRPr="007F6CCC" w:rsidRDefault="00B8386F" w:rsidP="000B321E">
            <w:pPr>
              <w:rPr>
                <w:bCs/>
                <w:sz w:val="24"/>
                <w:szCs w:val="24"/>
              </w:rPr>
            </w:pPr>
            <w:sdt>
              <w:sdtPr>
                <w:rPr>
                  <w:rFonts w:eastAsia="+mn-ea"/>
                  <w:bCs/>
                  <w:position w:val="1"/>
                  <w:sz w:val="24"/>
                  <w:szCs w:val="24"/>
                </w:rPr>
                <w:alias w:val="Methodology appraisal body"/>
                <w:tag w:val="Methodology appraisal body"/>
                <w:id w:val="1713458190"/>
                <w:dropDownList>
                  <w:listItem w:value="Choose an item."/>
                  <w:listItem w:displayText="Indicator &amp; Methodology Assurance Service" w:value="Indicator &amp; Methodology Assurance Service"/>
                </w:dropDownList>
              </w:sdtPr>
              <w:sdtEndPr/>
              <w:sdtContent>
                <w:r w:rsidR="00FF601B" w:rsidRPr="007F6CCC">
                  <w:rPr>
                    <w:rFonts w:eastAsia="+mn-ea"/>
                    <w:bCs/>
                    <w:position w:val="1"/>
                    <w:sz w:val="24"/>
                    <w:szCs w:val="24"/>
                  </w:rPr>
                  <w:t>Indicator &amp; Methodology Assurance Service</w:t>
                </w:r>
              </w:sdtContent>
            </w:sdt>
          </w:p>
        </w:tc>
      </w:tr>
      <w:tr w:rsidR="007F6CCC" w:rsidRPr="007F6CCC" w14:paraId="77498F4E" w14:textId="77777777" w:rsidTr="00FF601B">
        <w:tc>
          <w:tcPr>
            <w:tcW w:w="5097" w:type="dxa"/>
          </w:tcPr>
          <w:p w14:paraId="56C3B4E8" w14:textId="2575971A" w:rsidR="00FF601B" w:rsidRPr="007F6CCC" w:rsidRDefault="00FF601B" w:rsidP="000B321E">
            <w:pPr>
              <w:rPr>
                <w:bCs/>
                <w:sz w:val="24"/>
                <w:szCs w:val="24"/>
              </w:rPr>
            </w:pPr>
            <w:r w:rsidRPr="007F6CCC">
              <w:rPr>
                <w:rFonts w:eastAsia="+mn-ea"/>
                <w:bCs/>
                <w:position w:val="1"/>
                <w:sz w:val="24"/>
                <w:szCs w:val="24"/>
              </w:rPr>
              <w:t>Reason for assessment</w:t>
            </w:r>
          </w:p>
        </w:tc>
        <w:sdt>
          <w:sdtPr>
            <w:rPr>
              <w:rFonts w:eastAsia="+mn-ea"/>
              <w:bCs/>
              <w:position w:val="1"/>
              <w:sz w:val="24"/>
              <w:szCs w:val="24"/>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5097" w:type="dxa"/>
              </w:tcPr>
              <w:p w14:paraId="2D00159A" w14:textId="4D1F938B" w:rsidR="00FF601B" w:rsidRPr="007F6CCC" w:rsidRDefault="00FF601B" w:rsidP="000B321E">
                <w:pPr>
                  <w:rPr>
                    <w:bCs/>
                    <w:sz w:val="24"/>
                    <w:szCs w:val="24"/>
                  </w:rPr>
                </w:pPr>
                <w:r w:rsidRPr="007F6CCC">
                  <w:rPr>
                    <w:rFonts w:eastAsia="+mn-ea"/>
                    <w:bCs/>
                    <w:position w:val="1"/>
                    <w:sz w:val="24"/>
                    <w:szCs w:val="24"/>
                  </w:rPr>
                  <w:t>Scheduled review (review date reached)</w:t>
                </w:r>
              </w:p>
            </w:tc>
          </w:sdtContent>
        </w:sdt>
      </w:tr>
      <w:tr w:rsidR="007F6CCC" w:rsidRPr="007F6CCC" w14:paraId="54EE1ED1" w14:textId="77777777" w:rsidTr="00FF601B">
        <w:tc>
          <w:tcPr>
            <w:tcW w:w="5097" w:type="dxa"/>
          </w:tcPr>
          <w:p w14:paraId="5C0BA5C9" w14:textId="1432FECD" w:rsidR="00FF601B" w:rsidRPr="007F6CCC" w:rsidRDefault="00FF601B" w:rsidP="000B321E">
            <w:pPr>
              <w:rPr>
                <w:bCs/>
                <w:sz w:val="24"/>
                <w:szCs w:val="24"/>
              </w:rPr>
            </w:pPr>
            <w:r w:rsidRPr="007F6CCC">
              <w:rPr>
                <w:rFonts w:eastAsia="+mn-ea"/>
                <w:bCs/>
                <w:position w:val="1"/>
                <w:sz w:val="24"/>
                <w:szCs w:val="24"/>
              </w:rPr>
              <w:t>Iteration</w:t>
            </w:r>
          </w:p>
        </w:tc>
        <w:sdt>
          <w:sdtPr>
            <w:rPr>
              <w:rFonts w:eastAsia="+mn-ea"/>
              <w:bCs/>
              <w:position w:val="1"/>
              <w:sz w:val="24"/>
              <w:szCs w:val="24"/>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5097" w:type="dxa"/>
              </w:tcPr>
              <w:p w14:paraId="45E3F300" w14:textId="1A909084" w:rsidR="00FF601B" w:rsidRPr="007F6CCC" w:rsidRDefault="00FF601B" w:rsidP="000B321E">
                <w:pPr>
                  <w:rPr>
                    <w:bCs/>
                    <w:sz w:val="24"/>
                    <w:szCs w:val="24"/>
                  </w:rPr>
                </w:pPr>
                <w:r w:rsidRPr="007F6CCC">
                  <w:rPr>
                    <w:rFonts w:eastAsia="+mn-ea"/>
                    <w:bCs/>
                    <w:position w:val="1"/>
                    <w:sz w:val="24"/>
                    <w:szCs w:val="24"/>
                  </w:rPr>
                  <w:t>1st MRG meeting</w:t>
                </w:r>
              </w:p>
            </w:tc>
          </w:sdtContent>
        </w:sdt>
      </w:tr>
    </w:tbl>
    <w:p w14:paraId="1075F92D" w14:textId="65F952DB" w:rsidR="00FF601B" w:rsidRPr="007F6CCC" w:rsidRDefault="00FF601B" w:rsidP="000B321E">
      <w:pPr>
        <w:rPr>
          <w:bCs/>
          <w:sz w:val="24"/>
          <w:szCs w:val="24"/>
        </w:rPr>
      </w:pPr>
    </w:p>
    <w:p w14:paraId="28EC8B21" w14:textId="7180FB17" w:rsidR="00FF601B" w:rsidRPr="007F6CCC" w:rsidRDefault="00FF601B" w:rsidP="000B321E">
      <w:pPr>
        <w:rPr>
          <w:rFonts w:eastAsia="+mn-ea"/>
          <w:bCs/>
          <w:position w:val="1"/>
          <w:sz w:val="24"/>
          <w:szCs w:val="24"/>
        </w:rPr>
      </w:pPr>
      <w:r w:rsidRPr="007F6CCC">
        <w:rPr>
          <w:rFonts w:eastAsia="+mn-ea"/>
          <w:bCs/>
          <w:position w:val="1"/>
          <w:sz w:val="24"/>
          <w:szCs w:val="24"/>
        </w:rPr>
        <w:t>Summary Recommendation to Applicant:</w:t>
      </w:r>
    </w:p>
    <w:p w14:paraId="7C2D9916" w14:textId="7C56EB62" w:rsidR="00FF601B" w:rsidRPr="007F6CCC" w:rsidRDefault="00FF601B" w:rsidP="000B321E">
      <w:pPr>
        <w:rPr>
          <w:rFonts w:eastAsia="+mn-ea"/>
          <w:bCs/>
          <w:position w:val="1"/>
          <w:sz w:val="24"/>
          <w:szCs w:val="24"/>
        </w:rPr>
      </w:pPr>
    </w:p>
    <w:p w14:paraId="2D90FB53" w14:textId="33C4ED63" w:rsidR="00FF601B" w:rsidRPr="007F6CCC" w:rsidRDefault="00FF601B" w:rsidP="000B321E">
      <w:pPr>
        <w:rPr>
          <w:bCs/>
          <w:sz w:val="24"/>
          <w:szCs w:val="24"/>
          <w:lang w:eastAsia="en-GB"/>
        </w:rPr>
      </w:pPr>
      <w:r w:rsidRPr="007F6CCC">
        <w:rPr>
          <w:bCs/>
          <w:sz w:val="24"/>
          <w:szCs w:val="24"/>
          <w:lang w:eastAsia="en-GB"/>
        </w:rPr>
        <w:t>The indicator is recommended to IGB as being fit for use against pending a response to the minor points of clarification discussed in the MRG meeting 8/9/16 (detailed in the appraisal log below)</w:t>
      </w:r>
    </w:p>
    <w:p w14:paraId="24D3AE5B" w14:textId="67D4A628" w:rsidR="00FF601B" w:rsidRPr="007F6CCC" w:rsidRDefault="00FF601B" w:rsidP="000B321E">
      <w:pPr>
        <w:rPr>
          <w:bCs/>
          <w:sz w:val="24"/>
          <w:szCs w:val="24"/>
          <w:lang w:eastAsia="en-GB"/>
        </w:rPr>
      </w:pPr>
    </w:p>
    <w:p w14:paraId="386CE68B" w14:textId="3DC07630" w:rsidR="00FF601B" w:rsidRPr="007F6CCC" w:rsidRDefault="00FF601B" w:rsidP="00FF601B">
      <w:pPr>
        <w:rPr>
          <w:rFonts w:eastAsia="+mn-ea"/>
          <w:bCs/>
          <w:position w:val="1"/>
          <w:sz w:val="24"/>
          <w:szCs w:val="24"/>
        </w:rPr>
      </w:pPr>
      <w:r w:rsidRPr="007F6CCC">
        <w:rPr>
          <w:rFonts w:eastAsia="+mn-ea"/>
          <w:bCs/>
          <w:position w:val="1"/>
          <w:sz w:val="24"/>
          <w:szCs w:val="24"/>
        </w:rPr>
        <w:t>Summary Recommendation to IGB:</w:t>
      </w:r>
    </w:p>
    <w:p w14:paraId="1B82D3A0" w14:textId="04FD5FD8" w:rsidR="00FF601B" w:rsidRPr="007F6CCC" w:rsidRDefault="00FF601B" w:rsidP="00FF601B">
      <w:pPr>
        <w:rPr>
          <w:rFonts w:eastAsia="+mn-ea"/>
          <w:bCs/>
          <w:position w:val="1"/>
          <w:sz w:val="24"/>
          <w:szCs w:val="24"/>
        </w:rPr>
      </w:pPr>
    </w:p>
    <w:p w14:paraId="07529639" w14:textId="2D26B698" w:rsidR="00FF601B" w:rsidRPr="007F6CCC" w:rsidRDefault="00FF601B" w:rsidP="00FF601B">
      <w:pPr>
        <w:rPr>
          <w:rFonts w:eastAsia="+mn-ea"/>
          <w:bCs/>
          <w:position w:val="1"/>
          <w:sz w:val="24"/>
          <w:szCs w:val="24"/>
        </w:rPr>
      </w:pPr>
      <w:r w:rsidRPr="007F6CCC">
        <w:rPr>
          <w:bCs/>
          <w:sz w:val="24"/>
          <w:szCs w:val="24"/>
          <w:lang w:eastAsia="en-GB"/>
        </w:rPr>
        <w:t>The indicator is recommended to IGB as being fit for use against the assessment criteria and therefore suitable for inclusion in the Library of Quality Assured Indicators.</w:t>
      </w:r>
      <w:r w:rsidRPr="007F6CCC">
        <w:rPr>
          <w:bCs/>
          <w:sz w:val="24"/>
          <w:szCs w:val="24"/>
          <w:lang w:eastAsia="en-GB"/>
        </w:rPr>
        <w:br/>
      </w:r>
    </w:p>
    <w:p w14:paraId="1006BD72" w14:textId="40FD09FF" w:rsidR="00FF601B" w:rsidRPr="007F6CCC" w:rsidRDefault="00FF601B" w:rsidP="000B321E">
      <w:pPr>
        <w:rPr>
          <w:bCs/>
          <w:sz w:val="24"/>
          <w:szCs w:val="24"/>
          <w:lang w:eastAsia="en-GB"/>
        </w:rPr>
      </w:pPr>
      <w:r w:rsidRPr="007F6CCC">
        <w:rPr>
          <w:bCs/>
          <w:sz w:val="24"/>
          <w:szCs w:val="24"/>
          <w:lang w:eastAsia="en-GB"/>
        </w:rPr>
        <w:t>It is noted that MRG has not conducted assurance of the ONS methodology for calculating  life expectancy but has considered (and accepted) its appropriateness as a “building block” as part of the assurance of this indicator</w:t>
      </w:r>
      <w:r w:rsidR="007F6CCC" w:rsidRPr="007F6CCC">
        <w:rPr>
          <w:bCs/>
          <w:sz w:val="24"/>
          <w:szCs w:val="24"/>
          <w:lang w:eastAsia="en-GB"/>
        </w:rPr>
        <w:t>.</w:t>
      </w:r>
    </w:p>
    <w:p w14:paraId="46754238" w14:textId="3C8E73CD" w:rsidR="007F6CCC" w:rsidRPr="007F6CCC" w:rsidRDefault="000F013F" w:rsidP="000B321E">
      <w:pPr>
        <w:rPr>
          <w:bCs/>
          <w:sz w:val="24"/>
          <w:szCs w:val="24"/>
          <w:lang w:eastAsia="en-GB"/>
        </w:rPr>
      </w:pPr>
      <w:r w:rsidRPr="00C66B86">
        <w:rPr>
          <w:b/>
          <w:sz w:val="24"/>
          <w:szCs w:val="24"/>
        </w:rPr>
        <w:t>Clarity</w:t>
      </w:r>
    </w:p>
    <w:tbl>
      <w:tblPr>
        <w:tblStyle w:val="TableGrid"/>
        <w:tblW w:w="0" w:type="auto"/>
        <w:tblLook w:val="04A0" w:firstRow="1" w:lastRow="0" w:firstColumn="1" w:lastColumn="0" w:noHBand="0" w:noVBand="1"/>
      </w:tblPr>
      <w:tblGrid>
        <w:gridCol w:w="1223"/>
        <w:gridCol w:w="2150"/>
        <w:gridCol w:w="1326"/>
        <w:gridCol w:w="1411"/>
        <w:gridCol w:w="1411"/>
        <w:gridCol w:w="1388"/>
        <w:gridCol w:w="1285"/>
      </w:tblGrid>
      <w:tr w:rsidR="007F6CCC" w:rsidRPr="007F6CCC" w14:paraId="35D22974" w14:textId="77777777" w:rsidTr="000F013F">
        <w:tc>
          <w:tcPr>
            <w:tcW w:w="1223" w:type="dxa"/>
          </w:tcPr>
          <w:p w14:paraId="3D9538A4" w14:textId="3203BD1D" w:rsidR="007F6CCC" w:rsidRPr="00C66B86" w:rsidRDefault="007F6CCC" w:rsidP="000B321E">
            <w:pPr>
              <w:rPr>
                <w:b/>
                <w:sz w:val="24"/>
                <w:szCs w:val="24"/>
              </w:rPr>
            </w:pPr>
            <w:r w:rsidRPr="00C66B86">
              <w:rPr>
                <w:b/>
                <w:sz w:val="24"/>
                <w:szCs w:val="24"/>
              </w:rPr>
              <w:t>Rec. no</w:t>
            </w:r>
          </w:p>
        </w:tc>
        <w:tc>
          <w:tcPr>
            <w:tcW w:w="2150" w:type="dxa"/>
          </w:tcPr>
          <w:p w14:paraId="20AABAA1" w14:textId="4327A61D" w:rsidR="007F6CCC" w:rsidRPr="00C66B86" w:rsidRDefault="007F6CCC" w:rsidP="000B321E">
            <w:pPr>
              <w:rPr>
                <w:b/>
                <w:sz w:val="24"/>
                <w:szCs w:val="24"/>
              </w:rPr>
            </w:pPr>
            <w:r w:rsidRPr="00C66B86">
              <w:rPr>
                <w:b/>
                <w:sz w:val="24"/>
                <w:szCs w:val="24"/>
              </w:rPr>
              <w:t>Issue or recommendation</w:t>
            </w:r>
          </w:p>
        </w:tc>
        <w:tc>
          <w:tcPr>
            <w:tcW w:w="1326" w:type="dxa"/>
          </w:tcPr>
          <w:p w14:paraId="50C67E2A" w14:textId="292EC9C8" w:rsidR="007F6CCC" w:rsidRPr="00C66B86" w:rsidRDefault="007F6CCC" w:rsidP="000B321E">
            <w:pPr>
              <w:rPr>
                <w:b/>
                <w:sz w:val="24"/>
                <w:szCs w:val="24"/>
              </w:rPr>
            </w:pPr>
            <w:r w:rsidRPr="00C66B86">
              <w:rPr>
                <w:b/>
                <w:sz w:val="24"/>
                <w:szCs w:val="24"/>
              </w:rPr>
              <w:t>Raised by / Date</w:t>
            </w:r>
          </w:p>
        </w:tc>
        <w:tc>
          <w:tcPr>
            <w:tcW w:w="1411" w:type="dxa"/>
          </w:tcPr>
          <w:p w14:paraId="69E2FCA1" w14:textId="2C29EA9A" w:rsidR="007F6CCC" w:rsidRPr="00C66B86" w:rsidRDefault="007F6CCC" w:rsidP="000B321E">
            <w:pPr>
              <w:rPr>
                <w:b/>
                <w:sz w:val="24"/>
                <w:szCs w:val="24"/>
              </w:rPr>
            </w:pPr>
            <w:r w:rsidRPr="00C66B86">
              <w:rPr>
                <w:b/>
                <w:sz w:val="24"/>
                <w:szCs w:val="24"/>
              </w:rPr>
              <w:t>Response or Action taken by applicant</w:t>
            </w:r>
          </w:p>
        </w:tc>
        <w:tc>
          <w:tcPr>
            <w:tcW w:w="1411" w:type="dxa"/>
          </w:tcPr>
          <w:p w14:paraId="4402917E" w14:textId="2E643561" w:rsidR="007F6CCC" w:rsidRPr="00C66B86" w:rsidRDefault="007F6CCC" w:rsidP="000B321E">
            <w:pPr>
              <w:rPr>
                <w:b/>
                <w:sz w:val="24"/>
                <w:szCs w:val="24"/>
              </w:rPr>
            </w:pPr>
            <w:r w:rsidRPr="00C66B86">
              <w:rPr>
                <w:b/>
                <w:sz w:val="24"/>
                <w:szCs w:val="24"/>
              </w:rPr>
              <w:t>Response date</w:t>
            </w:r>
          </w:p>
        </w:tc>
        <w:tc>
          <w:tcPr>
            <w:tcW w:w="1388" w:type="dxa"/>
          </w:tcPr>
          <w:p w14:paraId="319462EB" w14:textId="78CACE4E" w:rsidR="007F6CCC" w:rsidRPr="00C66B86" w:rsidRDefault="007F6CCC" w:rsidP="000B321E">
            <w:pPr>
              <w:rPr>
                <w:b/>
                <w:sz w:val="24"/>
                <w:szCs w:val="24"/>
              </w:rPr>
            </w:pPr>
            <w:r w:rsidRPr="00C66B86">
              <w:rPr>
                <w:b/>
                <w:sz w:val="24"/>
                <w:szCs w:val="24"/>
              </w:rPr>
              <w:t>Resolved</w:t>
            </w:r>
          </w:p>
        </w:tc>
        <w:tc>
          <w:tcPr>
            <w:tcW w:w="1285" w:type="dxa"/>
          </w:tcPr>
          <w:p w14:paraId="24A3AA8A" w14:textId="5E2D2C6B" w:rsidR="007F6CCC" w:rsidRPr="00C66B86" w:rsidRDefault="007F6CCC" w:rsidP="000B321E">
            <w:pPr>
              <w:rPr>
                <w:b/>
                <w:sz w:val="24"/>
                <w:szCs w:val="24"/>
              </w:rPr>
            </w:pPr>
            <w:r w:rsidRPr="00C66B86">
              <w:rPr>
                <w:b/>
                <w:sz w:val="24"/>
                <w:szCs w:val="24"/>
              </w:rPr>
              <w:t>Sign off by / Date</w:t>
            </w:r>
          </w:p>
        </w:tc>
      </w:tr>
      <w:tr w:rsidR="007F6CCC" w:rsidRPr="007F6CCC" w14:paraId="540A7C80" w14:textId="77777777" w:rsidTr="000F013F">
        <w:tc>
          <w:tcPr>
            <w:tcW w:w="1223" w:type="dxa"/>
          </w:tcPr>
          <w:p w14:paraId="5A8D1F41" w14:textId="77777777" w:rsidR="007F6CCC" w:rsidRPr="007F6CCC" w:rsidRDefault="007F6CCC" w:rsidP="000B321E">
            <w:pPr>
              <w:rPr>
                <w:bCs/>
                <w:sz w:val="24"/>
                <w:szCs w:val="24"/>
              </w:rPr>
            </w:pPr>
          </w:p>
        </w:tc>
        <w:tc>
          <w:tcPr>
            <w:tcW w:w="2150" w:type="dxa"/>
          </w:tcPr>
          <w:p w14:paraId="72F4F1D4" w14:textId="77777777" w:rsidR="007F6CCC" w:rsidRPr="007F6CCC" w:rsidRDefault="007F6CCC" w:rsidP="000B321E">
            <w:pPr>
              <w:rPr>
                <w:bCs/>
                <w:sz w:val="24"/>
                <w:szCs w:val="24"/>
              </w:rPr>
            </w:pPr>
          </w:p>
        </w:tc>
        <w:tc>
          <w:tcPr>
            <w:tcW w:w="1326" w:type="dxa"/>
          </w:tcPr>
          <w:p w14:paraId="39EE3D77" w14:textId="77777777" w:rsidR="007F6CCC" w:rsidRPr="007F6CCC" w:rsidRDefault="007F6CCC" w:rsidP="000B321E">
            <w:pPr>
              <w:rPr>
                <w:bCs/>
                <w:sz w:val="24"/>
                <w:szCs w:val="24"/>
              </w:rPr>
            </w:pPr>
          </w:p>
        </w:tc>
        <w:tc>
          <w:tcPr>
            <w:tcW w:w="1411" w:type="dxa"/>
          </w:tcPr>
          <w:p w14:paraId="03B8C3FE" w14:textId="77777777" w:rsidR="007F6CCC" w:rsidRPr="007F6CCC" w:rsidRDefault="007F6CCC" w:rsidP="000B321E">
            <w:pPr>
              <w:rPr>
                <w:bCs/>
                <w:sz w:val="24"/>
                <w:szCs w:val="24"/>
              </w:rPr>
            </w:pPr>
          </w:p>
        </w:tc>
        <w:tc>
          <w:tcPr>
            <w:tcW w:w="1411" w:type="dxa"/>
          </w:tcPr>
          <w:p w14:paraId="62439EDE" w14:textId="77777777" w:rsidR="007F6CCC" w:rsidRPr="007F6CCC" w:rsidRDefault="007F6CCC" w:rsidP="000B321E">
            <w:pPr>
              <w:rPr>
                <w:bCs/>
                <w:sz w:val="24"/>
                <w:szCs w:val="24"/>
              </w:rPr>
            </w:pPr>
          </w:p>
        </w:tc>
        <w:tc>
          <w:tcPr>
            <w:tcW w:w="1388" w:type="dxa"/>
          </w:tcPr>
          <w:p w14:paraId="5732A24F" w14:textId="77777777" w:rsidR="007F6CCC" w:rsidRPr="007F6CCC" w:rsidRDefault="007F6CCC" w:rsidP="000B321E">
            <w:pPr>
              <w:rPr>
                <w:bCs/>
                <w:sz w:val="24"/>
                <w:szCs w:val="24"/>
              </w:rPr>
            </w:pPr>
          </w:p>
        </w:tc>
        <w:tc>
          <w:tcPr>
            <w:tcW w:w="1285" w:type="dxa"/>
          </w:tcPr>
          <w:p w14:paraId="4C898D9C" w14:textId="77777777" w:rsidR="007F6CCC" w:rsidRPr="007F6CCC" w:rsidRDefault="007F6CCC" w:rsidP="000B321E">
            <w:pPr>
              <w:rPr>
                <w:bCs/>
                <w:sz w:val="24"/>
                <w:szCs w:val="24"/>
              </w:rPr>
            </w:pPr>
          </w:p>
        </w:tc>
      </w:tr>
    </w:tbl>
    <w:p w14:paraId="3FFD61DB" w14:textId="074B4933" w:rsidR="000F013F" w:rsidRDefault="000F013F">
      <w:r w:rsidRPr="00C66B86">
        <w:rPr>
          <w:b/>
          <w:sz w:val="24"/>
          <w:szCs w:val="24"/>
        </w:rPr>
        <w:t>Rationale</w:t>
      </w:r>
    </w:p>
    <w:tbl>
      <w:tblPr>
        <w:tblStyle w:val="TableGrid"/>
        <w:tblW w:w="0" w:type="auto"/>
        <w:tblLook w:val="04A0" w:firstRow="1" w:lastRow="0" w:firstColumn="1" w:lastColumn="0" w:noHBand="0" w:noVBand="1"/>
      </w:tblPr>
      <w:tblGrid>
        <w:gridCol w:w="1223"/>
        <w:gridCol w:w="2150"/>
        <w:gridCol w:w="1326"/>
        <w:gridCol w:w="1411"/>
        <w:gridCol w:w="1411"/>
        <w:gridCol w:w="1388"/>
        <w:gridCol w:w="1285"/>
      </w:tblGrid>
      <w:tr w:rsidR="007F6CCC" w:rsidRPr="007F6CCC" w14:paraId="728B461F" w14:textId="77777777" w:rsidTr="000F013F">
        <w:tc>
          <w:tcPr>
            <w:tcW w:w="1223" w:type="dxa"/>
          </w:tcPr>
          <w:p w14:paraId="7EB75CB0" w14:textId="48363388" w:rsidR="007F6CCC" w:rsidRPr="00C66B86" w:rsidRDefault="007F6CCC" w:rsidP="007F6CCC">
            <w:pPr>
              <w:rPr>
                <w:b/>
                <w:sz w:val="24"/>
                <w:szCs w:val="24"/>
              </w:rPr>
            </w:pPr>
            <w:r w:rsidRPr="00C66B86">
              <w:rPr>
                <w:b/>
                <w:sz w:val="24"/>
                <w:szCs w:val="24"/>
              </w:rPr>
              <w:lastRenderedPageBreak/>
              <w:t>Rec. no</w:t>
            </w:r>
          </w:p>
        </w:tc>
        <w:tc>
          <w:tcPr>
            <w:tcW w:w="2150" w:type="dxa"/>
          </w:tcPr>
          <w:p w14:paraId="5B6BBD4D" w14:textId="6263CA7C" w:rsidR="007F6CCC" w:rsidRPr="00C66B86" w:rsidRDefault="007F6CCC" w:rsidP="007F6CCC">
            <w:pPr>
              <w:rPr>
                <w:b/>
                <w:sz w:val="24"/>
                <w:szCs w:val="24"/>
              </w:rPr>
            </w:pPr>
            <w:r w:rsidRPr="00C66B86">
              <w:rPr>
                <w:b/>
                <w:sz w:val="24"/>
                <w:szCs w:val="24"/>
              </w:rPr>
              <w:t>Issue or recommendation</w:t>
            </w:r>
          </w:p>
        </w:tc>
        <w:tc>
          <w:tcPr>
            <w:tcW w:w="1326" w:type="dxa"/>
          </w:tcPr>
          <w:p w14:paraId="4F4A2C6E" w14:textId="295BEE56" w:rsidR="007F6CCC" w:rsidRPr="00C66B86" w:rsidRDefault="007F6CCC" w:rsidP="007F6CCC">
            <w:pPr>
              <w:rPr>
                <w:b/>
                <w:sz w:val="24"/>
                <w:szCs w:val="24"/>
              </w:rPr>
            </w:pPr>
            <w:r w:rsidRPr="00C66B86">
              <w:rPr>
                <w:b/>
                <w:sz w:val="24"/>
                <w:szCs w:val="24"/>
              </w:rPr>
              <w:t>Raised by / Date</w:t>
            </w:r>
          </w:p>
        </w:tc>
        <w:tc>
          <w:tcPr>
            <w:tcW w:w="1411" w:type="dxa"/>
          </w:tcPr>
          <w:p w14:paraId="6B9762A8" w14:textId="46D31350" w:rsidR="007F6CCC" w:rsidRPr="00C66B86" w:rsidRDefault="007F6CCC" w:rsidP="007F6CCC">
            <w:pPr>
              <w:rPr>
                <w:b/>
                <w:sz w:val="24"/>
                <w:szCs w:val="24"/>
              </w:rPr>
            </w:pPr>
            <w:r w:rsidRPr="00C66B86">
              <w:rPr>
                <w:b/>
                <w:sz w:val="24"/>
                <w:szCs w:val="24"/>
              </w:rPr>
              <w:t>Response or Action taken by applicant</w:t>
            </w:r>
          </w:p>
        </w:tc>
        <w:tc>
          <w:tcPr>
            <w:tcW w:w="1411" w:type="dxa"/>
          </w:tcPr>
          <w:p w14:paraId="29B0BA0C" w14:textId="2A98B523" w:rsidR="007F6CCC" w:rsidRPr="00C66B86" w:rsidRDefault="007F6CCC" w:rsidP="007F6CCC">
            <w:pPr>
              <w:rPr>
                <w:b/>
                <w:sz w:val="24"/>
                <w:szCs w:val="24"/>
              </w:rPr>
            </w:pPr>
            <w:r w:rsidRPr="00C66B86">
              <w:rPr>
                <w:b/>
                <w:sz w:val="24"/>
                <w:szCs w:val="24"/>
              </w:rPr>
              <w:t>Response date</w:t>
            </w:r>
          </w:p>
        </w:tc>
        <w:tc>
          <w:tcPr>
            <w:tcW w:w="1388" w:type="dxa"/>
          </w:tcPr>
          <w:p w14:paraId="7BDE314D" w14:textId="3F69C7B9" w:rsidR="007F6CCC" w:rsidRPr="00C66B86" w:rsidRDefault="007F6CCC" w:rsidP="007F6CCC">
            <w:pPr>
              <w:rPr>
                <w:b/>
                <w:sz w:val="24"/>
                <w:szCs w:val="24"/>
              </w:rPr>
            </w:pPr>
            <w:r w:rsidRPr="00C66B86">
              <w:rPr>
                <w:b/>
                <w:sz w:val="24"/>
                <w:szCs w:val="24"/>
              </w:rPr>
              <w:t>Resolved</w:t>
            </w:r>
          </w:p>
        </w:tc>
        <w:tc>
          <w:tcPr>
            <w:tcW w:w="1285" w:type="dxa"/>
          </w:tcPr>
          <w:p w14:paraId="16165A1A" w14:textId="581FCD09" w:rsidR="007F6CCC" w:rsidRPr="00C66B86" w:rsidRDefault="007F6CCC" w:rsidP="007F6CCC">
            <w:pPr>
              <w:rPr>
                <w:b/>
                <w:sz w:val="24"/>
                <w:szCs w:val="24"/>
              </w:rPr>
            </w:pPr>
            <w:r w:rsidRPr="00C66B86">
              <w:rPr>
                <w:b/>
                <w:sz w:val="24"/>
                <w:szCs w:val="24"/>
              </w:rPr>
              <w:t>Sign off by / Date</w:t>
            </w:r>
          </w:p>
        </w:tc>
      </w:tr>
      <w:tr w:rsidR="007F6CCC" w:rsidRPr="007F6CCC" w14:paraId="7DDAEFF6" w14:textId="77777777" w:rsidTr="000F013F">
        <w:tc>
          <w:tcPr>
            <w:tcW w:w="1223" w:type="dxa"/>
          </w:tcPr>
          <w:p w14:paraId="640E19AE" w14:textId="5752A236" w:rsidR="007F6CCC" w:rsidRPr="007F6CCC" w:rsidRDefault="007F6CCC" w:rsidP="007F6CCC">
            <w:pPr>
              <w:rPr>
                <w:bCs/>
                <w:sz w:val="24"/>
                <w:szCs w:val="24"/>
              </w:rPr>
            </w:pPr>
            <w:r w:rsidRPr="007F6CCC">
              <w:rPr>
                <w:bCs/>
                <w:sz w:val="24"/>
                <w:szCs w:val="24"/>
              </w:rPr>
              <w:t>2a</w:t>
            </w:r>
          </w:p>
        </w:tc>
        <w:tc>
          <w:tcPr>
            <w:tcW w:w="2150" w:type="dxa"/>
          </w:tcPr>
          <w:p w14:paraId="0BFC2352" w14:textId="1825DDE4" w:rsidR="007F6CCC" w:rsidRPr="007F6CCC" w:rsidRDefault="007F6CCC" w:rsidP="007F6CCC">
            <w:pPr>
              <w:rPr>
                <w:bCs/>
                <w:sz w:val="24"/>
                <w:szCs w:val="24"/>
              </w:rPr>
            </w:pPr>
            <w:r w:rsidRPr="007F6CCC">
              <w:rPr>
                <w:bCs/>
                <w:sz w:val="24"/>
                <w:szCs w:val="24"/>
              </w:rPr>
              <w:t>Provide further clarity in the rationale as to why life expectancy at 75 has been chosen for the indicator, rather than 60 or 65 for example</w:t>
            </w:r>
          </w:p>
        </w:tc>
        <w:tc>
          <w:tcPr>
            <w:tcW w:w="1326" w:type="dxa"/>
          </w:tcPr>
          <w:p w14:paraId="7FBE395C" w14:textId="77777777" w:rsidR="007F6CCC" w:rsidRPr="007F6CCC" w:rsidRDefault="007F6CCC" w:rsidP="007F6CCC">
            <w:pPr>
              <w:rPr>
                <w:bCs/>
                <w:sz w:val="24"/>
                <w:szCs w:val="24"/>
              </w:rPr>
            </w:pPr>
            <w:r w:rsidRPr="007F6CCC">
              <w:rPr>
                <w:bCs/>
                <w:sz w:val="24"/>
                <w:szCs w:val="24"/>
              </w:rPr>
              <w:t>MRG</w:t>
            </w:r>
          </w:p>
          <w:p w14:paraId="62E3C4F9" w14:textId="3FAB6DD7" w:rsidR="007F6CCC" w:rsidRPr="007F6CCC" w:rsidRDefault="007F6CCC" w:rsidP="007F6CCC">
            <w:pPr>
              <w:rPr>
                <w:bCs/>
                <w:sz w:val="24"/>
                <w:szCs w:val="24"/>
              </w:rPr>
            </w:pPr>
            <w:r w:rsidRPr="007F6CCC">
              <w:rPr>
                <w:bCs/>
                <w:sz w:val="24"/>
                <w:szCs w:val="24"/>
              </w:rPr>
              <w:t>08/09/16</w:t>
            </w:r>
          </w:p>
        </w:tc>
        <w:tc>
          <w:tcPr>
            <w:tcW w:w="1411" w:type="dxa"/>
          </w:tcPr>
          <w:p w14:paraId="57086989" w14:textId="2EA1AED8" w:rsidR="007F6CCC" w:rsidRPr="007F6CCC" w:rsidRDefault="007F6CCC" w:rsidP="007F6CCC">
            <w:pPr>
              <w:rPr>
                <w:bCs/>
                <w:sz w:val="24"/>
                <w:szCs w:val="24"/>
              </w:rPr>
            </w:pPr>
            <w:r w:rsidRPr="007F6CCC">
              <w:rPr>
                <w:bCs/>
                <w:sz w:val="24"/>
                <w:szCs w:val="24"/>
              </w:rPr>
              <w:t>Section 2.1 updated</w:t>
            </w:r>
          </w:p>
        </w:tc>
        <w:tc>
          <w:tcPr>
            <w:tcW w:w="1411" w:type="dxa"/>
          </w:tcPr>
          <w:p w14:paraId="78C587E1" w14:textId="0BBD50DD" w:rsidR="007F6CCC" w:rsidRPr="007F6CCC" w:rsidRDefault="007F6CCC" w:rsidP="007F6CCC">
            <w:pPr>
              <w:rPr>
                <w:bCs/>
                <w:sz w:val="24"/>
                <w:szCs w:val="24"/>
              </w:rPr>
            </w:pPr>
            <w:r w:rsidRPr="007F6CCC">
              <w:rPr>
                <w:bCs/>
                <w:sz w:val="24"/>
                <w:szCs w:val="24"/>
              </w:rPr>
              <w:t>2016-09-26</w:t>
            </w:r>
          </w:p>
        </w:tc>
        <w:sdt>
          <w:sdtPr>
            <w:rPr>
              <w:bCs/>
              <w:sz w:val="24"/>
              <w:szCs w:val="24"/>
            </w:rPr>
            <w:id w:val="1733420856"/>
            <w14:checkbox>
              <w14:checked w14:val="1"/>
              <w14:checkedState w14:val="2612" w14:font="MS Gothic"/>
              <w14:uncheckedState w14:val="2610" w14:font="MS Gothic"/>
            </w14:checkbox>
          </w:sdtPr>
          <w:sdtEndPr/>
          <w:sdtContent>
            <w:tc>
              <w:tcPr>
                <w:tcW w:w="1388" w:type="dxa"/>
              </w:tcPr>
              <w:p w14:paraId="4CFABE25" w14:textId="78D3F131" w:rsidR="007F6CCC" w:rsidRPr="007F6CCC" w:rsidRDefault="007F6CCC" w:rsidP="007F6CCC">
                <w:pPr>
                  <w:rPr>
                    <w:bCs/>
                    <w:sz w:val="24"/>
                    <w:szCs w:val="24"/>
                  </w:rPr>
                </w:pPr>
                <w:r w:rsidRPr="007F6CCC">
                  <w:rPr>
                    <w:rFonts w:ascii="Segoe UI Symbol" w:eastAsia="MS Gothic" w:hAnsi="Segoe UI Symbol" w:cs="Segoe UI Symbol"/>
                    <w:bCs/>
                    <w:sz w:val="24"/>
                    <w:szCs w:val="24"/>
                  </w:rPr>
                  <w:t>☒</w:t>
                </w:r>
              </w:p>
            </w:tc>
          </w:sdtContent>
        </w:sdt>
        <w:tc>
          <w:tcPr>
            <w:tcW w:w="1285" w:type="dxa"/>
          </w:tcPr>
          <w:p w14:paraId="4A5D7193" w14:textId="75D8ECDE" w:rsidR="007F6CCC" w:rsidRPr="007F6CCC" w:rsidRDefault="007F6CCC" w:rsidP="007F6CCC">
            <w:pPr>
              <w:rPr>
                <w:bCs/>
                <w:sz w:val="24"/>
                <w:szCs w:val="24"/>
              </w:rPr>
            </w:pPr>
            <w:r w:rsidRPr="007F6CCC">
              <w:rPr>
                <w:bCs/>
                <w:sz w:val="24"/>
                <w:szCs w:val="24"/>
              </w:rPr>
              <w:t>17/10/16 – MRG Chair</w:t>
            </w:r>
          </w:p>
        </w:tc>
      </w:tr>
      <w:tr w:rsidR="007F6CCC" w:rsidRPr="007F6CCC" w14:paraId="4EBA4EEC" w14:textId="77777777" w:rsidTr="000F013F">
        <w:tc>
          <w:tcPr>
            <w:tcW w:w="1223" w:type="dxa"/>
          </w:tcPr>
          <w:p w14:paraId="5334AF38" w14:textId="53008B9A" w:rsidR="007F6CCC" w:rsidRPr="007F6CCC" w:rsidRDefault="007F6CCC" w:rsidP="007F6CCC">
            <w:pPr>
              <w:rPr>
                <w:bCs/>
                <w:sz w:val="24"/>
                <w:szCs w:val="24"/>
              </w:rPr>
            </w:pPr>
            <w:r w:rsidRPr="007F6CCC">
              <w:rPr>
                <w:bCs/>
                <w:sz w:val="24"/>
                <w:szCs w:val="24"/>
              </w:rPr>
              <w:t>2b</w:t>
            </w:r>
          </w:p>
        </w:tc>
        <w:tc>
          <w:tcPr>
            <w:tcW w:w="2150" w:type="dxa"/>
          </w:tcPr>
          <w:p w14:paraId="2732E51E" w14:textId="56F86511" w:rsidR="007F6CCC" w:rsidRPr="007F6CCC" w:rsidRDefault="007F6CCC" w:rsidP="007F6CCC">
            <w:pPr>
              <w:rPr>
                <w:bCs/>
                <w:sz w:val="24"/>
                <w:szCs w:val="24"/>
              </w:rPr>
            </w:pPr>
            <w:r w:rsidRPr="007F6CCC">
              <w:rPr>
                <w:bCs/>
                <w:sz w:val="24"/>
                <w:szCs w:val="24"/>
              </w:rPr>
              <w:t>It would be useful to  clarity  the endorsement provided to the indicator, in particular around the role ONS play as producers of life expectancy data.</w:t>
            </w:r>
          </w:p>
        </w:tc>
        <w:tc>
          <w:tcPr>
            <w:tcW w:w="1326" w:type="dxa"/>
          </w:tcPr>
          <w:p w14:paraId="124A1A04" w14:textId="77777777" w:rsidR="007F6CCC" w:rsidRPr="007F6CCC" w:rsidRDefault="007F6CCC" w:rsidP="007F6CCC">
            <w:pPr>
              <w:rPr>
                <w:bCs/>
                <w:sz w:val="24"/>
                <w:szCs w:val="24"/>
              </w:rPr>
            </w:pPr>
            <w:r w:rsidRPr="007F6CCC">
              <w:rPr>
                <w:bCs/>
                <w:sz w:val="24"/>
                <w:szCs w:val="24"/>
              </w:rPr>
              <w:t>MRG</w:t>
            </w:r>
          </w:p>
          <w:p w14:paraId="668C6758" w14:textId="3FD4C0F4" w:rsidR="007F6CCC" w:rsidRPr="007F6CCC" w:rsidRDefault="007F6CCC" w:rsidP="007F6CCC">
            <w:pPr>
              <w:rPr>
                <w:bCs/>
                <w:sz w:val="24"/>
                <w:szCs w:val="24"/>
              </w:rPr>
            </w:pPr>
            <w:r w:rsidRPr="007F6CCC">
              <w:rPr>
                <w:bCs/>
                <w:sz w:val="24"/>
                <w:szCs w:val="24"/>
              </w:rPr>
              <w:t>08/09/16</w:t>
            </w:r>
          </w:p>
        </w:tc>
        <w:tc>
          <w:tcPr>
            <w:tcW w:w="1411" w:type="dxa"/>
          </w:tcPr>
          <w:p w14:paraId="336584B2" w14:textId="5FFB1EA4" w:rsidR="007F6CCC" w:rsidRPr="007F6CCC" w:rsidRDefault="007F6CCC" w:rsidP="007F6CCC">
            <w:pPr>
              <w:rPr>
                <w:bCs/>
                <w:sz w:val="24"/>
                <w:szCs w:val="24"/>
              </w:rPr>
            </w:pPr>
            <w:r w:rsidRPr="007F6CCC">
              <w:rPr>
                <w:bCs/>
                <w:sz w:val="24"/>
                <w:szCs w:val="24"/>
              </w:rPr>
              <w:t>Section 2.3 updated</w:t>
            </w:r>
          </w:p>
        </w:tc>
        <w:tc>
          <w:tcPr>
            <w:tcW w:w="1411" w:type="dxa"/>
          </w:tcPr>
          <w:p w14:paraId="58A05F74" w14:textId="3FD356CA" w:rsidR="007F6CCC" w:rsidRPr="007F6CCC" w:rsidRDefault="007F6CCC" w:rsidP="007F6CCC">
            <w:pPr>
              <w:rPr>
                <w:bCs/>
                <w:sz w:val="24"/>
                <w:szCs w:val="24"/>
              </w:rPr>
            </w:pPr>
            <w:r w:rsidRPr="007F6CCC">
              <w:rPr>
                <w:bCs/>
                <w:sz w:val="24"/>
                <w:szCs w:val="24"/>
              </w:rPr>
              <w:t>2016-09-26</w:t>
            </w:r>
          </w:p>
        </w:tc>
        <w:sdt>
          <w:sdtPr>
            <w:rPr>
              <w:bCs/>
              <w:sz w:val="24"/>
              <w:szCs w:val="24"/>
            </w:rPr>
            <w:id w:val="964078344"/>
            <w14:checkbox>
              <w14:checked w14:val="1"/>
              <w14:checkedState w14:val="2612" w14:font="MS Gothic"/>
              <w14:uncheckedState w14:val="2610" w14:font="MS Gothic"/>
            </w14:checkbox>
          </w:sdtPr>
          <w:sdtEndPr/>
          <w:sdtContent>
            <w:tc>
              <w:tcPr>
                <w:tcW w:w="1388" w:type="dxa"/>
              </w:tcPr>
              <w:p w14:paraId="1B7AC739" w14:textId="29B55BBA" w:rsidR="007F6CCC" w:rsidRPr="007F6CCC" w:rsidRDefault="007F6CCC" w:rsidP="007F6CCC">
                <w:pPr>
                  <w:rPr>
                    <w:bCs/>
                    <w:sz w:val="24"/>
                    <w:szCs w:val="24"/>
                  </w:rPr>
                </w:pPr>
                <w:r w:rsidRPr="007F6CCC">
                  <w:rPr>
                    <w:rFonts w:ascii="Segoe UI Symbol" w:eastAsia="MS Gothic" w:hAnsi="Segoe UI Symbol" w:cs="Segoe UI Symbol"/>
                    <w:bCs/>
                    <w:sz w:val="24"/>
                    <w:szCs w:val="24"/>
                  </w:rPr>
                  <w:t>☒</w:t>
                </w:r>
              </w:p>
            </w:tc>
          </w:sdtContent>
        </w:sdt>
        <w:tc>
          <w:tcPr>
            <w:tcW w:w="1285" w:type="dxa"/>
          </w:tcPr>
          <w:p w14:paraId="5039A6A1" w14:textId="2D8CA7F8" w:rsidR="007F6CCC" w:rsidRPr="007F6CCC" w:rsidRDefault="007F6CCC" w:rsidP="007F6CCC">
            <w:pPr>
              <w:rPr>
                <w:bCs/>
                <w:sz w:val="24"/>
                <w:szCs w:val="24"/>
              </w:rPr>
            </w:pPr>
            <w:r w:rsidRPr="007F6CCC">
              <w:rPr>
                <w:bCs/>
                <w:sz w:val="24"/>
                <w:szCs w:val="24"/>
              </w:rPr>
              <w:t>17/10/16 – MRG Chair</w:t>
            </w:r>
          </w:p>
        </w:tc>
      </w:tr>
    </w:tbl>
    <w:p w14:paraId="6E43CC37" w14:textId="12AADC95" w:rsidR="000F013F" w:rsidRDefault="000F013F">
      <w:r w:rsidRPr="00C66B86">
        <w:rPr>
          <w:b/>
          <w:sz w:val="24"/>
          <w:szCs w:val="24"/>
        </w:rPr>
        <w:t>Data</w:t>
      </w:r>
    </w:p>
    <w:tbl>
      <w:tblPr>
        <w:tblStyle w:val="TableGrid"/>
        <w:tblW w:w="0" w:type="auto"/>
        <w:tblLook w:val="04A0" w:firstRow="1" w:lastRow="0" w:firstColumn="1" w:lastColumn="0" w:noHBand="0" w:noVBand="1"/>
      </w:tblPr>
      <w:tblGrid>
        <w:gridCol w:w="1223"/>
        <w:gridCol w:w="2150"/>
        <w:gridCol w:w="1326"/>
        <w:gridCol w:w="1411"/>
        <w:gridCol w:w="1411"/>
        <w:gridCol w:w="1388"/>
        <w:gridCol w:w="1285"/>
      </w:tblGrid>
      <w:tr w:rsidR="007F6CCC" w:rsidRPr="007F6CCC" w14:paraId="5FD7B50C" w14:textId="77777777" w:rsidTr="000F013F">
        <w:tc>
          <w:tcPr>
            <w:tcW w:w="1223" w:type="dxa"/>
          </w:tcPr>
          <w:p w14:paraId="0A76396C" w14:textId="5D6B83D1" w:rsidR="007F6CCC" w:rsidRPr="00C66B86" w:rsidRDefault="007F6CCC" w:rsidP="007F6CCC">
            <w:pPr>
              <w:rPr>
                <w:b/>
                <w:sz w:val="24"/>
                <w:szCs w:val="24"/>
              </w:rPr>
            </w:pPr>
            <w:r w:rsidRPr="00C66B86">
              <w:rPr>
                <w:b/>
                <w:sz w:val="24"/>
                <w:szCs w:val="24"/>
              </w:rPr>
              <w:t>Rec. no</w:t>
            </w:r>
          </w:p>
        </w:tc>
        <w:tc>
          <w:tcPr>
            <w:tcW w:w="2150" w:type="dxa"/>
          </w:tcPr>
          <w:p w14:paraId="74859A08" w14:textId="00ACE2D7" w:rsidR="007F6CCC" w:rsidRPr="00C66B86" w:rsidRDefault="007F6CCC" w:rsidP="007F6CCC">
            <w:pPr>
              <w:rPr>
                <w:b/>
                <w:sz w:val="24"/>
                <w:szCs w:val="24"/>
              </w:rPr>
            </w:pPr>
            <w:r w:rsidRPr="00C66B86">
              <w:rPr>
                <w:b/>
                <w:sz w:val="24"/>
                <w:szCs w:val="24"/>
              </w:rPr>
              <w:t>Issue or recommendation</w:t>
            </w:r>
          </w:p>
        </w:tc>
        <w:tc>
          <w:tcPr>
            <w:tcW w:w="1326" w:type="dxa"/>
          </w:tcPr>
          <w:p w14:paraId="44730EC8" w14:textId="0386F387" w:rsidR="007F6CCC" w:rsidRPr="00C66B86" w:rsidRDefault="007F6CCC" w:rsidP="007F6CCC">
            <w:pPr>
              <w:rPr>
                <w:b/>
                <w:sz w:val="24"/>
                <w:szCs w:val="24"/>
              </w:rPr>
            </w:pPr>
            <w:r w:rsidRPr="00C66B86">
              <w:rPr>
                <w:b/>
                <w:sz w:val="24"/>
                <w:szCs w:val="24"/>
              </w:rPr>
              <w:t>Raised by / Date</w:t>
            </w:r>
          </w:p>
        </w:tc>
        <w:tc>
          <w:tcPr>
            <w:tcW w:w="1411" w:type="dxa"/>
          </w:tcPr>
          <w:p w14:paraId="0D0ADB76" w14:textId="6B3935F8" w:rsidR="007F6CCC" w:rsidRPr="00C66B86" w:rsidRDefault="007F6CCC" w:rsidP="007F6CCC">
            <w:pPr>
              <w:rPr>
                <w:b/>
                <w:sz w:val="24"/>
                <w:szCs w:val="24"/>
              </w:rPr>
            </w:pPr>
            <w:r w:rsidRPr="00C66B86">
              <w:rPr>
                <w:b/>
                <w:sz w:val="24"/>
                <w:szCs w:val="24"/>
              </w:rPr>
              <w:t>Response or Action taken by applicant</w:t>
            </w:r>
          </w:p>
        </w:tc>
        <w:tc>
          <w:tcPr>
            <w:tcW w:w="1411" w:type="dxa"/>
          </w:tcPr>
          <w:p w14:paraId="7491F84F" w14:textId="0CD84BB6" w:rsidR="007F6CCC" w:rsidRPr="00C66B86" w:rsidRDefault="007F6CCC" w:rsidP="007F6CCC">
            <w:pPr>
              <w:rPr>
                <w:b/>
                <w:sz w:val="24"/>
                <w:szCs w:val="24"/>
              </w:rPr>
            </w:pPr>
            <w:r w:rsidRPr="00C66B86">
              <w:rPr>
                <w:b/>
                <w:sz w:val="24"/>
                <w:szCs w:val="24"/>
              </w:rPr>
              <w:t>Response date</w:t>
            </w:r>
          </w:p>
        </w:tc>
        <w:tc>
          <w:tcPr>
            <w:tcW w:w="1388" w:type="dxa"/>
          </w:tcPr>
          <w:p w14:paraId="1EEFE29E" w14:textId="60DD4CD2" w:rsidR="007F6CCC" w:rsidRPr="00C66B86" w:rsidRDefault="007F6CCC" w:rsidP="007F6CCC">
            <w:pPr>
              <w:rPr>
                <w:b/>
                <w:sz w:val="24"/>
                <w:szCs w:val="24"/>
              </w:rPr>
            </w:pPr>
            <w:r w:rsidRPr="00C66B86">
              <w:rPr>
                <w:b/>
                <w:sz w:val="24"/>
                <w:szCs w:val="24"/>
              </w:rPr>
              <w:t>Resolved</w:t>
            </w:r>
          </w:p>
        </w:tc>
        <w:tc>
          <w:tcPr>
            <w:tcW w:w="1285" w:type="dxa"/>
          </w:tcPr>
          <w:p w14:paraId="73D57ADF" w14:textId="24D90DF9" w:rsidR="007F6CCC" w:rsidRPr="00C66B86" w:rsidRDefault="007F6CCC" w:rsidP="007F6CCC">
            <w:pPr>
              <w:rPr>
                <w:b/>
                <w:sz w:val="24"/>
                <w:szCs w:val="24"/>
              </w:rPr>
            </w:pPr>
            <w:r w:rsidRPr="00C66B86">
              <w:rPr>
                <w:b/>
                <w:sz w:val="24"/>
                <w:szCs w:val="24"/>
              </w:rPr>
              <w:t>Sign off by / Date</w:t>
            </w:r>
          </w:p>
        </w:tc>
      </w:tr>
      <w:tr w:rsidR="007F6CCC" w:rsidRPr="007F6CCC" w14:paraId="74DC33B5" w14:textId="77777777" w:rsidTr="000F013F">
        <w:tc>
          <w:tcPr>
            <w:tcW w:w="1223" w:type="dxa"/>
          </w:tcPr>
          <w:p w14:paraId="714966E5" w14:textId="77777777" w:rsidR="007F6CCC" w:rsidRPr="007F6CCC" w:rsidRDefault="007F6CCC" w:rsidP="007F6CCC">
            <w:pPr>
              <w:rPr>
                <w:bCs/>
                <w:sz w:val="24"/>
                <w:szCs w:val="24"/>
              </w:rPr>
            </w:pPr>
          </w:p>
        </w:tc>
        <w:tc>
          <w:tcPr>
            <w:tcW w:w="2150" w:type="dxa"/>
          </w:tcPr>
          <w:p w14:paraId="27FD61B8" w14:textId="77777777" w:rsidR="007F6CCC" w:rsidRPr="007F6CCC" w:rsidRDefault="007F6CCC" w:rsidP="007F6CCC">
            <w:pPr>
              <w:rPr>
                <w:bCs/>
                <w:sz w:val="24"/>
                <w:szCs w:val="24"/>
              </w:rPr>
            </w:pPr>
          </w:p>
        </w:tc>
        <w:tc>
          <w:tcPr>
            <w:tcW w:w="1326" w:type="dxa"/>
          </w:tcPr>
          <w:p w14:paraId="3E9A9381" w14:textId="77777777" w:rsidR="007F6CCC" w:rsidRPr="007F6CCC" w:rsidRDefault="007F6CCC" w:rsidP="007F6CCC">
            <w:pPr>
              <w:rPr>
                <w:bCs/>
                <w:sz w:val="24"/>
                <w:szCs w:val="24"/>
              </w:rPr>
            </w:pPr>
          </w:p>
        </w:tc>
        <w:tc>
          <w:tcPr>
            <w:tcW w:w="1411" w:type="dxa"/>
          </w:tcPr>
          <w:p w14:paraId="4B199687" w14:textId="77777777" w:rsidR="007F6CCC" w:rsidRPr="007F6CCC" w:rsidRDefault="007F6CCC" w:rsidP="007F6CCC">
            <w:pPr>
              <w:rPr>
                <w:bCs/>
                <w:sz w:val="24"/>
                <w:szCs w:val="24"/>
              </w:rPr>
            </w:pPr>
          </w:p>
        </w:tc>
        <w:tc>
          <w:tcPr>
            <w:tcW w:w="1411" w:type="dxa"/>
          </w:tcPr>
          <w:p w14:paraId="2FB08AA4" w14:textId="77777777" w:rsidR="007F6CCC" w:rsidRPr="007F6CCC" w:rsidRDefault="007F6CCC" w:rsidP="007F6CCC">
            <w:pPr>
              <w:rPr>
                <w:bCs/>
                <w:sz w:val="24"/>
                <w:szCs w:val="24"/>
              </w:rPr>
            </w:pPr>
          </w:p>
        </w:tc>
        <w:tc>
          <w:tcPr>
            <w:tcW w:w="1388" w:type="dxa"/>
          </w:tcPr>
          <w:p w14:paraId="22C38800" w14:textId="77777777" w:rsidR="007F6CCC" w:rsidRPr="007F6CCC" w:rsidRDefault="007F6CCC" w:rsidP="007F6CCC">
            <w:pPr>
              <w:rPr>
                <w:bCs/>
                <w:sz w:val="24"/>
                <w:szCs w:val="24"/>
              </w:rPr>
            </w:pPr>
          </w:p>
        </w:tc>
        <w:tc>
          <w:tcPr>
            <w:tcW w:w="1285" w:type="dxa"/>
          </w:tcPr>
          <w:p w14:paraId="42453A59" w14:textId="77777777" w:rsidR="007F6CCC" w:rsidRPr="007F6CCC" w:rsidRDefault="007F6CCC" w:rsidP="007F6CCC">
            <w:pPr>
              <w:rPr>
                <w:bCs/>
                <w:sz w:val="24"/>
                <w:szCs w:val="24"/>
              </w:rPr>
            </w:pPr>
          </w:p>
        </w:tc>
      </w:tr>
    </w:tbl>
    <w:p w14:paraId="3FDD06C9" w14:textId="4F75C710" w:rsidR="000F013F" w:rsidRDefault="000F013F">
      <w:r w:rsidRPr="00C66B86">
        <w:rPr>
          <w:b/>
          <w:sz w:val="24"/>
          <w:szCs w:val="24"/>
        </w:rPr>
        <w:t>Construction</w:t>
      </w:r>
    </w:p>
    <w:tbl>
      <w:tblPr>
        <w:tblStyle w:val="TableGrid"/>
        <w:tblW w:w="0" w:type="auto"/>
        <w:tblLook w:val="04A0" w:firstRow="1" w:lastRow="0" w:firstColumn="1" w:lastColumn="0" w:noHBand="0" w:noVBand="1"/>
      </w:tblPr>
      <w:tblGrid>
        <w:gridCol w:w="1223"/>
        <w:gridCol w:w="2150"/>
        <w:gridCol w:w="1326"/>
        <w:gridCol w:w="1411"/>
        <w:gridCol w:w="1411"/>
        <w:gridCol w:w="1388"/>
        <w:gridCol w:w="1285"/>
      </w:tblGrid>
      <w:tr w:rsidR="007F6CCC" w:rsidRPr="007F6CCC" w14:paraId="5B7F80FA" w14:textId="77777777" w:rsidTr="000F013F">
        <w:tc>
          <w:tcPr>
            <w:tcW w:w="1223" w:type="dxa"/>
          </w:tcPr>
          <w:p w14:paraId="0C334955" w14:textId="2F612881" w:rsidR="007F6CCC" w:rsidRPr="00C66B86" w:rsidRDefault="007F6CCC" w:rsidP="007F6CCC">
            <w:pPr>
              <w:rPr>
                <w:b/>
                <w:sz w:val="24"/>
                <w:szCs w:val="24"/>
              </w:rPr>
            </w:pPr>
            <w:r w:rsidRPr="00C66B86">
              <w:rPr>
                <w:b/>
                <w:sz w:val="24"/>
                <w:szCs w:val="24"/>
              </w:rPr>
              <w:t>Rec. no</w:t>
            </w:r>
          </w:p>
        </w:tc>
        <w:tc>
          <w:tcPr>
            <w:tcW w:w="2150" w:type="dxa"/>
          </w:tcPr>
          <w:p w14:paraId="2690FE7F" w14:textId="3D5B9FA0" w:rsidR="007F6CCC" w:rsidRPr="00C66B86" w:rsidRDefault="007F6CCC" w:rsidP="007F6CCC">
            <w:pPr>
              <w:rPr>
                <w:b/>
                <w:sz w:val="24"/>
                <w:szCs w:val="24"/>
              </w:rPr>
            </w:pPr>
            <w:r w:rsidRPr="00C66B86">
              <w:rPr>
                <w:b/>
                <w:sz w:val="24"/>
                <w:szCs w:val="24"/>
              </w:rPr>
              <w:t>Issue or recommendation</w:t>
            </w:r>
          </w:p>
        </w:tc>
        <w:tc>
          <w:tcPr>
            <w:tcW w:w="1326" w:type="dxa"/>
          </w:tcPr>
          <w:p w14:paraId="238025F4" w14:textId="7F0790E4" w:rsidR="007F6CCC" w:rsidRPr="00C66B86" w:rsidRDefault="007F6CCC" w:rsidP="007F6CCC">
            <w:pPr>
              <w:rPr>
                <w:b/>
                <w:sz w:val="24"/>
                <w:szCs w:val="24"/>
              </w:rPr>
            </w:pPr>
            <w:r w:rsidRPr="00C66B86">
              <w:rPr>
                <w:b/>
                <w:sz w:val="24"/>
                <w:szCs w:val="24"/>
              </w:rPr>
              <w:t>Raised by / Date</w:t>
            </w:r>
          </w:p>
        </w:tc>
        <w:tc>
          <w:tcPr>
            <w:tcW w:w="1411" w:type="dxa"/>
          </w:tcPr>
          <w:p w14:paraId="063CD6FD" w14:textId="604E7DE0" w:rsidR="007F6CCC" w:rsidRPr="00C66B86" w:rsidRDefault="007F6CCC" w:rsidP="007F6CCC">
            <w:pPr>
              <w:rPr>
                <w:b/>
                <w:sz w:val="24"/>
                <w:szCs w:val="24"/>
              </w:rPr>
            </w:pPr>
            <w:r w:rsidRPr="00C66B86">
              <w:rPr>
                <w:b/>
                <w:sz w:val="24"/>
                <w:szCs w:val="24"/>
              </w:rPr>
              <w:t>Response or Action taken by applicant</w:t>
            </w:r>
          </w:p>
        </w:tc>
        <w:tc>
          <w:tcPr>
            <w:tcW w:w="1411" w:type="dxa"/>
          </w:tcPr>
          <w:p w14:paraId="6710571D" w14:textId="3E3FEEBD" w:rsidR="007F6CCC" w:rsidRPr="00C66B86" w:rsidRDefault="007F6CCC" w:rsidP="007F6CCC">
            <w:pPr>
              <w:rPr>
                <w:b/>
                <w:sz w:val="24"/>
                <w:szCs w:val="24"/>
              </w:rPr>
            </w:pPr>
            <w:r w:rsidRPr="00C66B86">
              <w:rPr>
                <w:b/>
                <w:sz w:val="24"/>
                <w:szCs w:val="24"/>
              </w:rPr>
              <w:t>Response date</w:t>
            </w:r>
          </w:p>
        </w:tc>
        <w:tc>
          <w:tcPr>
            <w:tcW w:w="1388" w:type="dxa"/>
          </w:tcPr>
          <w:p w14:paraId="78EADE01" w14:textId="35B6A5DF" w:rsidR="007F6CCC" w:rsidRPr="00C66B86" w:rsidRDefault="007F6CCC" w:rsidP="007F6CCC">
            <w:pPr>
              <w:rPr>
                <w:b/>
                <w:sz w:val="24"/>
                <w:szCs w:val="24"/>
              </w:rPr>
            </w:pPr>
            <w:r w:rsidRPr="00C66B86">
              <w:rPr>
                <w:b/>
                <w:sz w:val="24"/>
                <w:szCs w:val="24"/>
              </w:rPr>
              <w:t>Resolved</w:t>
            </w:r>
          </w:p>
        </w:tc>
        <w:tc>
          <w:tcPr>
            <w:tcW w:w="1285" w:type="dxa"/>
          </w:tcPr>
          <w:p w14:paraId="6553D0D6" w14:textId="3B06345A" w:rsidR="007F6CCC" w:rsidRPr="00C66B86" w:rsidRDefault="007F6CCC" w:rsidP="007F6CCC">
            <w:pPr>
              <w:rPr>
                <w:b/>
                <w:sz w:val="24"/>
                <w:szCs w:val="24"/>
              </w:rPr>
            </w:pPr>
            <w:r w:rsidRPr="00C66B86">
              <w:rPr>
                <w:b/>
                <w:sz w:val="24"/>
                <w:szCs w:val="24"/>
              </w:rPr>
              <w:t>Sign off by / Date</w:t>
            </w:r>
          </w:p>
        </w:tc>
      </w:tr>
      <w:tr w:rsidR="007F6CCC" w:rsidRPr="007F6CCC" w14:paraId="68B726C7" w14:textId="77777777" w:rsidTr="000F013F">
        <w:tc>
          <w:tcPr>
            <w:tcW w:w="1223" w:type="dxa"/>
          </w:tcPr>
          <w:p w14:paraId="4583CB7D" w14:textId="0D28BDD7" w:rsidR="007F6CCC" w:rsidRPr="007F6CCC" w:rsidRDefault="007F6CCC" w:rsidP="007F6CCC">
            <w:pPr>
              <w:rPr>
                <w:bCs/>
                <w:sz w:val="24"/>
                <w:szCs w:val="24"/>
              </w:rPr>
            </w:pPr>
            <w:r w:rsidRPr="007F6CCC">
              <w:rPr>
                <w:bCs/>
                <w:sz w:val="24"/>
                <w:szCs w:val="24"/>
              </w:rPr>
              <w:t>4a</w:t>
            </w:r>
          </w:p>
        </w:tc>
        <w:tc>
          <w:tcPr>
            <w:tcW w:w="2150" w:type="dxa"/>
          </w:tcPr>
          <w:p w14:paraId="6F07A271" w14:textId="77777777" w:rsidR="007F6CCC" w:rsidRPr="007F6CCC" w:rsidRDefault="007F6CCC" w:rsidP="007F6CCC">
            <w:pPr>
              <w:rPr>
                <w:bCs/>
                <w:sz w:val="24"/>
                <w:szCs w:val="24"/>
              </w:rPr>
            </w:pPr>
            <w:r w:rsidRPr="007F6CCC">
              <w:rPr>
                <w:bCs/>
                <w:sz w:val="24"/>
                <w:szCs w:val="24"/>
              </w:rPr>
              <w:t>The documentation should be updated to clarify that single year figures use complete life tables, and three year figures use five year life tables (which is implied in section 3.10)</w:t>
            </w:r>
          </w:p>
          <w:p w14:paraId="6C225DFD" w14:textId="77777777" w:rsidR="007F6CCC" w:rsidRPr="007F6CCC" w:rsidRDefault="007F6CCC" w:rsidP="007F6CCC">
            <w:pPr>
              <w:rPr>
                <w:bCs/>
                <w:sz w:val="24"/>
                <w:szCs w:val="24"/>
              </w:rPr>
            </w:pPr>
          </w:p>
        </w:tc>
        <w:tc>
          <w:tcPr>
            <w:tcW w:w="1326" w:type="dxa"/>
          </w:tcPr>
          <w:p w14:paraId="12EFB1E1" w14:textId="77777777" w:rsidR="007F6CCC" w:rsidRPr="007F6CCC" w:rsidRDefault="007F6CCC" w:rsidP="007F6CCC">
            <w:pPr>
              <w:rPr>
                <w:bCs/>
                <w:sz w:val="24"/>
                <w:szCs w:val="24"/>
              </w:rPr>
            </w:pPr>
            <w:r w:rsidRPr="007F6CCC">
              <w:rPr>
                <w:bCs/>
                <w:sz w:val="24"/>
                <w:szCs w:val="24"/>
              </w:rPr>
              <w:t>MRG</w:t>
            </w:r>
          </w:p>
          <w:p w14:paraId="7D7C9C1B" w14:textId="1087BCB7" w:rsidR="007F6CCC" w:rsidRPr="007F6CCC" w:rsidRDefault="007F6CCC" w:rsidP="007F6CCC">
            <w:pPr>
              <w:rPr>
                <w:bCs/>
                <w:sz w:val="24"/>
                <w:szCs w:val="24"/>
              </w:rPr>
            </w:pPr>
            <w:r w:rsidRPr="007F6CCC">
              <w:rPr>
                <w:bCs/>
                <w:sz w:val="24"/>
                <w:szCs w:val="24"/>
              </w:rPr>
              <w:t>08/09/16</w:t>
            </w:r>
          </w:p>
        </w:tc>
        <w:tc>
          <w:tcPr>
            <w:tcW w:w="1411" w:type="dxa"/>
          </w:tcPr>
          <w:p w14:paraId="307DB8E9" w14:textId="425F5FE5" w:rsidR="007F6CCC" w:rsidRPr="007F6CCC" w:rsidRDefault="007F6CCC" w:rsidP="007F6CCC">
            <w:pPr>
              <w:rPr>
                <w:bCs/>
                <w:sz w:val="24"/>
                <w:szCs w:val="24"/>
              </w:rPr>
            </w:pPr>
            <w:r w:rsidRPr="007F6CCC">
              <w:rPr>
                <w:bCs/>
                <w:sz w:val="24"/>
                <w:szCs w:val="24"/>
              </w:rPr>
              <w:t>Section 4.3 updated</w:t>
            </w:r>
          </w:p>
        </w:tc>
        <w:tc>
          <w:tcPr>
            <w:tcW w:w="1411" w:type="dxa"/>
          </w:tcPr>
          <w:p w14:paraId="622B9B48" w14:textId="5FEE9C7F" w:rsidR="007F6CCC" w:rsidRPr="007F6CCC" w:rsidRDefault="007F6CCC" w:rsidP="007F6CCC">
            <w:pPr>
              <w:rPr>
                <w:bCs/>
                <w:sz w:val="24"/>
                <w:szCs w:val="24"/>
              </w:rPr>
            </w:pPr>
            <w:r w:rsidRPr="007F6CCC">
              <w:rPr>
                <w:bCs/>
                <w:sz w:val="24"/>
                <w:szCs w:val="24"/>
              </w:rPr>
              <w:t>2016-09-26</w:t>
            </w:r>
          </w:p>
        </w:tc>
        <w:sdt>
          <w:sdtPr>
            <w:rPr>
              <w:bCs/>
              <w:sz w:val="24"/>
              <w:szCs w:val="24"/>
            </w:rPr>
            <w:id w:val="-1023932915"/>
            <w14:checkbox>
              <w14:checked w14:val="1"/>
              <w14:checkedState w14:val="2612" w14:font="MS Gothic"/>
              <w14:uncheckedState w14:val="2610" w14:font="MS Gothic"/>
            </w14:checkbox>
          </w:sdtPr>
          <w:sdtEndPr/>
          <w:sdtContent>
            <w:tc>
              <w:tcPr>
                <w:tcW w:w="1388" w:type="dxa"/>
              </w:tcPr>
              <w:p w14:paraId="3DF114CA" w14:textId="5FF698D7" w:rsidR="007F6CCC" w:rsidRPr="007F6CCC" w:rsidRDefault="007F6CCC" w:rsidP="007F6CCC">
                <w:pPr>
                  <w:rPr>
                    <w:bCs/>
                    <w:sz w:val="24"/>
                    <w:szCs w:val="24"/>
                  </w:rPr>
                </w:pPr>
                <w:r w:rsidRPr="007F6CCC">
                  <w:rPr>
                    <w:rFonts w:ascii="Segoe UI Symbol" w:eastAsia="MS Gothic" w:hAnsi="Segoe UI Symbol" w:cs="Segoe UI Symbol"/>
                    <w:bCs/>
                    <w:sz w:val="24"/>
                    <w:szCs w:val="24"/>
                  </w:rPr>
                  <w:t>☒</w:t>
                </w:r>
              </w:p>
            </w:tc>
          </w:sdtContent>
        </w:sdt>
        <w:tc>
          <w:tcPr>
            <w:tcW w:w="1285" w:type="dxa"/>
          </w:tcPr>
          <w:p w14:paraId="64B757FB" w14:textId="12524EBE" w:rsidR="007F6CCC" w:rsidRPr="007F6CCC" w:rsidRDefault="007F6CCC" w:rsidP="007F6CCC">
            <w:pPr>
              <w:rPr>
                <w:bCs/>
                <w:sz w:val="24"/>
                <w:szCs w:val="24"/>
              </w:rPr>
            </w:pPr>
            <w:r w:rsidRPr="007F6CCC">
              <w:rPr>
                <w:bCs/>
                <w:sz w:val="24"/>
                <w:szCs w:val="24"/>
              </w:rPr>
              <w:t>17/10/16 – MRG Chair</w:t>
            </w:r>
          </w:p>
        </w:tc>
      </w:tr>
      <w:tr w:rsidR="007F6CCC" w:rsidRPr="007F6CCC" w14:paraId="1AFCD046" w14:textId="77777777" w:rsidTr="000F013F">
        <w:tc>
          <w:tcPr>
            <w:tcW w:w="1223" w:type="dxa"/>
          </w:tcPr>
          <w:p w14:paraId="55577E07" w14:textId="7AA3924E" w:rsidR="007F6CCC" w:rsidRPr="007F6CCC" w:rsidRDefault="007F6CCC" w:rsidP="007F6CCC">
            <w:pPr>
              <w:rPr>
                <w:bCs/>
                <w:sz w:val="24"/>
                <w:szCs w:val="24"/>
              </w:rPr>
            </w:pPr>
            <w:r w:rsidRPr="007F6CCC">
              <w:rPr>
                <w:bCs/>
                <w:sz w:val="24"/>
                <w:szCs w:val="24"/>
              </w:rPr>
              <w:lastRenderedPageBreak/>
              <w:t>4b</w:t>
            </w:r>
          </w:p>
        </w:tc>
        <w:tc>
          <w:tcPr>
            <w:tcW w:w="2150" w:type="dxa"/>
          </w:tcPr>
          <w:p w14:paraId="7030BEE2" w14:textId="77777777" w:rsidR="007F6CCC" w:rsidRPr="007F6CCC" w:rsidRDefault="007F6CCC" w:rsidP="007F6CCC">
            <w:pPr>
              <w:rPr>
                <w:bCs/>
                <w:sz w:val="24"/>
                <w:szCs w:val="24"/>
              </w:rPr>
            </w:pPr>
            <w:r w:rsidRPr="007F6CCC">
              <w:rPr>
                <w:bCs/>
                <w:sz w:val="24"/>
                <w:szCs w:val="24"/>
              </w:rPr>
              <w:t>Document to be updated to clarify what is the highest age band in the life tables within the  construction.</w:t>
            </w:r>
          </w:p>
          <w:p w14:paraId="188AB54D" w14:textId="77777777" w:rsidR="007F6CCC" w:rsidRPr="007F6CCC" w:rsidRDefault="007F6CCC" w:rsidP="007F6CCC">
            <w:pPr>
              <w:rPr>
                <w:bCs/>
                <w:sz w:val="24"/>
                <w:szCs w:val="24"/>
              </w:rPr>
            </w:pPr>
          </w:p>
        </w:tc>
        <w:tc>
          <w:tcPr>
            <w:tcW w:w="1326" w:type="dxa"/>
          </w:tcPr>
          <w:p w14:paraId="1917CA62" w14:textId="77777777" w:rsidR="007F6CCC" w:rsidRPr="007F6CCC" w:rsidRDefault="007F6CCC" w:rsidP="007F6CCC">
            <w:pPr>
              <w:rPr>
                <w:bCs/>
                <w:sz w:val="24"/>
                <w:szCs w:val="24"/>
              </w:rPr>
            </w:pPr>
            <w:r w:rsidRPr="007F6CCC">
              <w:rPr>
                <w:bCs/>
                <w:sz w:val="24"/>
                <w:szCs w:val="24"/>
              </w:rPr>
              <w:t>MRG</w:t>
            </w:r>
          </w:p>
          <w:p w14:paraId="1C5A0DE3" w14:textId="40BBC2D4" w:rsidR="007F6CCC" w:rsidRPr="007F6CCC" w:rsidRDefault="007F6CCC" w:rsidP="007F6CCC">
            <w:pPr>
              <w:rPr>
                <w:bCs/>
                <w:sz w:val="24"/>
                <w:szCs w:val="24"/>
              </w:rPr>
            </w:pPr>
            <w:r w:rsidRPr="007F6CCC">
              <w:rPr>
                <w:bCs/>
                <w:sz w:val="24"/>
                <w:szCs w:val="24"/>
              </w:rPr>
              <w:t>08/09/16</w:t>
            </w:r>
          </w:p>
        </w:tc>
        <w:tc>
          <w:tcPr>
            <w:tcW w:w="1411" w:type="dxa"/>
          </w:tcPr>
          <w:p w14:paraId="45D378CF" w14:textId="7E2E25D0" w:rsidR="007F6CCC" w:rsidRPr="007F6CCC" w:rsidRDefault="007F6CCC" w:rsidP="007F6CCC">
            <w:pPr>
              <w:rPr>
                <w:bCs/>
                <w:sz w:val="24"/>
                <w:szCs w:val="24"/>
              </w:rPr>
            </w:pPr>
            <w:r w:rsidRPr="007F6CCC">
              <w:rPr>
                <w:bCs/>
                <w:sz w:val="24"/>
                <w:szCs w:val="24"/>
              </w:rPr>
              <w:t>Section 4.3 updated</w:t>
            </w:r>
          </w:p>
        </w:tc>
        <w:tc>
          <w:tcPr>
            <w:tcW w:w="1411" w:type="dxa"/>
          </w:tcPr>
          <w:p w14:paraId="5CCE71A4" w14:textId="4B6DA4DB" w:rsidR="007F6CCC" w:rsidRPr="007F6CCC" w:rsidRDefault="007F6CCC" w:rsidP="007F6CCC">
            <w:pPr>
              <w:rPr>
                <w:bCs/>
                <w:sz w:val="24"/>
                <w:szCs w:val="24"/>
              </w:rPr>
            </w:pPr>
            <w:r w:rsidRPr="007F6CCC">
              <w:rPr>
                <w:bCs/>
                <w:sz w:val="24"/>
                <w:szCs w:val="24"/>
              </w:rPr>
              <w:t>2016-09-26</w:t>
            </w:r>
          </w:p>
        </w:tc>
        <w:sdt>
          <w:sdtPr>
            <w:rPr>
              <w:bCs/>
              <w:sz w:val="24"/>
              <w:szCs w:val="24"/>
            </w:rPr>
            <w:id w:val="-298764896"/>
            <w14:checkbox>
              <w14:checked w14:val="1"/>
              <w14:checkedState w14:val="2612" w14:font="MS Gothic"/>
              <w14:uncheckedState w14:val="2610" w14:font="MS Gothic"/>
            </w14:checkbox>
          </w:sdtPr>
          <w:sdtEndPr/>
          <w:sdtContent>
            <w:tc>
              <w:tcPr>
                <w:tcW w:w="1388" w:type="dxa"/>
              </w:tcPr>
              <w:p w14:paraId="76EA959D" w14:textId="485A4EFC" w:rsidR="007F6CCC" w:rsidRPr="007F6CCC" w:rsidRDefault="007F6CCC" w:rsidP="007F6CCC">
                <w:pPr>
                  <w:rPr>
                    <w:bCs/>
                    <w:sz w:val="24"/>
                    <w:szCs w:val="24"/>
                  </w:rPr>
                </w:pPr>
                <w:r w:rsidRPr="007F6CCC">
                  <w:rPr>
                    <w:rFonts w:ascii="Segoe UI Symbol" w:eastAsia="MS Gothic" w:hAnsi="Segoe UI Symbol" w:cs="Segoe UI Symbol"/>
                    <w:bCs/>
                    <w:sz w:val="24"/>
                    <w:szCs w:val="24"/>
                  </w:rPr>
                  <w:t>☒</w:t>
                </w:r>
              </w:p>
            </w:tc>
          </w:sdtContent>
        </w:sdt>
        <w:tc>
          <w:tcPr>
            <w:tcW w:w="1285" w:type="dxa"/>
          </w:tcPr>
          <w:p w14:paraId="207A9D9A" w14:textId="4B94E2D4" w:rsidR="007F6CCC" w:rsidRPr="007F6CCC" w:rsidRDefault="007F6CCC" w:rsidP="007F6CCC">
            <w:pPr>
              <w:rPr>
                <w:bCs/>
                <w:sz w:val="24"/>
                <w:szCs w:val="24"/>
              </w:rPr>
            </w:pPr>
            <w:r w:rsidRPr="007F6CCC">
              <w:rPr>
                <w:bCs/>
                <w:sz w:val="24"/>
                <w:szCs w:val="24"/>
              </w:rPr>
              <w:t>17/10/16 – MRG Chair</w:t>
            </w:r>
          </w:p>
        </w:tc>
      </w:tr>
    </w:tbl>
    <w:p w14:paraId="7462966A" w14:textId="487E066C" w:rsidR="000F013F" w:rsidRDefault="000F013F">
      <w:r w:rsidRPr="00C66B86">
        <w:rPr>
          <w:b/>
          <w:sz w:val="24"/>
          <w:szCs w:val="24"/>
        </w:rPr>
        <w:t>Presentation and Interpretation</w:t>
      </w:r>
    </w:p>
    <w:tbl>
      <w:tblPr>
        <w:tblStyle w:val="TableGrid"/>
        <w:tblW w:w="0" w:type="auto"/>
        <w:tblLook w:val="04A0" w:firstRow="1" w:lastRow="0" w:firstColumn="1" w:lastColumn="0" w:noHBand="0" w:noVBand="1"/>
      </w:tblPr>
      <w:tblGrid>
        <w:gridCol w:w="1223"/>
        <w:gridCol w:w="2150"/>
        <w:gridCol w:w="1326"/>
        <w:gridCol w:w="1411"/>
        <w:gridCol w:w="1411"/>
        <w:gridCol w:w="1388"/>
        <w:gridCol w:w="1285"/>
      </w:tblGrid>
      <w:tr w:rsidR="007F6CCC" w:rsidRPr="007F6CCC" w14:paraId="7546CE25" w14:textId="77777777" w:rsidTr="000F013F">
        <w:tc>
          <w:tcPr>
            <w:tcW w:w="1223" w:type="dxa"/>
          </w:tcPr>
          <w:p w14:paraId="32FE0D69" w14:textId="48640B31" w:rsidR="007F6CCC" w:rsidRPr="00C66B86" w:rsidRDefault="007F6CCC" w:rsidP="007F6CCC">
            <w:pPr>
              <w:rPr>
                <w:b/>
                <w:sz w:val="24"/>
                <w:szCs w:val="24"/>
              </w:rPr>
            </w:pPr>
            <w:r w:rsidRPr="00C66B86">
              <w:rPr>
                <w:b/>
                <w:sz w:val="24"/>
                <w:szCs w:val="24"/>
              </w:rPr>
              <w:t>Rec. no</w:t>
            </w:r>
          </w:p>
        </w:tc>
        <w:tc>
          <w:tcPr>
            <w:tcW w:w="2150" w:type="dxa"/>
          </w:tcPr>
          <w:p w14:paraId="57555666" w14:textId="410E24F4" w:rsidR="007F6CCC" w:rsidRPr="00C66B86" w:rsidRDefault="007F6CCC" w:rsidP="007F6CCC">
            <w:pPr>
              <w:rPr>
                <w:b/>
                <w:sz w:val="24"/>
                <w:szCs w:val="24"/>
              </w:rPr>
            </w:pPr>
            <w:r w:rsidRPr="00C66B86">
              <w:rPr>
                <w:b/>
                <w:sz w:val="24"/>
                <w:szCs w:val="24"/>
              </w:rPr>
              <w:t>Issue or recommendation</w:t>
            </w:r>
          </w:p>
        </w:tc>
        <w:tc>
          <w:tcPr>
            <w:tcW w:w="1326" w:type="dxa"/>
          </w:tcPr>
          <w:p w14:paraId="7FE07E69" w14:textId="56AC696C" w:rsidR="007F6CCC" w:rsidRPr="00C66B86" w:rsidRDefault="007F6CCC" w:rsidP="007F6CCC">
            <w:pPr>
              <w:rPr>
                <w:b/>
                <w:sz w:val="24"/>
                <w:szCs w:val="24"/>
              </w:rPr>
            </w:pPr>
            <w:r w:rsidRPr="00C66B86">
              <w:rPr>
                <w:b/>
                <w:sz w:val="24"/>
                <w:szCs w:val="24"/>
              </w:rPr>
              <w:t>Raised by / Date</w:t>
            </w:r>
          </w:p>
        </w:tc>
        <w:tc>
          <w:tcPr>
            <w:tcW w:w="1411" w:type="dxa"/>
          </w:tcPr>
          <w:p w14:paraId="625E8FE8" w14:textId="2F554AB3" w:rsidR="007F6CCC" w:rsidRPr="00C66B86" w:rsidRDefault="007F6CCC" w:rsidP="007F6CCC">
            <w:pPr>
              <w:rPr>
                <w:b/>
                <w:sz w:val="24"/>
                <w:szCs w:val="24"/>
              </w:rPr>
            </w:pPr>
            <w:r w:rsidRPr="00C66B86">
              <w:rPr>
                <w:b/>
                <w:sz w:val="24"/>
                <w:szCs w:val="24"/>
              </w:rPr>
              <w:t>Response or Action taken by applicant</w:t>
            </w:r>
          </w:p>
        </w:tc>
        <w:tc>
          <w:tcPr>
            <w:tcW w:w="1411" w:type="dxa"/>
          </w:tcPr>
          <w:p w14:paraId="60C3AA98" w14:textId="761F6F2B" w:rsidR="007F6CCC" w:rsidRPr="00C66B86" w:rsidRDefault="007F6CCC" w:rsidP="007F6CCC">
            <w:pPr>
              <w:rPr>
                <w:b/>
                <w:sz w:val="24"/>
                <w:szCs w:val="24"/>
              </w:rPr>
            </w:pPr>
            <w:r w:rsidRPr="00C66B86">
              <w:rPr>
                <w:b/>
                <w:sz w:val="24"/>
                <w:szCs w:val="24"/>
              </w:rPr>
              <w:t>Response date</w:t>
            </w:r>
          </w:p>
        </w:tc>
        <w:tc>
          <w:tcPr>
            <w:tcW w:w="1388" w:type="dxa"/>
          </w:tcPr>
          <w:p w14:paraId="4D7477F6" w14:textId="2EF8C307" w:rsidR="007F6CCC" w:rsidRPr="00C66B86" w:rsidRDefault="007F6CCC" w:rsidP="007F6CCC">
            <w:pPr>
              <w:rPr>
                <w:b/>
                <w:sz w:val="24"/>
                <w:szCs w:val="24"/>
              </w:rPr>
            </w:pPr>
            <w:r w:rsidRPr="00C66B86">
              <w:rPr>
                <w:b/>
                <w:sz w:val="24"/>
                <w:szCs w:val="24"/>
              </w:rPr>
              <w:t>Resolved</w:t>
            </w:r>
          </w:p>
        </w:tc>
        <w:tc>
          <w:tcPr>
            <w:tcW w:w="1285" w:type="dxa"/>
          </w:tcPr>
          <w:p w14:paraId="082B040B" w14:textId="185EA781" w:rsidR="007F6CCC" w:rsidRPr="00C66B86" w:rsidRDefault="007F6CCC" w:rsidP="007F6CCC">
            <w:pPr>
              <w:rPr>
                <w:b/>
                <w:sz w:val="24"/>
                <w:szCs w:val="24"/>
              </w:rPr>
            </w:pPr>
            <w:r w:rsidRPr="00C66B86">
              <w:rPr>
                <w:b/>
                <w:sz w:val="24"/>
                <w:szCs w:val="24"/>
              </w:rPr>
              <w:t>Sign off by / Date</w:t>
            </w:r>
          </w:p>
        </w:tc>
      </w:tr>
      <w:tr w:rsidR="007F6CCC" w:rsidRPr="007F6CCC" w14:paraId="5959E9DB" w14:textId="77777777" w:rsidTr="000F013F">
        <w:tc>
          <w:tcPr>
            <w:tcW w:w="1223" w:type="dxa"/>
          </w:tcPr>
          <w:p w14:paraId="385F4B77" w14:textId="77777777" w:rsidR="007F6CCC" w:rsidRPr="00C66B86" w:rsidRDefault="007F6CCC" w:rsidP="007F6CCC">
            <w:pPr>
              <w:rPr>
                <w:b/>
                <w:sz w:val="24"/>
                <w:szCs w:val="24"/>
              </w:rPr>
            </w:pPr>
          </w:p>
        </w:tc>
        <w:tc>
          <w:tcPr>
            <w:tcW w:w="2150" w:type="dxa"/>
          </w:tcPr>
          <w:p w14:paraId="3ADEEEF8" w14:textId="77777777" w:rsidR="007F6CCC" w:rsidRPr="00C66B86" w:rsidRDefault="007F6CCC" w:rsidP="007F6CCC">
            <w:pPr>
              <w:rPr>
                <w:b/>
                <w:sz w:val="24"/>
                <w:szCs w:val="24"/>
              </w:rPr>
            </w:pPr>
          </w:p>
        </w:tc>
        <w:tc>
          <w:tcPr>
            <w:tcW w:w="1326" w:type="dxa"/>
          </w:tcPr>
          <w:p w14:paraId="158278A9" w14:textId="77777777" w:rsidR="007F6CCC" w:rsidRPr="00C66B86" w:rsidRDefault="007F6CCC" w:rsidP="007F6CCC">
            <w:pPr>
              <w:rPr>
                <w:b/>
                <w:sz w:val="24"/>
                <w:szCs w:val="24"/>
              </w:rPr>
            </w:pPr>
          </w:p>
        </w:tc>
        <w:tc>
          <w:tcPr>
            <w:tcW w:w="1411" w:type="dxa"/>
          </w:tcPr>
          <w:p w14:paraId="495BB9B2" w14:textId="77777777" w:rsidR="007F6CCC" w:rsidRPr="00C66B86" w:rsidRDefault="007F6CCC" w:rsidP="007F6CCC">
            <w:pPr>
              <w:rPr>
                <w:b/>
                <w:sz w:val="24"/>
                <w:szCs w:val="24"/>
              </w:rPr>
            </w:pPr>
          </w:p>
        </w:tc>
        <w:tc>
          <w:tcPr>
            <w:tcW w:w="1411" w:type="dxa"/>
          </w:tcPr>
          <w:p w14:paraId="5EEFB462" w14:textId="77777777" w:rsidR="007F6CCC" w:rsidRPr="00C66B86" w:rsidRDefault="007F6CCC" w:rsidP="007F6CCC">
            <w:pPr>
              <w:rPr>
                <w:b/>
                <w:sz w:val="24"/>
                <w:szCs w:val="24"/>
              </w:rPr>
            </w:pPr>
          </w:p>
        </w:tc>
        <w:tc>
          <w:tcPr>
            <w:tcW w:w="1388" w:type="dxa"/>
          </w:tcPr>
          <w:p w14:paraId="2CE801D3" w14:textId="77777777" w:rsidR="007F6CCC" w:rsidRPr="00C66B86" w:rsidRDefault="007F6CCC" w:rsidP="007F6CCC">
            <w:pPr>
              <w:rPr>
                <w:b/>
                <w:sz w:val="24"/>
                <w:szCs w:val="24"/>
              </w:rPr>
            </w:pPr>
          </w:p>
        </w:tc>
        <w:tc>
          <w:tcPr>
            <w:tcW w:w="1285" w:type="dxa"/>
          </w:tcPr>
          <w:p w14:paraId="5B9AB68B" w14:textId="77777777" w:rsidR="007F6CCC" w:rsidRPr="00C66B86" w:rsidRDefault="007F6CCC" w:rsidP="007F6CCC">
            <w:pPr>
              <w:rPr>
                <w:b/>
                <w:sz w:val="24"/>
                <w:szCs w:val="24"/>
              </w:rPr>
            </w:pPr>
          </w:p>
        </w:tc>
      </w:tr>
    </w:tbl>
    <w:p w14:paraId="25C926D1" w14:textId="2C0797C6" w:rsidR="000F013F" w:rsidRDefault="000F013F">
      <w:r w:rsidRPr="00C66B86">
        <w:rPr>
          <w:b/>
          <w:sz w:val="24"/>
          <w:szCs w:val="24"/>
        </w:rPr>
        <w:t>Risks and Usefulness</w:t>
      </w:r>
    </w:p>
    <w:tbl>
      <w:tblPr>
        <w:tblStyle w:val="TableGrid"/>
        <w:tblW w:w="0" w:type="auto"/>
        <w:tblLook w:val="04A0" w:firstRow="1" w:lastRow="0" w:firstColumn="1" w:lastColumn="0" w:noHBand="0" w:noVBand="1"/>
      </w:tblPr>
      <w:tblGrid>
        <w:gridCol w:w="1223"/>
        <w:gridCol w:w="2150"/>
        <w:gridCol w:w="1326"/>
        <w:gridCol w:w="1411"/>
        <w:gridCol w:w="1411"/>
        <w:gridCol w:w="1388"/>
        <w:gridCol w:w="1285"/>
      </w:tblGrid>
      <w:tr w:rsidR="007F6CCC" w:rsidRPr="007F6CCC" w14:paraId="7DF1A7E2" w14:textId="77777777" w:rsidTr="000F013F">
        <w:tc>
          <w:tcPr>
            <w:tcW w:w="1223" w:type="dxa"/>
          </w:tcPr>
          <w:p w14:paraId="7ECA9DB8" w14:textId="6BAE6140" w:rsidR="007F6CCC" w:rsidRPr="00C66B86" w:rsidRDefault="007F6CCC" w:rsidP="007F6CCC">
            <w:pPr>
              <w:rPr>
                <w:b/>
                <w:sz w:val="24"/>
                <w:szCs w:val="24"/>
              </w:rPr>
            </w:pPr>
            <w:r w:rsidRPr="00C66B86">
              <w:rPr>
                <w:b/>
                <w:sz w:val="24"/>
                <w:szCs w:val="24"/>
              </w:rPr>
              <w:t>Rec. no</w:t>
            </w:r>
          </w:p>
        </w:tc>
        <w:tc>
          <w:tcPr>
            <w:tcW w:w="2150" w:type="dxa"/>
          </w:tcPr>
          <w:p w14:paraId="3E118C50" w14:textId="1BD5BB0E" w:rsidR="007F6CCC" w:rsidRPr="00C66B86" w:rsidRDefault="007F6CCC" w:rsidP="007F6CCC">
            <w:pPr>
              <w:rPr>
                <w:b/>
                <w:sz w:val="24"/>
                <w:szCs w:val="24"/>
              </w:rPr>
            </w:pPr>
            <w:r w:rsidRPr="00C66B86">
              <w:rPr>
                <w:b/>
                <w:sz w:val="24"/>
                <w:szCs w:val="24"/>
              </w:rPr>
              <w:t>Issue or recommendation</w:t>
            </w:r>
          </w:p>
        </w:tc>
        <w:tc>
          <w:tcPr>
            <w:tcW w:w="1326" w:type="dxa"/>
          </w:tcPr>
          <w:p w14:paraId="4240A544" w14:textId="7175C3A7" w:rsidR="007F6CCC" w:rsidRPr="00C66B86" w:rsidRDefault="007F6CCC" w:rsidP="007F6CCC">
            <w:pPr>
              <w:rPr>
                <w:b/>
                <w:sz w:val="24"/>
                <w:szCs w:val="24"/>
              </w:rPr>
            </w:pPr>
            <w:r w:rsidRPr="00C66B86">
              <w:rPr>
                <w:b/>
                <w:sz w:val="24"/>
                <w:szCs w:val="24"/>
              </w:rPr>
              <w:t>Raised by / Date</w:t>
            </w:r>
          </w:p>
        </w:tc>
        <w:tc>
          <w:tcPr>
            <w:tcW w:w="1411" w:type="dxa"/>
          </w:tcPr>
          <w:p w14:paraId="4510F121" w14:textId="4DDFC704" w:rsidR="007F6CCC" w:rsidRPr="00C66B86" w:rsidRDefault="007F6CCC" w:rsidP="007F6CCC">
            <w:pPr>
              <w:rPr>
                <w:b/>
                <w:sz w:val="24"/>
                <w:szCs w:val="24"/>
              </w:rPr>
            </w:pPr>
            <w:r w:rsidRPr="00C66B86">
              <w:rPr>
                <w:b/>
                <w:sz w:val="24"/>
                <w:szCs w:val="24"/>
              </w:rPr>
              <w:t>Response or Action taken by applicant</w:t>
            </w:r>
          </w:p>
        </w:tc>
        <w:tc>
          <w:tcPr>
            <w:tcW w:w="1411" w:type="dxa"/>
          </w:tcPr>
          <w:p w14:paraId="35FF4725" w14:textId="1CE2CD48" w:rsidR="007F6CCC" w:rsidRPr="00C66B86" w:rsidRDefault="007F6CCC" w:rsidP="007F6CCC">
            <w:pPr>
              <w:rPr>
                <w:b/>
                <w:sz w:val="24"/>
                <w:szCs w:val="24"/>
              </w:rPr>
            </w:pPr>
            <w:r w:rsidRPr="00C66B86">
              <w:rPr>
                <w:b/>
                <w:sz w:val="24"/>
                <w:szCs w:val="24"/>
              </w:rPr>
              <w:t>Response date</w:t>
            </w:r>
          </w:p>
        </w:tc>
        <w:tc>
          <w:tcPr>
            <w:tcW w:w="1388" w:type="dxa"/>
          </w:tcPr>
          <w:p w14:paraId="1D592D36" w14:textId="43E9FB0E" w:rsidR="007F6CCC" w:rsidRPr="00C66B86" w:rsidRDefault="007F6CCC" w:rsidP="007F6CCC">
            <w:pPr>
              <w:rPr>
                <w:b/>
                <w:sz w:val="24"/>
                <w:szCs w:val="24"/>
              </w:rPr>
            </w:pPr>
            <w:r w:rsidRPr="00C66B86">
              <w:rPr>
                <w:b/>
                <w:sz w:val="24"/>
                <w:szCs w:val="24"/>
              </w:rPr>
              <w:t>Resolved</w:t>
            </w:r>
          </w:p>
        </w:tc>
        <w:tc>
          <w:tcPr>
            <w:tcW w:w="1285" w:type="dxa"/>
          </w:tcPr>
          <w:p w14:paraId="01283122" w14:textId="02510EE6" w:rsidR="007F6CCC" w:rsidRPr="00C66B86" w:rsidRDefault="007F6CCC" w:rsidP="007F6CCC">
            <w:pPr>
              <w:rPr>
                <w:b/>
                <w:sz w:val="24"/>
                <w:szCs w:val="24"/>
              </w:rPr>
            </w:pPr>
            <w:r w:rsidRPr="00C66B86">
              <w:rPr>
                <w:b/>
                <w:sz w:val="24"/>
                <w:szCs w:val="24"/>
              </w:rPr>
              <w:t>Sign off by / Date</w:t>
            </w:r>
          </w:p>
        </w:tc>
      </w:tr>
      <w:tr w:rsidR="007F6CCC" w:rsidRPr="007F6CCC" w14:paraId="702666ED" w14:textId="77777777" w:rsidTr="000F013F">
        <w:tc>
          <w:tcPr>
            <w:tcW w:w="1223" w:type="dxa"/>
          </w:tcPr>
          <w:p w14:paraId="3AC294B2" w14:textId="77777777" w:rsidR="007F6CCC" w:rsidRPr="007F6CCC" w:rsidRDefault="007F6CCC" w:rsidP="007F6CCC">
            <w:pPr>
              <w:rPr>
                <w:bCs/>
                <w:sz w:val="24"/>
                <w:szCs w:val="24"/>
              </w:rPr>
            </w:pPr>
          </w:p>
        </w:tc>
        <w:tc>
          <w:tcPr>
            <w:tcW w:w="2150" w:type="dxa"/>
          </w:tcPr>
          <w:p w14:paraId="55CF3EF7" w14:textId="77777777" w:rsidR="007F6CCC" w:rsidRPr="007F6CCC" w:rsidRDefault="007F6CCC" w:rsidP="007F6CCC">
            <w:pPr>
              <w:rPr>
                <w:bCs/>
                <w:sz w:val="24"/>
                <w:szCs w:val="24"/>
              </w:rPr>
            </w:pPr>
          </w:p>
        </w:tc>
        <w:tc>
          <w:tcPr>
            <w:tcW w:w="1326" w:type="dxa"/>
          </w:tcPr>
          <w:p w14:paraId="0AAF5C74" w14:textId="77777777" w:rsidR="007F6CCC" w:rsidRPr="007F6CCC" w:rsidRDefault="007F6CCC" w:rsidP="007F6CCC">
            <w:pPr>
              <w:rPr>
                <w:bCs/>
                <w:sz w:val="24"/>
                <w:szCs w:val="24"/>
              </w:rPr>
            </w:pPr>
          </w:p>
        </w:tc>
        <w:tc>
          <w:tcPr>
            <w:tcW w:w="1411" w:type="dxa"/>
          </w:tcPr>
          <w:p w14:paraId="047A9600" w14:textId="77777777" w:rsidR="007F6CCC" w:rsidRPr="007F6CCC" w:rsidRDefault="007F6CCC" w:rsidP="007F6CCC">
            <w:pPr>
              <w:rPr>
                <w:bCs/>
                <w:sz w:val="24"/>
                <w:szCs w:val="24"/>
              </w:rPr>
            </w:pPr>
          </w:p>
        </w:tc>
        <w:tc>
          <w:tcPr>
            <w:tcW w:w="1411" w:type="dxa"/>
          </w:tcPr>
          <w:p w14:paraId="6DD938E4" w14:textId="77777777" w:rsidR="007F6CCC" w:rsidRPr="007F6CCC" w:rsidRDefault="007F6CCC" w:rsidP="007F6CCC">
            <w:pPr>
              <w:rPr>
                <w:bCs/>
                <w:sz w:val="24"/>
                <w:szCs w:val="24"/>
              </w:rPr>
            </w:pPr>
          </w:p>
        </w:tc>
        <w:tc>
          <w:tcPr>
            <w:tcW w:w="1388" w:type="dxa"/>
          </w:tcPr>
          <w:p w14:paraId="41687A30" w14:textId="77777777" w:rsidR="007F6CCC" w:rsidRPr="007F6CCC" w:rsidRDefault="007F6CCC" w:rsidP="007F6CCC">
            <w:pPr>
              <w:rPr>
                <w:bCs/>
                <w:sz w:val="24"/>
                <w:szCs w:val="24"/>
              </w:rPr>
            </w:pPr>
          </w:p>
        </w:tc>
        <w:tc>
          <w:tcPr>
            <w:tcW w:w="1285" w:type="dxa"/>
          </w:tcPr>
          <w:p w14:paraId="60246AE9" w14:textId="77777777" w:rsidR="007F6CCC" w:rsidRPr="007F6CCC" w:rsidRDefault="007F6CCC" w:rsidP="007F6CCC">
            <w:pPr>
              <w:rPr>
                <w:bCs/>
                <w:sz w:val="24"/>
                <w:szCs w:val="24"/>
              </w:rPr>
            </w:pPr>
          </w:p>
        </w:tc>
      </w:tr>
    </w:tbl>
    <w:p w14:paraId="3B656DC3" w14:textId="77777777" w:rsidR="007F6CCC" w:rsidRDefault="007F6CCC" w:rsidP="000B321E">
      <w:pPr>
        <w:rPr>
          <w:b/>
          <w:sz w:val="28"/>
          <w:szCs w:val="28"/>
        </w:rPr>
      </w:pPr>
    </w:p>
    <w:sectPr w:rsidR="007F6CCC" w:rsidSect="00F323F9">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08849" w14:textId="77777777" w:rsidR="00F323F9" w:rsidRDefault="00F323F9" w:rsidP="001C4B9D">
      <w:r>
        <w:separator/>
      </w:r>
    </w:p>
  </w:endnote>
  <w:endnote w:type="continuationSeparator" w:id="0">
    <w:p w14:paraId="442B002E" w14:textId="77777777" w:rsidR="00F323F9" w:rsidRDefault="00F323F9" w:rsidP="001C4B9D">
      <w:r>
        <w:continuationSeparator/>
      </w:r>
    </w:p>
  </w:endnote>
  <w:endnote w:id="1">
    <w:p w14:paraId="2E8B645C" w14:textId="0C35B1B5" w:rsidR="007F6CCC" w:rsidRDefault="007F6CCC" w:rsidP="00161F03">
      <w:pPr>
        <w:pStyle w:val="EndnoteText"/>
      </w:pPr>
      <w:r w:rsidRPr="007F6CCC">
        <w:t>https://www.ons.gov.uk/peoplepopulationandcommunity/birthsdeathsandmarriages/lifeexpectancies</w:t>
      </w:r>
      <w:r>
        <w:t xml:space="preserve"> </w:t>
      </w:r>
    </w:p>
  </w:endnote>
  <w:endnote w:id="2">
    <w:p w14:paraId="09A59F68" w14:textId="53BCC746" w:rsidR="007F6CCC" w:rsidRDefault="007F6CCC" w:rsidP="00161F03">
      <w:pPr>
        <w:pStyle w:val="EndnoteText"/>
      </w:pPr>
      <w:r w:rsidRPr="007F6CCC">
        <w:t>https://www.ons.gov.uk/file?uri=/peoplepopulationandcommunity/birthsdeathsandmarriages/lifeexpectancies/qmis/nationallifetablesqmi/qmilifetables2013oct13updatefinalforpub_tcm77-250748.pdf</w:t>
      </w:r>
      <w:r>
        <w:t xml:space="preserve"> </w:t>
      </w:r>
    </w:p>
  </w:endnote>
  <w:endnote w:id="3">
    <w:p w14:paraId="31E11B8B" w14:textId="1081844A" w:rsidR="007F6CCC" w:rsidRPr="00E459BB" w:rsidRDefault="007F6CCC" w:rsidP="00161F03">
      <w:pPr>
        <w:pStyle w:val="EndnoteText"/>
        <w:rPr>
          <w:sz w:val="18"/>
        </w:rPr>
      </w:pPr>
      <w:r w:rsidRPr="007F6CCC">
        <w:t>http://www.ons.gov.uk/ons/rel/subnational-health4/life-expectancy-at-birth-and-at-age-65-by-local-areas-in-england-and-wales/index.html</w:t>
      </w:r>
      <w:r w:rsidRPr="00E459BB">
        <w:rPr>
          <w:sz w:val="18"/>
        </w:rPr>
        <w:t xml:space="preserve"> </w:t>
      </w:r>
    </w:p>
  </w:endnote>
  <w:endnote w:id="4">
    <w:p w14:paraId="23EA7745" w14:textId="0A0D252E" w:rsidR="007F6CCC" w:rsidRPr="00E459BB" w:rsidRDefault="007F6CCC" w:rsidP="00161F03">
      <w:pPr>
        <w:pStyle w:val="EndnoteText"/>
        <w:rPr>
          <w:sz w:val="18"/>
        </w:rPr>
      </w:pPr>
      <w:r w:rsidRPr="007F6CCC">
        <w:t>http://www.ons.gov.uk/ons/guide-method/method-quality/quality/quality-information/population/index.html</w:t>
      </w:r>
    </w:p>
  </w:endnote>
  <w:endnote w:id="5">
    <w:p w14:paraId="74EE4863" w14:textId="55F7AFEB" w:rsidR="007F6CCC" w:rsidRPr="00E459BB" w:rsidRDefault="007F6CCC" w:rsidP="00161F03">
      <w:pPr>
        <w:pStyle w:val="EndnoteText"/>
        <w:rPr>
          <w:sz w:val="18"/>
        </w:rPr>
      </w:pPr>
      <w:r w:rsidRPr="007F6CCC">
        <w:t>http://www.ons.gov.uk/ons/rel/lifetables/interim-life-tables/2009-2011/stb-2009-2011.html#tab-Methods</w:t>
      </w:r>
    </w:p>
  </w:endnote>
  <w:endnote w:id="6">
    <w:p w14:paraId="745BF240" w14:textId="08CF5321" w:rsidR="007F6CCC" w:rsidRDefault="007F6CCC" w:rsidP="00161F03">
      <w:pPr>
        <w:pStyle w:val="EndnoteText"/>
        <w:rPr>
          <w:sz w:val="18"/>
        </w:rPr>
      </w:pPr>
      <w:r w:rsidRPr="007F6CCC">
        <w:t>http://www.ons.gov.uk/ons/guide-method/revisions/revisions-policies-by-theme/population/index.html</w:t>
      </w:r>
      <w:r w:rsidRPr="00E459BB">
        <w:rPr>
          <w:sz w:val="18"/>
        </w:rPr>
        <w:t xml:space="preserve"> </w:t>
      </w:r>
    </w:p>
    <w:p w14:paraId="14B4C01B" w14:textId="753A83BD" w:rsidR="00B8386F" w:rsidRDefault="00B8386F" w:rsidP="00161F03">
      <w:pPr>
        <w:pStyle w:val="EndnoteText"/>
        <w:rPr>
          <w:sz w:val="18"/>
        </w:rPr>
      </w:pPr>
    </w:p>
    <w:p w14:paraId="60DCED7F" w14:textId="30DBF7D9" w:rsidR="00B8386F" w:rsidRDefault="00B8386F" w:rsidP="00161F03">
      <w:pPr>
        <w:pStyle w:val="EndnoteText"/>
      </w:pPr>
      <w:r w:rsidRPr="00B8386F">
        <w:rPr>
          <w:rFonts w:cs="Arial"/>
          <w:sz w:val="22"/>
          <w:szCs w:val="22"/>
          <w:lang w:eastAsia="en-US"/>
        </w:rPr>
        <w:t>See our </w:t>
      </w:r>
      <w:hyperlink r:id="rId1" w:anchor="what-to-do" w:history="1">
        <w:r w:rsidRPr="00B8386F">
          <w:rPr>
            <w:rFonts w:cs="Arial"/>
            <w:color w:val="0563C1"/>
            <w:sz w:val="22"/>
            <w:szCs w:val="22"/>
            <w:u w:val="single"/>
            <w:lang w:eastAsia="en-US"/>
          </w:rPr>
          <w:t>accessibility statement</w:t>
        </w:r>
      </w:hyperlink>
      <w:r w:rsidRPr="00B8386F">
        <w:rPr>
          <w:rFonts w:cs="Arial"/>
          <w:sz w:val="22"/>
          <w:szCs w:val="22"/>
          <w:lang w:eastAsia="en-US"/>
        </w:rPr>
        <w:t> if you’re having problems with this document.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861506761"/>
      <w:docPartObj>
        <w:docPartGallery w:val="Page Numbers (Bottom of Page)"/>
        <w:docPartUnique/>
      </w:docPartObj>
    </w:sdtPr>
    <w:sdtEndPr>
      <w:rPr>
        <w:noProof/>
      </w:rPr>
    </w:sdtEndPr>
    <w:sdtContent>
      <w:p w14:paraId="7AF22F3B" w14:textId="34E9677E" w:rsidR="00F323F9" w:rsidRPr="00F323F9" w:rsidRDefault="00F323F9" w:rsidP="00F323F9">
        <w:pPr>
          <w:pStyle w:val="Footer"/>
          <w:tabs>
            <w:tab w:val="left" w:pos="426"/>
          </w:tabs>
          <w:rPr>
            <w:rFonts w:ascii="Arial" w:hAnsi="Arial" w:cs="Arial"/>
            <w:sz w:val="18"/>
            <w:szCs w:val="18"/>
          </w:rPr>
        </w:pPr>
        <w:r w:rsidRPr="00F323F9">
          <w:rPr>
            <w:rFonts w:ascii="Arial" w:hAnsi="Arial" w:cs="Arial"/>
            <w:sz w:val="18"/>
            <w:szCs w:val="18"/>
          </w:rPr>
          <w:t>IAP0001</w:t>
        </w:r>
        <w:r w:rsidR="000B321E">
          <w:rPr>
            <w:rFonts w:ascii="Arial" w:hAnsi="Arial" w:cs="Arial"/>
            <w:sz w:val="18"/>
            <w:szCs w:val="18"/>
          </w:rPr>
          <w:t>6</w:t>
        </w:r>
        <w:r w:rsidRPr="00F323F9">
          <w:rPr>
            <w:rFonts w:ascii="Arial" w:hAnsi="Arial" w:cs="Arial"/>
            <w:sz w:val="18"/>
            <w:szCs w:val="18"/>
          </w:rPr>
          <w:t xml:space="preserve"> Supporting documentation</w:t>
        </w:r>
      </w:p>
      <w:p w14:paraId="7620EC50" w14:textId="74821438" w:rsidR="00F323F9" w:rsidRPr="00F323F9" w:rsidRDefault="00F323F9" w:rsidP="00F323F9">
        <w:pPr>
          <w:pStyle w:val="Footer"/>
          <w:tabs>
            <w:tab w:val="left" w:pos="426"/>
          </w:tabs>
          <w:rPr>
            <w:rFonts w:ascii="Arial" w:hAnsi="Arial" w:cs="Arial"/>
            <w:sz w:val="18"/>
            <w:szCs w:val="18"/>
          </w:rPr>
        </w:pPr>
        <w:r w:rsidRPr="00F323F9">
          <w:rPr>
            <w:rFonts w:ascii="Arial" w:hAnsi="Arial" w:cs="Arial"/>
            <w:sz w:val="18"/>
            <w:szCs w:val="18"/>
          </w:rPr>
          <w:t>Copyright © 2019 NHS Digital</w:t>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fldChar w:fldCharType="begin"/>
        </w:r>
        <w:r w:rsidRPr="00F323F9">
          <w:rPr>
            <w:rFonts w:ascii="Arial" w:hAnsi="Arial" w:cs="Arial"/>
            <w:sz w:val="18"/>
            <w:szCs w:val="18"/>
          </w:rPr>
          <w:instrText xml:space="preserve"> PAGE   \* MERGEFORMAT </w:instrText>
        </w:r>
        <w:r w:rsidRPr="00F323F9">
          <w:rPr>
            <w:rFonts w:ascii="Arial" w:hAnsi="Arial" w:cs="Arial"/>
            <w:sz w:val="18"/>
            <w:szCs w:val="18"/>
          </w:rPr>
          <w:fldChar w:fldCharType="separate"/>
        </w:r>
        <w:r w:rsidRPr="00F323F9">
          <w:rPr>
            <w:rFonts w:ascii="Arial" w:hAnsi="Arial" w:cs="Arial"/>
            <w:sz w:val="18"/>
            <w:szCs w:val="18"/>
          </w:rPr>
          <w:t>1</w:t>
        </w:r>
        <w:r w:rsidRPr="00F323F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C76F" w14:textId="77777777" w:rsidR="00F323F9" w:rsidRDefault="00F323F9" w:rsidP="001C4B9D">
      <w:r>
        <w:separator/>
      </w:r>
    </w:p>
  </w:footnote>
  <w:footnote w:type="continuationSeparator" w:id="0">
    <w:p w14:paraId="666547F0" w14:textId="77777777" w:rsidR="00F323F9" w:rsidRDefault="00F323F9" w:rsidP="001C4B9D">
      <w:r>
        <w:continuationSeparator/>
      </w:r>
    </w:p>
  </w:footnote>
  <w:footnote w:id="1">
    <w:p w14:paraId="1D2282C1" w14:textId="4186B81B" w:rsidR="003F080A" w:rsidRDefault="003F080A" w:rsidP="003F080A">
      <w:pPr>
        <w:pStyle w:val="FootnoteText"/>
      </w:pPr>
    </w:p>
  </w:footnote>
  <w:footnote w:id="2">
    <w:p w14:paraId="0312F7CF" w14:textId="22F97A13" w:rsidR="003F080A" w:rsidRDefault="003F080A" w:rsidP="003F080A">
      <w:pPr>
        <w:pStyle w:val="FootnoteText"/>
      </w:pPr>
    </w:p>
  </w:footnote>
  <w:footnote w:id="3">
    <w:p w14:paraId="492B2D2A" w14:textId="77777777" w:rsidR="00161F03" w:rsidRDefault="00161F03" w:rsidP="00161F03">
      <w:pPr>
        <w:pStyle w:val="FootnoteText"/>
      </w:pPr>
      <w:r>
        <w:rPr>
          <w:rStyle w:val="FootnoteReference"/>
          <w:rFonts w:eastAsia="Calibri"/>
        </w:rPr>
        <w:footnoteRef/>
      </w:r>
      <w:r>
        <w:t xml:space="preserve"> </w:t>
      </w:r>
      <w:hyperlink r:id="rId1" w:history="1">
        <w:r w:rsidRPr="00E459BB">
          <w:rPr>
            <w:rStyle w:val="Hyperlink"/>
          </w:rPr>
          <w:t>http://www.ons.gov.uk/ons/guide-method/method-quality/quality/nsqr/full-list-of-completed-quality-reviews/index.html</w:t>
        </w:r>
      </w:hyperlink>
      <w:r w:rsidRPr="00E459BB">
        <w:rPr>
          <w:sz w:val="18"/>
        </w:rPr>
        <w:t xml:space="preserve"> </w:t>
      </w:r>
    </w:p>
  </w:footnote>
  <w:footnote w:id="4">
    <w:p w14:paraId="1870819F" w14:textId="77777777" w:rsidR="00161F03" w:rsidRPr="00E459BB" w:rsidRDefault="00161F03" w:rsidP="00161F03">
      <w:pPr>
        <w:pStyle w:val="FootnoteText"/>
        <w:rPr>
          <w:sz w:val="18"/>
        </w:rPr>
      </w:pPr>
      <w:r w:rsidRPr="00E459BB">
        <w:rPr>
          <w:rStyle w:val="FootnoteReference"/>
          <w:rFonts w:eastAsia="Calibri"/>
          <w:sz w:val="18"/>
        </w:rPr>
        <w:footnoteRef/>
      </w:r>
      <w:r w:rsidRPr="00E459BB">
        <w:rPr>
          <w:sz w:val="18"/>
        </w:rPr>
        <w:t xml:space="preserve"> </w:t>
      </w:r>
      <w:hyperlink r:id="rId2" w:anchor="tab-Appendix-A--Note-of-the-meeting-of-the-national-population-projections-expert-advisory-group" w:history="1">
        <w:r w:rsidRPr="00E459BB">
          <w:rPr>
            <w:rStyle w:val="Hyperlink"/>
          </w:rPr>
          <w:t>http://ons.gov.uk/ons/rel/npp/national-population-projections/2010-based-projections/rep-2010-based-npp.html#tab-Appendix-A--Note-of-the-meeting-of-the-national-population-projections-expert-advisory-group</w:t>
        </w:r>
      </w:hyperlink>
      <w:r w:rsidRPr="00E459BB">
        <w:rPr>
          <w:sz w:val="18"/>
        </w:rPr>
        <w:t xml:space="preserve"> </w:t>
      </w:r>
    </w:p>
  </w:footnote>
  <w:footnote w:id="5">
    <w:p w14:paraId="4EEB2583" w14:textId="77777777" w:rsidR="00161F03" w:rsidRDefault="00161F03" w:rsidP="00161F03">
      <w:pPr>
        <w:pStyle w:val="FootnoteText"/>
      </w:pPr>
      <w:r>
        <w:rPr>
          <w:rStyle w:val="FootnoteReference"/>
          <w:rFonts w:eastAsia="Calibri"/>
        </w:rPr>
        <w:footnoteRef/>
      </w:r>
      <w:r>
        <w:t xml:space="preserve"> </w:t>
      </w:r>
      <w:hyperlink r:id="rId3" w:history="1">
        <w:r w:rsidRPr="0020693D">
          <w:rPr>
            <w:rStyle w:val="Hyperlink"/>
          </w:rPr>
          <w:t>http://www.ons.gov.uk/ons/publications/all-releases.html?definition=tcm%3A77-23535</w:t>
        </w:r>
      </w:hyperlink>
      <w:r>
        <w:t xml:space="preserve"> </w:t>
      </w:r>
    </w:p>
  </w:footnote>
  <w:footnote w:id="6">
    <w:p w14:paraId="2E0ADF51" w14:textId="77777777" w:rsidR="00161F03" w:rsidRDefault="00161F03" w:rsidP="00161F03">
      <w:pPr>
        <w:pStyle w:val="FootnoteText"/>
      </w:pPr>
      <w:r>
        <w:rPr>
          <w:rStyle w:val="FootnoteReference"/>
          <w:rFonts w:eastAsia="Calibri"/>
        </w:rPr>
        <w:footnoteRef/>
      </w:r>
      <w:r>
        <w:t xml:space="preserve"> </w:t>
      </w:r>
      <w:hyperlink r:id="rId4" w:history="1">
        <w:r w:rsidRPr="0020693D">
          <w:rPr>
            <w:rStyle w:val="Hyperlink"/>
          </w:rPr>
          <w:t>http://www.ons.gov.uk/ons/taxonomy/index.html?nscl=Decennial+Life+Tables</w:t>
        </w:r>
      </w:hyperlink>
      <w:r>
        <w:t xml:space="preserve"> </w:t>
      </w:r>
    </w:p>
  </w:footnote>
  <w:footnote w:id="7">
    <w:p w14:paraId="2810248F" w14:textId="77777777" w:rsidR="00161F03" w:rsidRDefault="00161F03" w:rsidP="00161F03">
      <w:pPr>
        <w:pStyle w:val="FootnoteText"/>
      </w:pPr>
      <w:r>
        <w:rPr>
          <w:rStyle w:val="FootnoteReference"/>
          <w:rFonts w:eastAsia="Calibri"/>
        </w:rPr>
        <w:footnoteRef/>
      </w:r>
      <w:r>
        <w:t xml:space="preserve"> </w:t>
      </w:r>
      <w:hyperlink r:id="rId5" w:history="1">
        <w:r w:rsidRPr="0020693D">
          <w:rPr>
            <w:rStyle w:val="Hyperlink"/>
          </w:rPr>
          <w:t>http://www.ons.gov.uk/ons/guide-method/method-quality/specific/gss-methodology-series/gss-methodology-series--33--life-expectancy-at-birth--methodological-options-for-small-populations.pdf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737E" w14:textId="77777777" w:rsidR="00F323F9" w:rsidRPr="00F323F9" w:rsidRDefault="00F323F9" w:rsidP="00F323F9">
    <w:pPr>
      <w:pStyle w:val="Header"/>
      <w:jc w:val="center"/>
      <w:rPr>
        <w:rFonts w:ascii="Arial" w:hAnsi="Arial" w:cs="Arial"/>
        <w:b/>
        <w:bCs/>
      </w:rPr>
    </w:pPr>
    <w:r w:rsidRPr="00F323F9">
      <w:rPr>
        <w:rFonts w:ascii="Arial" w:hAnsi="Arial" w:cs="Arial"/>
        <w:b/>
        <w:bCs/>
      </w:rPr>
      <w:t>NICE inherited this indicator and all its supporting documentation from NHS Digital on 1 April 2020</w:t>
    </w:r>
  </w:p>
  <w:p w14:paraId="0C0640C1" w14:textId="77777777" w:rsidR="00F323F9" w:rsidRDefault="00F32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C2E21394"/>
    <w:lvl w:ilvl="0">
      <w:start w:val="1"/>
      <w:numFmt w:val="decimal"/>
      <w:pStyle w:val="Heading1"/>
      <w:lvlText w:val="%1"/>
      <w:legacy w:legacy="1" w:legacySpace="120" w:legacyIndent="851"/>
      <w:lvlJc w:val="left"/>
      <w:pPr>
        <w:ind w:left="851" w:hanging="851"/>
      </w:pPr>
      <w:rPr>
        <w:b/>
        <w:sz w:val="28"/>
      </w:rPr>
    </w:lvl>
    <w:lvl w:ilvl="1">
      <w:start w:val="1"/>
      <w:numFmt w:val="decimal"/>
      <w:pStyle w:val="Heading2"/>
      <w:lvlText w:val="%1.%2"/>
      <w:legacy w:legacy="1" w:legacySpace="120" w:legacyIndent="851"/>
      <w:lvlJc w:val="left"/>
      <w:pPr>
        <w:ind w:left="851" w:hanging="851"/>
      </w:pPr>
      <w:rPr>
        <w:b/>
      </w:rPr>
    </w:lvl>
    <w:lvl w:ilvl="2">
      <w:start w:val="1"/>
      <w:numFmt w:val="decimal"/>
      <w:pStyle w:val="Heading3"/>
      <w:lvlText w:val="%1.%2.%3."/>
      <w:legacy w:legacy="1" w:legacySpace="120" w:legacyIndent="851"/>
      <w:lvlJc w:val="left"/>
      <w:pPr>
        <w:ind w:left="1135" w:hanging="851"/>
      </w:pPr>
      <w:rPr>
        <w:rFonts w:ascii="Arial" w:hAnsi="Arial" w:cs="Arial" w:hint="default"/>
        <w:b/>
        <w:i w:val="0"/>
        <w:sz w:val="22"/>
        <w:szCs w:val="22"/>
      </w:rPr>
    </w:lvl>
    <w:lvl w:ilvl="3">
      <w:numFmt w:val="none"/>
      <w:lvlText w:val=""/>
      <w:lvlJc w:val="left"/>
    </w:lvl>
    <w:lvl w:ilvl="4">
      <w:start w:val="1"/>
      <w:numFmt w:val="decimal"/>
      <w:pStyle w:val="Heading5"/>
      <w:lvlText w:val=".%5"/>
      <w:legacy w:legacy="1" w:legacySpace="120" w:legacyIndent="792"/>
      <w:lvlJc w:val="left"/>
      <w:pPr>
        <w:ind w:left="2232" w:hanging="792"/>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2744AFC"/>
    <w:multiLevelType w:val="hybridMultilevel"/>
    <w:tmpl w:val="7CDCA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64EC3"/>
    <w:multiLevelType w:val="hybridMultilevel"/>
    <w:tmpl w:val="A9DE1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F455A2"/>
    <w:multiLevelType w:val="hybridMultilevel"/>
    <w:tmpl w:val="A39AC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54213F7E"/>
    <w:multiLevelType w:val="hybridMultilevel"/>
    <w:tmpl w:val="9006C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CC55FA"/>
    <w:multiLevelType w:val="hybridMultilevel"/>
    <w:tmpl w:val="20825C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7B56E6"/>
    <w:multiLevelType w:val="hybridMultilevel"/>
    <w:tmpl w:val="5674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72E46686"/>
    <w:multiLevelType w:val="hybridMultilevel"/>
    <w:tmpl w:val="D6D0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A13DC5"/>
    <w:multiLevelType w:val="multilevel"/>
    <w:tmpl w:val="0E9A98A6"/>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0"/>
  </w:num>
  <w:num w:numId="3">
    <w:abstractNumId w:val="7"/>
  </w:num>
  <w:num w:numId="4">
    <w:abstractNumId w:val="12"/>
  </w:num>
  <w:num w:numId="5">
    <w:abstractNumId w:val="6"/>
  </w:num>
  <w:num w:numId="6">
    <w:abstractNumId w:val="1"/>
  </w:num>
  <w:num w:numId="7">
    <w:abstractNumId w:val="5"/>
  </w:num>
  <w:num w:numId="8">
    <w:abstractNumId w:val="8"/>
  </w:num>
  <w:num w:numId="9">
    <w:abstractNumId w:val="2"/>
  </w:num>
  <w:num w:numId="10">
    <w:abstractNumId w:val="3"/>
  </w:num>
  <w:num w:numId="11">
    <w:abstractNumId w:val="14"/>
  </w:num>
  <w:num w:numId="12">
    <w:abstractNumId w:val="16"/>
  </w:num>
  <w:num w:numId="13">
    <w:abstractNumId w:val="10"/>
  </w:num>
  <w:num w:numId="14">
    <w:abstractNumId w:val="9"/>
  </w:num>
  <w:num w:numId="15">
    <w:abstractNumId w:val="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105A0"/>
    <w:rsid w:val="00020DA2"/>
    <w:rsid w:val="00074EC7"/>
    <w:rsid w:val="000B321E"/>
    <w:rsid w:val="000F013F"/>
    <w:rsid w:val="000F1CCA"/>
    <w:rsid w:val="00115495"/>
    <w:rsid w:val="00142190"/>
    <w:rsid w:val="001426AB"/>
    <w:rsid w:val="00161977"/>
    <w:rsid w:val="00161F03"/>
    <w:rsid w:val="00173180"/>
    <w:rsid w:val="00196A84"/>
    <w:rsid w:val="001C4B9D"/>
    <w:rsid w:val="001D0544"/>
    <w:rsid w:val="001D5216"/>
    <w:rsid w:val="001F0DD8"/>
    <w:rsid w:val="0021591E"/>
    <w:rsid w:val="00230D71"/>
    <w:rsid w:val="002330DA"/>
    <w:rsid w:val="00235E99"/>
    <w:rsid w:val="0025502D"/>
    <w:rsid w:val="00266A7E"/>
    <w:rsid w:val="002840BE"/>
    <w:rsid w:val="002B3D79"/>
    <w:rsid w:val="002C01FE"/>
    <w:rsid w:val="002D0AB0"/>
    <w:rsid w:val="002D369C"/>
    <w:rsid w:val="00322BD4"/>
    <w:rsid w:val="0034626F"/>
    <w:rsid w:val="00383133"/>
    <w:rsid w:val="003964B8"/>
    <w:rsid w:val="003A5BE0"/>
    <w:rsid w:val="003A5F69"/>
    <w:rsid w:val="003E3368"/>
    <w:rsid w:val="003E3F4E"/>
    <w:rsid w:val="003E5D8E"/>
    <w:rsid w:val="003F080A"/>
    <w:rsid w:val="003F156D"/>
    <w:rsid w:val="00424AEC"/>
    <w:rsid w:val="00424B36"/>
    <w:rsid w:val="00425414"/>
    <w:rsid w:val="0042721A"/>
    <w:rsid w:val="00430392"/>
    <w:rsid w:val="00431EA9"/>
    <w:rsid w:val="00450AC6"/>
    <w:rsid w:val="00457A3D"/>
    <w:rsid w:val="00482032"/>
    <w:rsid w:val="00485ED6"/>
    <w:rsid w:val="00490BB9"/>
    <w:rsid w:val="004C64BB"/>
    <w:rsid w:val="00503EB2"/>
    <w:rsid w:val="00522B95"/>
    <w:rsid w:val="00527810"/>
    <w:rsid w:val="00576CB5"/>
    <w:rsid w:val="005A779B"/>
    <w:rsid w:val="005D64E4"/>
    <w:rsid w:val="005E2311"/>
    <w:rsid w:val="005F36B2"/>
    <w:rsid w:val="00606204"/>
    <w:rsid w:val="00653D79"/>
    <w:rsid w:val="006668FB"/>
    <w:rsid w:val="006818AA"/>
    <w:rsid w:val="00692944"/>
    <w:rsid w:val="006A54FE"/>
    <w:rsid w:val="006C47A4"/>
    <w:rsid w:val="006F0E9F"/>
    <w:rsid w:val="006F5172"/>
    <w:rsid w:val="0070468C"/>
    <w:rsid w:val="00715102"/>
    <w:rsid w:val="007235D1"/>
    <w:rsid w:val="00724B3F"/>
    <w:rsid w:val="00763298"/>
    <w:rsid w:val="007763C6"/>
    <w:rsid w:val="00791F81"/>
    <w:rsid w:val="007A6DF7"/>
    <w:rsid w:val="007D0CBE"/>
    <w:rsid w:val="007D537B"/>
    <w:rsid w:val="007F0109"/>
    <w:rsid w:val="007F6CCC"/>
    <w:rsid w:val="00834FAE"/>
    <w:rsid w:val="00840994"/>
    <w:rsid w:val="00863AD3"/>
    <w:rsid w:val="008C1992"/>
    <w:rsid w:val="008D06F5"/>
    <w:rsid w:val="008D37A6"/>
    <w:rsid w:val="008E0ACB"/>
    <w:rsid w:val="008E7F21"/>
    <w:rsid w:val="008F61E8"/>
    <w:rsid w:val="00942035"/>
    <w:rsid w:val="009664C8"/>
    <w:rsid w:val="009752E7"/>
    <w:rsid w:val="00984012"/>
    <w:rsid w:val="009926C2"/>
    <w:rsid w:val="009C59E2"/>
    <w:rsid w:val="009E09DA"/>
    <w:rsid w:val="00A01992"/>
    <w:rsid w:val="00A1550E"/>
    <w:rsid w:val="00A20F59"/>
    <w:rsid w:val="00A3142F"/>
    <w:rsid w:val="00A45B5F"/>
    <w:rsid w:val="00A56479"/>
    <w:rsid w:val="00A721AA"/>
    <w:rsid w:val="00A84449"/>
    <w:rsid w:val="00A8619F"/>
    <w:rsid w:val="00AA12FF"/>
    <w:rsid w:val="00B3262D"/>
    <w:rsid w:val="00B42F2C"/>
    <w:rsid w:val="00B61674"/>
    <w:rsid w:val="00B8386F"/>
    <w:rsid w:val="00BC20C3"/>
    <w:rsid w:val="00BC310E"/>
    <w:rsid w:val="00BD69FE"/>
    <w:rsid w:val="00C209D9"/>
    <w:rsid w:val="00C3717E"/>
    <w:rsid w:val="00C405E9"/>
    <w:rsid w:val="00C54BD2"/>
    <w:rsid w:val="00C66B86"/>
    <w:rsid w:val="00CD0F59"/>
    <w:rsid w:val="00CE04AB"/>
    <w:rsid w:val="00CF0232"/>
    <w:rsid w:val="00D27E37"/>
    <w:rsid w:val="00D54ADF"/>
    <w:rsid w:val="00D706AB"/>
    <w:rsid w:val="00DB285E"/>
    <w:rsid w:val="00DC46F5"/>
    <w:rsid w:val="00DC6632"/>
    <w:rsid w:val="00DF312C"/>
    <w:rsid w:val="00E03AD9"/>
    <w:rsid w:val="00E31A14"/>
    <w:rsid w:val="00E34DEE"/>
    <w:rsid w:val="00E53340"/>
    <w:rsid w:val="00E55904"/>
    <w:rsid w:val="00F01683"/>
    <w:rsid w:val="00F236E1"/>
    <w:rsid w:val="00F323F9"/>
    <w:rsid w:val="00F34EDF"/>
    <w:rsid w:val="00F842B8"/>
    <w:rsid w:val="00FA24FB"/>
    <w:rsid w:val="00FA67EF"/>
    <w:rsid w:val="00FC7AD5"/>
    <w:rsid w:val="00FF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1C4B9D"/>
    <w:pPr>
      <w:numPr>
        <w:numId w:val="6"/>
      </w:numPr>
      <w:tabs>
        <w:tab w:val="left" w:pos="0"/>
        <w:tab w:val="left" w:pos="851"/>
      </w:tabs>
      <w:overflowPunct w:val="0"/>
      <w:autoSpaceDE w:val="0"/>
      <w:autoSpaceDN w:val="0"/>
      <w:adjustRightInd w:val="0"/>
      <w:spacing w:after="360"/>
      <w:textAlignment w:val="baseline"/>
      <w:outlineLvl w:val="0"/>
    </w:pPr>
    <w:rPr>
      <w:rFonts w:eastAsia="Times New Roman" w:cs="Times New Roman"/>
      <w:b/>
      <w:kern w:val="28"/>
      <w:sz w:val="28"/>
      <w:szCs w:val="20"/>
      <w:lang w:eastAsia="en-GB"/>
    </w:rPr>
  </w:style>
  <w:style w:type="paragraph" w:styleId="Heading2">
    <w:name w:val="heading 2"/>
    <w:aliases w:val="h2"/>
    <w:basedOn w:val="Normal"/>
    <w:next w:val="Normal"/>
    <w:link w:val="Heading2Char"/>
    <w:qFormat/>
    <w:rsid w:val="001C4B9D"/>
    <w:pPr>
      <w:keepNext/>
      <w:numPr>
        <w:ilvl w:val="1"/>
        <w:numId w:val="6"/>
      </w:numPr>
      <w:tabs>
        <w:tab w:val="left" w:pos="0"/>
        <w:tab w:val="left" w:pos="851"/>
      </w:tabs>
      <w:overflowPunct w:val="0"/>
      <w:autoSpaceDE w:val="0"/>
      <w:autoSpaceDN w:val="0"/>
      <w:adjustRightInd w:val="0"/>
      <w:spacing w:before="360" w:after="140"/>
      <w:textAlignment w:val="baseline"/>
      <w:outlineLvl w:val="1"/>
    </w:pPr>
    <w:rPr>
      <w:rFonts w:eastAsia="Times New Roman" w:cs="Times New Roman"/>
      <w:b/>
      <w:sz w:val="24"/>
      <w:szCs w:val="20"/>
      <w:lang w:eastAsia="en-GB"/>
    </w:rPr>
  </w:style>
  <w:style w:type="paragraph" w:styleId="Heading3">
    <w:name w:val="heading 3"/>
    <w:basedOn w:val="Normal"/>
    <w:next w:val="Normal"/>
    <w:link w:val="Heading3Char"/>
    <w:qFormat/>
    <w:rsid w:val="001C4B9D"/>
    <w:pPr>
      <w:keepNext/>
      <w:numPr>
        <w:ilvl w:val="2"/>
        <w:numId w:val="6"/>
      </w:numPr>
      <w:tabs>
        <w:tab w:val="left" w:pos="2553"/>
      </w:tabs>
      <w:overflowPunct w:val="0"/>
      <w:autoSpaceDE w:val="0"/>
      <w:autoSpaceDN w:val="0"/>
      <w:adjustRightInd w:val="0"/>
      <w:spacing w:before="220" w:after="80"/>
      <w:textAlignment w:val="baseline"/>
      <w:outlineLvl w:val="2"/>
    </w:pPr>
    <w:rPr>
      <w:rFonts w:eastAsia="Times New Roman" w:cs="Times New Roman"/>
      <w:b/>
      <w:szCs w:val="20"/>
      <w:lang w:eastAsia="en-GB"/>
    </w:rPr>
  </w:style>
  <w:style w:type="paragraph" w:styleId="Heading4">
    <w:name w:val="heading 4"/>
    <w:basedOn w:val="Normal"/>
    <w:next w:val="Normal"/>
    <w:link w:val="Heading4Char"/>
    <w:qFormat/>
    <w:rsid w:val="00C209D9"/>
    <w:pPr>
      <w:keepNext/>
      <w:tabs>
        <w:tab w:val="num" w:pos="864"/>
      </w:tabs>
      <w:spacing w:before="240" w:after="60"/>
      <w:ind w:left="864" w:hanging="864"/>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1C4B9D"/>
    <w:pPr>
      <w:keepNext/>
      <w:numPr>
        <w:ilvl w:val="4"/>
        <w:numId w:val="6"/>
      </w:numPr>
      <w:tabs>
        <w:tab w:val="left" w:pos="0"/>
        <w:tab w:val="left" w:pos="2520"/>
      </w:tabs>
      <w:overflowPunct w:val="0"/>
      <w:autoSpaceDE w:val="0"/>
      <w:autoSpaceDN w:val="0"/>
      <w:adjustRightInd w:val="0"/>
      <w:spacing w:line="-280" w:lineRule="auto"/>
      <w:textAlignment w:val="baseline"/>
      <w:outlineLvl w:val="4"/>
    </w:pPr>
    <w:rPr>
      <w:rFonts w:eastAsia="Times New Roman" w:cs="Times New Roman"/>
      <w:b/>
      <w:sz w:val="28"/>
      <w:szCs w:val="20"/>
      <w:lang w:val="en-US" w:eastAsia="en-GB"/>
    </w:rPr>
  </w:style>
  <w:style w:type="paragraph" w:styleId="Heading6">
    <w:name w:val="heading 6"/>
    <w:basedOn w:val="Normal"/>
    <w:next w:val="Normal"/>
    <w:link w:val="Heading6Char"/>
    <w:qFormat/>
    <w:rsid w:val="00C209D9"/>
    <w:pPr>
      <w:tabs>
        <w:tab w:val="num" w:pos="1152"/>
      </w:tabs>
      <w:spacing w:before="240" w:after="60"/>
      <w:ind w:left="1152" w:hanging="1152"/>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C209D9"/>
    <w:pPr>
      <w:tabs>
        <w:tab w:val="num" w:pos="1296"/>
      </w:tabs>
      <w:spacing w:before="240" w:after="60"/>
      <w:ind w:left="1296" w:hanging="1296"/>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C209D9"/>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C209D9"/>
    <w:pPr>
      <w:tabs>
        <w:tab w:val="num" w:pos="1584"/>
      </w:tabs>
      <w:spacing w:before="240" w:after="60"/>
      <w:ind w:left="1584" w:hanging="1584"/>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semiHidden/>
    <w:unhideWhenUsed/>
    <w:rsid w:val="00FA67EF"/>
    <w:rPr>
      <w:sz w:val="16"/>
      <w:szCs w:val="16"/>
    </w:rPr>
  </w:style>
  <w:style w:type="paragraph" w:styleId="CommentText">
    <w:name w:val="annotation text"/>
    <w:basedOn w:val="Normal"/>
    <w:link w:val="CommentTextChar"/>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5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customStyle="1" w:styleId="Heading1Char">
    <w:name w:val="Heading 1 Char"/>
    <w:aliases w:val="Outline1 Char"/>
    <w:basedOn w:val="DefaultParagraphFont"/>
    <w:link w:val="Heading1"/>
    <w:rsid w:val="001C4B9D"/>
    <w:rPr>
      <w:rFonts w:eastAsia="Times New Roman" w:cs="Times New Roman"/>
      <w:b/>
      <w:kern w:val="28"/>
      <w:sz w:val="28"/>
      <w:szCs w:val="20"/>
      <w:lang w:eastAsia="en-GB"/>
    </w:rPr>
  </w:style>
  <w:style w:type="character" w:customStyle="1" w:styleId="Heading2Char">
    <w:name w:val="Heading 2 Char"/>
    <w:aliases w:val="h2 Char"/>
    <w:basedOn w:val="DefaultParagraphFont"/>
    <w:link w:val="Heading2"/>
    <w:rsid w:val="001C4B9D"/>
    <w:rPr>
      <w:rFonts w:eastAsia="Times New Roman" w:cs="Times New Roman"/>
      <w:b/>
      <w:sz w:val="24"/>
      <w:szCs w:val="20"/>
      <w:lang w:eastAsia="en-GB"/>
    </w:rPr>
  </w:style>
  <w:style w:type="character" w:customStyle="1" w:styleId="Heading3Char">
    <w:name w:val="Heading 3 Char"/>
    <w:basedOn w:val="DefaultParagraphFont"/>
    <w:link w:val="Heading3"/>
    <w:rsid w:val="001C4B9D"/>
    <w:rPr>
      <w:rFonts w:eastAsia="Times New Roman" w:cs="Times New Roman"/>
      <w:b/>
      <w:szCs w:val="20"/>
      <w:lang w:eastAsia="en-GB"/>
    </w:rPr>
  </w:style>
  <w:style w:type="character" w:customStyle="1" w:styleId="Heading5Char">
    <w:name w:val="Heading 5 Char"/>
    <w:basedOn w:val="DefaultParagraphFont"/>
    <w:link w:val="Heading5"/>
    <w:rsid w:val="001C4B9D"/>
    <w:rPr>
      <w:rFonts w:eastAsia="Times New Roman" w:cs="Times New Roman"/>
      <w:b/>
      <w:sz w:val="28"/>
      <w:szCs w:val="20"/>
      <w:lang w:val="en-US" w:eastAsia="en-GB"/>
    </w:rPr>
  </w:style>
  <w:style w:type="paragraph" w:styleId="EndnoteText">
    <w:name w:val="endnote text"/>
    <w:basedOn w:val="Normal"/>
    <w:link w:val="EndnoteTextChar"/>
    <w:semiHidden/>
    <w:rsid w:val="001C4B9D"/>
    <w:pPr>
      <w:overflowPunct w:val="0"/>
      <w:autoSpaceDE w:val="0"/>
      <w:autoSpaceDN w:val="0"/>
      <w:adjustRightInd w:val="0"/>
      <w:textAlignment w:val="baseline"/>
    </w:pPr>
    <w:rPr>
      <w:rFonts w:eastAsia="Times New Roman" w:cs="Times New Roman"/>
      <w:sz w:val="20"/>
      <w:szCs w:val="20"/>
      <w:lang w:eastAsia="en-GB"/>
    </w:rPr>
  </w:style>
  <w:style w:type="character" w:customStyle="1" w:styleId="EndnoteTextChar">
    <w:name w:val="Endnote Text Char"/>
    <w:basedOn w:val="DefaultParagraphFont"/>
    <w:link w:val="EndnoteText"/>
    <w:semiHidden/>
    <w:rsid w:val="001C4B9D"/>
    <w:rPr>
      <w:rFonts w:eastAsia="Times New Roman" w:cs="Times New Roman"/>
      <w:sz w:val="20"/>
      <w:szCs w:val="20"/>
      <w:lang w:eastAsia="en-GB"/>
    </w:rPr>
  </w:style>
  <w:style w:type="character" w:styleId="EndnoteReference">
    <w:name w:val="endnote reference"/>
    <w:semiHidden/>
    <w:rsid w:val="001C4B9D"/>
    <w:rPr>
      <w:vertAlign w:val="superscript"/>
    </w:rPr>
  </w:style>
  <w:style w:type="paragraph" w:styleId="NormalWeb">
    <w:name w:val="Normal (Web)"/>
    <w:basedOn w:val="Normal"/>
    <w:uiPriority w:val="99"/>
    <w:unhideWhenUsed/>
    <w:rsid w:val="00576CB5"/>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qFormat/>
    <w:rsid w:val="00C209D9"/>
    <w:pPr>
      <w:tabs>
        <w:tab w:val="center" w:pos="4153"/>
        <w:tab w:val="right" w:pos="830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209D9"/>
    <w:rPr>
      <w:rFonts w:ascii="Times New Roman" w:eastAsia="Times New Roman" w:hAnsi="Times New Roman" w:cs="Times New Roman"/>
      <w:sz w:val="24"/>
      <w:szCs w:val="24"/>
      <w:lang w:eastAsia="en-GB"/>
    </w:rPr>
  </w:style>
  <w:style w:type="paragraph" w:styleId="Footer">
    <w:name w:val="footer"/>
    <w:basedOn w:val="Normal"/>
    <w:link w:val="FooterChar"/>
    <w:uiPriority w:val="99"/>
    <w:qFormat/>
    <w:rsid w:val="00C209D9"/>
    <w:pPr>
      <w:tabs>
        <w:tab w:val="center" w:pos="4153"/>
        <w:tab w:val="right" w:pos="830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209D9"/>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C209D9"/>
    <w:rPr>
      <w:rFonts w:ascii="Times New Roman" w:eastAsia="Times New Roman" w:hAnsi="Times New Roman" w:cs="Times New Roman"/>
      <w:b/>
      <w:bCs/>
      <w:sz w:val="28"/>
      <w:szCs w:val="28"/>
      <w:lang w:eastAsia="en-GB"/>
    </w:rPr>
  </w:style>
  <w:style w:type="character" w:customStyle="1" w:styleId="Heading6Char">
    <w:name w:val="Heading 6 Char"/>
    <w:basedOn w:val="DefaultParagraphFont"/>
    <w:link w:val="Heading6"/>
    <w:rsid w:val="00C209D9"/>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C209D9"/>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C209D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C209D9"/>
    <w:rPr>
      <w:rFonts w:eastAsia="Times New Roman"/>
      <w:lang w:eastAsia="en-GB"/>
    </w:rPr>
  </w:style>
  <w:style w:type="character" w:customStyle="1" w:styleId="PlainTextChar">
    <w:name w:val="Plain Text Char"/>
    <w:link w:val="PlainText"/>
    <w:semiHidden/>
    <w:locked/>
    <w:rsid w:val="00C209D9"/>
    <w:rPr>
      <w:rFonts w:ascii="Consolas" w:eastAsia="Calibri" w:hAnsi="Consolas"/>
      <w:sz w:val="21"/>
      <w:szCs w:val="21"/>
    </w:rPr>
  </w:style>
  <w:style w:type="paragraph" w:styleId="PlainText">
    <w:name w:val="Plain Text"/>
    <w:basedOn w:val="Normal"/>
    <w:link w:val="PlainTextChar"/>
    <w:semiHidden/>
    <w:rsid w:val="00C209D9"/>
    <w:rPr>
      <w:rFonts w:ascii="Consolas" w:eastAsia="Calibri" w:hAnsi="Consolas"/>
      <w:sz w:val="21"/>
      <w:szCs w:val="21"/>
    </w:rPr>
  </w:style>
  <w:style w:type="character" w:customStyle="1" w:styleId="PlainTextChar1">
    <w:name w:val="Plain Text Char1"/>
    <w:basedOn w:val="DefaultParagraphFont"/>
    <w:uiPriority w:val="99"/>
    <w:semiHidden/>
    <w:rsid w:val="00C209D9"/>
    <w:rPr>
      <w:rFonts w:ascii="Consolas" w:hAnsi="Consolas"/>
      <w:sz w:val="21"/>
      <w:szCs w:val="21"/>
    </w:rPr>
  </w:style>
  <w:style w:type="table" w:styleId="PlainTable2">
    <w:name w:val="Plain Table 2"/>
    <w:basedOn w:val="TableNormal"/>
    <w:uiPriority w:val="42"/>
    <w:rsid w:val="00485E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unhideWhenUsed/>
    <w:rsid w:val="000B321E"/>
    <w:rPr>
      <w:vertAlign w:val="superscript"/>
    </w:rPr>
  </w:style>
  <w:style w:type="table" w:customStyle="1" w:styleId="TableGrid1">
    <w:name w:val="Table Grid1"/>
    <w:basedOn w:val="TableNormal"/>
    <w:next w:val="TableGrid"/>
    <w:uiPriority w:val="59"/>
    <w:rsid w:val="000B321E"/>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B321E"/>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rsid w:val="000B321E"/>
    <w:rPr>
      <w:rFonts w:eastAsia="Times New Roman" w:cs="Times New Roman"/>
      <w:sz w:val="20"/>
      <w:szCs w:val="20"/>
    </w:rPr>
  </w:style>
  <w:style w:type="paragraph" w:customStyle="1" w:styleId="CM13">
    <w:name w:val="CM13"/>
    <w:basedOn w:val="Normal"/>
    <w:next w:val="Normal"/>
    <w:uiPriority w:val="99"/>
    <w:rsid w:val="000B321E"/>
    <w:pPr>
      <w:autoSpaceDE w:val="0"/>
      <w:autoSpaceDN w:val="0"/>
      <w:adjustRightInd w:val="0"/>
      <w:spacing w:line="280" w:lineRule="atLeast"/>
    </w:pPr>
    <w:rPr>
      <w:rFonts w:ascii="HelveticaNeueLT Std Lt" w:eastAsia="Times New Roman" w:hAnsi="HelveticaNeueLT Std Lt" w:cs="Times New Roman"/>
      <w:sz w:val="24"/>
      <w:szCs w:val="24"/>
    </w:rPr>
  </w:style>
  <w:style w:type="character" w:styleId="PlaceholderText">
    <w:name w:val="Placeholder Text"/>
    <w:basedOn w:val="DefaultParagraphFont"/>
    <w:uiPriority w:val="99"/>
    <w:semiHidden/>
    <w:rsid w:val="000B3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9312">
      <w:bodyDiv w:val="1"/>
      <w:marLeft w:val="0"/>
      <w:marRight w:val="0"/>
      <w:marTop w:val="0"/>
      <w:marBottom w:val="0"/>
      <w:divBdr>
        <w:top w:val="none" w:sz="0" w:space="0" w:color="auto"/>
        <w:left w:val="none" w:sz="0" w:space="0" w:color="auto"/>
        <w:bottom w:val="none" w:sz="0" w:space="0" w:color="auto"/>
        <w:right w:val="none" w:sz="0" w:space="0" w:color="auto"/>
      </w:divBdr>
    </w:div>
    <w:div w:id="584654535">
      <w:bodyDiv w:val="1"/>
      <w:marLeft w:val="0"/>
      <w:marRight w:val="0"/>
      <w:marTop w:val="0"/>
      <w:marBottom w:val="0"/>
      <w:divBdr>
        <w:top w:val="none" w:sz="0" w:space="0" w:color="auto"/>
        <w:left w:val="none" w:sz="0" w:space="0" w:color="auto"/>
        <w:bottom w:val="none" w:sz="0" w:space="0" w:color="auto"/>
        <w:right w:val="none" w:sz="0" w:space="0" w:color="auto"/>
      </w:divBdr>
    </w:div>
    <w:div w:id="863444196">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4132415">
      <w:bodyDiv w:val="1"/>
      <w:marLeft w:val="0"/>
      <w:marRight w:val="0"/>
      <w:marTop w:val="0"/>
      <w:marBottom w:val="0"/>
      <w:divBdr>
        <w:top w:val="none" w:sz="0" w:space="0" w:color="auto"/>
        <w:left w:val="none" w:sz="0" w:space="0" w:color="auto"/>
        <w:bottom w:val="none" w:sz="0" w:space="0" w:color="auto"/>
        <w:right w:val="none" w:sz="0" w:space="0" w:color="auto"/>
      </w:divBdr>
    </w:div>
    <w:div w:id="1374310035">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ns.gov.uk/ons/guide-method/method-quality/quality/quality-information/quality-and-methodology-information-reports-by-theme/population/quality-and-methodology-information-for-mortality-statistics-in-england-and-wales.pdf" TargetMode="External"/><Relationship Id="rId18" Type="http://schemas.openxmlformats.org/officeDocument/2006/relationships/hyperlink" Target="http://www.ons.gov.uk/ons/rel/subnational-health4/life-expec-at-birth-age-65/2004-06-to-2008-10/ref-life-table-template.xls"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www.ons.gov.uk/ons/guide-method/method-quality/quality/quality-information/population/quality-and-methodology-information-for-birth-statistics.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ons.gov.uk/ons/guide-method/method-quality/specific/population-and-migration/demography/guide-to-calculating-national-life-tables/appendix-a/index.html" TargetMode="External"/><Relationship Id="rId20" Type="http://schemas.openxmlformats.org/officeDocument/2006/relationships/hyperlink" Target="https://indicators.hscic.gov.uk/web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White@dh.gsi.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hyperlink" Target="mailto:Andrew.Parker@dh.gsi.gov.uk" TargetMode="External"/><Relationship Id="rId19" Type="http://schemas.openxmlformats.org/officeDocument/2006/relationships/hyperlink" Target="http://www.ons.gov.uk/ons/rel/subnational-health4/life-expec-at-birth-age-65/2004-06-to-2008-10/ref-life-table-template.x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ns.gov.uk/ons/guide-method/method-quality/quality/quality-information/population/quality-and-methodology-information-for-annual-mid-year-population-estimates.pdf"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nice.org.uk/accessibil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ns.gov.uk/ons/publications/all-releases.html?definition=tcm%3A77-23535" TargetMode="External"/><Relationship Id="rId2" Type="http://schemas.openxmlformats.org/officeDocument/2006/relationships/hyperlink" Target="http://ons.gov.uk/ons/rel/npp/national-population-projections/2010-based-projections/rep-2010-based-npp.html" TargetMode="External"/><Relationship Id="rId1" Type="http://schemas.openxmlformats.org/officeDocument/2006/relationships/hyperlink" Target="http://www.ons.gov.uk/ons/guide-method/method-quality/quality/nsqr/full-list-of-completed-quality-reviews/index.html" TargetMode="External"/><Relationship Id="rId5" Type="http://schemas.openxmlformats.org/officeDocument/2006/relationships/hyperlink" Target="http://www.ons.gov.uk/ons/guide-method/method-quality/specific/gss-methodology-series/gss-methodology-series--33--life-expectancy-at-birth--methodological-options-for-small-populations.pdf" TargetMode="External"/><Relationship Id="rId4" Type="http://schemas.openxmlformats.org/officeDocument/2006/relationships/hyperlink" Target="http://www.ons.gov.uk/ons/taxonomy/index.html?nscl=Decennial+Life+Tabl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ts-d-app-513.dev.green.net/download/Outcomes%20Framework/Data/NHSOF_1b_I00655_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GB" sz="1100"/>
              <a:t>Life Expectancy at 75 for England (2012-2014) by Local Authority</a:t>
            </a:r>
          </a:p>
        </c:rich>
      </c:tx>
      <c:layout>
        <c:manualLayout>
          <c:xMode val="edge"/>
          <c:yMode val="edge"/>
          <c:x val="9.2379719861749948E-2"/>
          <c:y val="1.8752518320531035E-2"/>
        </c:manualLayout>
      </c:layout>
      <c:overlay val="1"/>
    </c:title>
    <c:autoTitleDeleted val="0"/>
    <c:plotArea>
      <c:layout>
        <c:manualLayout>
          <c:layoutTarget val="inner"/>
          <c:xMode val="edge"/>
          <c:yMode val="edge"/>
          <c:x val="9.5645747251890539E-2"/>
          <c:y val="2.2782794352540794E-2"/>
          <c:w val="0.90337714716353523"/>
          <c:h val="0.90494867040702476"/>
        </c:manualLayout>
      </c:layout>
      <c:lineChart>
        <c:grouping val="standard"/>
        <c:varyColors val="0"/>
        <c:ser>
          <c:idx val="3"/>
          <c:order val="0"/>
          <c:tx>
            <c:v>Female</c:v>
          </c:tx>
          <c:marker>
            <c:symbol val="none"/>
          </c:marker>
          <c:val>
            <c:numRef>
              <c:f>[NHSOF_1b_I00655_D.xls]Sheet1!$I$2:$I$358</c:f>
              <c:numCache>
                <c:formatCode>0.0</c:formatCode>
                <c:ptCount val="357"/>
                <c:pt idx="0">
                  <c:v>11.5</c:v>
                </c:pt>
                <c:pt idx="1">
                  <c:v>11.6</c:v>
                </c:pt>
                <c:pt idx="2">
                  <c:v>11.6</c:v>
                </c:pt>
                <c:pt idx="3">
                  <c:v>11.7</c:v>
                </c:pt>
                <c:pt idx="4">
                  <c:v>11.7</c:v>
                </c:pt>
                <c:pt idx="5">
                  <c:v>11.7</c:v>
                </c:pt>
                <c:pt idx="6">
                  <c:v>11.9</c:v>
                </c:pt>
                <c:pt idx="7">
                  <c:v>12</c:v>
                </c:pt>
                <c:pt idx="8">
                  <c:v>12</c:v>
                </c:pt>
                <c:pt idx="9">
                  <c:v>12</c:v>
                </c:pt>
                <c:pt idx="10">
                  <c:v>12</c:v>
                </c:pt>
                <c:pt idx="11">
                  <c:v>12.1</c:v>
                </c:pt>
                <c:pt idx="12">
                  <c:v>12.1</c:v>
                </c:pt>
                <c:pt idx="13">
                  <c:v>12.1</c:v>
                </c:pt>
                <c:pt idx="14">
                  <c:v>12.1</c:v>
                </c:pt>
                <c:pt idx="15">
                  <c:v>12.1</c:v>
                </c:pt>
                <c:pt idx="16">
                  <c:v>12.2</c:v>
                </c:pt>
                <c:pt idx="17">
                  <c:v>12.2</c:v>
                </c:pt>
                <c:pt idx="18">
                  <c:v>12.2</c:v>
                </c:pt>
                <c:pt idx="19">
                  <c:v>12.3</c:v>
                </c:pt>
                <c:pt idx="20">
                  <c:v>12.3</c:v>
                </c:pt>
                <c:pt idx="21">
                  <c:v>12.3</c:v>
                </c:pt>
                <c:pt idx="22">
                  <c:v>12.3</c:v>
                </c:pt>
                <c:pt idx="23">
                  <c:v>12.3</c:v>
                </c:pt>
                <c:pt idx="24">
                  <c:v>12.4</c:v>
                </c:pt>
                <c:pt idx="25">
                  <c:v>12.4</c:v>
                </c:pt>
                <c:pt idx="26">
                  <c:v>12.4</c:v>
                </c:pt>
                <c:pt idx="27">
                  <c:v>12.4</c:v>
                </c:pt>
                <c:pt idx="28">
                  <c:v>12.4</c:v>
                </c:pt>
                <c:pt idx="29">
                  <c:v>12.4</c:v>
                </c:pt>
                <c:pt idx="30">
                  <c:v>12.4</c:v>
                </c:pt>
                <c:pt idx="31">
                  <c:v>12.4</c:v>
                </c:pt>
                <c:pt idx="32">
                  <c:v>12.4</c:v>
                </c:pt>
                <c:pt idx="33">
                  <c:v>12.4</c:v>
                </c:pt>
                <c:pt idx="34">
                  <c:v>12.5</c:v>
                </c:pt>
                <c:pt idx="35">
                  <c:v>12.5</c:v>
                </c:pt>
                <c:pt idx="36">
                  <c:v>12.5</c:v>
                </c:pt>
                <c:pt idx="37">
                  <c:v>12.5</c:v>
                </c:pt>
                <c:pt idx="38">
                  <c:v>12.5</c:v>
                </c:pt>
                <c:pt idx="39">
                  <c:v>12.5</c:v>
                </c:pt>
                <c:pt idx="40">
                  <c:v>12.6</c:v>
                </c:pt>
                <c:pt idx="41">
                  <c:v>12.6</c:v>
                </c:pt>
                <c:pt idx="42">
                  <c:v>12.6</c:v>
                </c:pt>
                <c:pt idx="43">
                  <c:v>12.6</c:v>
                </c:pt>
                <c:pt idx="44">
                  <c:v>12.6</c:v>
                </c:pt>
                <c:pt idx="45">
                  <c:v>12.6</c:v>
                </c:pt>
                <c:pt idx="46">
                  <c:v>12.6</c:v>
                </c:pt>
                <c:pt idx="47">
                  <c:v>12.6</c:v>
                </c:pt>
                <c:pt idx="48">
                  <c:v>12.6</c:v>
                </c:pt>
                <c:pt idx="49">
                  <c:v>12.6</c:v>
                </c:pt>
                <c:pt idx="50">
                  <c:v>12.6</c:v>
                </c:pt>
                <c:pt idx="51">
                  <c:v>12.6</c:v>
                </c:pt>
                <c:pt idx="52">
                  <c:v>12.7</c:v>
                </c:pt>
                <c:pt idx="53">
                  <c:v>12.7</c:v>
                </c:pt>
                <c:pt idx="54">
                  <c:v>12.7</c:v>
                </c:pt>
                <c:pt idx="55">
                  <c:v>12.7</c:v>
                </c:pt>
                <c:pt idx="56">
                  <c:v>12.7</c:v>
                </c:pt>
                <c:pt idx="57">
                  <c:v>12.7</c:v>
                </c:pt>
                <c:pt idx="58">
                  <c:v>12.7</c:v>
                </c:pt>
                <c:pt idx="59">
                  <c:v>12.7</c:v>
                </c:pt>
                <c:pt idx="60">
                  <c:v>12.7</c:v>
                </c:pt>
                <c:pt idx="61">
                  <c:v>12.7</c:v>
                </c:pt>
                <c:pt idx="62">
                  <c:v>12.7</c:v>
                </c:pt>
                <c:pt idx="63">
                  <c:v>12.7</c:v>
                </c:pt>
                <c:pt idx="64">
                  <c:v>12.7</c:v>
                </c:pt>
                <c:pt idx="65">
                  <c:v>12.7</c:v>
                </c:pt>
                <c:pt idx="66">
                  <c:v>12.7</c:v>
                </c:pt>
                <c:pt idx="67">
                  <c:v>12.7</c:v>
                </c:pt>
                <c:pt idx="68">
                  <c:v>12.7</c:v>
                </c:pt>
                <c:pt idx="69">
                  <c:v>12.7</c:v>
                </c:pt>
                <c:pt idx="70">
                  <c:v>12.7</c:v>
                </c:pt>
                <c:pt idx="71">
                  <c:v>12.7</c:v>
                </c:pt>
                <c:pt idx="72">
                  <c:v>12.7</c:v>
                </c:pt>
                <c:pt idx="73">
                  <c:v>12.7</c:v>
                </c:pt>
                <c:pt idx="74">
                  <c:v>12.7</c:v>
                </c:pt>
                <c:pt idx="75">
                  <c:v>12.7</c:v>
                </c:pt>
                <c:pt idx="76">
                  <c:v>12.8</c:v>
                </c:pt>
                <c:pt idx="77">
                  <c:v>12.8</c:v>
                </c:pt>
                <c:pt idx="78">
                  <c:v>12.8</c:v>
                </c:pt>
                <c:pt idx="79">
                  <c:v>12.8</c:v>
                </c:pt>
                <c:pt idx="80">
                  <c:v>12.8</c:v>
                </c:pt>
                <c:pt idx="81">
                  <c:v>12.9</c:v>
                </c:pt>
                <c:pt idx="82">
                  <c:v>12.9</c:v>
                </c:pt>
                <c:pt idx="83">
                  <c:v>12.9</c:v>
                </c:pt>
                <c:pt idx="84">
                  <c:v>12.9</c:v>
                </c:pt>
                <c:pt idx="85">
                  <c:v>12.9</c:v>
                </c:pt>
                <c:pt idx="86">
                  <c:v>12.9</c:v>
                </c:pt>
                <c:pt idx="87">
                  <c:v>12.9</c:v>
                </c:pt>
                <c:pt idx="88">
                  <c:v>12.9</c:v>
                </c:pt>
                <c:pt idx="89">
                  <c:v>12.9</c:v>
                </c:pt>
                <c:pt idx="90">
                  <c:v>12.9</c:v>
                </c:pt>
                <c:pt idx="91">
                  <c:v>12.9</c:v>
                </c:pt>
                <c:pt idx="92">
                  <c:v>12.9</c:v>
                </c:pt>
                <c:pt idx="93">
                  <c:v>12.9</c:v>
                </c:pt>
                <c:pt idx="94">
                  <c:v>12.9</c:v>
                </c:pt>
                <c:pt idx="95">
                  <c:v>12.9</c:v>
                </c:pt>
                <c:pt idx="96">
                  <c:v>12.9</c:v>
                </c:pt>
                <c:pt idx="97">
                  <c:v>12.9</c:v>
                </c:pt>
                <c:pt idx="98">
                  <c:v>12.9</c:v>
                </c:pt>
                <c:pt idx="99">
                  <c:v>12.9</c:v>
                </c:pt>
                <c:pt idx="100">
                  <c:v>13</c:v>
                </c:pt>
                <c:pt idx="101">
                  <c:v>13</c:v>
                </c:pt>
                <c:pt idx="102">
                  <c:v>13</c:v>
                </c:pt>
                <c:pt idx="103">
                  <c:v>13</c:v>
                </c:pt>
                <c:pt idx="104">
                  <c:v>13</c:v>
                </c:pt>
                <c:pt idx="105">
                  <c:v>13</c:v>
                </c:pt>
                <c:pt idx="106">
                  <c:v>13</c:v>
                </c:pt>
                <c:pt idx="107">
                  <c:v>13</c:v>
                </c:pt>
                <c:pt idx="108">
                  <c:v>13</c:v>
                </c:pt>
                <c:pt idx="109">
                  <c:v>13</c:v>
                </c:pt>
                <c:pt idx="110">
                  <c:v>13</c:v>
                </c:pt>
                <c:pt idx="111">
                  <c:v>13</c:v>
                </c:pt>
                <c:pt idx="112">
                  <c:v>13</c:v>
                </c:pt>
                <c:pt idx="113">
                  <c:v>13</c:v>
                </c:pt>
                <c:pt idx="114">
                  <c:v>13</c:v>
                </c:pt>
                <c:pt idx="115">
                  <c:v>13</c:v>
                </c:pt>
                <c:pt idx="116">
                  <c:v>13</c:v>
                </c:pt>
                <c:pt idx="117">
                  <c:v>13</c:v>
                </c:pt>
                <c:pt idx="118">
                  <c:v>13</c:v>
                </c:pt>
                <c:pt idx="119">
                  <c:v>13</c:v>
                </c:pt>
                <c:pt idx="120">
                  <c:v>13</c:v>
                </c:pt>
                <c:pt idx="121">
                  <c:v>13</c:v>
                </c:pt>
                <c:pt idx="122">
                  <c:v>13</c:v>
                </c:pt>
                <c:pt idx="123">
                  <c:v>13.1</c:v>
                </c:pt>
                <c:pt idx="124">
                  <c:v>13.1</c:v>
                </c:pt>
                <c:pt idx="125">
                  <c:v>13.1</c:v>
                </c:pt>
                <c:pt idx="126">
                  <c:v>13.1</c:v>
                </c:pt>
                <c:pt idx="127">
                  <c:v>13.1</c:v>
                </c:pt>
                <c:pt idx="128">
                  <c:v>13.1</c:v>
                </c:pt>
                <c:pt idx="129">
                  <c:v>13.1</c:v>
                </c:pt>
                <c:pt idx="130">
                  <c:v>13.1</c:v>
                </c:pt>
                <c:pt idx="131">
                  <c:v>13.1</c:v>
                </c:pt>
                <c:pt idx="132">
                  <c:v>13.1</c:v>
                </c:pt>
                <c:pt idx="133">
                  <c:v>13.1</c:v>
                </c:pt>
                <c:pt idx="134">
                  <c:v>13.1</c:v>
                </c:pt>
                <c:pt idx="135">
                  <c:v>13.1</c:v>
                </c:pt>
                <c:pt idx="136">
                  <c:v>13.2</c:v>
                </c:pt>
                <c:pt idx="137">
                  <c:v>13.2</c:v>
                </c:pt>
                <c:pt idx="138">
                  <c:v>13.2</c:v>
                </c:pt>
                <c:pt idx="139">
                  <c:v>13.2</c:v>
                </c:pt>
                <c:pt idx="140">
                  <c:v>13.2</c:v>
                </c:pt>
                <c:pt idx="141">
                  <c:v>13.2</c:v>
                </c:pt>
                <c:pt idx="142">
                  <c:v>13.2</c:v>
                </c:pt>
                <c:pt idx="143">
                  <c:v>13.2</c:v>
                </c:pt>
                <c:pt idx="144">
                  <c:v>13.2</c:v>
                </c:pt>
                <c:pt idx="145">
                  <c:v>13.2</c:v>
                </c:pt>
                <c:pt idx="146">
                  <c:v>13.2</c:v>
                </c:pt>
                <c:pt idx="147">
                  <c:v>13.2</c:v>
                </c:pt>
                <c:pt idx="148">
                  <c:v>13.2</c:v>
                </c:pt>
                <c:pt idx="149">
                  <c:v>13.2</c:v>
                </c:pt>
                <c:pt idx="150">
                  <c:v>13.2</c:v>
                </c:pt>
                <c:pt idx="151">
                  <c:v>13.2</c:v>
                </c:pt>
                <c:pt idx="152">
                  <c:v>13.3</c:v>
                </c:pt>
                <c:pt idx="153">
                  <c:v>13.3</c:v>
                </c:pt>
                <c:pt idx="154">
                  <c:v>13.3</c:v>
                </c:pt>
                <c:pt idx="155">
                  <c:v>13.3</c:v>
                </c:pt>
                <c:pt idx="156">
                  <c:v>13.3</c:v>
                </c:pt>
                <c:pt idx="157">
                  <c:v>13.3</c:v>
                </c:pt>
                <c:pt idx="158">
                  <c:v>13.3</c:v>
                </c:pt>
                <c:pt idx="159">
                  <c:v>13.3</c:v>
                </c:pt>
                <c:pt idx="160">
                  <c:v>13.3</c:v>
                </c:pt>
                <c:pt idx="161">
                  <c:v>13.3</c:v>
                </c:pt>
                <c:pt idx="162">
                  <c:v>13.3</c:v>
                </c:pt>
                <c:pt idx="163">
                  <c:v>13.3</c:v>
                </c:pt>
                <c:pt idx="164">
                  <c:v>13.3</c:v>
                </c:pt>
                <c:pt idx="165">
                  <c:v>13.3</c:v>
                </c:pt>
                <c:pt idx="166">
                  <c:v>13.3</c:v>
                </c:pt>
                <c:pt idx="167">
                  <c:v>13.3</c:v>
                </c:pt>
                <c:pt idx="168">
                  <c:v>13.3</c:v>
                </c:pt>
                <c:pt idx="169">
                  <c:v>13.3</c:v>
                </c:pt>
                <c:pt idx="170">
                  <c:v>13.3</c:v>
                </c:pt>
                <c:pt idx="171">
                  <c:v>13.3</c:v>
                </c:pt>
                <c:pt idx="172">
                  <c:v>13.3</c:v>
                </c:pt>
                <c:pt idx="173">
                  <c:v>13.3</c:v>
                </c:pt>
                <c:pt idx="174">
                  <c:v>13.3</c:v>
                </c:pt>
                <c:pt idx="175">
                  <c:v>13.4</c:v>
                </c:pt>
                <c:pt idx="176">
                  <c:v>13.4</c:v>
                </c:pt>
                <c:pt idx="177">
                  <c:v>13.4</c:v>
                </c:pt>
                <c:pt idx="178">
                  <c:v>13.4</c:v>
                </c:pt>
                <c:pt idx="179">
                  <c:v>13.4</c:v>
                </c:pt>
                <c:pt idx="180">
                  <c:v>13.4</c:v>
                </c:pt>
                <c:pt idx="181">
                  <c:v>13.4</c:v>
                </c:pt>
                <c:pt idx="182">
                  <c:v>13.4</c:v>
                </c:pt>
                <c:pt idx="183">
                  <c:v>13.4</c:v>
                </c:pt>
                <c:pt idx="184">
                  <c:v>13.4</c:v>
                </c:pt>
                <c:pt idx="185">
                  <c:v>13.4</c:v>
                </c:pt>
                <c:pt idx="186">
                  <c:v>13.4</c:v>
                </c:pt>
                <c:pt idx="187">
                  <c:v>13.4</c:v>
                </c:pt>
                <c:pt idx="188">
                  <c:v>13.4</c:v>
                </c:pt>
                <c:pt idx="189">
                  <c:v>13.4</c:v>
                </c:pt>
                <c:pt idx="190">
                  <c:v>13.4</c:v>
                </c:pt>
                <c:pt idx="191">
                  <c:v>13.4</c:v>
                </c:pt>
                <c:pt idx="192">
                  <c:v>13.4</c:v>
                </c:pt>
                <c:pt idx="193">
                  <c:v>13.4</c:v>
                </c:pt>
                <c:pt idx="194">
                  <c:v>13.4</c:v>
                </c:pt>
                <c:pt idx="195">
                  <c:v>13.5</c:v>
                </c:pt>
                <c:pt idx="196">
                  <c:v>13.5</c:v>
                </c:pt>
                <c:pt idx="197">
                  <c:v>13.5</c:v>
                </c:pt>
                <c:pt idx="198">
                  <c:v>13.5</c:v>
                </c:pt>
                <c:pt idx="199">
                  <c:v>13.5</c:v>
                </c:pt>
                <c:pt idx="200">
                  <c:v>13.5</c:v>
                </c:pt>
                <c:pt idx="201">
                  <c:v>13.5</c:v>
                </c:pt>
                <c:pt idx="202">
                  <c:v>13.5</c:v>
                </c:pt>
                <c:pt idx="203">
                  <c:v>13.5</c:v>
                </c:pt>
                <c:pt idx="204">
                  <c:v>13.5</c:v>
                </c:pt>
                <c:pt idx="205">
                  <c:v>13.5</c:v>
                </c:pt>
                <c:pt idx="206">
                  <c:v>13.5</c:v>
                </c:pt>
                <c:pt idx="207">
                  <c:v>13.6</c:v>
                </c:pt>
                <c:pt idx="208">
                  <c:v>13.6</c:v>
                </c:pt>
                <c:pt idx="209">
                  <c:v>13.6</c:v>
                </c:pt>
                <c:pt idx="210">
                  <c:v>13.6</c:v>
                </c:pt>
                <c:pt idx="211">
                  <c:v>13.6</c:v>
                </c:pt>
                <c:pt idx="212">
                  <c:v>13.6</c:v>
                </c:pt>
                <c:pt idx="213">
                  <c:v>13.6</c:v>
                </c:pt>
                <c:pt idx="214">
                  <c:v>13.6</c:v>
                </c:pt>
                <c:pt idx="215">
                  <c:v>13.6</c:v>
                </c:pt>
                <c:pt idx="216">
                  <c:v>13.6</c:v>
                </c:pt>
                <c:pt idx="217">
                  <c:v>13.6</c:v>
                </c:pt>
                <c:pt idx="218">
                  <c:v>13.6</c:v>
                </c:pt>
                <c:pt idx="219">
                  <c:v>13.6</c:v>
                </c:pt>
                <c:pt idx="220">
                  <c:v>13.6</c:v>
                </c:pt>
                <c:pt idx="221">
                  <c:v>13.7</c:v>
                </c:pt>
                <c:pt idx="222">
                  <c:v>13.7</c:v>
                </c:pt>
                <c:pt idx="223">
                  <c:v>13.7</c:v>
                </c:pt>
                <c:pt idx="224">
                  <c:v>13.7</c:v>
                </c:pt>
                <c:pt idx="225">
                  <c:v>13.7</c:v>
                </c:pt>
                <c:pt idx="226">
                  <c:v>13.7</c:v>
                </c:pt>
                <c:pt idx="227">
                  <c:v>13.7</c:v>
                </c:pt>
                <c:pt idx="228">
                  <c:v>13.7</c:v>
                </c:pt>
                <c:pt idx="229">
                  <c:v>13.7</c:v>
                </c:pt>
                <c:pt idx="230">
                  <c:v>13.7</c:v>
                </c:pt>
                <c:pt idx="231">
                  <c:v>13.7</c:v>
                </c:pt>
                <c:pt idx="232">
                  <c:v>13.7</c:v>
                </c:pt>
                <c:pt idx="233">
                  <c:v>13.7</c:v>
                </c:pt>
                <c:pt idx="234">
                  <c:v>13.7</c:v>
                </c:pt>
                <c:pt idx="235">
                  <c:v>13.7</c:v>
                </c:pt>
                <c:pt idx="236">
                  <c:v>13.7</c:v>
                </c:pt>
                <c:pt idx="237">
                  <c:v>13.7</c:v>
                </c:pt>
                <c:pt idx="238">
                  <c:v>13.7</c:v>
                </c:pt>
                <c:pt idx="239">
                  <c:v>13.7</c:v>
                </c:pt>
                <c:pt idx="240">
                  <c:v>13.7</c:v>
                </c:pt>
                <c:pt idx="241">
                  <c:v>13.7</c:v>
                </c:pt>
                <c:pt idx="242">
                  <c:v>13.7</c:v>
                </c:pt>
                <c:pt idx="243">
                  <c:v>13.8</c:v>
                </c:pt>
                <c:pt idx="244">
                  <c:v>13.8</c:v>
                </c:pt>
                <c:pt idx="245">
                  <c:v>13.8</c:v>
                </c:pt>
                <c:pt idx="246">
                  <c:v>13.8</c:v>
                </c:pt>
                <c:pt idx="247">
                  <c:v>13.8</c:v>
                </c:pt>
                <c:pt idx="248">
                  <c:v>13.8</c:v>
                </c:pt>
                <c:pt idx="249">
                  <c:v>13.8</c:v>
                </c:pt>
                <c:pt idx="250">
                  <c:v>13.8</c:v>
                </c:pt>
                <c:pt idx="251">
                  <c:v>13.8</c:v>
                </c:pt>
                <c:pt idx="252">
                  <c:v>13.8</c:v>
                </c:pt>
                <c:pt idx="253">
                  <c:v>13.8</c:v>
                </c:pt>
                <c:pt idx="254">
                  <c:v>13.9</c:v>
                </c:pt>
                <c:pt idx="255">
                  <c:v>13.9</c:v>
                </c:pt>
                <c:pt idx="256">
                  <c:v>13.9</c:v>
                </c:pt>
                <c:pt idx="257">
                  <c:v>13.9</c:v>
                </c:pt>
                <c:pt idx="258">
                  <c:v>13.9</c:v>
                </c:pt>
                <c:pt idx="259">
                  <c:v>13.9</c:v>
                </c:pt>
                <c:pt idx="260">
                  <c:v>13.9</c:v>
                </c:pt>
                <c:pt idx="261">
                  <c:v>13.9</c:v>
                </c:pt>
                <c:pt idx="262">
                  <c:v>13.9</c:v>
                </c:pt>
                <c:pt idx="263">
                  <c:v>13.9</c:v>
                </c:pt>
                <c:pt idx="264">
                  <c:v>13.9</c:v>
                </c:pt>
                <c:pt idx="265">
                  <c:v>13.9</c:v>
                </c:pt>
                <c:pt idx="266">
                  <c:v>13.9</c:v>
                </c:pt>
                <c:pt idx="267">
                  <c:v>13.9</c:v>
                </c:pt>
                <c:pt idx="268">
                  <c:v>13.9</c:v>
                </c:pt>
                <c:pt idx="269">
                  <c:v>13.9</c:v>
                </c:pt>
                <c:pt idx="270">
                  <c:v>13.9</c:v>
                </c:pt>
                <c:pt idx="271">
                  <c:v>13.9</c:v>
                </c:pt>
                <c:pt idx="272">
                  <c:v>13.9</c:v>
                </c:pt>
                <c:pt idx="273">
                  <c:v>14</c:v>
                </c:pt>
                <c:pt idx="274">
                  <c:v>14</c:v>
                </c:pt>
                <c:pt idx="275">
                  <c:v>14</c:v>
                </c:pt>
                <c:pt idx="276">
                  <c:v>14</c:v>
                </c:pt>
                <c:pt idx="277">
                  <c:v>14</c:v>
                </c:pt>
                <c:pt idx="278">
                  <c:v>14</c:v>
                </c:pt>
                <c:pt idx="279">
                  <c:v>14</c:v>
                </c:pt>
                <c:pt idx="280">
                  <c:v>14</c:v>
                </c:pt>
                <c:pt idx="281">
                  <c:v>14</c:v>
                </c:pt>
                <c:pt idx="282">
                  <c:v>14</c:v>
                </c:pt>
                <c:pt idx="283">
                  <c:v>14</c:v>
                </c:pt>
                <c:pt idx="284">
                  <c:v>14</c:v>
                </c:pt>
                <c:pt idx="285">
                  <c:v>14</c:v>
                </c:pt>
                <c:pt idx="286">
                  <c:v>14</c:v>
                </c:pt>
                <c:pt idx="287">
                  <c:v>14</c:v>
                </c:pt>
                <c:pt idx="288">
                  <c:v>14</c:v>
                </c:pt>
                <c:pt idx="289">
                  <c:v>14</c:v>
                </c:pt>
                <c:pt idx="290">
                  <c:v>14</c:v>
                </c:pt>
                <c:pt idx="291">
                  <c:v>14</c:v>
                </c:pt>
                <c:pt idx="292">
                  <c:v>14</c:v>
                </c:pt>
                <c:pt idx="293">
                  <c:v>14</c:v>
                </c:pt>
                <c:pt idx="294">
                  <c:v>14.1</c:v>
                </c:pt>
                <c:pt idx="295">
                  <c:v>14.1</c:v>
                </c:pt>
                <c:pt idx="296">
                  <c:v>14.1</c:v>
                </c:pt>
                <c:pt idx="297">
                  <c:v>14.1</c:v>
                </c:pt>
                <c:pt idx="298">
                  <c:v>14.1</c:v>
                </c:pt>
                <c:pt idx="299">
                  <c:v>14.1</c:v>
                </c:pt>
                <c:pt idx="300">
                  <c:v>14.1</c:v>
                </c:pt>
                <c:pt idx="301">
                  <c:v>14.1</c:v>
                </c:pt>
                <c:pt idx="302">
                  <c:v>14.1</c:v>
                </c:pt>
                <c:pt idx="303">
                  <c:v>14.1</c:v>
                </c:pt>
                <c:pt idx="304">
                  <c:v>14.1</c:v>
                </c:pt>
                <c:pt idx="305">
                  <c:v>14.2</c:v>
                </c:pt>
                <c:pt idx="306">
                  <c:v>14.2</c:v>
                </c:pt>
                <c:pt idx="307">
                  <c:v>14.2</c:v>
                </c:pt>
                <c:pt idx="308">
                  <c:v>14.2</c:v>
                </c:pt>
                <c:pt idx="309">
                  <c:v>14.2</c:v>
                </c:pt>
                <c:pt idx="310">
                  <c:v>14.2</c:v>
                </c:pt>
                <c:pt idx="311">
                  <c:v>14.2</c:v>
                </c:pt>
                <c:pt idx="312">
                  <c:v>14.2</c:v>
                </c:pt>
                <c:pt idx="313">
                  <c:v>14.2</c:v>
                </c:pt>
                <c:pt idx="314">
                  <c:v>14.3</c:v>
                </c:pt>
                <c:pt idx="315">
                  <c:v>14.3</c:v>
                </c:pt>
                <c:pt idx="316">
                  <c:v>14.3</c:v>
                </c:pt>
                <c:pt idx="317">
                  <c:v>14.3</c:v>
                </c:pt>
                <c:pt idx="318">
                  <c:v>14.3</c:v>
                </c:pt>
                <c:pt idx="319">
                  <c:v>14.3</c:v>
                </c:pt>
                <c:pt idx="320">
                  <c:v>14.3</c:v>
                </c:pt>
                <c:pt idx="321">
                  <c:v>14.3</c:v>
                </c:pt>
                <c:pt idx="322">
                  <c:v>14.3</c:v>
                </c:pt>
                <c:pt idx="323">
                  <c:v>14.3</c:v>
                </c:pt>
                <c:pt idx="324">
                  <c:v>14.3</c:v>
                </c:pt>
                <c:pt idx="325">
                  <c:v>14.3</c:v>
                </c:pt>
                <c:pt idx="326">
                  <c:v>14.3</c:v>
                </c:pt>
                <c:pt idx="327">
                  <c:v>14.4</c:v>
                </c:pt>
                <c:pt idx="328">
                  <c:v>14.4</c:v>
                </c:pt>
                <c:pt idx="329">
                  <c:v>14.4</c:v>
                </c:pt>
                <c:pt idx="330">
                  <c:v>14.5</c:v>
                </c:pt>
                <c:pt idx="331">
                  <c:v>14.5</c:v>
                </c:pt>
                <c:pt idx="332">
                  <c:v>14.5</c:v>
                </c:pt>
                <c:pt idx="333">
                  <c:v>14.5</c:v>
                </c:pt>
                <c:pt idx="334">
                  <c:v>14.5</c:v>
                </c:pt>
                <c:pt idx="335">
                  <c:v>14.7</c:v>
                </c:pt>
                <c:pt idx="336">
                  <c:v>14.7</c:v>
                </c:pt>
                <c:pt idx="337">
                  <c:v>14.7</c:v>
                </c:pt>
                <c:pt idx="338">
                  <c:v>14.8</c:v>
                </c:pt>
                <c:pt idx="339">
                  <c:v>14.8</c:v>
                </c:pt>
                <c:pt idx="340">
                  <c:v>14.8</c:v>
                </c:pt>
                <c:pt idx="341">
                  <c:v>14.9</c:v>
                </c:pt>
                <c:pt idx="342">
                  <c:v>15</c:v>
                </c:pt>
                <c:pt idx="343">
                  <c:v>15</c:v>
                </c:pt>
                <c:pt idx="344">
                  <c:v>15.1</c:v>
                </c:pt>
                <c:pt idx="345">
                  <c:v>15.1</c:v>
                </c:pt>
                <c:pt idx="346">
                  <c:v>15.1</c:v>
                </c:pt>
                <c:pt idx="347">
                  <c:v>15.2</c:v>
                </c:pt>
                <c:pt idx="348">
                  <c:v>15.2</c:v>
                </c:pt>
                <c:pt idx="349">
                  <c:v>15.2</c:v>
                </c:pt>
                <c:pt idx="350">
                  <c:v>15.3</c:v>
                </c:pt>
                <c:pt idx="351">
                  <c:v>15.3</c:v>
                </c:pt>
                <c:pt idx="352">
                  <c:v>15.4</c:v>
                </c:pt>
                <c:pt idx="353">
                  <c:v>15.5</c:v>
                </c:pt>
                <c:pt idx="354">
                  <c:v>15.8</c:v>
                </c:pt>
                <c:pt idx="355">
                  <c:v>15.9</c:v>
                </c:pt>
                <c:pt idx="356">
                  <c:v>16.5</c:v>
                </c:pt>
              </c:numCache>
            </c:numRef>
          </c:val>
          <c:smooth val="0"/>
          <c:extLst>
            <c:ext xmlns:c16="http://schemas.microsoft.com/office/drawing/2014/chart" uri="{C3380CC4-5D6E-409C-BE32-E72D297353CC}">
              <c16:uniqueId val="{00000000-A23F-4F3C-A609-EE15F1731AE3}"/>
            </c:ext>
          </c:extLst>
        </c:ser>
        <c:ser>
          <c:idx val="5"/>
          <c:order val="1"/>
          <c:tx>
            <c:v>Upper CI - Female</c:v>
          </c:tx>
          <c:spPr>
            <a:ln>
              <a:noFill/>
            </a:ln>
          </c:spPr>
          <c:marker>
            <c:symbol val="dot"/>
            <c:size val="2"/>
          </c:marker>
          <c:val>
            <c:numRef>
              <c:f>[NHSOF_1b_I00655_D.xls]Sheet1!$K$2:$K$358</c:f>
              <c:numCache>
                <c:formatCode>0.0</c:formatCode>
                <c:ptCount val="357"/>
                <c:pt idx="0">
                  <c:v>11.8</c:v>
                </c:pt>
                <c:pt idx="1">
                  <c:v>12</c:v>
                </c:pt>
                <c:pt idx="2">
                  <c:v>11.8</c:v>
                </c:pt>
                <c:pt idx="3">
                  <c:v>12</c:v>
                </c:pt>
                <c:pt idx="4">
                  <c:v>11.9</c:v>
                </c:pt>
                <c:pt idx="5">
                  <c:v>11.9</c:v>
                </c:pt>
                <c:pt idx="6">
                  <c:v>12.1</c:v>
                </c:pt>
                <c:pt idx="7">
                  <c:v>12.3</c:v>
                </c:pt>
                <c:pt idx="8">
                  <c:v>12.4</c:v>
                </c:pt>
                <c:pt idx="9">
                  <c:v>12.2</c:v>
                </c:pt>
                <c:pt idx="10">
                  <c:v>12.2</c:v>
                </c:pt>
                <c:pt idx="11">
                  <c:v>12.3</c:v>
                </c:pt>
                <c:pt idx="12">
                  <c:v>12.5</c:v>
                </c:pt>
                <c:pt idx="13">
                  <c:v>12.3</c:v>
                </c:pt>
                <c:pt idx="14">
                  <c:v>12.3</c:v>
                </c:pt>
                <c:pt idx="15">
                  <c:v>12.3</c:v>
                </c:pt>
                <c:pt idx="16">
                  <c:v>12.4</c:v>
                </c:pt>
                <c:pt idx="17">
                  <c:v>12.6</c:v>
                </c:pt>
                <c:pt idx="18">
                  <c:v>12.4</c:v>
                </c:pt>
                <c:pt idx="19">
                  <c:v>12.5</c:v>
                </c:pt>
                <c:pt idx="20">
                  <c:v>12.4</c:v>
                </c:pt>
                <c:pt idx="21">
                  <c:v>12.4</c:v>
                </c:pt>
                <c:pt idx="22">
                  <c:v>12.7</c:v>
                </c:pt>
                <c:pt idx="23">
                  <c:v>12.5</c:v>
                </c:pt>
                <c:pt idx="24">
                  <c:v>12.7</c:v>
                </c:pt>
                <c:pt idx="25">
                  <c:v>12.6</c:v>
                </c:pt>
                <c:pt idx="26">
                  <c:v>12.6</c:v>
                </c:pt>
                <c:pt idx="27">
                  <c:v>12.4</c:v>
                </c:pt>
                <c:pt idx="28">
                  <c:v>12.7</c:v>
                </c:pt>
                <c:pt idx="29">
                  <c:v>12.6</c:v>
                </c:pt>
                <c:pt idx="30">
                  <c:v>12.6</c:v>
                </c:pt>
                <c:pt idx="31">
                  <c:v>12.6</c:v>
                </c:pt>
                <c:pt idx="32">
                  <c:v>12.5</c:v>
                </c:pt>
                <c:pt idx="33">
                  <c:v>12.8</c:v>
                </c:pt>
                <c:pt idx="34">
                  <c:v>12.9</c:v>
                </c:pt>
                <c:pt idx="35">
                  <c:v>12.8</c:v>
                </c:pt>
                <c:pt idx="36">
                  <c:v>12.8</c:v>
                </c:pt>
                <c:pt idx="37">
                  <c:v>12.8</c:v>
                </c:pt>
                <c:pt idx="38">
                  <c:v>12.6</c:v>
                </c:pt>
                <c:pt idx="39">
                  <c:v>12.7</c:v>
                </c:pt>
                <c:pt idx="40">
                  <c:v>12.9</c:v>
                </c:pt>
                <c:pt idx="41">
                  <c:v>12.9</c:v>
                </c:pt>
                <c:pt idx="42">
                  <c:v>12.8</c:v>
                </c:pt>
                <c:pt idx="43">
                  <c:v>12.9</c:v>
                </c:pt>
                <c:pt idx="44">
                  <c:v>12.9</c:v>
                </c:pt>
                <c:pt idx="45">
                  <c:v>12.8</c:v>
                </c:pt>
                <c:pt idx="46">
                  <c:v>12.7</c:v>
                </c:pt>
                <c:pt idx="47">
                  <c:v>12.9</c:v>
                </c:pt>
                <c:pt idx="48">
                  <c:v>12.7</c:v>
                </c:pt>
                <c:pt idx="49">
                  <c:v>12.8</c:v>
                </c:pt>
                <c:pt idx="50">
                  <c:v>12.9</c:v>
                </c:pt>
                <c:pt idx="51">
                  <c:v>12.9</c:v>
                </c:pt>
                <c:pt idx="52">
                  <c:v>13.1</c:v>
                </c:pt>
                <c:pt idx="53">
                  <c:v>13.2</c:v>
                </c:pt>
                <c:pt idx="54">
                  <c:v>12.9</c:v>
                </c:pt>
                <c:pt idx="55">
                  <c:v>13</c:v>
                </c:pt>
                <c:pt idx="56">
                  <c:v>13</c:v>
                </c:pt>
                <c:pt idx="57">
                  <c:v>13.1</c:v>
                </c:pt>
                <c:pt idx="58">
                  <c:v>12.8</c:v>
                </c:pt>
                <c:pt idx="59">
                  <c:v>12.8</c:v>
                </c:pt>
                <c:pt idx="60">
                  <c:v>13.1</c:v>
                </c:pt>
                <c:pt idx="61">
                  <c:v>12.9</c:v>
                </c:pt>
                <c:pt idx="62">
                  <c:v>13</c:v>
                </c:pt>
                <c:pt idx="63">
                  <c:v>12.9</c:v>
                </c:pt>
                <c:pt idx="64">
                  <c:v>13</c:v>
                </c:pt>
                <c:pt idx="65">
                  <c:v>12.8</c:v>
                </c:pt>
                <c:pt idx="66">
                  <c:v>13</c:v>
                </c:pt>
                <c:pt idx="67">
                  <c:v>13.1</c:v>
                </c:pt>
                <c:pt idx="68">
                  <c:v>12.8</c:v>
                </c:pt>
                <c:pt idx="69">
                  <c:v>13</c:v>
                </c:pt>
                <c:pt idx="70">
                  <c:v>12.9</c:v>
                </c:pt>
                <c:pt idx="71">
                  <c:v>13</c:v>
                </c:pt>
                <c:pt idx="72">
                  <c:v>12.9</c:v>
                </c:pt>
                <c:pt idx="73">
                  <c:v>12.9</c:v>
                </c:pt>
                <c:pt idx="74">
                  <c:v>12.7</c:v>
                </c:pt>
                <c:pt idx="75">
                  <c:v>12.8</c:v>
                </c:pt>
                <c:pt idx="76">
                  <c:v>13.1</c:v>
                </c:pt>
                <c:pt idx="77">
                  <c:v>13</c:v>
                </c:pt>
                <c:pt idx="78">
                  <c:v>13.1</c:v>
                </c:pt>
                <c:pt idx="79">
                  <c:v>13.1</c:v>
                </c:pt>
                <c:pt idx="80">
                  <c:v>13.1</c:v>
                </c:pt>
                <c:pt idx="81">
                  <c:v>13.2</c:v>
                </c:pt>
                <c:pt idx="82">
                  <c:v>13.2</c:v>
                </c:pt>
                <c:pt idx="83">
                  <c:v>13.2</c:v>
                </c:pt>
                <c:pt idx="84">
                  <c:v>13.2</c:v>
                </c:pt>
                <c:pt idx="85">
                  <c:v>13</c:v>
                </c:pt>
                <c:pt idx="86">
                  <c:v>13</c:v>
                </c:pt>
                <c:pt idx="87">
                  <c:v>13.3</c:v>
                </c:pt>
                <c:pt idx="88">
                  <c:v>13.2</c:v>
                </c:pt>
                <c:pt idx="89">
                  <c:v>13.2</c:v>
                </c:pt>
                <c:pt idx="90">
                  <c:v>13.1</c:v>
                </c:pt>
                <c:pt idx="91">
                  <c:v>13.1</c:v>
                </c:pt>
                <c:pt idx="92">
                  <c:v>13.3</c:v>
                </c:pt>
                <c:pt idx="93">
                  <c:v>13.1</c:v>
                </c:pt>
                <c:pt idx="94">
                  <c:v>13.4</c:v>
                </c:pt>
                <c:pt idx="95">
                  <c:v>13.1</c:v>
                </c:pt>
                <c:pt idx="96">
                  <c:v>13.1</c:v>
                </c:pt>
                <c:pt idx="97">
                  <c:v>13</c:v>
                </c:pt>
                <c:pt idx="98">
                  <c:v>13.2</c:v>
                </c:pt>
                <c:pt idx="99">
                  <c:v>13.1</c:v>
                </c:pt>
                <c:pt idx="100">
                  <c:v>13.4</c:v>
                </c:pt>
                <c:pt idx="101">
                  <c:v>13.3</c:v>
                </c:pt>
                <c:pt idx="102">
                  <c:v>13.3</c:v>
                </c:pt>
                <c:pt idx="103">
                  <c:v>13.2</c:v>
                </c:pt>
                <c:pt idx="104">
                  <c:v>13.2</c:v>
                </c:pt>
                <c:pt idx="105">
                  <c:v>13.3</c:v>
                </c:pt>
                <c:pt idx="106">
                  <c:v>13.3</c:v>
                </c:pt>
                <c:pt idx="107">
                  <c:v>13.4</c:v>
                </c:pt>
                <c:pt idx="108">
                  <c:v>13.3</c:v>
                </c:pt>
                <c:pt idx="109">
                  <c:v>13.3</c:v>
                </c:pt>
                <c:pt idx="110">
                  <c:v>13.4</c:v>
                </c:pt>
                <c:pt idx="111">
                  <c:v>13.3</c:v>
                </c:pt>
                <c:pt idx="112">
                  <c:v>13.2</c:v>
                </c:pt>
                <c:pt idx="113">
                  <c:v>13.3</c:v>
                </c:pt>
                <c:pt idx="114">
                  <c:v>13.1</c:v>
                </c:pt>
                <c:pt idx="115">
                  <c:v>13.2</c:v>
                </c:pt>
                <c:pt idx="116">
                  <c:v>13.2</c:v>
                </c:pt>
                <c:pt idx="117">
                  <c:v>13.3</c:v>
                </c:pt>
                <c:pt idx="118">
                  <c:v>13.2</c:v>
                </c:pt>
                <c:pt idx="119">
                  <c:v>13.3</c:v>
                </c:pt>
                <c:pt idx="120">
                  <c:v>13.2</c:v>
                </c:pt>
                <c:pt idx="121">
                  <c:v>13.3</c:v>
                </c:pt>
                <c:pt idx="122">
                  <c:v>13.2</c:v>
                </c:pt>
                <c:pt idx="123">
                  <c:v>13.4</c:v>
                </c:pt>
                <c:pt idx="124">
                  <c:v>13.5</c:v>
                </c:pt>
                <c:pt idx="125">
                  <c:v>13.3</c:v>
                </c:pt>
                <c:pt idx="126">
                  <c:v>13.4</c:v>
                </c:pt>
                <c:pt idx="127">
                  <c:v>13.4</c:v>
                </c:pt>
                <c:pt idx="128">
                  <c:v>13.3</c:v>
                </c:pt>
                <c:pt idx="129">
                  <c:v>13.2</c:v>
                </c:pt>
                <c:pt idx="130">
                  <c:v>13.3</c:v>
                </c:pt>
                <c:pt idx="131">
                  <c:v>13.4</c:v>
                </c:pt>
                <c:pt idx="132">
                  <c:v>13.4</c:v>
                </c:pt>
                <c:pt idx="133">
                  <c:v>13.3</c:v>
                </c:pt>
                <c:pt idx="134">
                  <c:v>13.5</c:v>
                </c:pt>
                <c:pt idx="135">
                  <c:v>13.4</c:v>
                </c:pt>
                <c:pt idx="136">
                  <c:v>13.4</c:v>
                </c:pt>
                <c:pt idx="137">
                  <c:v>13.4</c:v>
                </c:pt>
                <c:pt idx="138">
                  <c:v>13.4</c:v>
                </c:pt>
                <c:pt idx="139">
                  <c:v>13.4</c:v>
                </c:pt>
                <c:pt idx="140">
                  <c:v>13.4</c:v>
                </c:pt>
                <c:pt idx="141">
                  <c:v>13.5</c:v>
                </c:pt>
                <c:pt idx="142">
                  <c:v>13.6</c:v>
                </c:pt>
                <c:pt idx="143">
                  <c:v>13.4</c:v>
                </c:pt>
                <c:pt idx="144">
                  <c:v>13.5</c:v>
                </c:pt>
                <c:pt idx="145">
                  <c:v>13.6</c:v>
                </c:pt>
                <c:pt idx="146">
                  <c:v>13.5</c:v>
                </c:pt>
                <c:pt idx="147">
                  <c:v>13.5</c:v>
                </c:pt>
                <c:pt idx="148">
                  <c:v>13.4</c:v>
                </c:pt>
                <c:pt idx="149">
                  <c:v>13.4</c:v>
                </c:pt>
                <c:pt idx="150">
                  <c:v>13.4</c:v>
                </c:pt>
                <c:pt idx="151">
                  <c:v>13.5</c:v>
                </c:pt>
                <c:pt idx="152">
                  <c:v>13.5</c:v>
                </c:pt>
                <c:pt idx="153">
                  <c:v>13.5</c:v>
                </c:pt>
                <c:pt idx="154">
                  <c:v>13.4</c:v>
                </c:pt>
                <c:pt idx="155">
                  <c:v>13.6</c:v>
                </c:pt>
                <c:pt idx="156">
                  <c:v>13.6</c:v>
                </c:pt>
                <c:pt idx="157">
                  <c:v>13.5</c:v>
                </c:pt>
                <c:pt idx="158">
                  <c:v>13.5</c:v>
                </c:pt>
                <c:pt idx="159">
                  <c:v>13.4</c:v>
                </c:pt>
                <c:pt idx="160">
                  <c:v>13.6</c:v>
                </c:pt>
                <c:pt idx="161">
                  <c:v>13.6</c:v>
                </c:pt>
                <c:pt idx="162">
                  <c:v>13.4</c:v>
                </c:pt>
                <c:pt idx="163">
                  <c:v>13.5</c:v>
                </c:pt>
                <c:pt idx="164">
                  <c:v>13.6</c:v>
                </c:pt>
                <c:pt idx="165">
                  <c:v>13.6</c:v>
                </c:pt>
                <c:pt idx="166">
                  <c:v>13.5</c:v>
                </c:pt>
                <c:pt idx="167">
                  <c:v>13.6</c:v>
                </c:pt>
                <c:pt idx="168">
                  <c:v>13.6</c:v>
                </c:pt>
                <c:pt idx="169">
                  <c:v>13.4</c:v>
                </c:pt>
                <c:pt idx="170">
                  <c:v>13.6</c:v>
                </c:pt>
                <c:pt idx="171">
                  <c:v>13.5</c:v>
                </c:pt>
                <c:pt idx="172">
                  <c:v>13.7</c:v>
                </c:pt>
                <c:pt idx="173">
                  <c:v>13.3</c:v>
                </c:pt>
                <c:pt idx="174">
                  <c:v>13.6</c:v>
                </c:pt>
                <c:pt idx="175">
                  <c:v>13.7</c:v>
                </c:pt>
                <c:pt idx="176">
                  <c:v>13.8</c:v>
                </c:pt>
                <c:pt idx="177">
                  <c:v>13.6</c:v>
                </c:pt>
                <c:pt idx="178">
                  <c:v>13.7</c:v>
                </c:pt>
                <c:pt idx="179">
                  <c:v>13.6</c:v>
                </c:pt>
                <c:pt idx="180">
                  <c:v>13.6</c:v>
                </c:pt>
                <c:pt idx="181">
                  <c:v>13.7</c:v>
                </c:pt>
                <c:pt idx="182">
                  <c:v>13.5</c:v>
                </c:pt>
                <c:pt idx="183">
                  <c:v>13.5</c:v>
                </c:pt>
                <c:pt idx="184">
                  <c:v>13.7</c:v>
                </c:pt>
                <c:pt idx="185">
                  <c:v>13.8</c:v>
                </c:pt>
                <c:pt idx="186">
                  <c:v>13.8</c:v>
                </c:pt>
                <c:pt idx="187">
                  <c:v>13.8</c:v>
                </c:pt>
                <c:pt idx="188">
                  <c:v>13.8</c:v>
                </c:pt>
                <c:pt idx="189">
                  <c:v>13.6</c:v>
                </c:pt>
                <c:pt idx="190">
                  <c:v>13.7</c:v>
                </c:pt>
                <c:pt idx="191">
                  <c:v>13.7</c:v>
                </c:pt>
                <c:pt idx="192">
                  <c:v>13.8</c:v>
                </c:pt>
                <c:pt idx="193">
                  <c:v>13.5</c:v>
                </c:pt>
                <c:pt idx="194">
                  <c:v>13.6</c:v>
                </c:pt>
                <c:pt idx="195">
                  <c:v>13.8</c:v>
                </c:pt>
                <c:pt idx="196">
                  <c:v>13.7</c:v>
                </c:pt>
                <c:pt idx="197">
                  <c:v>13.8</c:v>
                </c:pt>
                <c:pt idx="198">
                  <c:v>13.9</c:v>
                </c:pt>
                <c:pt idx="199">
                  <c:v>13.8</c:v>
                </c:pt>
                <c:pt idx="200">
                  <c:v>13.6</c:v>
                </c:pt>
                <c:pt idx="201">
                  <c:v>13.7</c:v>
                </c:pt>
                <c:pt idx="202">
                  <c:v>14</c:v>
                </c:pt>
                <c:pt idx="203">
                  <c:v>13.9</c:v>
                </c:pt>
                <c:pt idx="204">
                  <c:v>13.9</c:v>
                </c:pt>
                <c:pt idx="205">
                  <c:v>13.7</c:v>
                </c:pt>
                <c:pt idx="206">
                  <c:v>13.9</c:v>
                </c:pt>
                <c:pt idx="207">
                  <c:v>13.9</c:v>
                </c:pt>
                <c:pt idx="208">
                  <c:v>13.9</c:v>
                </c:pt>
                <c:pt idx="209">
                  <c:v>14</c:v>
                </c:pt>
                <c:pt idx="210">
                  <c:v>14</c:v>
                </c:pt>
                <c:pt idx="211">
                  <c:v>13.9</c:v>
                </c:pt>
                <c:pt idx="212">
                  <c:v>13.9</c:v>
                </c:pt>
                <c:pt idx="213">
                  <c:v>14</c:v>
                </c:pt>
                <c:pt idx="214">
                  <c:v>13.9</c:v>
                </c:pt>
                <c:pt idx="215">
                  <c:v>13.9</c:v>
                </c:pt>
                <c:pt idx="216">
                  <c:v>13.8</c:v>
                </c:pt>
                <c:pt idx="217">
                  <c:v>13.8</c:v>
                </c:pt>
                <c:pt idx="218">
                  <c:v>13.9</c:v>
                </c:pt>
                <c:pt idx="219">
                  <c:v>13.8</c:v>
                </c:pt>
                <c:pt idx="220">
                  <c:v>13.9</c:v>
                </c:pt>
                <c:pt idx="221">
                  <c:v>14</c:v>
                </c:pt>
                <c:pt idx="222">
                  <c:v>13.9</c:v>
                </c:pt>
                <c:pt idx="223">
                  <c:v>13.9</c:v>
                </c:pt>
                <c:pt idx="224">
                  <c:v>13.9</c:v>
                </c:pt>
                <c:pt idx="225">
                  <c:v>13.9</c:v>
                </c:pt>
                <c:pt idx="226">
                  <c:v>13.9</c:v>
                </c:pt>
                <c:pt idx="227">
                  <c:v>13.9</c:v>
                </c:pt>
                <c:pt idx="228">
                  <c:v>13.8</c:v>
                </c:pt>
                <c:pt idx="229">
                  <c:v>14</c:v>
                </c:pt>
                <c:pt idx="230">
                  <c:v>14</c:v>
                </c:pt>
                <c:pt idx="231">
                  <c:v>13.9</c:v>
                </c:pt>
                <c:pt idx="232">
                  <c:v>13.8</c:v>
                </c:pt>
                <c:pt idx="233">
                  <c:v>14</c:v>
                </c:pt>
                <c:pt idx="234">
                  <c:v>13.9</c:v>
                </c:pt>
                <c:pt idx="235">
                  <c:v>14</c:v>
                </c:pt>
                <c:pt idx="236">
                  <c:v>13.8</c:v>
                </c:pt>
                <c:pt idx="237">
                  <c:v>14</c:v>
                </c:pt>
                <c:pt idx="238">
                  <c:v>14</c:v>
                </c:pt>
                <c:pt idx="239">
                  <c:v>13.8</c:v>
                </c:pt>
                <c:pt idx="240">
                  <c:v>14</c:v>
                </c:pt>
                <c:pt idx="241">
                  <c:v>13.8</c:v>
                </c:pt>
                <c:pt idx="242">
                  <c:v>14.1</c:v>
                </c:pt>
                <c:pt idx="243">
                  <c:v>14</c:v>
                </c:pt>
                <c:pt idx="244">
                  <c:v>14</c:v>
                </c:pt>
                <c:pt idx="245">
                  <c:v>14</c:v>
                </c:pt>
                <c:pt idx="246">
                  <c:v>14.2</c:v>
                </c:pt>
                <c:pt idx="247">
                  <c:v>14</c:v>
                </c:pt>
                <c:pt idx="248">
                  <c:v>14.1</c:v>
                </c:pt>
                <c:pt idx="249">
                  <c:v>14.1</c:v>
                </c:pt>
                <c:pt idx="250">
                  <c:v>14.1</c:v>
                </c:pt>
                <c:pt idx="251">
                  <c:v>14</c:v>
                </c:pt>
                <c:pt idx="252">
                  <c:v>13.9</c:v>
                </c:pt>
                <c:pt idx="253">
                  <c:v>14</c:v>
                </c:pt>
                <c:pt idx="254">
                  <c:v>14.1</c:v>
                </c:pt>
                <c:pt idx="255">
                  <c:v>14.2</c:v>
                </c:pt>
                <c:pt idx="256">
                  <c:v>14.2</c:v>
                </c:pt>
                <c:pt idx="257">
                  <c:v>14</c:v>
                </c:pt>
                <c:pt idx="258">
                  <c:v>14.1</c:v>
                </c:pt>
                <c:pt idx="259">
                  <c:v>14</c:v>
                </c:pt>
                <c:pt idx="260">
                  <c:v>14</c:v>
                </c:pt>
                <c:pt idx="261">
                  <c:v>14.1</c:v>
                </c:pt>
                <c:pt idx="262">
                  <c:v>14.2</c:v>
                </c:pt>
                <c:pt idx="263">
                  <c:v>14.1</c:v>
                </c:pt>
                <c:pt idx="264">
                  <c:v>14.2</c:v>
                </c:pt>
                <c:pt idx="265">
                  <c:v>14.3</c:v>
                </c:pt>
                <c:pt idx="266">
                  <c:v>14.3</c:v>
                </c:pt>
                <c:pt idx="267">
                  <c:v>14.2</c:v>
                </c:pt>
                <c:pt idx="268">
                  <c:v>14.3</c:v>
                </c:pt>
                <c:pt idx="269">
                  <c:v>14</c:v>
                </c:pt>
                <c:pt idx="270">
                  <c:v>14.1</c:v>
                </c:pt>
                <c:pt idx="271">
                  <c:v>14.1</c:v>
                </c:pt>
                <c:pt idx="272">
                  <c:v>14.1</c:v>
                </c:pt>
                <c:pt idx="273">
                  <c:v>14.3</c:v>
                </c:pt>
                <c:pt idx="274">
                  <c:v>14.1</c:v>
                </c:pt>
                <c:pt idx="275">
                  <c:v>14.3</c:v>
                </c:pt>
                <c:pt idx="276">
                  <c:v>14.3</c:v>
                </c:pt>
                <c:pt idx="277">
                  <c:v>14.3</c:v>
                </c:pt>
                <c:pt idx="278">
                  <c:v>14.5</c:v>
                </c:pt>
                <c:pt idx="279">
                  <c:v>14.4</c:v>
                </c:pt>
                <c:pt idx="280">
                  <c:v>14.3</c:v>
                </c:pt>
                <c:pt idx="281">
                  <c:v>14.3</c:v>
                </c:pt>
                <c:pt idx="282">
                  <c:v>14.3</c:v>
                </c:pt>
                <c:pt idx="283">
                  <c:v>14.3</c:v>
                </c:pt>
                <c:pt idx="284">
                  <c:v>14.3</c:v>
                </c:pt>
                <c:pt idx="285">
                  <c:v>14.4</c:v>
                </c:pt>
                <c:pt idx="286">
                  <c:v>14.3</c:v>
                </c:pt>
                <c:pt idx="287">
                  <c:v>14.3</c:v>
                </c:pt>
                <c:pt idx="288">
                  <c:v>14.1</c:v>
                </c:pt>
                <c:pt idx="289">
                  <c:v>14.3</c:v>
                </c:pt>
                <c:pt idx="290">
                  <c:v>14.2</c:v>
                </c:pt>
                <c:pt idx="291">
                  <c:v>14.3</c:v>
                </c:pt>
                <c:pt idx="292">
                  <c:v>14.3</c:v>
                </c:pt>
                <c:pt idx="293">
                  <c:v>14.3</c:v>
                </c:pt>
                <c:pt idx="294">
                  <c:v>14.4</c:v>
                </c:pt>
                <c:pt idx="295">
                  <c:v>14.4</c:v>
                </c:pt>
                <c:pt idx="296">
                  <c:v>14.5</c:v>
                </c:pt>
                <c:pt idx="297">
                  <c:v>14.4</c:v>
                </c:pt>
                <c:pt idx="298">
                  <c:v>14.4</c:v>
                </c:pt>
                <c:pt idx="299">
                  <c:v>14.4</c:v>
                </c:pt>
                <c:pt idx="300">
                  <c:v>14.3</c:v>
                </c:pt>
                <c:pt idx="301">
                  <c:v>14.4</c:v>
                </c:pt>
                <c:pt idx="302">
                  <c:v>14.4</c:v>
                </c:pt>
                <c:pt idx="303">
                  <c:v>14.5</c:v>
                </c:pt>
                <c:pt idx="304">
                  <c:v>14.3</c:v>
                </c:pt>
                <c:pt idx="305">
                  <c:v>14.6</c:v>
                </c:pt>
                <c:pt idx="306">
                  <c:v>14.3</c:v>
                </c:pt>
                <c:pt idx="307">
                  <c:v>14.4</c:v>
                </c:pt>
                <c:pt idx="308">
                  <c:v>14.5</c:v>
                </c:pt>
                <c:pt idx="309">
                  <c:v>14.4</c:v>
                </c:pt>
                <c:pt idx="310">
                  <c:v>14.5</c:v>
                </c:pt>
                <c:pt idx="311">
                  <c:v>14.6</c:v>
                </c:pt>
                <c:pt idx="312">
                  <c:v>14.5</c:v>
                </c:pt>
                <c:pt idx="313">
                  <c:v>14.5</c:v>
                </c:pt>
                <c:pt idx="314">
                  <c:v>14.5</c:v>
                </c:pt>
                <c:pt idx="315">
                  <c:v>14.6</c:v>
                </c:pt>
                <c:pt idx="316">
                  <c:v>14.5</c:v>
                </c:pt>
                <c:pt idx="317">
                  <c:v>14.6</c:v>
                </c:pt>
                <c:pt idx="318">
                  <c:v>14.6</c:v>
                </c:pt>
                <c:pt idx="319">
                  <c:v>14.6</c:v>
                </c:pt>
                <c:pt idx="320">
                  <c:v>14.6</c:v>
                </c:pt>
                <c:pt idx="321">
                  <c:v>14.5</c:v>
                </c:pt>
                <c:pt idx="322">
                  <c:v>14.6</c:v>
                </c:pt>
                <c:pt idx="323">
                  <c:v>14.5</c:v>
                </c:pt>
                <c:pt idx="324">
                  <c:v>14.6</c:v>
                </c:pt>
                <c:pt idx="325">
                  <c:v>14.6</c:v>
                </c:pt>
                <c:pt idx="326">
                  <c:v>14.7</c:v>
                </c:pt>
                <c:pt idx="327">
                  <c:v>14.5</c:v>
                </c:pt>
                <c:pt idx="328">
                  <c:v>14.7</c:v>
                </c:pt>
                <c:pt idx="329">
                  <c:v>14.7</c:v>
                </c:pt>
                <c:pt idx="330">
                  <c:v>14.9</c:v>
                </c:pt>
                <c:pt idx="331">
                  <c:v>15</c:v>
                </c:pt>
                <c:pt idx="332">
                  <c:v>14.9</c:v>
                </c:pt>
                <c:pt idx="333">
                  <c:v>14.8</c:v>
                </c:pt>
                <c:pt idx="334">
                  <c:v>14.8</c:v>
                </c:pt>
                <c:pt idx="335">
                  <c:v>15</c:v>
                </c:pt>
                <c:pt idx="336">
                  <c:v>15</c:v>
                </c:pt>
                <c:pt idx="337">
                  <c:v>15</c:v>
                </c:pt>
                <c:pt idx="338">
                  <c:v>15.1</c:v>
                </c:pt>
                <c:pt idx="339">
                  <c:v>15.3</c:v>
                </c:pt>
                <c:pt idx="340">
                  <c:v>15</c:v>
                </c:pt>
                <c:pt idx="341">
                  <c:v>15.2</c:v>
                </c:pt>
                <c:pt idx="342">
                  <c:v>15.3</c:v>
                </c:pt>
                <c:pt idx="343">
                  <c:v>15.3</c:v>
                </c:pt>
                <c:pt idx="344">
                  <c:v>15.3</c:v>
                </c:pt>
                <c:pt idx="345">
                  <c:v>15.4</c:v>
                </c:pt>
                <c:pt idx="346">
                  <c:v>15.4</c:v>
                </c:pt>
                <c:pt idx="347">
                  <c:v>15.5</c:v>
                </c:pt>
                <c:pt idx="348">
                  <c:v>15.7</c:v>
                </c:pt>
                <c:pt idx="349">
                  <c:v>15.7</c:v>
                </c:pt>
                <c:pt idx="350">
                  <c:v>15.6</c:v>
                </c:pt>
                <c:pt idx="351">
                  <c:v>15.6</c:v>
                </c:pt>
                <c:pt idx="352">
                  <c:v>15.7</c:v>
                </c:pt>
                <c:pt idx="353">
                  <c:v>15.9</c:v>
                </c:pt>
                <c:pt idx="354">
                  <c:v>16.100000000000001</c:v>
                </c:pt>
                <c:pt idx="355">
                  <c:v>16.2</c:v>
                </c:pt>
                <c:pt idx="356">
                  <c:v>16.8</c:v>
                </c:pt>
              </c:numCache>
            </c:numRef>
          </c:val>
          <c:smooth val="0"/>
          <c:extLst>
            <c:ext xmlns:c16="http://schemas.microsoft.com/office/drawing/2014/chart" uri="{C3380CC4-5D6E-409C-BE32-E72D297353CC}">
              <c16:uniqueId val="{00000001-A23F-4F3C-A609-EE15F1731AE3}"/>
            </c:ext>
          </c:extLst>
        </c:ser>
        <c:ser>
          <c:idx val="4"/>
          <c:order val="2"/>
          <c:tx>
            <c:v>Lower CI - Female</c:v>
          </c:tx>
          <c:spPr>
            <a:ln>
              <a:noFill/>
            </a:ln>
          </c:spPr>
          <c:marker>
            <c:symbol val="dot"/>
            <c:size val="2"/>
          </c:marker>
          <c:val>
            <c:numRef>
              <c:f>[NHSOF_1b_I00655_D.xls]Sheet1!$J$2:$J$358</c:f>
              <c:numCache>
                <c:formatCode>0.0</c:formatCode>
                <c:ptCount val="357"/>
                <c:pt idx="0">
                  <c:v>11.2</c:v>
                </c:pt>
                <c:pt idx="1">
                  <c:v>11.2</c:v>
                </c:pt>
                <c:pt idx="2">
                  <c:v>11.4</c:v>
                </c:pt>
                <c:pt idx="3">
                  <c:v>11.4</c:v>
                </c:pt>
                <c:pt idx="4">
                  <c:v>11.5</c:v>
                </c:pt>
                <c:pt idx="5">
                  <c:v>11.6</c:v>
                </c:pt>
                <c:pt idx="6">
                  <c:v>11.6</c:v>
                </c:pt>
                <c:pt idx="7">
                  <c:v>11.7</c:v>
                </c:pt>
                <c:pt idx="8">
                  <c:v>11.7</c:v>
                </c:pt>
                <c:pt idx="9">
                  <c:v>11.8</c:v>
                </c:pt>
                <c:pt idx="10">
                  <c:v>11.8</c:v>
                </c:pt>
                <c:pt idx="11">
                  <c:v>11.8</c:v>
                </c:pt>
                <c:pt idx="12">
                  <c:v>11.8</c:v>
                </c:pt>
                <c:pt idx="13">
                  <c:v>11.9</c:v>
                </c:pt>
                <c:pt idx="14">
                  <c:v>11.9</c:v>
                </c:pt>
                <c:pt idx="15">
                  <c:v>11.8</c:v>
                </c:pt>
                <c:pt idx="16">
                  <c:v>12</c:v>
                </c:pt>
                <c:pt idx="17">
                  <c:v>11.9</c:v>
                </c:pt>
                <c:pt idx="18">
                  <c:v>11.9</c:v>
                </c:pt>
                <c:pt idx="19">
                  <c:v>12.1</c:v>
                </c:pt>
                <c:pt idx="20">
                  <c:v>12.1</c:v>
                </c:pt>
                <c:pt idx="21">
                  <c:v>12.1</c:v>
                </c:pt>
                <c:pt idx="22">
                  <c:v>11.9</c:v>
                </c:pt>
                <c:pt idx="23">
                  <c:v>12.1</c:v>
                </c:pt>
                <c:pt idx="24">
                  <c:v>12.1</c:v>
                </c:pt>
                <c:pt idx="25">
                  <c:v>12.2</c:v>
                </c:pt>
                <c:pt idx="26">
                  <c:v>12.3</c:v>
                </c:pt>
                <c:pt idx="27">
                  <c:v>12.3</c:v>
                </c:pt>
                <c:pt idx="28">
                  <c:v>12.1</c:v>
                </c:pt>
                <c:pt idx="29">
                  <c:v>12.1</c:v>
                </c:pt>
                <c:pt idx="30">
                  <c:v>12.1</c:v>
                </c:pt>
                <c:pt idx="31">
                  <c:v>12.1</c:v>
                </c:pt>
                <c:pt idx="32">
                  <c:v>12.3</c:v>
                </c:pt>
                <c:pt idx="33">
                  <c:v>12</c:v>
                </c:pt>
                <c:pt idx="34">
                  <c:v>12.2</c:v>
                </c:pt>
                <c:pt idx="35">
                  <c:v>12.3</c:v>
                </c:pt>
                <c:pt idx="36">
                  <c:v>12.1</c:v>
                </c:pt>
                <c:pt idx="37">
                  <c:v>12.3</c:v>
                </c:pt>
                <c:pt idx="38">
                  <c:v>12.5</c:v>
                </c:pt>
                <c:pt idx="39">
                  <c:v>12.3</c:v>
                </c:pt>
                <c:pt idx="40">
                  <c:v>12.3</c:v>
                </c:pt>
                <c:pt idx="41">
                  <c:v>12.3</c:v>
                </c:pt>
                <c:pt idx="42">
                  <c:v>12.3</c:v>
                </c:pt>
                <c:pt idx="43">
                  <c:v>12.3</c:v>
                </c:pt>
                <c:pt idx="44">
                  <c:v>12.2</c:v>
                </c:pt>
                <c:pt idx="45">
                  <c:v>12.4</c:v>
                </c:pt>
                <c:pt idx="46">
                  <c:v>12.4</c:v>
                </c:pt>
                <c:pt idx="47">
                  <c:v>12.2</c:v>
                </c:pt>
                <c:pt idx="48">
                  <c:v>12.5</c:v>
                </c:pt>
                <c:pt idx="49">
                  <c:v>12.4</c:v>
                </c:pt>
                <c:pt idx="50">
                  <c:v>12.3</c:v>
                </c:pt>
                <c:pt idx="51">
                  <c:v>12.3</c:v>
                </c:pt>
                <c:pt idx="52">
                  <c:v>12.3</c:v>
                </c:pt>
                <c:pt idx="53">
                  <c:v>12.2</c:v>
                </c:pt>
                <c:pt idx="54">
                  <c:v>12.4</c:v>
                </c:pt>
                <c:pt idx="55">
                  <c:v>12.5</c:v>
                </c:pt>
                <c:pt idx="56">
                  <c:v>12.4</c:v>
                </c:pt>
                <c:pt idx="57">
                  <c:v>12.4</c:v>
                </c:pt>
                <c:pt idx="58">
                  <c:v>12.6</c:v>
                </c:pt>
                <c:pt idx="59">
                  <c:v>12.5</c:v>
                </c:pt>
                <c:pt idx="60">
                  <c:v>12.4</c:v>
                </c:pt>
                <c:pt idx="61">
                  <c:v>12.4</c:v>
                </c:pt>
                <c:pt idx="62">
                  <c:v>12.4</c:v>
                </c:pt>
                <c:pt idx="63">
                  <c:v>12.4</c:v>
                </c:pt>
                <c:pt idx="64">
                  <c:v>12.5</c:v>
                </c:pt>
                <c:pt idx="65">
                  <c:v>12.5</c:v>
                </c:pt>
                <c:pt idx="66">
                  <c:v>12.5</c:v>
                </c:pt>
                <c:pt idx="67">
                  <c:v>12.4</c:v>
                </c:pt>
                <c:pt idx="68">
                  <c:v>12.6</c:v>
                </c:pt>
                <c:pt idx="69">
                  <c:v>12.4</c:v>
                </c:pt>
                <c:pt idx="70">
                  <c:v>12.4</c:v>
                </c:pt>
                <c:pt idx="71">
                  <c:v>12.4</c:v>
                </c:pt>
                <c:pt idx="72">
                  <c:v>12.4</c:v>
                </c:pt>
                <c:pt idx="73">
                  <c:v>12.5</c:v>
                </c:pt>
                <c:pt idx="74">
                  <c:v>12.6</c:v>
                </c:pt>
                <c:pt idx="75">
                  <c:v>12.5</c:v>
                </c:pt>
                <c:pt idx="76">
                  <c:v>12.5</c:v>
                </c:pt>
                <c:pt idx="77">
                  <c:v>12.6</c:v>
                </c:pt>
                <c:pt idx="78">
                  <c:v>12.5</c:v>
                </c:pt>
                <c:pt idx="79">
                  <c:v>12.6</c:v>
                </c:pt>
                <c:pt idx="80">
                  <c:v>12.5</c:v>
                </c:pt>
                <c:pt idx="81">
                  <c:v>12.6</c:v>
                </c:pt>
                <c:pt idx="82">
                  <c:v>12.6</c:v>
                </c:pt>
                <c:pt idx="83">
                  <c:v>12.7</c:v>
                </c:pt>
                <c:pt idx="84">
                  <c:v>12.6</c:v>
                </c:pt>
                <c:pt idx="85">
                  <c:v>12.8</c:v>
                </c:pt>
                <c:pt idx="86">
                  <c:v>12.7</c:v>
                </c:pt>
                <c:pt idx="87">
                  <c:v>12.6</c:v>
                </c:pt>
                <c:pt idx="88">
                  <c:v>12.5</c:v>
                </c:pt>
                <c:pt idx="89">
                  <c:v>12.7</c:v>
                </c:pt>
                <c:pt idx="90">
                  <c:v>12.6</c:v>
                </c:pt>
                <c:pt idx="91">
                  <c:v>12.7</c:v>
                </c:pt>
                <c:pt idx="92">
                  <c:v>12.5</c:v>
                </c:pt>
                <c:pt idx="93">
                  <c:v>12.7</c:v>
                </c:pt>
                <c:pt idx="94">
                  <c:v>12.5</c:v>
                </c:pt>
                <c:pt idx="95">
                  <c:v>12.7</c:v>
                </c:pt>
                <c:pt idx="96">
                  <c:v>12.6</c:v>
                </c:pt>
                <c:pt idx="97">
                  <c:v>12.8</c:v>
                </c:pt>
                <c:pt idx="98">
                  <c:v>12.6</c:v>
                </c:pt>
                <c:pt idx="99">
                  <c:v>12.7</c:v>
                </c:pt>
                <c:pt idx="100">
                  <c:v>12.7</c:v>
                </c:pt>
                <c:pt idx="101">
                  <c:v>12.8</c:v>
                </c:pt>
                <c:pt idx="102">
                  <c:v>12.7</c:v>
                </c:pt>
                <c:pt idx="103">
                  <c:v>12.8</c:v>
                </c:pt>
                <c:pt idx="104">
                  <c:v>12.7</c:v>
                </c:pt>
                <c:pt idx="105">
                  <c:v>12.6</c:v>
                </c:pt>
                <c:pt idx="106">
                  <c:v>12.7</c:v>
                </c:pt>
                <c:pt idx="107">
                  <c:v>12.7</c:v>
                </c:pt>
                <c:pt idx="108">
                  <c:v>12.7</c:v>
                </c:pt>
                <c:pt idx="109">
                  <c:v>12.6</c:v>
                </c:pt>
                <c:pt idx="110">
                  <c:v>12.7</c:v>
                </c:pt>
                <c:pt idx="111">
                  <c:v>12.7</c:v>
                </c:pt>
                <c:pt idx="112">
                  <c:v>12.7</c:v>
                </c:pt>
                <c:pt idx="113">
                  <c:v>12.8</c:v>
                </c:pt>
                <c:pt idx="114">
                  <c:v>12.9</c:v>
                </c:pt>
                <c:pt idx="115">
                  <c:v>12.7</c:v>
                </c:pt>
                <c:pt idx="116">
                  <c:v>12.7</c:v>
                </c:pt>
                <c:pt idx="117">
                  <c:v>12.8</c:v>
                </c:pt>
                <c:pt idx="118">
                  <c:v>12.7</c:v>
                </c:pt>
                <c:pt idx="119">
                  <c:v>12.6</c:v>
                </c:pt>
                <c:pt idx="120">
                  <c:v>12.8</c:v>
                </c:pt>
                <c:pt idx="121">
                  <c:v>12.7</c:v>
                </c:pt>
                <c:pt idx="122">
                  <c:v>12.7</c:v>
                </c:pt>
                <c:pt idx="123">
                  <c:v>12.9</c:v>
                </c:pt>
                <c:pt idx="124">
                  <c:v>12.8</c:v>
                </c:pt>
                <c:pt idx="125">
                  <c:v>13</c:v>
                </c:pt>
                <c:pt idx="126">
                  <c:v>12.8</c:v>
                </c:pt>
                <c:pt idx="127">
                  <c:v>12.8</c:v>
                </c:pt>
                <c:pt idx="128">
                  <c:v>12.8</c:v>
                </c:pt>
                <c:pt idx="129">
                  <c:v>13</c:v>
                </c:pt>
                <c:pt idx="130">
                  <c:v>12.8</c:v>
                </c:pt>
                <c:pt idx="131">
                  <c:v>12.7</c:v>
                </c:pt>
                <c:pt idx="132">
                  <c:v>12.8</c:v>
                </c:pt>
                <c:pt idx="133">
                  <c:v>12.9</c:v>
                </c:pt>
                <c:pt idx="134">
                  <c:v>12.7</c:v>
                </c:pt>
                <c:pt idx="135">
                  <c:v>12.8</c:v>
                </c:pt>
                <c:pt idx="136">
                  <c:v>12.9</c:v>
                </c:pt>
                <c:pt idx="137">
                  <c:v>12.9</c:v>
                </c:pt>
                <c:pt idx="138">
                  <c:v>12.9</c:v>
                </c:pt>
                <c:pt idx="139">
                  <c:v>13.1</c:v>
                </c:pt>
                <c:pt idx="140">
                  <c:v>13.1</c:v>
                </c:pt>
                <c:pt idx="141">
                  <c:v>13</c:v>
                </c:pt>
                <c:pt idx="142">
                  <c:v>12.9</c:v>
                </c:pt>
                <c:pt idx="143">
                  <c:v>13.1</c:v>
                </c:pt>
                <c:pt idx="144">
                  <c:v>13</c:v>
                </c:pt>
                <c:pt idx="145">
                  <c:v>12.8</c:v>
                </c:pt>
                <c:pt idx="146">
                  <c:v>13</c:v>
                </c:pt>
                <c:pt idx="147">
                  <c:v>12.9</c:v>
                </c:pt>
                <c:pt idx="148">
                  <c:v>13</c:v>
                </c:pt>
                <c:pt idx="149">
                  <c:v>12.9</c:v>
                </c:pt>
                <c:pt idx="150">
                  <c:v>12.9</c:v>
                </c:pt>
                <c:pt idx="151">
                  <c:v>13</c:v>
                </c:pt>
                <c:pt idx="152">
                  <c:v>13</c:v>
                </c:pt>
                <c:pt idx="153">
                  <c:v>13</c:v>
                </c:pt>
                <c:pt idx="154">
                  <c:v>13.2</c:v>
                </c:pt>
                <c:pt idx="155">
                  <c:v>13.1</c:v>
                </c:pt>
                <c:pt idx="156">
                  <c:v>13</c:v>
                </c:pt>
                <c:pt idx="157">
                  <c:v>13</c:v>
                </c:pt>
                <c:pt idx="158">
                  <c:v>13</c:v>
                </c:pt>
                <c:pt idx="159">
                  <c:v>13.2</c:v>
                </c:pt>
                <c:pt idx="160">
                  <c:v>13</c:v>
                </c:pt>
                <c:pt idx="161">
                  <c:v>13</c:v>
                </c:pt>
                <c:pt idx="162">
                  <c:v>13.2</c:v>
                </c:pt>
                <c:pt idx="163">
                  <c:v>13</c:v>
                </c:pt>
                <c:pt idx="164">
                  <c:v>13</c:v>
                </c:pt>
                <c:pt idx="165">
                  <c:v>13</c:v>
                </c:pt>
                <c:pt idx="166">
                  <c:v>13.1</c:v>
                </c:pt>
                <c:pt idx="167">
                  <c:v>13</c:v>
                </c:pt>
                <c:pt idx="168">
                  <c:v>13.1</c:v>
                </c:pt>
                <c:pt idx="169">
                  <c:v>13.1</c:v>
                </c:pt>
                <c:pt idx="170">
                  <c:v>13</c:v>
                </c:pt>
                <c:pt idx="171">
                  <c:v>13</c:v>
                </c:pt>
                <c:pt idx="172">
                  <c:v>13</c:v>
                </c:pt>
                <c:pt idx="173">
                  <c:v>13.2</c:v>
                </c:pt>
                <c:pt idx="174">
                  <c:v>13</c:v>
                </c:pt>
                <c:pt idx="175">
                  <c:v>13</c:v>
                </c:pt>
                <c:pt idx="176">
                  <c:v>13.1</c:v>
                </c:pt>
                <c:pt idx="177">
                  <c:v>13.2</c:v>
                </c:pt>
                <c:pt idx="178">
                  <c:v>13.1</c:v>
                </c:pt>
                <c:pt idx="179">
                  <c:v>13.2</c:v>
                </c:pt>
                <c:pt idx="180">
                  <c:v>13.2</c:v>
                </c:pt>
                <c:pt idx="181">
                  <c:v>13</c:v>
                </c:pt>
                <c:pt idx="182">
                  <c:v>13.3</c:v>
                </c:pt>
                <c:pt idx="183">
                  <c:v>13.3</c:v>
                </c:pt>
                <c:pt idx="184">
                  <c:v>13.1</c:v>
                </c:pt>
                <c:pt idx="185">
                  <c:v>13</c:v>
                </c:pt>
                <c:pt idx="186">
                  <c:v>13.1</c:v>
                </c:pt>
                <c:pt idx="187">
                  <c:v>13.1</c:v>
                </c:pt>
                <c:pt idx="188">
                  <c:v>13.1</c:v>
                </c:pt>
                <c:pt idx="189">
                  <c:v>13.2</c:v>
                </c:pt>
                <c:pt idx="190">
                  <c:v>13.2</c:v>
                </c:pt>
                <c:pt idx="191">
                  <c:v>13.1</c:v>
                </c:pt>
                <c:pt idx="192">
                  <c:v>13</c:v>
                </c:pt>
                <c:pt idx="193">
                  <c:v>13.2</c:v>
                </c:pt>
                <c:pt idx="194">
                  <c:v>13.1</c:v>
                </c:pt>
                <c:pt idx="195">
                  <c:v>13.2</c:v>
                </c:pt>
                <c:pt idx="196">
                  <c:v>13.4</c:v>
                </c:pt>
                <c:pt idx="197">
                  <c:v>13.2</c:v>
                </c:pt>
                <c:pt idx="198">
                  <c:v>13.1</c:v>
                </c:pt>
                <c:pt idx="199">
                  <c:v>13.3</c:v>
                </c:pt>
                <c:pt idx="200">
                  <c:v>13.4</c:v>
                </c:pt>
                <c:pt idx="201">
                  <c:v>13.4</c:v>
                </c:pt>
                <c:pt idx="202">
                  <c:v>13.1</c:v>
                </c:pt>
                <c:pt idx="203">
                  <c:v>13.2</c:v>
                </c:pt>
                <c:pt idx="204">
                  <c:v>13.1</c:v>
                </c:pt>
                <c:pt idx="205">
                  <c:v>13.2</c:v>
                </c:pt>
                <c:pt idx="206">
                  <c:v>13.2</c:v>
                </c:pt>
                <c:pt idx="207">
                  <c:v>13.3</c:v>
                </c:pt>
                <c:pt idx="208">
                  <c:v>13.4</c:v>
                </c:pt>
                <c:pt idx="209">
                  <c:v>13.2</c:v>
                </c:pt>
                <c:pt idx="210">
                  <c:v>13.3</c:v>
                </c:pt>
                <c:pt idx="211">
                  <c:v>13.2</c:v>
                </c:pt>
                <c:pt idx="212">
                  <c:v>13.4</c:v>
                </c:pt>
                <c:pt idx="213">
                  <c:v>13.3</c:v>
                </c:pt>
                <c:pt idx="214">
                  <c:v>13.3</c:v>
                </c:pt>
                <c:pt idx="215">
                  <c:v>13.3</c:v>
                </c:pt>
                <c:pt idx="216">
                  <c:v>13.4</c:v>
                </c:pt>
                <c:pt idx="217">
                  <c:v>13.3</c:v>
                </c:pt>
                <c:pt idx="218">
                  <c:v>13.4</c:v>
                </c:pt>
                <c:pt idx="219">
                  <c:v>13.5</c:v>
                </c:pt>
                <c:pt idx="220">
                  <c:v>13.3</c:v>
                </c:pt>
                <c:pt idx="221">
                  <c:v>13.4</c:v>
                </c:pt>
                <c:pt idx="222">
                  <c:v>13.4</c:v>
                </c:pt>
                <c:pt idx="223">
                  <c:v>13.5</c:v>
                </c:pt>
                <c:pt idx="224">
                  <c:v>13.5</c:v>
                </c:pt>
                <c:pt idx="225">
                  <c:v>13.5</c:v>
                </c:pt>
                <c:pt idx="226">
                  <c:v>13.5</c:v>
                </c:pt>
                <c:pt idx="227">
                  <c:v>13.5</c:v>
                </c:pt>
                <c:pt idx="228">
                  <c:v>13.6</c:v>
                </c:pt>
                <c:pt idx="229">
                  <c:v>13.5</c:v>
                </c:pt>
                <c:pt idx="230">
                  <c:v>13.4</c:v>
                </c:pt>
                <c:pt idx="231">
                  <c:v>13.6</c:v>
                </c:pt>
                <c:pt idx="232">
                  <c:v>13.6</c:v>
                </c:pt>
                <c:pt idx="233">
                  <c:v>13.4</c:v>
                </c:pt>
                <c:pt idx="234">
                  <c:v>13.5</c:v>
                </c:pt>
                <c:pt idx="235">
                  <c:v>13.4</c:v>
                </c:pt>
                <c:pt idx="236">
                  <c:v>13.5</c:v>
                </c:pt>
                <c:pt idx="237">
                  <c:v>13.5</c:v>
                </c:pt>
                <c:pt idx="238">
                  <c:v>13.4</c:v>
                </c:pt>
                <c:pt idx="239">
                  <c:v>13.6</c:v>
                </c:pt>
                <c:pt idx="240">
                  <c:v>13.4</c:v>
                </c:pt>
                <c:pt idx="241">
                  <c:v>13.5</c:v>
                </c:pt>
                <c:pt idx="242">
                  <c:v>13.4</c:v>
                </c:pt>
                <c:pt idx="243">
                  <c:v>13.6</c:v>
                </c:pt>
                <c:pt idx="244">
                  <c:v>13.5</c:v>
                </c:pt>
                <c:pt idx="245">
                  <c:v>13.6</c:v>
                </c:pt>
                <c:pt idx="246">
                  <c:v>13.5</c:v>
                </c:pt>
                <c:pt idx="247">
                  <c:v>13.5</c:v>
                </c:pt>
                <c:pt idx="248">
                  <c:v>13.6</c:v>
                </c:pt>
                <c:pt idx="249">
                  <c:v>13.5</c:v>
                </c:pt>
                <c:pt idx="250">
                  <c:v>13.5</c:v>
                </c:pt>
                <c:pt idx="251">
                  <c:v>13.5</c:v>
                </c:pt>
                <c:pt idx="252">
                  <c:v>13.7</c:v>
                </c:pt>
                <c:pt idx="253">
                  <c:v>13.5</c:v>
                </c:pt>
                <c:pt idx="254">
                  <c:v>13.7</c:v>
                </c:pt>
                <c:pt idx="255">
                  <c:v>13.6</c:v>
                </c:pt>
                <c:pt idx="256">
                  <c:v>13.7</c:v>
                </c:pt>
                <c:pt idx="257">
                  <c:v>13.8</c:v>
                </c:pt>
                <c:pt idx="258">
                  <c:v>13.7</c:v>
                </c:pt>
                <c:pt idx="259">
                  <c:v>13.8</c:v>
                </c:pt>
                <c:pt idx="260">
                  <c:v>13.8</c:v>
                </c:pt>
                <c:pt idx="261">
                  <c:v>13.6</c:v>
                </c:pt>
                <c:pt idx="262">
                  <c:v>13.6</c:v>
                </c:pt>
                <c:pt idx="263">
                  <c:v>13.6</c:v>
                </c:pt>
                <c:pt idx="264">
                  <c:v>13.6</c:v>
                </c:pt>
                <c:pt idx="265">
                  <c:v>13.5</c:v>
                </c:pt>
                <c:pt idx="266">
                  <c:v>13.6</c:v>
                </c:pt>
                <c:pt idx="267">
                  <c:v>13.7</c:v>
                </c:pt>
                <c:pt idx="268">
                  <c:v>13.6</c:v>
                </c:pt>
                <c:pt idx="269">
                  <c:v>13.7</c:v>
                </c:pt>
                <c:pt idx="270">
                  <c:v>13.6</c:v>
                </c:pt>
                <c:pt idx="271">
                  <c:v>13.7</c:v>
                </c:pt>
                <c:pt idx="272">
                  <c:v>13.7</c:v>
                </c:pt>
                <c:pt idx="273">
                  <c:v>13.8</c:v>
                </c:pt>
                <c:pt idx="274">
                  <c:v>13.8</c:v>
                </c:pt>
                <c:pt idx="275">
                  <c:v>13.7</c:v>
                </c:pt>
                <c:pt idx="276">
                  <c:v>13.7</c:v>
                </c:pt>
                <c:pt idx="277">
                  <c:v>13.7</c:v>
                </c:pt>
                <c:pt idx="278">
                  <c:v>13.5</c:v>
                </c:pt>
                <c:pt idx="279">
                  <c:v>13.7</c:v>
                </c:pt>
                <c:pt idx="280">
                  <c:v>13.7</c:v>
                </c:pt>
                <c:pt idx="281">
                  <c:v>13.8</c:v>
                </c:pt>
                <c:pt idx="282">
                  <c:v>13.7</c:v>
                </c:pt>
                <c:pt idx="283">
                  <c:v>13.7</c:v>
                </c:pt>
                <c:pt idx="284">
                  <c:v>13.7</c:v>
                </c:pt>
                <c:pt idx="285">
                  <c:v>13.6</c:v>
                </c:pt>
                <c:pt idx="286">
                  <c:v>13.7</c:v>
                </c:pt>
                <c:pt idx="287">
                  <c:v>13.8</c:v>
                </c:pt>
                <c:pt idx="288">
                  <c:v>13.8</c:v>
                </c:pt>
                <c:pt idx="289">
                  <c:v>13.7</c:v>
                </c:pt>
                <c:pt idx="290">
                  <c:v>13.7</c:v>
                </c:pt>
                <c:pt idx="291">
                  <c:v>13.8</c:v>
                </c:pt>
                <c:pt idx="292">
                  <c:v>13.7</c:v>
                </c:pt>
                <c:pt idx="293">
                  <c:v>13.8</c:v>
                </c:pt>
                <c:pt idx="294">
                  <c:v>13.8</c:v>
                </c:pt>
                <c:pt idx="295">
                  <c:v>13.8</c:v>
                </c:pt>
                <c:pt idx="296">
                  <c:v>13.8</c:v>
                </c:pt>
                <c:pt idx="297">
                  <c:v>13.7</c:v>
                </c:pt>
                <c:pt idx="298">
                  <c:v>13.8</c:v>
                </c:pt>
                <c:pt idx="299">
                  <c:v>13.9</c:v>
                </c:pt>
                <c:pt idx="300">
                  <c:v>13.9</c:v>
                </c:pt>
                <c:pt idx="301">
                  <c:v>13.9</c:v>
                </c:pt>
                <c:pt idx="302">
                  <c:v>13.9</c:v>
                </c:pt>
                <c:pt idx="303">
                  <c:v>13.7</c:v>
                </c:pt>
                <c:pt idx="304">
                  <c:v>13.8</c:v>
                </c:pt>
                <c:pt idx="305">
                  <c:v>13.8</c:v>
                </c:pt>
                <c:pt idx="306">
                  <c:v>14</c:v>
                </c:pt>
                <c:pt idx="307">
                  <c:v>14.1</c:v>
                </c:pt>
                <c:pt idx="308">
                  <c:v>13.9</c:v>
                </c:pt>
                <c:pt idx="309">
                  <c:v>13.9</c:v>
                </c:pt>
                <c:pt idx="310">
                  <c:v>13.9</c:v>
                </c:pt>
                <c:pt idx="311">
                  <c:v>13.9</c:v>
                </c:pt>
                <c:pt idx="312">
                  <c:v>13.9</c:v>
                </c:pt>
                <c:pt idx="313">
                  <c:v>13.9</c:v>
                </c:pt>
                <c:pt idx="314">
                  <c:v>14.2</c:v>
                </c:pt>
                <c:pt idx="315">
                  <c:v>14</c:v>
                </c:pt>
                <c:pt idx="316">
                  <c:v>14.1</c:v>
                </c:pt>
                <c:pt idx="317">
                  <c:v>13.9</c:v>
                </c:pt>
                <c:pt idx="318">
                  <c:v>13.9</c:v>
                </c:pt>
                <c:pt idx="319">
                  <c:v>13.9</c:v>
                </c:pt>
                <c:pt idx="320">
                  <c:v>13.9</c:v>
                </c:pt>
                <c:pt idx="321">
                  <c:v>14.1</c:v>
                </c:pt>
                <c:pt idx="322">
                  <c:v>14.1</c:v>
                </c:pt>
                <c:pt idx="323">
                  <c:v>14</c:v>
                </c:pt>
                <c:pt idx="324">
                  <c:v>14</c:v>
                </c:pt>
                <c:pt idx="325">
                  <c:v>14</c:v>
                </c:pt>
                <c:pt idx="326">
                  <c:v>14</c:v>
                </c:pt>
                <c:pt idx="327">
                  <c:v>14.2</c:v>
                </c:pt>
                <c:pt idx="328">
                  <c:v>14</c:v>
                </c:pt>
                <c:pt idx="329">
                  <c:v>14.1</c:v>
                </c:pt>
                <c:pt idx="330">
                  <c:v>14.1</c:v>
                </c:pt>
                <c:pt idx="331">
                  <c:v>14.1</c:v>
                </c:pt>
                <c:pt idx="332">
                  <c:v>14.2</c:v>
                </c:pt>
                <c:pt idx="333">
                  <c:v>14.2</c:v>
                </c:pt>
                <c:pt idx="334">
                  <c:v>14.3</c:v>
                </c:pt>
                <c:pt idx="335">
                  <c:v>14.3</c:v>
                </c:pt>
                <c:pt idx="336">
                  <c:v>14.3</c:v>
                </c:pt>
                <c:pt idx="337">
                  <c:v>14.4</c:v>
                </c:pt>
                <c:pt idx="338">
                  <c:v>14.4</c:v>
                </c:pt>
                <c:pt idx="339">
                  <c:v>14.4</c:v>
                </c:pt>
                <c:pt idx="340">
                  <c:v>14.6</c:v>
                </c:pt>
                <c:pt idx="341">
                  <c:v>14.6</c:v>
                </c:pt>
                <c:pt idx="342">
                  <c:v>14.6</c:v>
                </c:pt>
                <c:pt idx="343">
                  <c:v>14.7</c:v>
                </c:pt>
                <c:pt idx="344">
                  <c:v>14.8</c:v>
                </c:pt>
                <c:pt idx="345">
                  <c:v>14.8</c:v>
                </c:pt>
                <c:pt idx="346">
                  <c:v>14.8</c:v>
                </c:pt>
                <c:pt idx="347">
                  <c:v>14.8</c:v>
                </c:pt>
                <c:pt idx="348">
                  <c:v>14.7</c:v>
                </c:pt>
                <c:pt idx="349">
                  <c:v>14.8</c:v>
                </c:pt>
                <c:pt idx="350">
                  <c:v>15.1</c:v>
                </c:pt>
                <c:pt idx="351">
                  <c:v>15</c:v>
                </c:pt>
                <c:pt idx="352">
                  <c:v>15</c:v>
                </c:pt>
                <c:pt idx="353">
                  <c:v>15.1</c:v>
                </c:pt>
                <c:pt idx="354">
                  <c:v>15.5</c:v>
                </c:pt>
                <c:pt idx="355">
                  <c:v>15.6</c:v>
                </c:pt>
                <c:pt idx="356">
                  <c:v>16.2</c:v>
                </c:pt>
              </c:numCache>
            </c:numRef>
          </c:val>
          <c:smooth val="0"/>
          <c:extLst>
            <c:ext xmlns:c16="http://schemas.microsoft.com/office/drawing/2014/chart" uri="{C3380CC4-5D6E-409C-BE32-E72D297353CC}">
              <c16:uniqueId val="{00000002-A23F-4F3C-A609-EE15F1731AE3}"/>
            </c:ext>
          </c:extLst>
        </c:ser>
        <c:ser>
          <c:idx val="0"/>
          <c:order val="3"/>
          <c:tx>
            <c:v>Male</c:v>
          </c:tx>
          <c:marker>
            <c:symbol val="none"/>
          </c:marker>
          <c:cat>
            <c:multiLvlStrRef>
              <c:f>[NHSOF_1b_I00655_D.xls]Sheet1!$A$2:$B$358</c:f>
              <c:multiLvlStrCache>
                <c:ptCount val="357"/>
                <c:lvl>
                  <c:pt idx="0">
                    <c:v>Male</c:v>
                  </c:pt>
                  <c:pt idx="1">
                    <c:v>Male</c:v>
                  </c:pt>
                  <c:pt idx="2">
                    <c:v>Male</c:v>
                  </c:pt>
                  <c:pt idx="3">
                    <c:v>Male</c:v>
                  </c:pt>
                  <c:pt idx="4">
                    <c:v>Male</c:v>
                  </c:pt>
                  <c:pt idx="5">
                    <c:v>Male</c:v>
                  </c:pt>
                  <c:pt idx="6">
                    <c:v>Male</c:v>
                  </c:pt>
                  <c:pt idx="7">
                    <c:v>Male</c:v>
                  </c:pt>
                  <c:pt idx="8">
                    <c:v>Male</c:v>
                  </c:pt>
                  <c:pt idx="9">
                    <c:v>Male</c:v>
                  </c:pt>
                  <c:pt idx="10">
                    <c:v>Male</c:v>
                  </c:pt>
                  <c:pt idx="11">
                    <c:v>Male</c:v>
                  </c:pt>
                  <c:pt idx="12">
                    <c:v>Male</c:v>
                  </c:pt>
                  <c:pt idx="13">
                    <c:v>Male</c:v>
                  </c:pt>
                  <c:pt idx="14">
                    <c:v>Male</c:v>
                  </c:pt>
                  <c:pt idx="15">
                    <c:v>Male</c:v>
                  </c:pt>
                  <c:pt idx="16">
                    <c:v>Male</c:v>
                  </c:pt>
                  <c:pt idx="17">
                    <c:v>Male</c:v>
                  </c:pt>
                  <c:pt idx="18">
                    <c:v>Male</c:v>
                  </c:pt>
                  <c:pt idx="19">
                    <c:v>Male</c:v>
                  </c:pt>
                  <c:pt idx="20">
                    <c:v>Male</c:v>
                  </c:pt>
                  <c:pt idx="21">
                    <c:v>Male</c:v>
                  </c:pt>
                  <c:pt idx="22">
                    <c:v>Male</c:v>
                  </c:pt>
                  <c:pt idx="23">
                    <c:v>Male</c:v>
                  </c:pt>
                  <c:pt idx="24">
                    <c:v>Male</c:v>
                  </c:pt>
                  <c:pt idx="25">
                    <c:v>Male</c:v>
                  </c:pt>
                  <c:pt idx="26">
                    <c:v>Male</c:v>
                  </c:pt>
                  <c:pt idx="27">
                    <c:v>Male</c:v>
                  </c:pt>
                  <c:pt idx="28">
                    <c:v>Male</c:v>
                  </c:pt>
                  <c:pt idx="29">
                    <c:v>Male</c:v>
                  </c:pt>
                  <c:pt idx="30">
                    <c:v>Male</c:v>
                  </c:pt>
                  <c:pt idx="31">
                    <c:v>Male</c:v>
                  </c:pt>
                  <c:pt idx="32">
                    <c:v>Male</c:v>
                  </c:pt>
                  <c:pt idx="33">
                    <c:v>Male</c:v>
                  </c:pt>
                  <c:pt idx="34">
                    <c:v>Male</c:v>
                  </c:pt>
                  <c:pt idx="35">
                    <c:v>Male</c:v>
                  </c:pt>
                  <c:pt idx="36">
                    <c:v>Male</c:v>
                  </c:pt>
                  <c:pt idx="37">
                    <c:v>Male</c:v>
                  </c:pt>
                  <c:pt idx="38">
                    <c:v>Male</c:v>
                  </c:pt>
                  <c:pt idx="39">
                    <c:v>Male</c:v>
                  </c:pt>
                  <c:pt idx="40">
                    <c:v>Male</c:v>
                  </c:pt>
                  <c:pt idx="41">
                    <c:v>Male</c:v>
                  </c:pt>
                  <c:pt idx="42">
                    <c:v>Male</c:v>
                  </c:pt>
                  <c:pt idx="43">
                    <c:v>Male</c:v>
                  </c:pt>
                  <c:pt idx="44">
                    <c:v>Male</c:v>
                  </c:pt>
                  <c:pt idx="45">
                    <c:v>Male</c:v>
                  </c:pt>
                  <c:pt idx="46">
                    <c:v>Male</c:v>
                  </c:pt>
                  <c:pt idx="47">
                    <c:v>Male</c:v>
                  </c:pt>
                  <c:pt idx="48">
                    <c:v>Male</c:v>
                  </c:pt>
                  <c:pt idx="49">
                    <c:v>Male</c:v>
                  </c:pt>
                  <c:pt idx="50">
                    <c:v>Male</c:v>
                  </c:pt>
                  <c:pt idx="51">
                    <c:v>Male</c:v>
                  </c:pt>
                  <c:pt idx="52">
                    <c:v>Male</c:v>
                  </c:pt>
                  <c:pt idx="53">
                    <c:v>Male</c:v>
                  </c:pt>
                  <c:pt idx="54">
                    <c:v>Male</c:v>
                  </c:pt>
                  <c:pt idx="55">
                    <c:v>Male</c:v>
                  </c:pt>
                  <c:pt idx="56">
                    <c:v>Male</c:v>
                  </c:pt>
                  <c:pt idx="57">
                    <c:v>Male</c:v>
                  </c:pt>
                  <c:pt idx="58">
                    <c:v>Male</c:v>
                  </c:pt>
                  <c:pt idx="59">
                    <c:v>Male</c:v>
                  </c:pt>
                  <c:pt idx="60">
                    <c:v>Male</c:v>
                  </c:pt>
                  <c:pt idx="61">
                    <c:v>Male</c:v>
                  </c:pt>
                  <c:pt idx="62">
                    <c:v>Male</c:v>
                  </c:pt>
                  <c:pt idx="63">
                    <c:v>Male</c:v>
                  </c:pt>
                  <c:pt idx="64">
                    <c:v>Male</c:v>
                  </c:pt>
                  <c:pt idx="65">
                    <c:v>Male</c:v>
                  </c:pt>
                  <c:pt idx="66">
                    <c:v>Male</c:v>
                  </c:pt>
                  <c:pt idx="67">
                    <c:v>Male</c:v>
                  </c:pt>
                  <c:pt idx="68">
                    <c:v>Male</c:v>
                  </c:pt>
                  <c:pt idx="69">
                    <c:v>Male</c:v>
                  </c:pt>
                  <c:pt idx="70">
                    <c:v>Male</c:v>
                  </c:pt>
                  <c:pt idx="71">
                    <c:v>Male</c:v>
                  </c:pt>
                  <c:pt idx="72">
                    <c:v>Male</c:v>
                  </c:pt>
                  <c:pt idx="73">
                    <c:v>Male</c:v>
                  </c:pt>
                  <c:pt idx="74">
                    <c:v>Male</c:v>
                  </c:pt>
                  <c:pt idx="75">
                    <c:v>Male</c:v>
                  </c:pt>
                  <c:pt idx="76">
                    <c:v>Male</c:v>
                  </c:pt>
                  <c:pt idx="77">
                    <c:v>Male</c:v>
                  </c:pt>
                  <c:pt idx="78">
                    <c:v>Male</c:v>
                  </c:pt>
                  <c:pt idx="79">
                    <c:v>Male</c:v>
                  </c:pt>
                  <c:pt idx="80">
                    <c:v>Male</c:v>
                  </c:pt>
                  <c:pt idx="81">
                    <c:v>Male</c:v>
                  </c:pt>
                  <c:pt idx="82">
                    <c:v>Male</c:v>
                  </c:pt>
                  <c:pt idx="83">
                    <c:v>Male</c:v>
                  </c:pt>
                  <c:pt idx="84">
                    <c:v>Male</c:v>
                  </c:pt>
                  <c:pt idx="85">
                    <c:v>Male</c:v>
                  </c:pt>
                  <c:pt idx="86">
                    <c:v>Male</c:v>
                  </c:pt>
                  <c:pt idx="87">
                    <c:v>Male</c:v>
                  </c:pt>
                  <c:pt idx="88">
                    <c:v>Male</c:v>
                  </c:pt>
                  <c:pt idx="89">
                    <c:v>Male</c:v>
                  </c:pt>
                  <c:pt idx="90">
                    <c:v>Male</c:v>
                  </c:pt>
                  <c:pt idx="91">
                    <c:v>Male</c:v>
                  </c:pt>
                  <c:pt idx="92">
                    <c:v>Male</c:v>
                  </c:pt>
                  <c:pt idx="93">
                    <c:v>Male</c:v>
                  </c:pt>
                  <c:pt idx="94">
                    <c:v>Male</c:v>
                  </c:pt>
                  <c:pt idx="95">
                    <c:v>Male</c:v>
                  </c:pt>
                  <c:pt idx="96">
                    <c:v>Male</c:v>
                  </c:pt>
                  <c:pt idx="97">
                    <c:v>Male</c:v>
                  </c:pt>
                  <c:pt idx="98">
                    <c:v>Male</c:v>
                  </c:pt>
                  <c:pt idx="99">
                    <c:v>Male</c:v>
                  </c:pt>
                  <c:pt idx="100">
                    <c:v>Male</c:v>
                  </c:pt>
                  <c:pt idx="101">
                    <c:v>Male</c:v>
                  </c:pt>
                  <c:pt idx="102">
                    <c:v>Male</c:v>
                  </c:pt>
                  <c:pt idx="103">
                    <c:v>Male</c:v>
                  </c:pt>
                  <c:pt idx="104">
                    <c:v>Male</c:v>
                  </c:pt>
                  <c:pt idx="105">
                    <c:v>Male</c:v>
                  </c:pt>
                  <c:pt idx="106">
                    <c:v>Male</c:v>
                  </c:pt>
                  <c:pt idx="107">
                    <c:v>Male</c:v>
                  </c:pt>
                  <c:pt idx="108">
                    <c:v>Male</c:v>
                  </c:pt>
                  <c:pt idx="109">
                    <c:v>Male</c:v>
                  </c:pt>
                  <c:pt idx="110">
                    <c:v>Male</c:v>
                  </c:pt>
                  <c:pt idx="111">
                    <c:v>Male</c:v>
                  </c:pt>
                  <c:pt idx="112">
                    <c:v>Male</c:v>
                  </c:pt>
                  <c:pt idx="113">
                    <c:v>Male</c:v>
                  </c:pt>
                  <c:pt idx="114">
                    <c:v>Male</c:v>
                  </c:pt>
                  <c:pt idx="115">
                    <c:v>Male</c:v>
                  </c:pt>
                  <c:pt idx="116">
                    <c:v>Male</c:v>
                  </c:pt>
                  <c:pt idx="117">
                    <c:v>Male</c:v>
                  </c:pt>
                  <c:pt idx="118">
                    <c:v>Male</c:v>
                  </c:pt>
                  <c:pt idx="119">
                    <c:v>Male</c:v>
                  </c:pt>
                  <c:pt idx="120">
                    <c:v>Male</c:v>
                  </c:pt>
                  <c:pt idx="121">
                    <c:v>Male</c:v>
                  </c:pt>
                  <c:pt idx="122">
                    <c:v>Male</c:v>
                  </c:pt>
                  <c:pt idx="123">
                    <c:v>Male</c:v>
                  </c:pt>
                  <c:pt idx="124">
                    <c:v>Male</c:v>
                  </c:pt>
                  <c:pt idx="125">
                    <c:v>Male</c:v>
                  </c:pt>
                  <c:pt idx="126">
                    <c:v>Male</c:v>
                  </c:pt>
                  <c:pt idx="127">
                    <c:v>Male</c:v>
                  </c:pt>
                  <c:pt idx="128">
                    <c:v>Male</c:v>
                  </c:pt>
                  <c:pt idx="129">
                    <c:v>Male</c:v>
                  </c:pt>
                  <c:pt idx="130">
                    <c:v>Male</c:v>
                  </c:pt>
                  <c:pt idx="131">
                    <c:v>Male</c:v>
                  </c:pt>
                  <c:pt idx="132">
                    <c:v>Male</c:v>
                  </c:pt>
                  <c:pt idx="133">
                    <c:v>Male</c:v>
                  </c:pt>
                  <c:pt idx="134">
                    <c:v>Male</c:v>
                  </c:pt>
                  <c:pt idx="135">
                    <c:v>Male</c:v>
                  </c:pt>
                  <c:pt idx="136">
                    <c:v>Male</c:v>
                  </c:pt>
                  <c:pt idx="137">
                    <c:v>Male</c:v>
                  </c:pt>
                  <c:pt idx="138">
                    <c:v>Male</c:v>
                  </c:pt>
                  <c:pt idx="139">
                    <c:v>Male</c:v>
                  </c:pt>
                  <c:pt idx="140">
                    <c:v>Male</c:v>
                  </c:pt>
                  <c:pt idx="141">
                    <c:v>Male</c:v>
                  </c:pt>
                  <c:pt idx="142">
                    <c:v>Male</c:v>
                  </c:pt>
                  <c:pt idx="143">
                    <c:v>Male</c:v>
                  </c:pt>
                  <c:pt idx="144">
                    <c:v>Male</c:v>
                  </c:pt>
                  <c:pt idx="145">
                    <c:v>Male</c:v>
                  </c:pt>
                  <c:pt idx="146">
                    <c:v>Male</c:v>
                  </c:pt>
                  <c:pt idx="147">
                    <c:v>Male</c:v>
                  </c:pt>
                  <c:pt idx="148">
                    <c:v>Male</c:v>
                  </c:pt>
                  <c:pt idx="149">
                    <c:v>Male</c:v>
                  </c:pt>
                  <c:pt idx="150">
                    <c:v>Male</c:v>
                  </c:pt>
                  <c:pt idx="151">
                    <c:v>Male</c:v>
                  </c:pt>
                  <c:pt idx="152">
                    <c:v>Male</c:v>
                  </c:pt>
                  <c:pt idx="153">
                    <c:v>Male</c:v>
                  </c:pt>
                  <c:pt idx="154">
                    <c:v>Male</c:v>
                  </c:pt>
                  <c:pt idx="155">
                    <c:v>Male</c:v>
                  </c:pt>
                  <c:pt idx="156">
                    <c:v>Male</c:v>
                  </c:pt>
                  <c:pt idx="157">
                    <c:v>Male</c:v>
                  </c:pt>
                  <c:pt idx="158">
                    <c:v>Male</c:v>
                  </c:pt>
                  <c:pt idx="159">
                    <c:v>Male</c:v>
                  </c:pt>
                  <c:pt idx="160">
                    <c:v>Male</c:v>
                  </c:pt>
                  <c:pt idx="161">
                    <c:v>Male</c:v>
                  </c:pt>
                  <c:pt idx="162">
                    <c:v>Male</c:v>
                  </c:pt>
                  <c:pt idx="163">
                    <c:v>Male</c:v>
                  </c:pt>
                  <c:pt idx="164">
                    <c:v>Male</c:v>
                  </c:pt>
                  <c:pt idx="165">
                    <c:v>Male</c:v>
                  </c:pt>
                  <c:pt idx="166">
                    <c:v>Male</c:v>
                  </c:pt>
                  <c:pt idx="167">
                    <c:v>Male</c:v>
                  </c:pt>
                  <c:pt idx="168">
                    <c:v>Male</c:v>
                  </c:pt>
                  <c:pt idx="169">
                    <c:v>Male</c:v>
                  </c:pt>
                  <c:pt idx="170">
                    <c:v>Male</c:v>
                  </c:pt>
                  <c:pt idx="171">
                    <c:v>Male</c:v>
                  </c:pt>
                  <c:pt idx="172">
                    <c:v>Male</c:v>
                  </c:pt>
                  <c:pt idx="173">
                    <c:v>Male</c:v>
                  </c:pt>
                  <c:pt idx="174">
                    <c:v>Male</c:v>
                  </c:pt>
                  <c:pt idx="175">
                    <c:v>Male</c:v>
                  </c:pt>
                  <c:pt idx="176">
                    <c:v>Male</c:v>
                  </c:pt>
                  <c:pt idx="177">
                    <c:v>Male</c:v>
                  </c:pt>
                  <c:pt idx="178">
                    <c:v>Male</c:v>
                  </c:pt>
                  <c:pt idx="179">
                    <c:v>Male</c:v>
                  </c:pt>
                  <c:pt idx="180">
                    <c:v>Male</c:v>
                  </c:pt>
                  <c:pt idx="181">
                    <c:v>Male</c:v>
                  </c:pt>
                  <c:pt idx="182">
                    <c:v>Male</c:v>
                  </c:pt>
                  <c:pt idx="183">
                    <c:v>Male</c:v>
                  </c:pt>
                  <c:pt idx="184">
                    <c:v>Male</c:v>
                  </c:pt>
                  <c:pt idx="185">
                    <c:v>Male</c:v>
                  </c:pt>
                  <c:pt idx="186">
                    <c:v>Male</c:v>
                  </c:pt>
                  <c:pt idx="187">
                    <c:v>Male</c:v>
                  </c:pt>
                  <c:pt idx="188">
                    <c:v>Male</c:v>
                  </c:pt>
                  <c:pt idx="189">
                    <c:v>Male</c:v>
                  </c:pt>
                  <c:pt idx="190">
                    <c:v>Male</c:v>
                  </c:pt>
                  <c:pt idx="191">
                    <c:v>Male</c:v>
                  </c:pt>
                  <c:pt idx="192">
                    <c:v>Male</c:v>
                  </c:pt>
                  <c:pt idx="193">
                    <c:v>Male</c:v>
                  </c:pt>
                  <c:pt idx="194">
                    <c:v>Male</c:v>
                  </c:pt>
                  <c:pt idx="195">
                    <c:v>Male</c:v>
                  </c:pt>
                  <c:pt idx="196">
                    <c:v>Male</c:v>
                  </c:pt>
                  <c:pt idx="197">
                    <c:v>Male</c:v>
                  </c:pt>
                  <c:pt idx="198">
                    <c:v>Male</c:v>
                  </c:pt>
                  <c:pt idx="199">
                    <c:v>Male</c:v>
                  </c:pt>
                  <c:pt idx="200">
                    <c:v>Male</c:v>
                  </c:pt>
                  <c:pt idx="201">
                    <c:v>Male</c:v>
                  </c:pt>
                  <c:pt idx="202">
                    <c:v>Male</c:v>
                  </c:pt>
                  <c:pt idx="203">
                    <c:v>Male</c:v>
                  </c:pt>
                  <c:pt idx="204">
                    <c:v>Male</c:v>
                  </c:pt>
                  <c:pt idx="205">
                    <c:v>Male</c:v>
                  </c:pt>
                  <c:pt idx="206">
                    <c:v>Male</c:v>
                  </c:pt>
                  <c:pt idx="207">
                    <c:v>Male</c:v>
                  </c:pt>
                  <c:pt idx="208">
                    <c:v>Male</c:v>
                  </c:pt>
                  <c:pt idx="209">
                    <c:v>Male</c:v>
                  </c:pt>
                  <c:pt idx="210">
                    <c:v>Male</c:v>
                  </c:pt>
                  <c:pt idx="211">
                    <c:v>Male</c:v>
                  </c:pt>
                  <c:pt idx="212">
                    <c:v>Male</c:v>
                  </c:pt>
                  <c:pt idx="213">
                    <c:v>Male</c:v>
                  </c:pt>
                  <c:pt idx="214">
                    <c:v>Male</c:v>
                  </c:pt>
                  <c:pt idx="215">
                    <c:v>Male</c:v>
                  </c:pt>
                  <c:pt idx="216">
                    <c:v>Male</c:v>
                  </c:pt>
                  <c:pt idx="217">
                    <c:v>Male</c:v>
                  </c:pt>
                  <c:pt idx="218">
                    <c:v>Male</c:v>
                  </c:pt>
                  <c:pt idx="219">
                    <c:v>Male</c:v>
                  </c:pt>
                  <c:pt idx="220">
                    <c:v>Male</c:v>
                  </c:pt>
                  <c:pt idx="221">
                    <c:v>Male</c:v>
                  </c:pt>
                  <c:pt idx="222">
                    <c:v>Male</c:v>
                  </c:pt>
                  <c:pt idx="223">
                    <c:v>Male</c:v>
                  </c:pt>
                  <c:pt idx="224">
                    <c:v>Male</c:v>
                  </c:pt>
                  <c:pt idx="225">
                    <c:v>Male</c:v>
                  </c:pt>
                  <c:pt idx="226">
                    <c:v>Male</c:v>
                  </c:pt>
                  <c:pt idx="227">
                    <c:v>Male</c:v>
                  </c:pt>
                  <c:pt idx="228">
                    <c:v>Male</c:v>
                  </c:pt>
                  <c:pt idx="229">
                    <c:v>Male</c:v>
                  </c:pt>
                  <c:pt idx="230">
                    <c:v>Male</c:v>
                  </c:pt>
                  <c:pt idx="231">
                    <c:v>Male</c:v>
                  </c:pt>
                  <c:pt idx="232">
                    <c:v>Male</c:v>
                  </c:pt>
                  <c:pt idx="233">
                    <c:v>Male</c:v>
                  </c:pt>
                  <c:pt idx="234">
                    <c:v>Male</c:v>
                  </c:pt>
                  <c:pt idx="235">
                    <c:v>Male</c:v>
                  </c:pt>
                  <c:pt idx="236">
                    <c:v>Male</c:v>
                  </c:pt>
                  <c:pt idx="237">
                    <c:v>Male</c:v>
                  </c:pt>
                  <c:pt idx="238">
                    <c:v>Male</c:v>
                  </c:pt>
                  <c:pt idx="239">
                    <c:v>Male</c:v>
                  </c:pt>
                  <c:pt idx="240">
                    <c:v>Male</c:v>
                  </c:pt>
                  <c:pt idx="241">
                    <c:v>Male</c:v>
                  </c:pt>
                  <c:pt idx="242">
                    <c:v>Male</c:v>
                  </c:pt>
                  <c:pt idx="243">
                    <c:v>Male</c:v>
                  </c:pt>
                  <c:pt idx="244">
                    <c:v>Male</c:v>
                  </c:pt>
                  <c:pt idx="245">
                    <c:v>Male</c:v>
                  </c:pt>
                  <c:pt idx="246">
                    <c:v>Male</c:v>
                  </c:pt>
                  <c:pt idx="247">
                    <c:v>Male</c:v>
                  </c:pt>
                  <c:pt idx="248">
                    <c:v>Male</c:v>
                  </c:pt>
                  <c:pt idx="249">
                    <c:v>Male</c:v>
                  </c:pt>
                  <c:pt idx="250">
                    <c:v>Male</c:v>
                  </c:pt>
                  <c:pt idx="251">
                    <c:v>Male</c:v>
                  </c:pt>
                  <c:pt idx="252">
                    <c:v>Male</c:v>
                  </c:pt>
                  <c:pt idx="253">
                    <c:v>Male</c:v>
                  </c:pt>
                  <c:pt idx="254">
                    <c:v>Male</c:v>
                  </c:pt>
                  <c:pt idx="255">
                    <c:v>Male</c:v>
                  </c:pt>
                  <c:pt idx="256">
                    <c:v>Male</c:v>
                  </c:pt>
                  <c:pt idx="257">
                    <c:v>Male</c:v>
                  </c:pt>
                  <c:pt idx="258">
                    <c:v>Male</c:v>
                  </c:pt>
                  <c:pt idx="259">
                    <c:v>Male</c:v>
                  </c:pt>
                  <c:pt idx="260">
                    <c:v>Male</c:v>
                  </c:pt>
                  <c:pt idx="261">
                    <c:v>Male</c:v>
                  </c:pt>
                  <c:pt idx="262">
                    <c:v>Male</c:v>
                  </c:pt>
                  <c:pt idx="263">
                    <c:v>Male</c:v>
                  </c:pt>
                  <c:pt idx="264">
                    <c:v>Male</c:v>
                  </c:pt>
                  <c:pt idx="265">
                    <c:v>Male</c:v>
                  </c:pt>
                  <c:pt idx="266">
                    <c:v>Male</c:v>
                  </c:pt>
                  <c:pt idx="267">
                    <c:v>Male</c:v>
                  </c:pt>
                  <c:pt idx="268">
                    <c:v>Male</c:v>
                  </c:pt>
                  <c:pt idx="269">
                    <c:v>Male</c:v>
                  </c:pt>
                  <c:pt idx="270">
                    <c:v>Male</c:v>
                  </c:pt>
                  <c:pt idx="271">
                    <c:v>Male</c:v>
                  </c:pt>
                  <c:pt idx="272">
                    <c:v>Male</c:v>
                  </c:pt>
                  <c:pt idx="273">
                    <c:v>Male</c:v>
                  </c:pt>
                  <c:pt idx="274">
                    <c:v>Male</c:v>
                  </c:pt>
                  <c:pt idx="275">
                    <c:v>Male</c:v>
                  </c:pt>
                  <c:pt idx="276">
                    <c:v>Male</c:v>
                  </c:pt>
                  <c:pt idx="277">
                    <c:v>Male</c:v>
                  </c:pt>
                  <c:pt idx="278">
                    <c:v>Male</c:v>
                  </c:pt>
                  <c:pt idx="279">
                    <c:v>Male</c:v>
                  </c:pt>
                  <c:pt idx="280">
                    <c:v>Male</c:v>
                  </c:pt>
                  <c:pt idx="281">
                    <c:v>Male</c:v>
                  </c:pt>
                  <c:pt idx="282">
                    <c:v>Male</c:v>
                  </c:pt>
                  <c:pt idx="283">
                    <c:v>Male</c:v>
                  </c:pt>
                  <c:pt idx="284">
                    <c:v>Male</c:v>
                  </c:pt>
                  <c:pt idx="285">
                    <c:v>Male</c:v>
                  </c:pt>
                  <c:pt idx="286">
                    <c:v>Male</c:v>
                  </c:pt>
                  <c:pt idx="287">
                    <c:v>Male</c:v>
                  </c:pt>
                  <c:pt idx="288">
                    <c:v>Male</c:v>
                  </c:pt>
                  <c:pt idx="289">
                    <c:v>Male</c:v>
                  </c:pt>
                  <c:pt idx="290">
                    <c:v>Male</c:v>
                  </c:pt>
                  <c:pt idx="291">
                    <c:v>Male</c:v>
                  </c:pt>
                  <c:pt idx="292">
                    <c:v>Male</c:v>
                  </c:pt>
                  <c:pt idx="293">
                    <c:v>Male</c:v>
                  </c:pt>
                  <c:pt idx="294">
                    <c:v>Male</c:v>
                  </c:pt>
                  <c:pt idx="295">
                    <c:v>Male</c:v>
                  </c:pt>
                  <c:pt idx="296">
                    <c:v>Male</c:v>
                  </c:pt>
                  <c:pt idx="297">
                    <c:v>Male</c:v>
                  </c:pt>
                  <c:pt idx="298">
                    <c:v>Male</c:v>
                  </c:pt>
                  <c:pt idx="299">
                    <c:v>Male</c:v>
                  </c:pt>
                  <c:pt idx="300">
                    <c:v>Male</c:v>
                  </c:pt>
                  <c:pt idx="301">
                    <c:v>Male</c:v>
                  </c:pt>
                  <c:pt idx="302">
                    <c:v>Male</c:v>
                  </c:pt>
                  <c:pt idx="303">
                    <c:v>Male</c:v>
                  </c:pt>
                  <c:pt idx="304">
                    <c:v>Male</c:v>
                  </c:pt>
                  <c:pt idx="305">
                    <c:v>Male</c:v>
                  </c:pt>
                  <c:pt idx="306">
                    <c:v>Male</c:v>
                  </c:pt>
                  <c:pt idx="307">
                    <c:v>Male</c:v>
                  </c:pt>
                  <c:pt idx="308">
                    <c:v>Male</c:v>
                  </c:pt>
                  <c:pt idx="309">
                    <c:v>Male</c:v>
                  </c:pt>
                  <c:pt idx="310">
                    <c:v>Male</c:v>
                  </c:pt>
                  <c:pt idx="311">
                    <c:v>Male</c:v>
                  </c:pt>
                  <c:pt idx="312">
                    <c:v>Male</c:v>
                  </c:pt>
                  <c:pt idx="313">
                    <c:v>Male</c:v>
                  </c:pt>
                  <c:pt idx="314">
                    <c:v>Male</c:v>
                  </c:pt>
                  <c:pt idx="315">
                    <c:v>Male</c:v>
                  </c:pt>
                  <c:pt idx="316">
                    <c:v>Male</c:v>
                  </c:pt>
                  <c:pt idx="317">
                    <c:v>Male</c:v>
                  </c:pt>
                  <c:pt idx="318">
                    <c:v>Male</c:v>
                  </c:pt>
                  <c:pt idx="319">
                    <c:v>Male</c:v>
                  </c:pt>
                  <c:pt idx="320">
                    <c:v>Male</c:v>
                  </c:pt>
                  <c:pt idx="321">
                    <c:v>Male</c:v>
                  </c:pt>
                  <c:pt idx="322">
                    <c:v>Male</c:v>
                  </c:pt>
                  <c:pt idx="323">
                    <c:v>Male</c:v>
                  </c:pt>
                  <c:pt idx="324">
                    <c:v>Male</c:v>
                  </c:pt>
                  <c:pt idx="325">
                    <c:v>Male</c:v>
                  </c:pt>
                  <c:pt idx="326">
                    <c:v>Male</c:v>
                  </c:pt>
                  <c:pt idx="327">
                    <c:v>Male</c:v>
                  </c:pt>
                  <c:pt idx="328">
                    <c:v>Male</c:v>
                  </c:pt>
                  <c:pt idx="329">
                    <c:v>Male</c:v>
                  </c:pt>
                  <c:pt idx="330">
                    <c:v>Male</c:v>
                  </c:pt>
                  <c:pt idx="331">
                    <c:v>Male</c:v>
                  </c:pt>
                  <c:pt idx="332">
                    <c:v>Male</c:v>
                  </c:pt>
                  <c:pt idx="333">
                    <c:v>Male</c:v>
                  </c:pt>
                  <c:pt idx="334">
                    <c:v>Male</c:v>
                  </c:pt>
                  <c:pt idx="335">
                    <c:v>Male</c:v>
                  </c:pt>
                  <c:pt idx="336">
                    <c:v>Male</c:v>
                  </c:pt>
                  <c:pt idx="337">
                    <c:v>Male</c:v>
                  </c:pt>
                  <c:pt idx="338">
                    <c:v>Male</c:v>
                  </c:pt>
                  <c:pt idx="339">
                    <c:v>Male</c:v>
                  </c:pt>
                  <c:pt idx="340">
                    <c:v>Male</c:v>
                  </c:pt>
                  <c:pt idx="341">
                    <c:v>Male</c:v>
                  </c:pt>
                  <c:pt idx="342">
                    <c:v>Male</c:v>
                  </c:pt>
                  <c:pt idx="343">
                    <c:v>Male</c:v>
                  </c:pt>
                  <c:pt idx="344">
                    <c:v>Male</c:v>
                  </c:pt>
                  <c:pt idx="345">
                    <c:v>Male</c:v>
                  </c:pt>
                  <c:pt idx="346">
                    <c:v>Male</c:v>
                  </c:pt>
                  <c:pt idx="347">
                    <c:v>Male</c:v>
                  </c:pt>
                  <c:pt idx="348">
                    <c:v>Male</c:v>
                  </c:pt>
                  <c:pt idx="349">
                    <c:v>Male</c:v>
                  </c:pt>
                  <c:pt idx="350">
                    <c:v>Male</c:v>
                  </c:pt>
                  <c:pt idx="351">
                    <c:v>Male</c:v>
                  </c:pt>
                  <c:pt idx="352">
                    <c:v>Male</c:v>
                  </c:pt>
                  <c:pt idx="353">
                    <c:v>Male</c:v>
                  </c:pt>
                  <c:pt idx="354">
                    <c:v>Male</c:v>
                  </c:pt>
                  <c:pt idx="355">
                    <c:v>Male</c:v>
                  </c:pt>
                  <c:pt idx="356">
                    <c:v>Male</c:v>
                  </c:pt>
                </c:lvl>
                <c:lvl>
                  <c:pt idx="0">
                    <c:v>Bolsover</c:v>
                  </c:pt>
                  <c:pt idx="1">
                    <c:v>Manchester</c:v>
                  </c:pt>
                  <c:pt idx="2">
                    <c:v>Burnley</c:v>
                  </c:pt>
                  <c:pt idx="3">
                    <c:v>Kingston upon Hull, City of</c:v>
                  </c:pt>
                  <c:pt idx="4">
                    <c:v>Stoke-on-Trent</c:v>
                  </c:pt>
                  <c:pt idx="5">
                    <c:v>Sunderland</c:v>
                  </c:pt>
                  <c:pt idx="6">
                    <c:v>Blackpool</c:v>
                  </c:pt>
                  <c:pt idx="7">
                    <c:v>Middlesbrough</c:v>
                  </c:pt>
                  <c:pt idx="8">
                    <c:v>Sandwell</c:v>
                  </c:pt>
                  <c:pt idx="9">
                    <c:v>Wigan</c:v>
                  </c:pt>
                  <c:pt idx="10">
                    <c:v>Blackburn with Darwen</c:v>
                  </c:pt>
                  <c:pt idx="11">
                    <c:v>Halton</c:v>
                  </c:pt>
                  <c:pt idx="12">
                    <c:v>Hyndburn</c:v>
                  </c:pt>
                  <c:pt idx="13">
                    <c:v>Tameside</c:v>
                  </c:pt>
                  <c:pt idx="14">
                    <c:v>Watford</c:v>
                  </c:pt>
                  <c:pt idx="15">
                    <c:v>Ashfield</c:v>
                  </c:pt>
                  <c:pt idx="16">
                    <c:v>Copeland</c:v>
                  </c:pt>
                  <c:pt idx="17">
                    <c:v>Knowsley</c:v>
                  </c:pt>
                  <c:pt idx="18">
                    <c:v>Leicester</c:v>
                  </c:pt>
                  <c:pt idx="19">
                    <c:v>Liverpool</c:v>
                  </c:pt>
                  <c:pt idx="20">
                    <c:v>Nottingham</c:v>
                  </c:pt>
                  <c:pt idx="21">
                    <c:v>Salford</c:v>
                  </c:pt>
                  <c:pt idx="22">
                    <c:v>Warrington</c:v>
                  </c:pt>
                  <c:pt idx="23">
                    <c:v>East Staffordshire</c:v>
                  </c:pt>
                  <c:pt idx="24">
                    <c:v>Lincoln</c:v>
                  </c:pt>
                  <c:pt idx="25">
                    <c:v>North Tyneside</c:v>
                  </c:pt>
                  <c:pt idx="26">
                    <c:v>Bolton</c:v>
                  </c:pt>
                  <c:pt idx="27">
                    <c:v>Bradford</c:v>
                  </c:pt>
                  <c:pt idx="28">
                    <c:v>Doncaster</c:v>
                  </c:pt>
                  <c:pt idx="29">
                    <c:v>Gateshead</c:v>
                  </c:pt>
                  <c:pt idx="30">
                    <c:v>North Warwickshire</c:v>
                  </c:pt>
                  <c:pt idx="31">
                    <c:v>Nuneaton and Bedworth</c:v>
                  </c:pt>
                  <c:pt idx="32">
                    <c:v>Oldham</c:v>
                  </c:pt>
                  <c:pt idx="33">
                    <c:v>Rochdale</c:v>
                  </c:pt>
                  <c:pt idx="34">
                    <c:v>Rotherham</c:v>
                  </c:pt>
                  <c:pt idx="35">
                    <c:v>South Tyneside</c:v>
                  </c:pt>
                  <c:pt idx="36">
                    <c:v>Tyne and Wear</c:v>
                  </c:pt>
                  <c:pt idx="37">
                    <c:v>Wakefield</c:v>
                  </c:pt>
                  <c:pt idx="38">
                    <c:v>Bassetlaw</c:v>
                  </c:pt>
                  <c:pt idx="39">
                    <c:v>Bromsgrove</c:v>
                  </c:pt>
                  <c:pt idx="40">
                    <c:v>Calderdale</c:v>
                  </c:pt>
                  <c:pt idx="41">
                    <c:v>Chesterfield</c:v>
                  </c:pt>
                  <c:pt idx="42">
                    <c:v>County Durham</c:v>
                  </c:pt>
                  <c:pt idx="43">
                    <c:v>Greater Manchester</c:v>
                  </c:pt>
                  <c:pt idx="44">
                    <c:v>Leeds</c:v>
                  </c:pt>
                  <c:pt idx="45">
                    <c:v>Merseyside</c:v>
                  </c:pt>
                  <c:pt idx="46">
                    <c:v>North West Leicestershire</c:v>
                  </c:pt>
                  <c:pt idx="47">
                    <c:v>Rossendale</c:v>
                  </c:pt>
                  <c:pt idx="48">
                    <c:v>Rushmoor</c:v>
                  </c:pt>
                  <c:pt idx="49">
                    <c:v>South Derbyshire</c:v>
                  </c:pt>
                  <c:pt idx="50">
                    <c:v>Stroud</c:v>
                  </c:pt>
                  <c:pt idx="51">
                    <c:v>West Yorkshire</c:v>
                  </c:pt>
                  <c:pt idx="52">
                    <c:v>Wirral</c:v>
                  </c:pt>
                  <c:pt idx="53">
                    <c:v>Barking and Dagenham</c:v>
                  </c:pt>
                  <c:pt idx="54">
                    <c:v>Barnsley</c:v>
                  </c:pt>
                  <c:pt idx="55">
                    <c:v>Barrow-in-Furness</c:v>
                  </c:pt>
                  <c:pt idx="56">
                    <c:v>Bury</c:v>
                  </c:pt>
                  <c:pt idx="57">
                    <c:v>Forest of Dean</c:v>
                  </c:pt>
                  <c:pt idx="58">
                    <c:v>Hartlepool</c:v>
                  </c:pt>
                  <c:pt idx="59">
                    <c:v>Kirklees</c:v>
                  </c:pt>
                  <c:pt idx="60">
                    <c:v>Medway</c:v>
                  </c:pt>
                  <c:pt idx="61">
                    <c:v>Newham</c:v>
                  </c:pt>
                  <c:pt idx="62">
                    <c:v>North Lincolnshire</c:v>
                  </c:pt>
                  <c:pt idx="63">
                    <c:v>Preston</c:v>
                  </c:pt>
                  <c:pt idx="64">
                    <c:v>Slough</c:v>
                  </c:pt>
                  <c:pt idx="65">
                    <c:v>Southampton</c:v>
                  </c:pt>
                  <c:pt idx="66">
                    <c:v>St. Helens</c:v>
                  </c:pt>
                  <c:pt idx="67">
                    <c:v>Swale</c:v>
                  </c:pt>
                  <c:pt idx="68">
                    <c:v>Tamworth</c:v>
                  </c:pt>
                  <c:pt idx="69">
                    <c:v>Birmingham</c:v>
                  </c:pt>
                  <c:pt idx="70">
                    <c:v>Boston</c:v>
                  </c:pt>
                  <c:pt idx="71">
                    <c:v>Chorley</c:v>
                  </c:pt>
                  <c:pt idx="72">
                    <c:v>Corby</c:v>
                  </c:pt>
                  <c:pt idx="73">
                    <c:v>Derbyshire</c:v>
                  </c:pt>
                  <c:pt idx="74">
                    <c:v>Erewash</c:v>
                  </c:pt>
                  <c:pt idx="75">
                    <c:v>Exeter</c:v>
                  </c:pt>
                  <c:pt idx="76">
                    <c:v>Great Yarmouth</c:v>
                  </c:pt>
                  <c:pt idx="77">
                    <c:v>Lancaster</c:v>
                  </c:pt>
                  <c:pt idx="78">
                    <c:v>Lichfield</c:v>
                  </c:pt>
                  <c:pt idx="79">
                    <c:v>Mansfield</c:v>
                  </c:pt>
                  <c:pt idx="80">
                    <c:v>Newcastle-under-Lyme</c:v>
                  </c:pt>
                  <c:pt idx="81">
                    <c:v>North East Lincolnshire</c:v>
                  </c:pt>
                  <c:pt idx="82">
                    <c:v>North Hertfordshire</c:v>
                  </c:pt>
                  <c:pt idx="83">
                    <c:v>Pendle</c:v>
                  </c:pt>
                  <c:pt idx="84">
                    <c:v>Scarborough</c:v>
                  </c:pt>
                  <c:pt idx="85">
                    <c:v>Selby</c:v>
                  </c:pt>
                  <c:pt idx="86">
                    <c:v>South Yorkshire</c:v>
                  </c:pt>
                  <c:pt idx="87">
                    <c:v>Stevenage</c:v>
                  </c:pt>
                  <c:pt idx="88">
                    <c:v>Thanet</c:v>
                  </c:pt>
                  <c:pt idx="89">
                    <c:v>Thurrock</c:v>
                  </c:pt>
                  <c:pt idx="90">
                    <c:v>Tower Hamlets</c:v>
                  </c:pt>
                  <c:pt idx="91">
                    <c:v>Wolverhampton</c:v>
                  </c:pt>
                  <c:pt idx="92">
                    <c:v>Allerdale</c:v>
                  </c:pt>
                  <c:pt idx="93">
                    <c:v>Bristol, City of</c:v>
                  </c:pt>
                  <c:pt idx="94">
                    <c:v>Derby</c:v>
                  </c:pt>
                  <c:pt idx="95">
                    <c:v>Hastings</c:v>
                  </c:pt>
                  <c:pt idx="96">
                    <c:v>Lancashire</c:v>
                  </c:pt>
                  <c:pt idx="97">
                    <c:v>Milton Keynes</c:v>
                  </c:pt>
                  <c:pt idx="98">
                    <c:v>Newcastle upon Tyne</c:v>
                  </c:pt>
                  <c:pt idx="99">
                    <c:v>Portsmouth</c:v>
                  </c:pt>
                  <c:pt idx="100">
                    <c:v>South Staffordshire</c:v>
                  </c:pt>
                  <c:pt idx="101">
                    <c:v>Telford and Wrekin</c:v>
                  </c:pt>
                  <c:pt idx="102">
                    <c:v>Amber Valley</c:v>
                  </c:pt>
                  <c:pt idx="103">
                    <c:v>Basildon</c:v>
                  </c:pt>
                  <c:pt idx="104">
                    <c:v>Castle Point</c:v>
                  </c:pt>
                  <c:pt idx="105">
                    <c:v>Darlington</c:v>
                  </c:pt>
                  <c:pt idx="106">
                    <c:v>Daventry</c:v>
                  </c:pt>
                  <c:pt idx="107">
                    <c:v>Fylde</c:v>
                  </c:pt>
                  <c:pt idx="108">
                    <c:v>Gloucester</c:v>
                  </c:pt>
                  <c:pt idx="109">
                    <c:v>Greenwich</c:v>
                  </c:pt>
                  <c:pt idx="110">
                    <c:v>Harlow</c:v>
                  </c:pt>
                  <c:pt idx="111">
                    <c:v>High Peak</c:v>
                  </c:pt>
                  <c:pt idx="112">
                    <c:v>Kettering</c:v>
                  </c:pt>
                  <c:pt idx="113">
                    <c:v>Newark and Sherwood</c:v>
                  </c:pt>
                  <c:pt idx="114">
                    <c:v>Northampton</c:v>
                  </c:pt>
                  <c:pt idx="115">
                    <c:v>Northumberland</c:v>
                  </c:pt>
                  <c:pt idx="116">
                    <c:v>Oadby and Wigston</c:v>
                  </c:pt>
                  <c:pt idx="117">
                    <c:v>Redditch</c:v>
                  </c:pt>
                  <c:pt idx="118">
                    <c:v>Sefton</c:v>
                  </c:pt>
                  <c:pt idx="119">
                    <c:v>Staffordshire</c:v>
                  </c:pt>
                  <c:pt idx="120">
                    <c:v>Torridge</c:v>
                  </c:pt>
                  <c:pt idx="121">
                    <c:v>Walsall</c:v>
                  </c:pt>
                  <c:pt idx="122">
                    <c:v>West Lancashire</c:v>
                  </c:pt>
                  <c:pt idx="123">
                    <c:v>West Midlands</c:v>
                  </c:pt>
                  <c:pt idx="124">
                    <c:v>Wyre</c:v>
                  </c:pt>
                  <c:pt idx="125">
                    <c:v>Braintree</c:v>
                  </c:pt>
                  <c:pt idx="126">
                    <c:v>Carlisle</c:v>
                  </c:pt>
                  <c:pt idx="127">
                    <c:v>Cheshire West and Chester</c:v>
                  </c:pt>
                  <c:pt idx="128">
                    <c:v>Dartford</c:v>
                  </c:pt>
                  <c:pt idx="129">
                    <c:v>Dudley</c:v>
                  </c:pt>
                  <c:pt idx="130">
                    <c:v>Gedling</c:v>
                  </c:pt>
                  <c:pt idx="131">
                    <c:v>Gosport</c:v>
                  </c:pt>
                  <c:pt idx="132">
                    <c:v>Isle of Wight</c:v>
                  </c:pt>
                  <c:pt idx="133">
                    <c:v>Maidstone</c:v>
                  </c:pt>
                  <c:pt idx="134">
                    <c:v>Nottinghamshire</c:v>
                  </c:pt>
                  <c:pt idx="135">
                    <c:v>Plymouth</c:v>
                  </c:pt>
                  <c:pt idx="136">
                    <c:v>Reading</c:v>
                  </c:pt>
                  <c:pt idx="137">
                    <c:v>Sheffield</c:v>
                  </c:pt>
                  <c:pt idx="138">
                    <c:v>South Holland</c:v>
                  </c:pt>
                  <c:pt idx="139">
                    <c:v>Staffordshire Moorlands</c:v>
                  </c:pt>
                  <c:pt idx="140">
                    <c:v>Swindon</c:v>
                  </c:pt>
                  <c:pt idx="141">
                    <c:v>Wandsworth</c:v>
                  </c:pt>
                  <c:pt idx="142">
                    <c:v>Cannock Chase</c:v>
                  </c:pt>
                  <c:pt idx="143">
                    <c:v>Cumbria</c:v>
                  </c:pt>
                  <c:pt idx="144">
                    <c:v>East Lindsey</c:v>
                  </c:pt>
                  <c:pt idx="145">
                    <c:v>Fenland</c:v>
                  </c:pt>
                  <c:pt idx="146">
                    <c:v>Gloucestershire</c:v>
                  </c:pt>
                  <c:pt idx="147">
                    <c:v>Harborough</c:v>
                  </c:pt>
                  <c:pt idx="148">
                    <c:v>Hinckley and Bosworth</c:v>
                  </c:pt>
                  <c:pt idx="149">
                    <c:v>Lewisham</c:v>
                  </c:pt>
                  <c:pt idx="150">
                    <c:v>Mendip</c:v>
                  </c:pt>
                  <c:pt idx="151">
                    <c:v>Peterborough</c:v>
                  </c:pt>
                  <c:pt idx="152">
                    <c:v>Redcar and Cleveland</c:v>
                  </c:pt>
                  <c:pt idx="153">
                    <c:v>Ribble Valley</c:v>
                  </c:pt>
                  <c:pt idx="154">
                    <c:v>Richmondshire</c:v>
                  </c:pt>
                  <c:pt idx="155">
                    <c:v>Stockton-on-Tees</c:v>
                  </c:pt>
                  <c:pt idx="156">
                    <c:v>Teignbridge</c:v>
                  </c:pt>
                  <c:pt idx="157">
                    <c:v>West Oxfordshire</c:v>
                  </c:pt>
                  <c:pt idx="158">
                    <c:v>Worthing</c:v>
                  </c:pt>
                  <c:pt idx="159">
                    <c:v>York</c:v>
                  </c:pt>
                  <c:pt idx="160">
                    <c:v>Bournemouth</c:v>
                  </c:pt>
                  <c:pt idx="161">
                    <c:v>Cambridge</c:v>
                  </c:pt>
                  <c:pt idx="162">
                    <c:v>Cherwell</c:v>
                  </c:pt>
                  <c:pt idx="163">
                    <c:v>East Riding of Yorkshire</c:v>
                  </c:pt>
                  <c:pt idx="164">
                    <c:v>Leicestershire</c:v>
                  </c:pt>
                  <c:pt idx="165">
                    <c:v>Lincolnshire</c:v>
                  </c:pt>
                  <c:pt idx="166">
                    <c:v>Luton</c:v>
                  </c:pt>
                  <c:pt idx="167">
                    <c:v>Maldon</c:v>
                  </c:pt>
                  <c:pt idx="168">
                    <c:v>Malvern Hills</c:v>
                  </c:pt>
                  <c:pt idx="169">
                    <c:v>Northamptonshire</c:v>
                  </c:pt>
                  <c:pt idx="170">
                    <c:v>Torbay</c:v>
                  </c:pt>
                  <c:pt idx="171">
                    <c:v>Wellingborough</c:v>
                  </c:pt>
                  <c:pt idx="172">
                    <c:v>West Devon</c:v>
                  </c:pt>
                  <c:pt idx="173">
                    <c:v>Worcestershire</c:v>
                  </c:pt>
                  <c:pt idx="174">
                    <c:v>Wyre Forest</c:v>
                  </c:pt>
                  <c:pt idx="175">
                    <c:v>Aylesbury Vale</c:v>
                  </c:pt>
                  <c:pt idx="176">
                    <c:v>Brighton and Hove</c:v>
                  </c:pt>
                  <c:pt idx="177">
                    <c:v>Broadland</c:v>
                  </c:pt>
                  <c:pt idx="178">
                    <c:v>Charnwood</c:v>
                  </c:pt>
                  <c:pt idx="179">
                    <c:v>Colchester</c:v>
                  </c:pt>
                  <c:pt idx="180">
                    <c:v>Cornwall</c:v>
                  </c:pt>
                  <c:pt idx="181">
                    <c:v>Coventry</c:v>
                  </c:pt>
                  <c:pt idx="182">
                    <c:v>Derbyshire Dales</c:v>
                  </c:pt>
                  <c:pt idx="183">
                    <c:v>Dover</c:v>
                  </c:pt>
                  <c:pt idx="184">
                    <c:v>Fareham</c:v>
                  </c:pt>
                  <c:pt idx="185">
                    <c:v>Gravesham</c:v>
                  </c:pt>
                  <c:pt idx="186">
                    <c:v>Hounslow</c:v>
                  </c:pt>
                  <c:pt idx="187">
                    <c:v>Ipswich</c:v>
                  </c:pt>
                  <c:pt idx="188">
                    <c:v>North Yorkshire</c:v>
                  </c:pt>
                  <c:pt idx="189">
                    <c:v>Reigate and Banstead</c:v>
                  </c:pt>
                  <c:pt idx="190">
                    <c:v>Ryedale</c:v>
                  </c:pt>
                  <c:pt idx="191">
                    <c:v>Shropshire</c:v>
                  </c:pt>
                  <c:pt idx="192">
                    <c:v>South Bucks</c:v>
                  </c:pt>
                  <c:pt idx="193">
                    <c:v>Southwark</c:v>
                  </c:pt>
                  <c:pt idx="194">
                    <c:v>Tendring</c:v>
                  </c:pt>
                  <c:pt idx="195">
                    <c:v>Three Rivers</c:v>
                  </c:pt>
                  <c:pt idx="196">
                    <c:v>Waltham Forest</c:v>
                  </c:pt>
                  <c:pt idx="197">
                    <c:v>Weymouth and Portland</c:v>
                  </c:pt>
                  <c:pt idx="198">
                    <c:v>Worcester</c:v>
                  </c:pt>
                  <c:pt idx="199">
                    <c:v>Adur</c:v>
                  </c:pt>
                  <c:pt idx="200">
                    <c:v>East Northamptonshire</c:v>
                  </c:pt>
                  <c:pt idx="201">
                    <c:v>Essex</c:v>
                  </c:pt>
                  <c:pt idx="202">
                    <c:v>Harrogate</c:v>
                  </c:pt>
                  <c:pt idx="203">
                    <c:v>Havering</c:v>
                  </c:pt>
                  <c:pt idx="204">
                    <c:v>Hertfordshire</c:v>
                  </c:pt>
                  <c:pt idx="205">
                    <c:v>Kent</c:v>
                  </c:pt>
                  <c:pt idx="206">
                    <c:v>Merton</c:v>
                  </c:pt>
                  <c:pt idx="207">
                    <c:v>North Devon</c:v>
                  </c:pt>
                  <c:pt idx="208">
                    <c:v>North Somerset</c:v>
                  </c:pt>
                  <c:pt idx="209">
                    <c:v>Poole</c:v>
                  </c:pt>
                  <c:pt idx="210">
                    <c:v>Rother</c:v>
                  </c:pt>
                  <c:pt idx="211">
                    <c:v>South Kesteven</c:v>
                  </c:pt>
                  <c:pt idx="212">
                    <c:v>Southend-on-Sea</c:v>
                  </c:pt>
                  <c:pt idx="213">
                    <c:v>Tewkesbury</c:v>
                  </c:pt>
                  <c:pt idx="214">
                    <c:v>Trafford</c:v>
                  </c:pt>
                  <c:pt idx="215">
                    <c:v>Warwickshire</c:v>
                  </c:pt>
                  <c:pt idx="216">
                    <c:v>West Somerset</c:v>
                  </c:pt>
                  <c:pt idx="217">
                    <c:v>Arun</c:v>
                  </c:pt>
                  <c:pt idx="218">
                    <c:v>Ashford</c:v>
                  </c:pt>
                  <c:pt idx="219">
                    <c:v>Bexley</c:v>
                  </c:pt>
                  <c:pt idx="220">
                    <c:v>Breckland</c:v>
                  </c:pt>
                  <c:pt idx="221">
                    <c:v>Broxtowe</c:v>
                  </c:pt>
                  <c:pt idx="222">
                    <c:v>Cheshire East</c:v>
                  </c:pt>
                  <c:pt idx="223">
                    <c:v>Devon</c:v>
                  </c:pt>
                  <c:pt idx="224">
                    <c:v>Epping Forest</c:v>
                  </c:pt>
                  <c:pt idx="225">
                    <c:v>Forest Heath</c:v>
                  </c:pt>
                  <c:pt idx="226">
                    <c:v>Islington</c:v>
                  </c:pt>
                  <c:pt idx="227">
                    <c:v>King's Lynn and West Norfolk</c:v>
                  </c:pt>
                  <c:pt idx="228">
                    <c:v>Lambeth</c:v>
                  </c:pt>
                  <c:pt idx="229">
                    <c:v>Norfolk</c:v>
                  </c:pt>
                  <c:pt idx="230">
                    <c:v>North East Derbyshire</c:v>
                  </c:pt>
                  <c:pt idx="231">
                    <c:v>Oxfordshire</c:v>
                  </c:pt>
                  <c:pt idx="232">
                    <c:v>Rugby</c:v>
                  </c:pt>
                  <c:pt idx="233">
                    <c:v>Spelthorne</c:v>
                  </c:pt>
                  <c:pt idx="234">
                    <c:v>Stafford</c:v>
                  </c:pt>
                  <c:pt idx="235">
                    <c:v>West Lindsey</c:v>
                  </c:pt>
                  <c:pt idx="236">
                    <c:v>Windsor and Maidenhead</c:v>
                  </c:pt>
                  <c:pt idx="237">
                    <c:v>Wokingham</c:v>
                  </c:pt>
                  <c:pt idx="238">
                    <c:v>East Hampshire</c:v>
                  </c:pt>
                  <c:pt idx="239">
                    <c:v>East Hertfordshire</c:v>
                  </c:pt>
                  <c:pt idx="240">
                    <c:v>East Sussex</c:v>
                  </c:pt>
                  <c:pt idx="241">
                    <c:v>Eastbourne</c:v>
                  </c:pt>
                  <c:pt idx="242">
                    <c:v>Herefordshire, County of</c:v>
                  </c:pt>
                  <c:pt idx="243">
                    <c:v>Hertsmere</c:v>
                  </c:pt>
                  <c:pt idx="244">
                    <c:v>Mid Suffolk</c:v>
                  </c:pt>
                  <c:pt idx="245">
                    <c:v>Mid Sussex</c:v>
                  </c:pt>
                  <c:pt idx="246">
                    <c:v>North Dorset</c:v>
                  </c:pt>
                  <c:pt idx="247">
                    <c:v>Shepway</c:v>
                  </c:pt>
                  <c:pt idx="248">
                    <c:v>Somerset</c:v>
                  </c:pt>
                  <c:pt idx="249">
                    <c:v>South Lakeland</c:v>
                  </c:pt>
                  <c:pt idx="250">
                    <c:v>Sutton</c:v>
                  </c:pt>
                  <c:pt idx="251">
                    <c:v>Taunton Deane</c:v>
                  </c:pt>
                  <c:pt idx="252">
                    <c:v>Vale of White Horse</c:v>
                  </c:pt>
                  <c:pt idx="253">
                    <c:v>Welwyn Hatfield</c:v>
                  </c:pt>
                  <c:pt idx="254">
                    <c:v>Bath and North East Somerset</c:v>
                  </c:pt>
                  <c:pt idx="255">
                    <c:v>Bedford</c:v>
                  </c:pt>
                  <c:pt idx="256">
                    <c:v>Blaby</c:v>
                  </c:pt>
                  <c:pt idx="257">
                    <c:v>Bracknell Forest</c:v>
                  </c:pt>
                  <c:pt idx="258">
                    <c:v>Canterbury</c:v>
                  </c:pt>
                  <c:pt idx="259">
                    <c:v>Cotswold</c:v>
                  </c:pt>
                  <c:pt idx="260">
                    <c:v>Dacorum</c:v>
                  </c:pt>
                  <c:pt idx="261">
                    <c:v>Eastleigh</c:v>
                  </c:pt>
                  <c:pt idx="262">
                    <c:v>Hammersmith and Fulham</c:v>
                  </c:pt>
                  <c:pt idx="263">
                    <c:v>Hampshire</c:v>
                  </c:pt>
                  <c:pt idx="264">
                    <c:v>Hillingdon</c:v>
                  </c:pt>
                  <c:pt idx="265">
                    <c:v>Melton</c:v>
                  </c:pt>
                  <c:pt idx="266">
                    <c:v>North Norfolk</c:v>
                  </c:pt>
                  <c:pt idx="267">
                    <c:v>Sedgemoor</c:v>
                  </c:pt>
                  <c:pt idx="268">
                    <c:v>Solihull</c:v>
                  </c:pt>
                  <c:pt idx="269">
                    <c:v>South Ribble</c:v>
                  </c:pt>
                  <c:pt idx="270">
                    <c:v>Stockport</c:v>
                  </c:pt>
                  <c:pt idx="271">
                    <c:v>Tandridge</c:v>
                  </c:pt>
                  <c:pt idx="272">
                    <c:v>West Sussex</c:v>
                  </c:pt>
                  <c:pt idx="273">
                    <c:v>Wiltshire</c:v>
                  </c:pt>
                  <c:pt idx="274">
                    <c:v>Basingstoke and Deane</c:v>
                  </c:pt>
                  <c:pt idx="275">
                    <c:v>Brent</c:v>
                  </c:pt>
                  <c:pt idx="276">
                    <c:v>Brentwood</c:v>
                  </c:pt>
                  <c:pt idx="277">
                    <c:v>Buckinghamshire</c:v>
                  </c:pt>
                  <c:pt idx="278">
                    <c:v>Cambridgeshire</c:v>
                  </c:pt>
                  <c:pt idx="279">
                    <c:v>Central Bedfordshire</c:v>
                  </c:pt>
                  <c:pt idx="280">
                    <c:v>Chelmsford</c:v>
                  </c:pt>
                  <c:pt idx="281">
                    <c:v>Cheltenham</c:v>
                  </c:pt>
                  <c:pt idx="282">
                    <c:v>Crawley</c:v>
                  </c:pt>
                  <c:pt idx="283">
                    <c:v>Croydon</c:v>
                  </c:pt>
                  <c:pt idx="284">
                    <c:v>East Devon</c:v>
                  </c:pt>
                  <c:pt idx="285">
                    <c:v>Hart</c:v>
                  </c:pt>
                  <c:pt idx="286">
                    <c:v>Havant</c:v>
                  </c:pt>
                  <c:pt idx="287">
                    <c:v>North Kesteven</c:v>
                  </c:pt>
                  <c:pt idx="288">
                    <c:v>Oxford</c:v>
                  </c:pt>
                  <c:pt idx="289">
                    <c:v>Redbridge</c:v>
                  </c:pt>
                  <c:pt idx="290">
                    <c:v>Rushcliffe</c:v>
                  </c:pt>
                  <c:pt idx="291">
                    <c:v>Rutland</c:v>
                  </c:pt>
                  <c:pt idx="292">
                    <c:v>South Oxfordshire</c:v>
                  </c:pt>
                  <c:pt idx="293">
                    <c:v>St Edmundsbury</c:v>
                  </c:pt>
                  <c:pt idx="294">
                    <c:v>Suffolk</c:v>
                  </c:pt>
                  <c:pt idx="295">
                    <c:v>Surrey Heath</c:v>
                  </c:pt>
                  <c:pt idx="296">
                    <c:v>West Berkshire</c:v>
                  </c:pt>
                  <c:pt idx="297">
                    <c:v>Bromley</c:v>
                  </c:pt>
                  <c:pt idx="298">
                    <c:v>Broxbourne</c:v>
                  </c:pt>
                  <c:pt idx="299">
                    <c:v>Craven</c:v>
                  </c:pt>
                  <c:pt idx="300">
                    <c:v>Enfield</c:v>
                  </c:pt>
                  <c:pt idx="301">
                    <c:v>Hackney</c:v>
                  </c:pt>
                  <c:pt idx="302">
                    <c:v>Horsham</c:v>
                  </c:pt>
                  <c:pt idx="303">
                    <c:v>Sevenoaks</c:v>
                  </c:pt>
                  <c:pt idx="304">
                    <c:v>South Gloucestershire</c:v>
                  </c:pt>
                  <c:pt idx="305">
                    <c:v>South Norfolk</c:v>
                  </c:pt>
                  <c:pt idx="306">
                    <c:v>South Somerset</c:v>
                  </c:pt>
                  <c:pt idx="307">
                    <c:v>Test Valley</c:v>
                  </c:pt>
                  <c:pt idx="308">
                    <c:v>Warwick</c:v>
                  </c:pt>
                  <c:pt idx="309">
                    <c:v>Waveney</c:v>
                  </c:pt>
                  <c:pt idx="310">
                    <c:v>Wealden</c:v>
                  </c:pt>
                  <c:pt idx="311">
                    <c:v>West Dorset</c:v>
                  </c:pt>
                  <c:pt idx="312">
                    <c:v>Babergh</c:v>
                  </c:pt>
                  <c:pt idx="313">
                    <c:v>Eden</c:v>
                  </c:pt>
                  <c:pt idx="314">
                    <c:v>Huntingdonshire</c:v>
                  </c:pt>
                  <c:pt idx="315">
                    <c:v>Lewes</c:v>
                  </c:pt>
                  <c:pt idx="316">
                    <c:v>South Hams</c:v>
                  </c:pt>
                  <c:pt idx="317">
                    <c:v>Tonbridge and Malling</c:v>
                  </c:pt>
                  <c:pt idx="318">
                    <c:v>Woking</c:v>
                  </c:pt>
                  <c:pt idx="319">
                    <c:v>Wychavon</c:v>
                  </c:pt>
                  <c:pt idx="320">
                    <c:v>Chichester</c:v>
                  </c:pt>
                  <c:pt idx="321">
                    <c:v>Dorset</c:v>
                  </c:pt>
                  <c:pt idx="322">
                    <c:v>Norwich</c:v>
                  </c:pt>
                  <c:pt idx="323">
                    <c:v>Rochford</c:v>
                  </c:pt>
                  <c:pt idx="324">
                    <c:v>Suffolk Coastal</c:v>
                  </c:pt>
                  <c:pt idx="325">
                    <c:v>Surrey</c:v>
                  </c:pt>
                  <c:pt idx="326">
                    <c:v>Uttlesford</c:v>
                  </c:pt>
                  <c:pt idx="327">
                    <c:v>Winchester</c:v>
                  </c:pt>
                  <c:pt idx="328">
                    <c:v>Wycombe</c:v>
                  </c:pt>
                  <c:pt idx="329">
                    <c:v>Ealing</c:v>
                  </c:pt>
                  <c:pt idx="330">
                    <c:v>East Cambridgeshire</c:v>
                  </c:pt>
                  <c:pt idx="331">
                    <c:v>Hambleton</c:v>
                  </c:pt>
                  <c:pt idx="332">
                    <c:v>Runnymede</c:v>
                  </c:pt>
                  <c:pt idx="333">
                    <c:v>Stratford-on-Avon</c:v>
                  </c:pt>
                  <c:pt idx="334">
                    <c:v>Tunbridge Wells</c:v>
                  </c:pt>
                  <c:pt idx="335">
                    <c:v>Barnet</c:v>
                  </c:pt>
                  <c:pt idx="336">
                    <c:v>Elmbridge</c:v>
                  </c:pt>
                  <c:pt idx="337">
                    <c:v>Guildford</c:v>
                  </c:pt>
                  <c:pt idx="338">
                    <c:v>Haringey</c:v>
                  </c:pt>
                  <c:pt idx="339">
                    <c:v>Kingston upon Thames</c:v>
                  </c:pt>
                  <c:pt idx="340">
                    <c:v>New Forest</c:v>
                  </c:pt>
                  <c:pt idx="341">
                    <c:v>South Cambridgeshire</c:v>
                  </c:pt>
                  <c:pt idx="342">
                    <c:v>Purbeck</c:v>
                  </c:pt>
                  <c:pt idx="343">
                    <c:v>South Northamptonshire</c:v>
                  </c:pt>
                  <c:pt idx="344">
                    <c:v>Christchurch</c:v>
                  </c:pt>
                  <c:pt idx="345">
                    <c:v>Epsom and Ewell</c:v>
                  </c:pt>
                  <c:pt idx="346">
                    <c:v>Mid Devon</c:v>
                  </c:pt>
                  <c:pt idx="347">
                    <c:v>Waverley</c:v>
                  </c:pt>
                  <c:pt idx="348">
                    <c:v>Chiltern</c:v>
                  </c:pt>
                  <c:pt idx="349">
                    <c:v>Richmond upon Thames</c:v>
                  </c:pt>
                  <c:pt idx="350">
                    <c:v>East Dorset</c:v>
                  </c:pt>
                  <c:pt idx="351">
                    <c:v>Mole Valley</c:v>
                  </c:pt>
                  <c:pt idx="352">
                    <c:v>St Albans</c:v>
                  </c:pt>
                  <c:pt idx="353">
                    <c:v>Camden</c:v>
                  </c:pt>
                  <c:pt idx="354">
                    <c:v>Harrow</c:v>
                  </c:pt>
                  <c:pt idx="355">
                    <c:v>Kensington and Chelsea</c:v>
                  </c:pt>
                  <c:pt idx="356">
                    <c:v>Westminster</c:v>
                  </c:pt>
                </c:lvl>
              </c:multiLvlStrCache>
            </c:multiLvlStrRef>
          </c:cat>
          <c:val>
            <c:numRef>
              <c:f>[NHSOF_1b_I00655_D.xls]Sheet1!$C$2:$C$358</c:f>
              <c:numCache>
                <c:formatCode>0.0</c:formatCode>
                <c:ptCount val="357"/>
                <c:pt idx="0">
                  <c:v>9.9</c:v>
                </c:pt>
                <c:pt idx="1">
                  <c:v>9.9</c:v>
                </c:pt>
                <c:pt idx="2">
                  <c:v>10.3</c:v>
                </c:pt>
                <c:pt idx="3">
                  <c:v>10.3</c:v>
                </c:pt>
                <c:pt idx="4">
                  <c:v>10.3</c:v>
                </c:pt>
                <c:pt idx="5">
                  <c:v>10.3</c:v>
                </c:pt>
                <c:pt idx="6">
                  <c:v>10.4</c:v>
                </c:pt>
                <c:pt idx="7">
                  <c:v>10.4</c:v>
                </c:pt>
                <c:pt idx="8">
                  <c:v>10.4</c:v>
                </c:pt>
                <c:pt idx="9">
                  <c:v>10.4</c:v>
                </c:pt>
                <c:pt idx="10">
                  <c:v>10.5</c:v>
                </c:pt>
                <c:pt idx="11">
                  <c:v>10.5</c:v>
                </c:pt>
                <c:pt idx="12">
                  <c:v>10.5</c:v>
                </c:pt>
                <c:pt idx="13">
                  <c:v>10.5</c:v>
                </c:pt>
                <c:pt idx="14">
                  <c:v>10.5</c:v>
                </c:pt>
                <c:pt idx="15">
                  <c:v>10.6</c:v>
                </c:pt>
                <c:pt idx="16">
                  <c:v>10.6</c:v>
                </c:pt>
                <c:pt idx="17">
                  <c:v>10.6</c:v>
                </c:pt>
                <c:pt idx="18">
                  <c:v>10.6</c:v>
                </c:pt>
                <c:pt idx="19">
                  <c:v>10.6</c:v>
                </c:pt>
                <c:pt idx="20">
                  <c:v>10.6</c:v>
                </c:pt>
                <c:pt idx="21">
                  <c:v>10.6</c:v>
                </c:pt>
                <c:pt idx="22">
                  <c:v>10.6</c:v>
                </c:pt>
                <c:pt idx="23">
                  <c:v>10.7</c:v>
                </c:pt>
                <c:pt idx="24">
                  <c:v>10.7</c:v>
                </c:pt>
                <c:pt idx="25">
                  <c:v>10.7</c:v>
                </c:pt>
                <c:pt idx="26">
                  <c:v>10.8</c:v>
                </c:pt>
                <c:pt idx="27">
                  <c:v>10.8</c:v>
                </c:pt>
                <c:pt idx="28">
                  <c:v>10.8</c:v>
                </c:pt>
                <c:pt idx="29">
                  <c:v>10.8</c:v>
                </c:pt>
                <c:pt idx="30">
                  <c:v>10.8</c:v>
                </c:pt>
                <c:pt idx="31">
                  <c:v>10.8</c:v>
                </c:pt>
                <c:pt idx="32">
                  <c:v>10.8</c:v>
                </c:pt>
                <c:pt idx="33">
                  <c:v>10.8</c:v>
                </c:pt>
                <c:pt idx="34">
                  <c:v>10.8</c:v>
                </c:pt>
                <c:pt idx="35">
                  <c:v>10.8</c:v>
                </c:pt>
                <c:pt idx="36">
                  <c:v>10.8</c:v>
                </c:pt>
                <c:pt idx="37">
                  <c:v>10.8</c:v>
                </c:pt>
                <c:pt idx="38">
                  <c:v>10.9</c:v>
                </c:pt>
                <c:pt idx="39">
                  <c:v>10.9</c:v>
                </c:pt>
                <c:pt idx="40">
                  <c:v>10.9</c:v>
                </c:pt>
                <c:pt idx="41">
                  <c:v>10.9</c:v>
                </c:pt>
                <c:pt idx="42">
                  <c:v>10.9</c:v>
                </c:pt>
                <c:pt idx="43">
                  <c:v>10.9</c:v>
                </c:pt>
                <c:pt idx="44">
                  <c:v>10.9</c:v>
                </c:pt>
                <c:pt idx="45">
                  <c:v>10.9</c:v>
                </c:pt>
                <c:pt idx="46">
                  <c:v>10.9</c:v>
                </c:pt>
                <c:pt idx="47">
                  <c:v>10.9</c:v>
                </c:pt>
                <c:pt idx="48">
                  <c:v>10.9</c:v>
                </c:pt>
                <c:pt idx="49">
                  <c:v>10.9</c:v>
                </c:pt>
                <c:pt idx="50">
                  <c:v>10.9</c:v>
                </c:pt>
                <c:pt idx="51">
                  <c:v>10.9</c:v>
                </c:pt>
                <c:pt idx="52">
                  <c:v>10.9</c:v>
                </c:pt>
                <c:pt idx="53">
                  <c:v>11</c:v>
                </c:pt>
                <c:pt idx="54">
                  <c:v>11</c:v>
                </c:pt>
                <c:pt idx="55">
                  <c:v>11</c:v>
                </c:pt>
                <c:pt idx="56">
                  <c:v>11</c:v>
                </c:pt>
                <c:pt idx="57">
                  <c:v>11</c:v>
                </c:pt>
                <c:pt idx="58">
                  <c:v>11</c:v>
                </c:pt>
                <c:pt idx="59">
                  <c:v>11</c:v>
                </c:pt>
                <c:pt idx="60">
                  <c:v>11</c:v>
                </c:pt>
                <c:pt idx="61">
                  <c:v>11</c:v>
                </c:pt>
                <c:pt idx="62">
                  <c:v>11</c:v>
                </c:pt>
                <c:pt idx="63">
                  <c:v>11</c:v>
                </c:pt>
                <c:pt idx="64">
                  <c:v>11</c:v>
                </c:pt>
                <c:pt idx="65">
                  <c:v>11</c:v>
                </c:pt>
                <c:pt idx="66">
                  <c:v>11</c:v>
                </c:pt>
                <c:pt idx="67">
                  <c:v>11</c:v>
                </c:pt>
                <c:pt idx="68">
                  <c:v>11</c:v>
                </c:pt>
                <c:pt idx="69">
                  <c:v>11.1</c:v>
                </c:pt>
                <c:pt idx="70">
                  <c:v>11.1</c:v>
                </c:pt>
                <c:pt idx="71">
                  <c:v>11.1</c:v>
                </c:pt>
                <c:pt idx="72">
                  <c:v>11.1</c:v>
                </c:pt>
                <c:pt idx="73">
                  <c:v>11.1</c:v>
                </c:pt>
                <c:pt idx="74">
                  <c:v>11.1</c:v>
                </c:pt>
                <c:pt idx="75">
                  <c:v>11.1</c:v>
                </c:pt>
                <c:pt idx="76">
                  <c:v>11.1</c:v>
                </c:pt>
                <c:pt idx="77">
                  <c:v>11.1</c:v>
                </c:pt>
                <c:pt idx="78">
                  <c:v>11.1</c:v>
                </c:pt>
                <c:pt idx="79">
                  <c:v>11.1</c:v>
                </c:pt>
                <c:pt idx="80">
                  <c:v>11.1</c:v>
                </c:pt>
                <c:pt idx="81">
                  <c:v>11.1</c:v>
                </c:pt>
                <c:pt idx="82">
                  <c:v>11.1</c:v>
                </c:pt>
                <c:pt idx="83">
                  <c:v>11.1</c:v>
                </c:pt>
                <c:pt idx="84">
                  <c:v>11.1</c:v>
                </c:pt>
                <c:pt idx="85">
                  <c:v>11.1</c:v>
                </c:pt>
                <c:pt idx="86">
                  <c:v>11.1</c:v>
                </c:pt>
                <c:pt idx="87">
                  <c:v>11.1</c:v>
                </c:pt>
                <c:pt idx="88">
                  <c:v>11.1</c:v>
                </c:pt>
                <c:pt idx="89">
                  <c:v>11.1</c:v>
                </c:pt>
                <c:pt idx="90">
                  <c:v>11.1</c:v>
                </c:pt>
                <c:pt idx="91">
                  <c:v>11.1</c:v>
                </c:pt>
                <c:pt idx="92">
                  <c:v>11.2</c:v>
                </c:pt>
                <c:pt idx="93">
                  <c:v>11.2</c:v>
                </c:pt>
                <c:pt idx="94">
                  <c:v>11.2</c:v>
                </c:pt>
                <c:pt idx="95">
                  <c:v>11.2</c:v>
                </c:pt>
                <c:pt idx="96">
                  <c:v>11.2</c:v>
                </c:pt>
                <c:pt idx="97">
                  <c:v>11.2</c:v>
                </c:pt>
                <c:pt idx="98">
                  <c:v>11.2</c:v>
                </c:pt>
                <c:pt idx="99">
                  <c:v>11.2</c:v>
                </c:pt>
                <c:pt idx="100">
                  <c:v>11.2</c:v>
                </c:pt>
                <c:pt idx="101">
                  <c:v>11.2</c:v>
                </c:pt>
                <c:pt idx="102">
                  <c:v>11.3</c:v>
                </c:pt>
                <c:pt idx="103">
                  <c:v>11.3</c:v>
                </c:pt>
                <c:pt idx="104">
                  <c:v>11.3</c:v>
                </c:pt>
                <c:pt idx="105">
                  <c:v>11.3</c:v>
                </c:pt>
                <c:pt idx="106">
                  <c:v>11.3</c:v>
                </c:pt>
                <c:pt idx="107">
                  <c:v>11.3</c:v>
                </c:pt>
                <c:pt idx="108">
                  <c:v>11.3</c:v>
                </c:pt>
                <c:pt idx="109">
                  <c:v>11.3</c:v>
                </c:pt>
                <c:pt idx="110">
                  <c:v>11.3</c:v>
                </c:pt>
                <c:pt idx="111">
                  <c:v>11.3</c:v>
                </c:pt>
                <c:pt idx="112">
                  <c:v>11.3</c:v>
                </c:pt>
                <c:pt idx="113">
                  <c:v>11.3</c:v>
                </c:pt>
                <c:pt idx="114">
                  <c:v>11.3</c:v>
                </c:pt>
                <c:pt idx="115">
                  <c:v>11.3</c:v>
                </c:pt>
                <c:pt idx="116">
                  <c:v>11.3</c:v>
                </c:pt>
                <c:pt idx="117">
                  <c:v>11.3</c:v>
                </c:pt>
                <c:pt idx="118">
                  <c:v>11.3</c:v>
                </c:pt>
                <c:pt idx="119">
                  <c:v>11.3</c:v>
                </c:pt>
                <c:pt idx="120">
                  <c:v>11.3</c:v>
                </c:pt>
                <c:pt idx="121">
                  <c:v>11.3</c:v>
                </c:pt>
                <c:pt idx="122">
                  <c:v>11.3</c:v>
                </c:pt>
                <c:pt idx="123">
                  <c:v>11.3</c:v>
                </c:pt>
                <c:pt idx="124">
                  <c:v>11.3</c:v>
                </c:pt>
                <c:pt idx="125">
                  <c:v>11.4</c:v>
                </c:pt>
                <c:pt idx="126">
                  <c:v>11.4</c:v>
                </c:pt>
                <c:pt idx="127">
                  <c:v>11.4</c:v>
                </c:pt>
                <c:pt idx="128">
                  <c:v>11.4</c:v>
                </c:pt>
                <c:pt idx="129">
                  <c:v>11.4</c:v>
                </c:pt>
                <c:pt idx="130">
                  <c:v>11.4</c:v>
                </c:pt>
                <c:pt idx="131">
                  <c:v>11.4</c:v>
                </c:pt>
                <c:pt idx="132">
                  <c:v>11.4</c:v>
                </c:pt>
                <c:pt idx="133">
                  <c:v>11.4</c:v>
                </c:pt>
                <c:pt idx="134">
                  <c:v>11.4</c:v>
                </c:pt>
                <c:pt idx="135">
                  <c:v>11.4</c:v>
                </c:pt>
                <c:pt idx="136">
                  <c:v>11.4</c:v>
                </c:pt>
                <c:pt idx="137">
                  <c:v>11.4</c:v>
                </c:pt>
                <c:pt idx="138">
                  <c:v>11.4</c:v>
                </c:pt>
                <c:pt idx="139">
                  <c:v>11.4</c:v>
                </c:pt>
                <c:pt idx="140">
                  <c:v>11.4</c:v>
                </c:pt>
                <c:pt idx="141">
                  <c:v>11.4</c:v>
                </c:pt>
                <c:pt idx="142">
                  <c:v>11.5</c:v>
                </c:pt>
                <c:pt idx="143">
                  <c:v>11.5</c:v>
                </c:pt>
                <c:pt idx="144">
                  <c:v>11.5</c:v>
                </c:pt>
                <c:pt idx="145">
                  <c:v>11.5</c:v>
                </c:pt>
                <c:pt idx="146">
                  <c:v>11.5</c:v>
                </c:pt>
                <c:pt idx="147">
                  <c:v>11.5</c:v>
                </c:pt>
                <c:pt idx="148">
                  <c:v>11.5</c:v>
                </c:pt>
                <c:pt idx="149">
                  <c:v>11.5</c:v>
                </c:pt>
                <c:pt idx="150">
                  <c:v>11.5</c:v>
                </c:pt>
                <c:pt idx="151">
                  <c:v>11.5</c:v>
                </c:pt>
                <c:pt idx="152">
                  <c:v>11.5</c:v>
                </c:pt>
                <c:pt idx="153">
                  <c:v>11.5</c:v>
                </c:pt>
                <c:pt idx="154">
                  <c:v>11.5</c:v>
                </c:pt>
                <c:pt idx="155">
                  <c:v>11.5</c:v>
                </c:pt>
                <c:pt idx="156">
                  <c:v>11.5</c:v>
                </c:pt>
                <c:pt idx="157">
                  <c:v>11.5</c:v>
                </c:pt>
                <c:pt idx="158">
                  <c:v>11.5</c:v>
                </c:pt>
                <c:pt idx="159">
                  <c:v>11.5</c:v>
                </c:pt>
                <c:pt idx="160">
                  <c:v>11.6</c:v>
                </c:pt>
                <c:pt idx="161">
                  <c:v>11.6</c:v>
                </c:pt>
                <c:pt idx="162">
                  <c:v>11.6</c:v>
                </c:pt>
                <c:pt idx="163">
                  <c:v>11.6</c:v>
                </c:pt>
                <c:pt idx="164">
                  <c:v>11.6</c:v>
                </c:pt>
                <c:pt idx="165">
                  <c:v>11.6</c:v>
                </c:pt>
                <c:pt idx="166">
                  <c:v>11.6</c:v>
                </c:pt>
                <c:pt idx="167">
                  <c:v>11.6</c:v>
                </c:pt>
                <c:pt idx="168">
                  <c:v>11.6</c:v>
                </c:pt>
                <c:pt idx="169">
                  <c:v>11.6</c:v>
                </c:pt>
                <c:pt idx="170">
                  <c:v>11.6</c:v>
                </c:pt>
                <c:pt idx="171">
                  <c:v>11.6</c:v>
                </c:pt>
                <c:pt idx="172">
                  <c:v>11.6</c:v>
                </c:pt>
                <c:pt idx="173">
                  <c:v>11.6</c:v>
                </c:pt>
                <c:pt idx="174">
                  <c:v>11.6</c:v>
                </c:pt>
                <c:pt idx="175">
                  <c:v>11.7</c:v>
                </c:pt>
                <c:pt idx="176">
                  <c:v>11.7</c:v>
                </c:pt>
                <c:pt idx="177">
                  <c:v>11.7</c:v>
                </c:pt>
                <c:pt idx="178">
                  <c:v>11.7</c:v>
                </c:pt>
                <c:pt idx="179">
                  <c:v>11.7</c:v>
                </c:pt>
                <c:pt idx="180">
                  <c:v>11.7</c:v>
                </c:pt>
                <c:pt idx="181">
                  <c:v>11.7</c:v>
                </c:pt>
                <c:pt idx="182">
                  <c:v>11.7</c:v>
                </c:pt>
                <c:pt idx="183">
                  <c:v>11.7</c:v>
                </c:pt>
                <c:pt idx="184">
                  <c:v>11.7</c:v>
                </c:pt>
                <c:pt idx="185">
                  <c:v>11.7</c:v>
                </c:pt>
                <c:pt idx="186">
                  <c:v>11.7</c:v>
                </c:pt>
                <c:pt idx="187">
                  <c:v>11.7</c:v>
                </c:pt>
                <c:pt idx="188">
                  <c:v>11.7</c:v>
                </c:pt>
                <c:pt idx="189">
                  <c:v>11.7</c:v>
                </c:pt>
                <c:pt idx="190">
                  <c:v>11.7</c:v>
                </c:pt>
                <c:pt idx="191">
                  <c:v>11.7</c:v>
                </c:pt>
                <c:pt idx="192">
                  <c:v>11.7</c:v>
                </c:pt>
                <c:pt idx="193">
                  <c:v>11.7</c:v>
                </c:pt>
                <c:pt idx="194">
                  <c:v>11.7</c:v>
                </c:pt>
                <c:pt idx="195">
                  <c:v>11.7</c:v>
                </c:pt>
                <c:pt idx="196">
                  <c:v>11.7</c:v>
                </c:pt>
                <c:pt idx="197">
                  <c:v>11.7</c:v>
                </c:pt>
                <c:pt idx="198">
                  <c:v>11.7</c:v>
                </c:pt>
                <c:pt idx="199">
                  <c:v>11.8</c:v>
                </c:pt>
                <c:pt idx="200">
                  <c:v>11.8</c:v>
                </c:pt>
                <c:pt idx="201">
                  <c:v>11.8</c:v>
                </c:pt>
                <c:pt idx="202">
                  <c:v>11.8</c:v>
                </c:pt>
                <c:pt idx="203">
                  <c:v>11.8</c:v>
                </c:pt>
                <c:pt idx="204">
                  <c:v>11.8</c:v>
                </c:pt>
                <c:pt idx="205">
                  <c:v>11.8</c:v>
                </c:pt>
                <c:pt idx="206">
                  <c:v>11.8</c:v>
                </c:pt>
                <c:pt idx="207">
                  <c:v>11.8</c:v>
                </c:pt>
                <c:pt idx="208">
                  <c:v>11.8</c:v>
                </c:pt>
                <c:pt idx="209">
                  <c:v>11.8</c:v>
                </c:pt>
                <c:pt idx="210">
                  <c:v>11.8</c:v>
                </c:pt>
                <c:pt idx="211">
                  <c:v>11.8</c:v>
                </c:pt>
                <c:pt idx="212">
                  <c:v>11.8</c:v>
                </c:pt>
                <c:pt idx="213">
                  <c:v>11.8</c:v>
                </c:pt>
                <c:pt idx="214">
                  <c:v>11.8</c:v>
                </c:pt>
                <c:pt idx="215">
                  <c:v>11.8</c:v>
                </c:pt>
                <c:pt idx="216">
                  <c:v>11.8</c:v>
                </c:pt>
                <c:pt idx="217">
                  <c:v>11.9</c:v>
                </c:pt>
                <c:pt idx="218">
                  <c:v>11.9</c:v>
                </c:pt>
                <c:pt idx="219">
                  <c:v>11.9</c:v>
                </c:pt>
                <c:pt idx="220">
                  <c:v>11.9</c:v>
                </c:pt>
                <c:pt idx="221">
                  <c:v>11.9</c:v>
                </c:pt>
                <c:pt idx="222">
                  <c:v>11.9</c:v>
                </c:pt>
                <c:pt idx="223">
                  <c:v>11.9</c:v>
                </c:pt>
                <c:pt idx="224">
                  <c:v>11.9</c:v>
                </c:pt>
                <c:pt idx="225">
                  <c:v>11.9</c:v>
                </c:pt>
                <c:pt idx="226">
                  <c:v>11.9</c:v>
                </c:pt>
                <c:pt idx="227">
                  <c:v>11.9</c:v>
                </c:pt>
                <c:pt idx="228">
                  <c:v>11.9</c:v>
                </c:pt>
                <c:pt idx="229">
                  <c:v>11.9</c:v>
                </c:pt>
                <c:pt idx="230">
                  <c:v>11.9</c:v>
                </c:pt>
                <c:pt idx="231">
                  <c:v>11.9</c:v>
                </c:pt>
                <c:pt idx="232">
                  <c:v>11.9</c:v>
                </c:pt>
                <c:pt idx="233">
                  <c:v>11.9</c:v>
                </c:pt>
                <c:pt idx="234">
                  <c:v>11.9</c:v>
                </c:pt>
                <c:pt idx="235">
                  <c:v>11.9</c:v>
                </c:pt>
                <c:pt idx="236">
                  <c:v>11.9</c:v>
                </c:pt>
                <c:pt idx="237">
                  <c:v>11.9</c:v>
                </c:pt>
                <c:pt idx="238">
                  <c:v>12</c:v>
                </c:pt>
                <c:pt idx="239">
                  <c:v>12</c:v>
                </c:pt>
                <c:pt idx="240">
                  <c:v>12</c:v>
                </c:pt>
                <c:pt idx="241">
                  <c:v>12</c:v>
                </c:pt>
                <c:pt idx="242">
                  <c:v>12</c:v>
                </c:pt>
                <c:pt idx="243">
                  <c:v>12</c:v>
                </c:pt>
                <c:pt idx="244">
                  <c:v>12</c:v>
                </c:pt>
                <c:pt idx="245">
                  <c:v>12</c:v>
                </c:pt>
                <c:pt idx="246">
                  <c:v>12</c:v>
                </c:pt>
                <c:pt idx="247">
                  <c:v>12</c:v>
                </c:pt>
                <c:pt idx="248">
                  <c:v>12</c:v>
                </c:pt>
                <c:pt idx="249">
                  <c:v>12</c:v>
                </c:pt>
                <c:pt idx="250">
                  <c:v>12</c:v>
                </c:pt>
                <c:pt idx="251">
                  <c:v>12</c:v>
                </c:pt>
                <c:pt idx="252">
                  <c:v>12</c:v>
                </c:pt>
                <c:pt idx="253">
                  <c:v>12</c:v>
                </c:pt>
                <c:pt idx="254">
                  <c:v>12.1</c:v>
                </c:pt>
                <c:pt idx="255">
                  <c:v>12.1</c:v>
                </c:pt>
                <c:pt idx="256">
                  <c:v>12.1</c:v>
                </c:pt>
                <c:pt idx="257">
                  <c:v>12.1</c:v>
                </c:pt>
                <c:pt idx="258">
                  <c:v>12.1</c:v>
                </c:pt>
                <c:pt idx="259">
                  <c:v>12.1</c:v>
                </c:pt>
                <c:pt idx="260">
                  <c:v>12.1</c:v>
                </c:pt>
                <c:pt idx="261">
                  <c:v>12.1</c:v>
                </c:pt>
                <c:pt idx="262">
                  <c:v>12.1</c:v>
                </c:pt>
                <c:pt idx="263">
                  <c:v>12.1</c:v>
                </c:pt>
                <c:pt idx="264">
                  <c:v>12.1</c:v>
                </c:pt>
                <c:pt idx="265">
                  <c:v>12.1</c:v>
                </c:pt>
                <c:pt idx="266">
                  <c:v>12.1</c:v>
                </c:pt>
                <c:pt idx="267">
                  <c:v>12.1</c:v>
                </c:pt>
                <c:pt idx="268">
                  <c:v>12.1</c:v>
                </c:pt>
                <c:pt idx="269">
                  <c:v>12.1</c:v>
                </c:pt>
                <c:pt idx="270">
                  <c:v>12.1</c:v>
                </c:pt>
                <c:pt idx="271">
                  <c:v>12.1</c:v>
                </c:pt>
                <c:pt idx="272">
                  <c:v>12.1</c:v>
                </c:pt>
                <c:pt idx="273">
                  <c:v>12.1</c:v>
                </c:pt>
                <c:pt idx="274">
                  <c:v>12.2</c:v>
                </c:pt>
                <c:pt idx="275">
                  <c:v>12.2</c:v>
                </c:pt>
                <c:pt idx="276">
                  <c:v>12.2</c:v>
                </c:pt>
                <c:pt idx="277">
                  <c:v>12.2</c:v>
                </c:pt>
                <c:pt idx="278">
                  <c:v>12.2</c:v>
                </c:pt>
                <c:pt idx="279">
                  <c:v>12.2</c:v>
                </c:pt>
                <c:pt idx="280">
                  <c:v>12.2</c:v>
                </c:pt>
                <c:pt idx="281">
                  <c:v>12.2</c:v>
                </c:pt>
                <c:pt idx="282">
                  <c:v>12.2</c:v>
                </c:pt>
                <c:pt idx="283">
                  <c:v>12.2</c:v>
                </c:pt>
                <c:pt idx="284">
                  <c:v>12.2</c:v>
                </c:pt>
                <c:pt idx="285">
                  <c:v>12.2</c:v>
                </c:pt>
                <c:pt idx="286">
                  <c:v>12.2</c:v>
                </c:pt>
                <c:pt idx="287">
                  <c:v>12.2</c:v>
                </c:pt>
                <c:pt idx="288">
                  <c:v>12.2</c:v>
                </c:pt>
                <c:pt idx="289">
                  <c:v>12.2</c:v>
                </c:pt>
                <c:pt idx="290">
                  <c:v>12.2</c:v>
                </c:pt>
                <c:pt idx="291">
                  <c:v>12.2</c:v>
                </c:pt>
                <c:pt idx="292">
                  <c:v>12.2</c:v>
                </c:pt>
                <c:pt idx="293">
                  <c:v>12.2</c:v>
                </c:pt>
                <c:pt idx="294">
                  <c:v>12.2</c:v>
                </c:pt>
                <c:pt idx="295">
                  <c:v>12.2</c:v>
                </c:pt>
                <c:pt idx="296">
                  <c:v>12.2</c:v>
                </c:pt>
                <c:pt idx="297">
                  <c:v>12.3</c:v>
                </c:pt>
                <c:pt idx="298">
                  <c:v>12.3</c:v>
                </c:pt>
                <c:pt idx="299">
                  <c:v>12.3</c:v>
                </c:pt>
                <c:pt idx="300">
                  <c:v>12.3</c:v>
                </c:pt>
                <c:pt idx="301">
                  <c:v>12.3</c:v>
                </c:pt>
                <c:pt idx="302">
                  <c:v>12.3</c:v>
                </c:pt>
                <c:pt idx="303">
                  <c:v>12.3</c:v>
                </c:pt>
                <c:pt idx="304">
                  <c:v>12.3</c:v>
                </c:pt>
                <c:pt idx="305">
                  <c:v>12.3</c:v>
                </c:pt>
                <c:pt idx="306">
                  <c:v>12.3</c:v>
                </c:pt>
                <c:pt idx="307">
                  <c:v>12.3</c:v>
                </c:pt>
                <c:pt idx="308">
                  <c:v>12.3</c:v>
                </c:pt>
                <c:pt idx="309">
                  <c:v>12.3</c:v>
                </c:pt>
                <c:pt idx="310">
                  <c:v>12.3</c:v>
                </c:pt>
                <c:pt idx="311">
                  <c:v>12.3</c:v>
                </c:pt>
                <c:pt idx="312">
                  <c:v>12.4</c:v>
                </c:pt>
                <c:pt idx="313">
                  <c:v>12.4</c:v>
                </c:pt>
                <c:pt idx="314">
                  <c:v>12.4</c:v>
                </c:pt>
                <c:pt idx="315">
                  <c:v>12.4</c:v>
                </c:pt>
                <c:pt idx="316">
                  <c:v>12.4</c:v>
                </c:pt>
                <c:pt idx="317">
                  <c:v>12.4</c:v>
                </c:pt>
                <c:pt idx="318">
                  <c:v>12.4</c:v>
                </c:pt>
                <c:pt idx="319">
                  <c:v>12.4</c:v>
                </c:pt>
                <c:pt idx="320">
                  <c:v>12.5</c:v>
                </c:pt>
                <c:pt idx="321">
                  <c:v>12.5</c:v>
                </c:pt>
                <c:pt idx="322">
                  <c:v>12.5</c:v>
                </c:pt>
                <c:pt idx="323">
                  <c:v>12.5</c:v>
                </c:pt>
                <c:pt idx="324">
                  <c:v>12.5</c:v>
                </c:pt>
                <c:pt idx="325">
                  <c:v>12.5</c:v>
                </c:pt>
                <c:pt idx="326">
                  <c:v>12.5</c:v>
                </c:pt>
                <c:pt idx="327">
                  <c:v>12.5</c:v>
                </c:pt>
                <c:pt idx="328">
                  <c:v>12.5</c:v>
                </c:pt>
                <c:pt idx="329">
                  <c:v>12.6</c:v>
                </c:pt>
                <c:pt idx="330">
                  <c:v>12.6</c:v>
                </c:pt>
                <c:pt idx="331">
                  <c:v>12.6</c:v>
                </c:pt>
                <c:pt idx="332">
                  <c:v>12.6</c:v>
                </c:pt>
                <c:pt idx="333">
                  <c:v>12.6</c:v>
                </c:pt>
                <c:pt idx="334">
                  <c:v>12.6</c:v>
                </c:pt>
                <c:pt idx="335">
                  <c:v>12.7</c:v>
                </c:pt>
                <c:pt idx="336">
                  <c:v>12.7</c:v>
                </c:pt>
                <c:pt idx="337">
                  <c:v>12.7</c:v>
                </c:pt>
                <c:pt idx="338">
                  <c:v>12.7</c:v>
                </c:pt>
                <c:pt idx="339">
                  <c:v>12.7</c:v>
                </c:pt>
                <c:pt idx="340">
                  <c:v>12.7</c:v>
                </c:pt>
                <c:pt idx="341">
                  <c:v>12.7</c:v>
                </c:pt>
                <c:pt idx="342">
                  <c:v>12.8</c:v>
                </c:pt>
                <c:pt idx="343">
                  <c:v>12.8</c:v>
                </c:pt>
                <c:pt idx="344">
                  <c:v>12.9</c:v>
                </c:pt>
                <c:pt idx="345">
                  <c:v>12.9</c:v>
                </c:pt>
                <c:pt idx="346">
                  <c:v>12.9</c:v>
                </c:pt>
                <c:pt idx="347">
                  <c:v>12.9</c:v>
                </c:pt>
                <c:pt idx="348">
                  <c:v>13</c:v>
                </c:pt>
                <c:pt idx="349">
                  <c:v>13</c:v>
                </c:pt>
                <c:pt idx="350">
                  <c:v>13.1</c:v>
                </c:pt>
                <c:pt idx="351">
                  <c:v>13.1</c:v>
                </c:pt>
                <c:pt idx="352">
                  <c:v>13.3</c:v>
                </c:pt>
                <c:pt idx="353">
                  <c:v>13.7</c:v>
                </c:pt>
                <c:pt idx="354">
                  <c:v>13.7</c:v>
                </c:pt>
                <c:pt idx="355">
                  <c:v>14.1</c:v>
                </c:pt>
                <c:pt idx="356">
                  <c:v>14.3</c:v>
                </c:pt>
              </c:numCache>
            </c:numRef>
          </c:val>
          <c:smooth val="0"/>
          <c:extLst>
            <c:ext xmlns:c16="http://schemas.microsoft.com/office/drawing/2014/chart" uri="{C3380CC4-5D6E-409C-BE32-E72D297353CC}">
              <c16:uniqueId val="{00000003-A23F-4F3C-A609-EE15F1731AE3}"/>
            </c:ext>
          </c:extLst>
        </c:ser>
        <c:ser>
          <c:idx val="2"/>
          <c:order val="4"/>
          <c:tx>
            <c:v>Upper CI - Male</c:v>
          </c:tx>
          <c:spPr>
            <a:ln>
              <a:noFill/>
            </a:ln>
          </c:spPr>
          <c:marker>
            <c:symbol val="dot"/>
            <c:size val="2"/>
          </c:marker>
          <c:cat>
            <c:multiLvlStrRef>
              <c:f>[NHSOF_1b_I00655_D.xls]Sheet1!$A$2:$B$358</c:f>
              <c:multiLvlStrCache>
                <c:ptCount val="357"/>
                <c:lvl>
                  <c:pt idx="0">
                    <c:v>Male</c:v>
                  </c:pt>
                  <c:pt idx="1">
                    <c:v>Male</c:v>
                  </c:pt>
                  <c:pt idx="2">
                    <c:v>Male</c:v>
                  </c:pt>
                  <c:pt idx="3">
                    <c:v>Male</c:v>
                  </c:pt>
                  <c:pt idx="4">
                    <c:v>Male</c:v>
                  </c:pt>
                  <c:pt idx="5">
                    <c:v>Male</c:v>
                  </c:pt>
                  <c:pt idx="6">
                    <c:v>Male</c:v>
                  </c:pt>
                  <c:pt idx="7">
                    <c:v>Male</c:v>
                  </c:pt>
                  <c:pt idx="8">
                    <c:v>Male</c:v>
                  </c:pt>
                  <c:pt idx="9">
                    <c:v>Male</c:v>
                  </c:pt>
                  <c:pt idx="10">
                    <c:v>Male</c:v>
                  </c:pt>
                  <c:pt idx="11">
                    <c:v>Male</c:v>
                  </c:pt>
                  <c:pt idx="12">
                    <c:v>Male</c:v>
                  </c:pt>
                  <c:pt idx="13">
                    <c:v>Male</c:v>
                  </c:pt>
                  <c:pt idx="14">
                    <c:v>Male</c:v>
                  </c:pt>
                  <c:pt idx="15">
                    <c:v>Male</c:v>
                  </c:pt>
                  <c:pt idx="16">
                    <c:v>Male</c:v>
                  </c:pt>
                  <c:pt idx="17">
                    <c:v>Male</c:v>
                  </c:pt>
                  <c:pt idx="18">
                    <c:v>Male</c:v>
                  </c:pt>
                  <c:pt idx="19">
                    <c:v>Male</c:v>
                  </c:pt>
                  <c:pt idx="20">
                    <c:v>Male</c:v>
                  </c:pt>
                  <c:pt idx="21">
                    <c:v>Male</c:v>
                  </c:pt>
                  <c:pt idx="22">
                    <c:v>Male</c:v>
                  </c:pt>
                  <c:pt idx="23">
                    <c:v>Male</c:v>
                  </c:pt>
                  <c:pt idx="24">
                    <c:v>Male</c:v>
                  </c:pt>
                  <c:pt idx="25">
                    <c:v>Male</c:v>
                  </c:pt>
                  <c:pt idx="26">
                    <c:v>Male</c:v>
                  </c:pt>
                  <c:pt idx="27">
                    <c:v>Male</c:v>
                  </c:pt>
                  <c:pt idx="28">
                    <c:v>Male</c:v>
                  </c:pt>
                  <c:pt idx="29">
                    <c:v>Male</c:v>
                  </c:pt>
                  <c:pt idx="30">
                    <c:v>Male</c:v>
                  </c:pt>
                  <c:pt idx="31">
                    <c:v>Male</c:v>
                  </c:pt>
                  <c:pt idx="32">
                    <c:v>Male</c:v>
                  </c:pt>
                  <c:pt idx="33">
                    <c:v>Male</c:v>
                  </c:pt>
                  <c:pt idx="34">
                    <c:v>Male</c:v>
                  </c:pt>
                  <c:pt idx="35">
                    <c:v>Male</c:v>
                  </c:pt>
                  <c:pt idx="36">
                    <c:v>Male</c:v>
                  </c:pt>
                  <c:pt idx="37">
                    <c:v>Male</c:v>
                  </c:pt>
                  <c:pt idx="38">
                    <c:v>Male</c:v>
                  </c:pt>
                  <c:pt idx="39">
                    <c:v>Male</c:v>
                  </c:pt>
                  <c:pt idx="40">
                    <c:v>Male</c:v>
                  </c:pt>
                  <c:pt idx="41">
                    <c:v>Male</c:v>
                  </c:pt>
                  <c:pt idx="42">
                    <c:v>Male</c:v>
                  </c:pt>
                  <c:pt idx="43">
                    <c:v>Male</c:v>
                  </c:pt>
                  <c:pt idx="44">
                    <c:v>Male</c:v>
                  </c:pt>
                  <c:pt idx="45">
                    <c:v>Male</c:v>
                  </c:pt>
                  <c:pt idx="46">
                    <c:v>Male</c:v>
                  </c:pt>
                  <c:pt idx="47">
                    <c:v>Male</c:v>
                  </c:pt>
                  <c:pt idx="48">
                    <c:v>Male</c:v>
                  </c:pt>
                  <c:pt idx="49">
                    <c:v>Male</c:v>
                  </c:pt>
                  <c:pt idx="50">
                    <c:v>Male</c:v>
                  </c:pt>
                  <c:pt idx="51">
                    <c:v>Male</c:v>
                  </c:pt>
                  <c:pt idx="52">
                    <c:v>Male</c:v>
                  </c:pt>
                  <c:pt idx="53">
                    <c:v>Male</c:v>
                  </c:pt>
                  <c:pt idx="54">
                    <c:v>Male</c:v>
                  </c:pt>
                  <c:pt idx="55">
                    <c:v>Male</c:v>
                  </c:pt>
                  <c:pt idx="56">
                    <c:v>Male</c:v>
                  </c:pt>
                  <c:pt idx="57">
                    <c:v>Male</c:v>
                  </c:pt>
                  <c:pt idx="58">
                    <c:v>Male</c:v>
                  </c:pt>
                  <c:pt idx="59">
                    <c:v>Male</c:v>
                  </c:pt>
                  <c:pt idx="60">
                    <c:v>Male</c:v>
                  </c:pt>
                  <c:pt idx="61">
                    <c:v>Male</c:v>
                  </c:pt>
                  <c:pt idx="62">
                    <c:v>Male</c:v>
                  </c:pt>
                  <c:pt idx="63">
                    <c:v>Male</c:v>
                  </c:pt>
                  <c:pt idx="64">
                    <c:v>Male</c:v>
                  </c:pt>
                  <c:pt idx="65">
                    <c:v>Male</c:v>
                  </c:pt>
                  <c:pt idx="66">
                    <c:v>Male</c:v>
                  </c:pt>
                  <c:pt idx="67">
                    <c:v>Male</c:v>
                  </c:pt>
                  <c:pt idx="68">
                    <c:v>Male</c:v>
                  </c:pt>
                  <c:pt idx="69">
                    <c:v>Male</c:v>
                  </c:pt>
                  <c:pt idx="70">
                    <c:v>Male</c:v>
                  </c:pt>
                  <c:pt idx="71">
                    <c:v>Male</c:v>
                  </c:pt>
                  <c:pt idx="72">
                    <c:v>Male</c:v>
                  </c:pt>
                  <c:pt idx="73">
                    <c:v>Male</c:v>
                  </c:pt>
                  <c:pt idx="74">
                    <c:v>Male</c:v>
                  </c:pt>
                  <c:pt idx="75">
                    <c:v>Male</c:v>
                  </c:pt>
                  <c:pt idx="76">
                    <c:v>Male</c:v>
                  </c:pt>
                  <c:pt idx="77">
                    <c:v>Male</c:v>
                  </c:pt>
                  <c:pt idx="78">
                    <c:v>Male</c:v>
                  </c:pt>
                  <c:pt idx="79">
                    <c:v>Male</c:v>
                  </c:pt>
                  <c:pt idx="80">
                    <c:v>Male</c:v>
                  </c:pt>
                  <c:pt idx="81">
                    <c:v>Male</c:v>
                  </c:pt>
                  <c:pt idx="82">
                    <c:v>Male</c:v>
                  </c:pt>
                  <c:pt idx="83">
                    <c:v>Male</c:v>
                  </c:pt>
                  <c:pt idx="84">
                    <c:v>Male</c:v>
                  </c:pt>
                  <c:pt idx="85">
                    <c:v>Male</c:v>
                  </c:pt>
                  <c:pt idx="86">
                    <c:v>Male</c:v>
                  </c:pt>
                  <c:pt idx="87">
                    <c:v>Male</c:v>
                  </c:pt>
                  <c:pt idx="88">
                    <c:v>Male</c:v>
                  </c:pt>
                  <c:pt idx="89">
                    <c:v>Male</c:v>
                  </c:pt>
                  <c:pt idx="90">
                    <c:v>Male</c:v>
                  </c:pt>
                  <c:pt idx="91">
                    <c:v>Male</c:v>
                  </c:pt>
                  <c:pt idx="92">
                    <c:v>Male</c:v>
                  </c:pt>
                  <c:pt idx="93">
                    <c:v>Male</c:v>
                  </c:pt>
                  <c:pt idx="94">
                    <c:v>Male</c:v>
                  </c:pt>
                  <c:pt idx="95">
                    <c:v>Male</c:v>
                  </c:pt>
                  <c:pt idx="96">
                    <c:v>Male</c:v>
                  </c:pt>
                  <c:pt idx="97">
                    <c:v>Male</c:v>
                  </c:pt>
                  <c:pt idx="98">
                    <c:v>Male</c:v>
                  </c:pt>
                  <c:pt idx="99">
                    <c:v>Male</c:v>
                  </c:pt>
                  <c:pt idx="100">
                    <c:v>Male</c:v>
                  </c:pt>
                  <c:pt idx="101">
                    <c:v>Male</c:v>
                  </c:pt>
                  <c:pt idx="102">
                    <c:v>Male</c:v>
                  </c:pt>
                  <c:pt idx="103">
                    <c:v>Male</c:v>
                  </c:pt>
                  <c:pt idx="104">
                    <c:v>Male</c:v>
                  </c:pt>
                  <c:pt idx="105">
                    <c:v>Male</c:v>
                  </c:pt>
                  <c:pt idx="106">
                    <c:v>Male</c:v>
                  </c:pt>
                  <c:pt idx="107">
                    <c:v>Male</c:v>
                  </c:pt>
                  <c:pt idx="108">
                    <c:v>Male</c:v>
                  </c:pt>
                  <c:pt idx="109">
                    <c:v>Male</c:v>
                  </c:pt>
                  <c:pt idx="110">
                    <c:v>Male</c:v>
                  </c:pt>
                  <c:pt idx="111">
                    <c:v>Male</c:v>
                  </c:pt>
                  <c:pt idx="112">
                    <c:v>Male</c:v>
                  </c:pt>
                  <c:pt idx="113">
                    <c:v>Male</c:v>
                  </c:pt>
                  <c:pt idx="114">
                    <c:v>Male</c:v>
                  </c:pt>
                  <c:pt idx="115">
                    <c:v>Male</c:v>
                  </c:pt>
                  <c:pt idx="116">
                    <c:v>Male</c:v>
                  </c:pt>
                  <c:pt idx="117">
                    <c:v>Male</c:v>
                  </c:pt>
                  <c:pt idx="118">
                    <c:v>Male</c:v>
                  </c:pt>
                  <c:pt idx="119">
                    <c:v>Male</c:v>
                  </c:pt>
                  <c:pt idx="120">
                    <c:v>Male</c:v>
                  </c:pt>
                  <c:pt idx="121">
                    <c:v>Male</c:v>
                  </c:pt>
                  <c:pt idx="122">
                    <c:v>Male</c:v>
                  </c:pt>
                  <c:pt idx="123">
                    <c:v>Male</c:v>
                  </c:pt>
                  <c:pt idx="124">
                    <c:v>Male</c:v>
                  </c:pt>
                  <c:pt idx="125">
                    <c:v>Male</c:v>
                  </c:pt>
                  <c:pt idx="126">
                    <c:v>Male</c:v>
                  </c:pt>
                  <c:pt idx="127">
                    <c:v>Male</c:v>
                  </c:pt>
                  <c:pt idx="128">
                    <c:v>Male</c:v>
                  </c:pt>
                  <c:pt idx="129">
                    <c:v>Male</c:v>
                  </c:pt>
                  <c:pt idx="130">
                    <c:v>Male</c:v>
                  </c:pt>
                  <c:pt idx="131">
                    <c:v>Male</c:v>
                  </c:pt>
                  <c:pt idx="132">
                    <c:v>Male</c:v>
                  </c:pt>
                  <c:pt idx="133">
                    <c:v>Male</c:v>
                  </c:pt>
                  <c:pt idx="134">
                    <c:v>Male</c:v>
                  </c:pt>
                  <c:pt idx="135">
                    <c:v>Male</c:v>
                  </c:pt>
                  <c:pt idx="136">
                    <c:v>Male</c:v>
                  </c:pt>
                  <c:pt idx="137">
                    <c:v>Male</c:v>
                  </c:pt>
                  <c:pt idx="138">
                    <c:v>Male</c:v>
                  </c:pt>
                  <c:pt idx="139">
                    <c:v>Male</c:v>
                  </c:pt>
                  <c:pt idx="140">
                    <c:v>Male</c:v>
                  </c:pt>
                  <c:pt idx="141">
                    <c:v>Male</c:v>
                  </c:pt>
                  <c:pt idx="142">
                    <c:v>Male</c:v>
                  </c:pt>
                  <c:pt idx="143">
                    <c:v>Male</c:v>
                  </c:pt>
                  <c:pt idx="144">
                    <c:v>Male</c:v>
                  </c:pt>
                  <c:pt idx="145">
                    <c:v>Male</c:v>
                  </c:pt>
                  <c:pt idx="146">
                    <c:v>Male</c:v>
                  </c:pt>
                  <c:pt idx="147">
                    <c:v>Male</c:v>
                  </c:pt>
                  <c:pt idx="148">
                    <c:v>Male</c:v>
                  </c:pt>
                  <c:pt idx="149">
                    <c:v>Male</c:v>
                  </c:pt>
                  <c:pt idx="150">
                    <c:v>Male</c:v>
                  </c:pt>
                  <c:pt idx="151">
                    <c:v>Male</c:v>
                  </c:pt>
                  <c:pt idx="152">
                    <c:v>Male</c:v>
                  </c:pt>
                  <c:pt idx="153">
                    <c:v>Male</c:v>
                  </c:pt>
                  <c:pt idx="154">
                    <c:v>Male</c:v>
                  </c:pt>
                  <c:pt idx="155">
                    <c:v>Male</c:v>
                  </c:pt>
                  <c:pt idx="156">
                    <c:v>Male</c:v>
                  </c:pt>
                  <c:pt idx="157">
                    <c:v>Male</c:v>
                  </c:pt>
                  <c:pt idx="158">
                    <c:v>Male</c:v>
                  </c:pt>
                  <c:pt idx="159">
                    <c:v>Male</c:v>
                  </c:pt>
                  <c:pt idx="160">
                    <c:v>Male</c:v>
                  </c:pt>
                  <c:pt idx="161">
                    <c:v>Male</c:v>
                  </c:pt>
                  <c:pt idx="162">
                    <c:v>Male</c:v>
                  </c:pt>
                  <c:pt idx="163">
                    <c:v>Male</c:v>
                  </c:pt>
                  <c:pt idx="164">
                    <c:v>Male</c:v>
                  </c:pt>
                  <c:pt idx="165">
                    <c:v>Male</c:v>
                  </c:pt>
                  <c:pt idx="166">
                    <c:v>Male</c:v>
                  </c:pt>
                  <c:pt idx="167">
                    <c:v>Male</c:v>
                  </c:pt>
                  <c:pt idx="168">
                    <c:v>Male</c:v>
                  </c:pt>
                  <c:pt idx="169">
                    <c:v>Male</c:v>
                  </c:pt>
                  <c:pt idx="170">
                    <c:v>Male</c:v>
                  </c:pt>
                  <c:pt idx="171">
                    <c:v>Male</c:v>
                  </c:pt>
                  <c:pt idx="172">
                    <c:v>Male</c:v>
                  </c:pt>
                  <c:pt idx="173">
                    <c:v>Male</c:v>
                  </c:pt>
                  <c:pt idx="174">
                    <c:v>Male</c:v>
                  </c:pt>
                  <c:pt idx="175">
                    <c:v>Male</c:v>
                  </c:pt>
                  <c:pt idx="176">
                    <c:v>Male</c:v>
                  </c:pt>
                  <c:pt idx="177">
                    <c:v>Male</c:v>
                  </c:pt>
                  <c:pt idx="178">
                    <c:v>Male</c:v>
                  </c:pt>
                  <c:pt idx="179">
                    <c:v>Male</c:v>
                  </c:pt>
                  <c:pt idx="180">
                    <c:v>Male</c:v>
                  </c:pt>
                  <c:pt idx="181">
                    <c:v>Male</c:v>
                  </c:pt>
                  <c:pt idx="182">
                    <c:v>Male</c:v>
                  </c:pt>
                  <c:pt idx="183">
                    <c:v>Male</c:v>
                  </c:pt>
                  <c:pt idx="184">
                    <c:v>Male</c:v>
                  </c:pt>
                  <c:pt idx="185">
                    <c:v>Male</c:v>
                  </c:pt>
                  <c:pt idx="186">
                    <c:v>Male</c:v>
                  </c:pt>
                  <c:pt idx="187">
                    <c:v>Male</c:v>
                  </c:pt>
                  <c:pt idx="188">
                    <c:v>Male</c:v>
                  </c:pt>
                  <c:pt idx="189">
                    <c:v>Male</c:v>
                  </c:pt>
                  <c:pt idx="190">
                    <c:v>Male</c:v>
                  </c:pt>
                  <c:pt idx="191">
                    <c:v>Male</c:v>
                  </c:pt>
                  <c:pt idx="192">
                    <c:v>Male</c:v>
                  </c:pt>
                  <c:pt idx="193">
                    <c:v>Male</c:v>
                  </c:pt>
                  <c:pt idx="194">
                    <c:v>Male</c:v>
                  </c:pt>
                  <c:pt idx="195">
                    <c:v>Male</c:v>
                  </c:pt>
                  <c:pt idx="196">
                    <c:v>Male</c:v>
                  </c:pt>
                  <c:pt idx="197">
                    <c:v>Male</c:v>
                  </c:pt>
                  <c:pt idx="198">
                    <c:v>Male</c:v>
                  </c:pt>
                  <c:pt idx="199">
                    <c:v>Male</c:v>
                  </c:pt>
                  <c:pt idx="200">
                    <c:v>Male</c:v>
                  </c:pt>
                  <c:pt idx="201">
                    <c:v>Male</c:v>
                  </c:pt>
                  <c:pt idx="202">
                    <c:v>Male</c:v>
                  </c:pt>
                  <c:pt idx="203">
                    <c:v>Male</c:v>
                  </c:pt>
                  <c:pt idx="204">
                    <c:v>Male</c:v>
                  </c:pt>
                  <c:pt idx="205">
                    <c:v>Male</c:v>
                  </c:pt>
                  <c:pt idx="206">
                    <c:v>Male</c:v>
                  </c:pt>
                  <c:pt idx="207">
                    <c:v>Male</c:v>
                  </c:pt>
                  <c:pt idx="208">
                    <c:v>Male</c:v>
                  </c:pt>
                  <c:pt idx="209">
                    <c:v>Male</c:v>
                  </c:pt>
                  <c:pt idx="210">
                    <c:v>Male</c:v>
                  </c:pt>
                  <c:pt idx="211">
                    <c:v>Male</c:v>
                  </c:pt>
                  <c:pt idx="212">
                    <c:v>Male</c:v>
                  </c:pt>
                  <c:pt idx="213">
                    <c:v>Male</c:v>
                  </c:pt>
                  <c:pt idx="214">
                    <c:v>Male</c:v>
                  </c:pt>
                  <c:pt idx="215">
                    <c:v>Male</c:v>
                  </c:pt>
                  <c:pt idx="216">
                    <c:v>Male</c:v>
                  </c:pt>
                  <c:pt idx="217">
                    <c:v>Male</c:v>
                  </c:pt>
                  <c:pt idx="218">
                    <c:v>Male</c:v>
                  </c:pt>
                  <c:pt idx="219">
                    <c:v>Male</c:v>
                  </c:pt>
                  <c:pt idx="220">
                    <c:v>Male</c:v>
                  </c:pt>
                  <c:pt idx="221">
                    <c:v>Male</c:v>
                  </c:pt>
                  <c:pt idx="222">
                    <c:v>Male</c:v>
                  </c:pt>
                  <c:pt idx="223">
                    <c:v>Male</c:v>
                  </c:pt>
                  <c:pt idx="224">
                    <c:v>Male</c:v>
                  </c:pt>
                  <c:pt idx="225">
                    <c:v>Male</c:v>
                  </c:pt>
                  <c:pt idx="226">
                    <c:v>Male</c:v>
                  </c:pt>
                  <c:pt idx="227">
                    <c:v>Male</c:v>
                  </c:pt>
                  <c:pt idx="228">
                    <c:v>Male</c:v>
                  </c:pt>
                  <c:pt idx="229">
                    <c:v>Male</c:v>
                  </c:pt>
                  <c:pt idx="230">
                    <c:v>Male</c:v>
                  </c:pt>
                  <c:pt idx="231">
                    <c:v>Male</c:v>
                  </c:pt>
                  <c:pt idx="232">
                    <c:v>Male</c:v>
                  </c:pt>
                  <c:pt idx="233">
                    <c:v>Male</c:v>
                  </c:pt>
                  <c:pt idx="234">
                    <c:v>Male</c:v>
                  </c:pt>
                  <c:pt idx="235">
                    <c:v>Male</c:v>
                  </c:pt>
                  <c:pt idx="236">
                    <c:v>Male</c:v>
                  </c:pt>
                  <c:pt idx="237">
                    <c:v>Male</c:v>
                  </c:pt>
                  <c:pt idx="238">
                    <c:v>Male</c:v>
                  </c:pt>
                  <c:pt idx="239">
                    <c:v>Male</c:v>
                  </c:pt>
                  <c:pt idx="240">
                    <c:v>Male</c:v>
                  </c:pt>
                  <c:pt idx="241">
                    <c:v>Male</c:v>
                  </c:pt>
                  <c:pt idx="242">
                    <c:v>Male</c:v>
                  </c:pt>
                  <c:pt idx="243">
                    <c:v>Male</c:v>
                  </c:pt>
                  <c:pt idx="244">
                    <c:v>Male</c:v>
                  </c:pt>
                  <c:pt idx="245">
                    <c:v>Male</c:v>
                  </c:pt>
                  <c:pt idx="246">
                    <c:v>Male</c:v>
                  </c:pt>
                  <c:pt idx="247">
                    <c:v>Male</c:v>
                  </c:pt>
                  <c:pt idx="248">
                    <c:v>Male</c:v>
                  </c:pt>
                  <c:pt idx="249">
                    <c:v>Male</c:v>
                  </c:pt>
                  <c:pt idx="250">
                    <c:v>Male</c:v>
                  </c:pt>
                  <c:pt idx="251">
                    <c:v>Male</c:v>
                  </c:pt>
                  <c:pt idx="252">
                    <c:v>Male</c:v>
                  </c:pt>
                  <c:pt idx="253">
                    <c:v>Male</c:v>
                  </c:pt>
                  <c:pt idx="254">
                    <c:v>Male</c:v>
                  </c:pt>
                  <c:pt idx="255">
                    <c:v>Male</c:v>
                  </c:pt>
                  <c:pt idx="256">
                    <c:v>Male</c:v>
                  </c:pt>
                  <c:pt idx="257">
                    <c:v>Male</c:v>
                  </c:pt>
                  <c:pt idx="258">
                    <c:v>Male</c:v>
                  </c:pt>
                  <c:pt idx="259">
                    <c:v>Male</c:v>
                  </c:pt>
                  <c:pt idx="260">
                    <c:v>Male</c:v>
                  </c:pt>
                  <c:pt idx="261">
                    <c:v>Male</c:v>
                  </c:pt>
                  <c:pt idx="262">
                    <c:v>Male</c:v>
                  </c:pt>
                  <c:pt idx="263">
                    <c:v>Male</c:v>
                  </c:pt>
                  <c:pt idx="264">
                    <c:v>Male</c:v>
                  </c:pt>
                  <c:pt idx="265">
                    <c:v>Male</c:v>
                  </c:pt>
                  <c:pt idx="266">
                    <c:v>Male</c:v>
                  </c:pt>
                  <c:pt idx="267">
                    <c:v>Male</c:v>
                  </c:pt>
                  <c:pt idx="268">
                    <c:v>Male</c:v>
                  </c:pt>
                  <c:pt idx="269">
                    <c:v>Male</c:v>
                  </c:pt>
                  <c:pt idx="270">
                    <c:v>Male</c:v>
                  </c:pt>
                  <c:pt idx="271">
                    <c:v>Male</c:v>
                  </c:pt>
                  <c:pt idx="272">
                    <c:v>Male</c:v>
                  </c:pt>
                  <c:pt idx="273">
                    <c:v>Male</c:v>
                  </c:pt>
                  <c:pt idx="274">
                    <c:v>Male</c:v>
                  </c:pt>
                  <c:pt idx="275">
                    <c:v>Male</c:v>
                  </c:pt>
                  <c:pt idx="276">
                    <c:v>Male</c:v>
                  </c:pt>
                  <c:pt idx="277">
                    <c:v>Male</c:v>
                  </c:pt>
                  <c:pt idx="278">
                    <c:v>Male</c:v>
                  </c:pt>
                  <c:pt idx="279">
                    <c:v>Male</c:v>
                  </c:pt>
                  <c:pt idx="280">
                    <c:v>Male</c:v>
                  </c:pt>
                  <c:pt idx="281">
                    <c:v>Male</c:v>
                  </c:pt>
                  <c:pt idx="282">
                    <c:v>Male</c:v>
                  </c:pt>
                  <c:pt idx="283">
                    <c:v>Male</c:v>
                  </c:pt>
                  <c:pt idx="284">
                    <c:v>Male</c:v>
                  </c:pt>
                  <c:pt idx="285">
                    <c:v>Male</c:v>
                  </c:pt>
                  <c:pt idx="286">
                    <c:v>Male</c:v>
                  </c:pt>
                  <c:pt idx="287">
                    <c:v>Male</c:v>
                  </c:pt>
                  <c:pt idx="288">
                    <c:v>Male</c:v>
                  </c:pt>
                  <c:pt idx="289">
                    <c:v>Male</c:v>
                  </c:pt>
                  <c:pt idx="290">
                    <c:v>Male</c:v>
                  </c:pt>
                  <c:pt idx="291">
                    <c:v>Male</c:v>
                  </c:pt>
                  <c:pt idx="292">
                    <c:v>Male</c:v>
                  </c:pt>
                  <c:pt idx="293">
                    <c:v>Male</c:v>
                  </c:pt>
                  <c:pt idx="294">
                    <c:v>Male</c:v>
                  </c:pt>
                  <c:pt idx="295">
                    <c:v>Male</c:v>
                  </c:pt>
                  <c:pt idx="296">
                    <c:v>Male</c:v>
                  </c:pt>
                  <c:pt idx="297">
                    <c:v>Male</c:v>
                  </c:pt>
                  <c:pt idx="298">
                    <c:v>Male</c:v>
                  </c:pt>
                  <c:pt idx="299">
                    <c:v>Male</c:v>
                  </c:pt>
                  <c:pt idx="300">
                    <c:v>Male</c:v>
                  </c:pt>
                  <c:pt idx="301">
                    <c:v>Male</c:v>
                  </c:pt>
                  <c:pt idx="302">
                    <c:v>Male</c:v>
                  </c:pt>
                  <c:pt idx="303">
                    <c:v>Male</c:v>
                  </c:pt>
                  <c:pt idx="304">
                    <c:v>Male</c:v>
                  </c:pt>
                  <c:pt idx="305">
                    <c:v>Male</c:v>
                  </c:pt>
                  <c:pt idx="306">
                    <c:v>Male</c:v>
                  </c:pt>
                  <c:pt idx="307">
                    <c:v>Male</c:v>
                  </c:pt>
                  <c:pt idx="308">
                    <c:v>Male</c:v>
                  </c:pt>
                  <c:pt idx="309">
                    <c:v>Male</c:v>
                  </c:pt>
                  <c:pt idx="310">
                    <c:v>Male</c:v>
                  </c:pt>
                  <c:pt idx="311">
                    <c:v>Male</c:v>
                  </c:pt>
                  <c:pt idx="312">
                    <c:v>Male</c:v>
                  </c:pt>
                  <c:pt idx="313">
                    <c:v>Male</c:v>
                  </c:pt>
                  <c:pt idx="314">
                    <c:v>Male</c:v>
                  </c:pt>
                  <c:pt idx="315">
                    <c:v>Male</c:v>
                  </c:pt>
                  <c:pt idx="316">
                    <c:v>Male</c:v>
                  </c:pt>
                  <c:pt idx="317">
                    <c:v>Male</c:v>
                  </c:pt>
                  <c:pt idx="318">
                    <c:v>Male</c:v>
                  </c:pt>
                  <c:pt idx="319">
                    <c:v>Male</c:v>
                  </c:pt>
                  <c:pt idx="320">
                    <c:v>Male</c:v>
                  </c:pt>
                  <c:pt idx="321">
                    <c:v>Male</c:v>
                  </c:pt>
                  <c:pt idx="322">
                    <c:v>Male</c:v>
                  </c:pt>
                  <c:pt idx="323">
                    <c:v>Male</c:v>
                  </c:pt>
                  <c:pt idx="324">
                    <c:v>Male</c:v>
                  </c:pt>
                  <c:pt idx="325">
                    <c:v>Male</c:v>
                  </c:pt>
                  <c:pt idx="326">
                    <c:v>Male</c:v>
                  </c:pt>
                  <c:pt idx="327">
                    <c:v>Male</c:v>
                  </c:pt>
                  <c:pt idx="328">
                    <c:v>Male</c:v>
                  </c:pt>
                  <c:pt idx="329">
                    <c:v>Male</c:v>
                  </c:pt>
                  <c:pt idx="330">
                    <c:v>Male</c:v>
                  </c:pt>
                  <c:pt idx="331">
                    <c:v>Male</c:v>
                  </c:pt>
                  <c:pt idx="332">
                    <c:v>Male</c:v>
                  </c:pt>
                  <c:pt idx="333">
                    <c:v>Male</c:v>
                  </c:pt>
                  <c:pt idx="334">
                    <c:v>Male</c:v>
                  </c:pt>
                  <c:pt idx="335">
                    <c:v>Male</c:v>
                  </c:pt>
                  <c:pt idx="336">
                    <c:v>Male</c:v>
                  </c:pt>
                  <c:pt idx="337">
                    <c:v>Male</c:v>
                  </c:pt>
                  <c:pt idx="338">
                    <c:v>Male</c:v>
                  </c:pt>
                  <c:pt idx="339">
                    <c:v>Male</c:v>
                  </c:pt>
                  <c:pt idx="340">
                    <c:v>Male</c:v>
                  </c:pt>
                  <c:pt idx="341">
                    <c:v>Male</c:v>
                  </c:pt>
                  <c:pt idx="342">
                    <c:v>Male</c:v>
                  </c:pt>
                  <c:pt idx="343">
                    <c:v>Male</c:v>
                  </c:pt>
                  <c:pt idx="344">
                    <c:v>Male</c:v>
                  </c:pt>
                  <c:pt idx="345">
                    <c:v>Male</c:v>
                  </c:pt>
                  <c:pt idx="346">
                    <c:v>Male</c:v>
                  </c:pt>
                  <c:pt idx="347">
                    <c:v>Male</c:v>
                  </c:pt>
                  <c:pt idx="348">
                    <c:v>Male</c:v>
                  </c:pt>
                  <c:pt idx="349">
                    <c:v>Male</c:v>
                  </c:pt>
                  <c:pt idx="350">
                    <c:v>Male</c:v>
                  </c:pt>
                  <c:pt idx="351">
                    <c:v>Male</c:v>
                  </c:pt>
                  <c:pt idx="352">
                    <c:v>Male</c:v>
                  </c:pt>
                  <c:pt idx="353">
                    <c:v>Male</c:v>
                  </c:pt>
                  <c:pt idx="354">
                    <c:v>Male</c:v>
                  </c:pt>
                  <c:pt idx="355">
                    <c:v>Male</c:v>
                  </c:pt>
                  <c:pt idx="356">
                    <c:v>Male</c:v>
                  </c:pt>
                </c:lvl>
                <c:lvl>
                  <c:pt idx="0">
                    <c:v>Bolsover</c:v>
                  </c:pt>
                  <c:pt idx="1">
                    <c:v>Manchester</c:v>
                  </c:pt>
                  <c:pt idx="2">
                    <c:v>Burnley</c:v>
                  </c:pt>
                  <c:pt idx="3">
                    <c:v>Kingston upon Hull, City of</c:v>
                  </c:pt>
                  <c:pt idx="4">
                    <c:v>Stoke-on-Trent</c:v>
                  </c:pt>
                  <c:pt idx="5">
                    <c:v>Sunderland</c:v>
                  </c:pt>
                  <c:pt idx="6">
                    <c:v>Blackpool</c:v>
                  </c:pt>
                  <c:pt idx="7">
                    <c:v>Middlesbrough</c:v>
                  </c:pt>
                  <c:pt idx="8">
                    <c:v>Sandwell</c:v>
                  </c:pt>
                  <c:pt idx="9">
                    <c:v>Wigan</c:v>
                  </c:pt>
                  <c:pt idx="10">
                    <c:v>Blackburn with Darwen</c:v>
                  </c:pt>
                  <c:pt idx="11">
                    <c:v>Halton</c:v>
                  </c:pt>
                  <c:pt idx="12">
                    <c:v>Hyndburn</c:v>
                  </c:pt>
                  <c:pt idx="13">
                    <c:v>Tameside</c:v>
                  </c:pt>
                  <c:pt idx="14">
                    <c:v>Watford</c:v>
                  </c:pt>
                  <c:pt idx="15">
                    <c:v>Ashfield</c:v>
                  </c:pt>
                  <c:pt idx="16">
                    <c:v>Copeland</c:v>
                  </c:pt>
                  <c:pt idx="17">
                    <c:v>Knowsley</c:v>
                  </c:pt>
                  <c:pt idx="18">
                    <c:v>Leicester</c:v>
                  </c:pt>
                  <c:pt idx="19">
                    <c:v>Liverpool</c:v>
                  </c:pt>
                  <c:pt idx="20">
                    <c:v>Nottingham</c:v>
                  </c:pt>
                  <c:pt idx="21">
                    <c:v>Salford</c:v>
                  </c:pt>
                  <c:pt idx="22">
                    <c:v>Warrington</c:v>
                  </c:pt>
                  <c:pt idx="23">
                    <c:v>East Staffordshire</c:v>
                  </c:pt>
                  <c:pt idx="24">
                    <c:v>Lincoln</c:v>
                  </c:pt>
                  <c:pt idx="25">
                    <c:v>North Tyneside</c:v>
                  </c:pt>
                  <c:pt idx="26">
                    <c:v>Bolton</c:v>
                  </c:pt>
                  <c:pt idx="27">
                    <c:v>Bradford</c:v>
                  </c:pt>
                  <c:pt idx="28">
                    <c:v>Doncaster</c:v>
                  </c:pt>
                  <c:pt idx="29">
                    <c:v>Gateshead</c:v>
                  </c:pt>
                  <c:pt idx="30">
                    <c:v>North Warwickshire</c:v>
                  </c:pt>
                  <c:pt idx="31">
                    <c:v>Nuneaton and Bedworth</c:v>
                  </c:pt>
                  <c:pt idx="32">
                    <c:v>Oldham</c:v>
                  </c:pt>
                  <c:pt idx="33">
                    <c:v>Rochdale</c:v>
                  </c:pt>
                  <c:pt idx="34">
                    <c:v>Rotherham</c:v>
                  </c:pt>
                  <c:pt idx="35">
                    <c:v>South Tyneside</c:v>
                  </c:pt>
                  <c:pt idx="36">
                    <c:v>Tyne and Wear</c:v>
                  </c:pt>
                  <c:pt idx="37">
                    <c:v>Wakefield</c:v>
                  </c:pt>
                  <c:pt idx="38">
                    <c:v>Bassetlaw</c:v>
                  </c:pt>
                  <c:pt idx="39">
                    <c:v>Bromsgrove</c:v>
                  </c:pt>
                  <c:pt idx="40">
                    <c:v>Calderdale</c:v>
                  </c:pt>
                  <c:pt idx="41">
                    <c:v>Chesterfield</c:v>
                  </c:pt>
                  <c:pt idx="42">
                    <c:v>County Durham</c:v>
                  </c:pt>
                  <c:pt idx="43">
                    <c:v>Greater Manchester</c:v>
                  </c:pt>
                  <c:pt idx="44">
                    <c:v>Leeds</c:v>
                  </c:pt>
                  <c:pt idx="45">
                    <c:v>Merseyside</c:v>
                  </c:pt>
                  <c:pt idx="46">
                    <c:v>North West Leicestershire</c:v>
                  </c:pt>
                  <c:pt idx="47">
                    <c:v>Rossendale</c:v>
                  </c:pt>
                  <c:pt idx="48">
                    <c:v>Rushmoor</c:v>
                  </c:pt>
                  <c:pt idx="49">
                    <c:v>South Derbyshire</c:v>
                  </c:pt>
                  <c:pt idx="50">
                    <c:v>Stroud</c:v>
                  </c:pt>
                  <c:pt idx="51">
                    <c:v>West Yorkshire</c:v>
                  </c:pt>
                  <c:pt idx="52">
                    <c:v>Wirral</c:v>
                  </c:pt>
                  <c:pt idx="53">
                    <c:v>Barking and Dagenham</c:v>
                  </c:pt>
                  <c:pt idx="54">
                    <c:v>Barnsley</c:v>
                  </c:pt>
                  <c:pt idx="55">
                    <c:v>Barrow-in-Furness</c:v>
                  </c:pt>
                  <c:pt idx="56">
                    <c:v>Bury</c:v>
                  </c:pt>
                  <c:pt idx="57">
                    <c:v>Forest of Dean</c:v>
                  </c:pt>
                  <c:pt idx="58">
                    <c:v>Hartlepool</c:v>
                  </c:pt>
                  <c:pt idx="59">
                    <c:v>Kirklees</c:v>
                  </c:pt>
                  <c:pt idx="60">
                    <c:v>Medway</c:v>
                  </c:pt>
                  <c:pt idx="61">
                    <c:v>Newham</c:v>
                  </c:pt>
                  <c:pt idx="62">
                    <c:v>North Lincolnshire</c:v>
                  </c:pt>
                  <c:pt idx="63">
                    <c:v>Preston</c:v>
                  </c:pt>
                  <c:pt idx="64">
                    <c:v>Slough</c:v>
                  </c:pt>
                  <c:pt idx="65">
                    <c:v>Southampton</c:v>
                  </c:pt>
                  <c:pt idx="66">
                    <c:v>St. Helens</c:v>
                  </c:pt>
                  <c:pt idx="67">
                    <c:v>Swale</c:v>
                  </c:pt>
                  <c:pt idx="68">
                    <c:v>Tamworth</c:v>
                  </c:pt>
                  <c:pt idx="69">
                    <c:v>Birmingham</c:v>
                  </c:pt>
                  <c:pt idx="70">
                    <c:v>Boston</c:v>
                  </c:pt>
                  <c:pt idx="71">
                    <c:v>Chorley</c:v>
                  </c:pt>
                  <c:pt idx="72">
                    <c:v>Corby</c:v>
                  </c:pt>
                  <c:pt idx="73">
                    <c:v>Derbyshire</c:v>
                  </c:pt>
                  <c:pt idx="74">
                    <c:v>Erewash</c:v>
                  </c:pt>
                  <c:pt idx="75">
                    <c:v>Exeter</c:v>
                  </c:pt>
                  <c:pt idx="76">
                    <c:v>Great Yarmouth</c:v>
                  </c:pt>
                  <c:pt idx="77">
                    <c:v>Lancaster</c:v>
                  </c:pt>
                  <c:pt idx="78">
                    <c:v>Lichfield</c:v>
                  </c:pt>
                  <c:pt idx="79">
                    <c:v>Mansfield</c:v>
                  </c:pt>
                  <c:pt idx="80">
                    <c:v>Newcastle-under-Lyme</c:v>
                  </c:pt>
                  <c:pt idx="81">
                    <c:v>North East Lincolnshire</c:v>
                  </c:pt>
                  <c:pt idx="82">
                    <c:v>North Hertfordshire</c:v>
                  </c:pt>
                  <c:pt idx="83">
                    <c:v>Pendle</c:v>
                  </c:pt>
                  <c:pt idx="84">
                    <c:v>Scarborough</c:v>
                  </c:pt>
                  <c:pt idx="85">
                    <c:v>Selby</c:v>
                  </c:pt>
                  <c:pt idx="86">
                    <c:v>South Yorkshire</c:v>
                  </c:pt>
                  <c:pt idx="87">
                    <c:v>Stevenage</c:v>
                  </c:pt>
                  <c:pt idx="88">
                    <c:v>Thanet</c:v>
                  </c:pt>
                  <c:pt idx="89">
                    <c:v>Thurrock</c:v>
                  </c:pt>
                  <c:pt idx="90">
                    <c:v>Tower Hamlets</c:v>
                  </c:pt>
                  <c:pt idx="91">
                    <c:v>Wolverhampton</c:v>
                  </c:pt>
                  <c:pt idx="92">
                    <c:v>Allerdale</c:v>
                  </c:pt>
                  <c:pt idx="93">
                    <c:v>Bristol, City of</c:v>
                  </c:pt>
                  <c:pt idx="94">
                    <c:v>Derby</c:v>
                  </c:pt>
                  <c:pt idx="95">
                    <c:v>Hastings</c:v>
                  </c:pt>
                  <c:pt idx="96">
                    <c:v>Lancashire</c:v>
                  </c:pt>
                  <c:pt idx="97">
                    <c:v>Milton Keynes</c:v>
                  </c:pt>
                  <c:pt idx="98">
                    <c:v>Newcastle upon Tyne</c:v>
                  </c:pt>
                  <c:pt idx="99">
                    <c:v>Portsmouth</c:v>
                  </c:pt>
                  <c:pt idx="100">
                    <c:v>South Staffordshire</c:v>
                  </c:pt>
                  <c:pt idx="101">
                    <c:v>Telford and Wrekin</c:v>
                  </c:pt>
                  <c:pt idx="102">
                    <c:v>Amber Valley</c:v>
                  </c:pt>
                  <c:pt idx="103">
                    <c:v>Basildon</c:v>
                  </c:pt>
                  <c:pt idx="104">
                    <c:v>Castle Point</c:v>
                  </c:pt>
                  <c:pt idx="105">
                    <c:v>Darlington</c:v>
                  </c:pt>
                  <c:pt idx="106">
                    <c:v>Daventry</c:v>
                  </c:pt>
                  <c:pt idx="107">
                    <c:v>Fylde</c:v>
                  </c:pt>
                  <c:pt idx="108">
                    <c:v>Gloucester</c:v>
                  </c:pt>
                  <c:pt idx="109">
                    <c:v>Greenwich</c:v>
                  </c:pt>
                  <c:pt idx="110">
                    <c:v>Harlow</c:v>
                  </c:pt>
                  <c:pt idx="111">
                    <c:v>High Peak</c:v>
                  </c:pt>
                  <c:pt idx="112">
                    <c:v>Kettering</c:v>
                  </c:pt>
                  <c:pt idx="113">
                    <c:v>Newark and Sherwood</c:v>
                  </c:pt>
                  <c:pt idx="114">
                    <c:v>Northampton</c:v>
                  </c:pt>
                  <c:pt idx="115">
                    <c:v>Northumberland</c:v>
                  </c:pt>
                  <c:pt idx="116">
                    <c:v>Oadby and Wigston</c:v>
                  </c:pt>
                  <c:pt idx="117">
                    <c:v>Redditch</c:v>
                  </c:pt>
                  <c:pt idx="118">
                    <c:v>Sefton</c:v>
                  </c:pt>
                  <c:pt idx="119">
                    <c:v>Staffordshire</c:v>
                  </c:pt>
                  <c:pt idx="120">
                    <c:v>Torridge</c:v>
                  </c:pt>
                  <c:pt idx="121">
                    <c:v>Walsall</c:v>
                  </c:pt>
                  <c:pt idx="122">
                    <c:v>West Lancashire</c:v>
                  </c:pt>
                  <c:pt idx="123">
                    <c:v>West Midlands</c:v>
                  </c:pt>
                  <c:pt idx="124">
                    <c:v>Wyre</c:v>
                  </c:pt>
                  <c:pt idx="125">
                    <c:v>Braintree</c:v>
                  </c:pt>
                  <c:pt idx="126">
                    <c:v>Carlisle</c:v>
                  </c:pt>
                  <c:pt idx="127">
                    <c:v>Cheshire West and Chester</c:v>
                  </c:pt>
                  <c:pt idx="128">
                    <c:v>Dartford</c:v>
                  </c:pt>
                  <c:pt idx="129">
                    <c:v>Dudley</c:v>
                  </c:pt>
                  <c:pt idx="130">
                    <c:v>Gedling</c:v>
                  </c:pt>
                  <c:pt idx="131">
                    <c:v>Gosport</c:v>
                  </c:pt>
                  <c:pt idx="132">
                    <c:v>Isle of Wight</c:v>
                  </c:pt>
                  <c:pt idx="133">
                    <c:v>Maidstone</c:v>
                  </c:pt>
                  <c:pt idx="134">
                    <c:v>Nottinghamshire</c:v>
                  </c:pt>
                  <c:pt idx="135">
                    <c:v>Plymouth</c:v>
                  </c:pt>
                  <c:pt idx="136">
                    <c:v>Reading</c:v>
                  </c:pt>
                  <c:pt idx="137">
                    <c:v>Sheffield</c:v>
                  </c:pt>
                  <c:pt idx="138">
                    <c:v>South Holland</c:v>
                  </c:pt>
                  <c:pt idx="139">
                    <c:v>Staffordshire Moorlands</c:v>
                  </c:pt>
                  <c:pt idx="140">
                    <c:v>Swindon</c:v>
                  </c:pt>
                  <c:pt idx="141">
                    <c:v>Wandsworth</c:v>
                  </c:pt>
                  <c:pt idx="142">
                    <c:v>Cannock Chase</c:v>
                  </c:pt>
                  <c:pt idx="143">
                    <c:v>Cumbria</c:v>
                  </c:pt>
                  <c:pt idx="144">
                    <c:v>East Lindsey</c:v>
                  </c:pt>
                  <c:pt idx="145">
                    <c:v>Fenland</c:v>
                  </c:pt>
                  <c:pt idx="146">
                    <c:v>Gloucestershire</c:v>
                  </c:pt>
                  <c:pt idx="147">
                    <c:v>Harborough</c:v>
                  </c:pt>
                  <c:pt idx="148">
                    <c:v>Hinckley and Bosworth</c:v>
                  </c:pt>
                  <c:pt idx="149">
                    <c:v>Lewisham</c:v>
                  </c:pt>
                  <c:pt idx="150">
                    <c:v>Mendip</c:v>
                  </c:pt>
                  <c:pt idx="151">
                    <c:v>Peterborough</c:v>
                  </c:pt>
                  <c:pt idx="152">
                    <c:v>Redcar and Cleveland</c:v>
                  </c:pt>
                  <c:pt idx="153">
                    <c:v>Ribble Valley</c:v>
                  </c:pt>
                  <c:pt idx="154">
                    <c:v>Richmondshire</c:v>
                  </c:pt>
                  <c:pt idx="155">
                    <c:v>Stockton-on-Tees</c:v>
                  </c:pt>
                  <c:pt idx="156">
                    <c:v>Teignbridge</c:v>
                  </c:pt>
                  <c:pt idx="157">
                    <c:v>West Oxfordshire</c:v>
                  </c:pt>
                  <c:pt idx="158">
                    <c:v>Worthing</c:v>
                  </c:pt>
                  <c:pt idx="159">
                    <c:v>York</c:v>
                  </c:pt>
                  <c:pt idx="160">
                    <c:v>Bournemouth</c:v>
                  </c:pt>
                  <c:pt idx="161">
                    <c:v>Cambridge</c:v>
                  </c:pt>
                  <c:pt idx="162">
                    <c:v>Cherwell</c:v>
                  </c:pt>
                  <c:pt idx="163">
                    <c:v>East Riding of Yorkshire</c:v>
                  </c:pt>
                  <c:pt idx="164">
                    <c:v>Leicestershire</c:v>
                  </c:pt>
                  <c:pt idx="165">
                    <c:v>Lincolnshire</c:v>
                  </c:pt>
                  <c:pt idx="166">
                    <c:v>Luton</c:v>
                  </c:pt>
                  <c:pt idx="167">
                    <c:v>Maldon</c:v>
                  </c:pt>
                  <c:pt idx="168">
                    <c:v>Malvern Hills</c:v>
                  </c:pt>
                  <c:pt idx="169">
                    <c:v>Northamptonshire</c:v>
                  </c:pt>
                  <c:pt idx="170">
                    <c:v>Torbay</c:v>
                  </c:pt>
                  <c:pt idx="171">
                    <c:v>Wellingborough</c:v>
                  </c:pt>
                  <c:pt idx="172">
                    <c:v>West Devon</c:v>
                  </c:pt>
                  <c:pt idx="173">
                    <c:v>Worcestershire</c:v>
                  </c:pt>
                  <c:pt idx="174">
                    <c:v>Wyre Forest</c:v>
                  </c:pt>
                  <c:pt idx="175">
                    <c:v>Aylesbury Vale</c:v>
                  </c:pt>
                  <c:pt idx="176">
                    <c:v>Brighton and Hove</c:v>
                  </c:pt>
                  <c:pt idx="177">
                    <c:v>Broadland</c:v>
                  </c:pt>
                  <c:pt idx="178">
                    <c:v>Charnwood</c:v>
                  </c:pt>
                  <c:pt idx="179">
                    <c:v>Colchester</c:v>
                  </c:pt>
                  <c:pt idx="180">
                    <c:v>Cornwall</c:v>
                  </c:pt>
                  <c:pt idx="181">
                    <c:v>Coventry</c:v>
                  </c:pt>
                  <c:pt idx="182">
                    <c:v>Derbyshire Dales</c:v>
                  </c:pt>
                  <c:pt idx="183">
                    <c:v>Dover</c:v>
                  </c:pt>
                  <c:pt idx="184">
                    <c:v>Fareham</c:v>
                  </c:pt>
                  <c:pt idx="185">
                    <c:v>Gravesham</c:v>
                  </c:pt>
                  <c:pt idx="186">
                    <c:v>Hounslow</c:v>
                  </c:pt>
                  <c:pt idx="187">
                    <c:v>Ipswich</c:v>
                  </c:pt>
                  <c:pt idx="188">
                    <c:v>North Yorkshire</c:v>
                  </c:pt>
                  <c:pt idx="189">
                    <c:v>Reigate and Banstead</c:v>
                  </c:pt>
                  <c:pt idx="190">
                    <c:v>Ryedale</c:v>
                  </c:pt>
                  <c:pt idx="191">
                    <c:v>Shropshire</c:v>
                  </c:pt>
                  <c:pt idx="192">
                    <c:v>South Bucks</c:v>
                  </c:pt>
                  <c:pt idx="193">
                    <c:v>Southwark</c:v>
                  </c:pt>
                  <c:pt idx="194">
                    <c:v>Tendring</c:v>
                  </c:pt>
                  <c:pt idx="195">
                    <c:v>Three Rivers</c:v>
                  </c:pt>
                  <c:pt idx="196">
                    <c:v>Waltham Forest</c:v>
                  </c:pt>
                  <c:pt idx="197">
                    <c:v>Weymouth and Portland</c:v>
                  </c:pt>
                  <c:pt idx="198">
                    <c:v>Worcester</c:v>
                  </c:pt>
                  <c:pt idx="199">
                    <c:v>Adur</c:v>
                  </c:pt>
                  <c:pt idx="200">
                    <c:v>East Northamptonshire</c:v>
                  </c:pt>
                  <c:pt idx="201">
                    <c:v>Essex</c:v>
                  </c:pt>
                  <c:pt idx="202">
                    <c:v>Harrogate</c:v>
                  </c:pt>
                  <c:pt idx="203">
                    <c:v>Havering</c:v>
                  </c:pt>
                  <c:pt idx="204">
                    <c:v>Hertfordshire</c:v>
                  </c:pt>
                  <c:pt idx="205">
                    <c:v>Kent</c:v>
                  </c:pt>
                  <c:pt idx="206">
                    <c:v>Merton</c:v>
                  </c:pt>
                  <c:pt idx="207">
                    <c:v>North Devon</c:v>
                  </c:pt>
                  <c:pt idx="208">
                    <c:v>North Somerset</c:v>
                  </c:pt>
                  <c:pt idx="209">
                    <c:v>Poole</c:v>
                  </c:pt>
                  <c:pt idx="210">
                    <c:v>Rother</c:v>
                  </c:pt>
                  <c:pt idx="211">
                    <c:v>South Kesteven</c:v>
                  </c:pt>
                  <c:pt idx="212">
                    <c:v>Southend-on-Sea</c:v>
                  </c:pt>
                  <c:pt idx="213">
                    <c:v>Tewkesbury</c:v>
                  </c:pt>
                  <c:pt idx="214">
                    <c:v>Trafford</c:v>
                  </c:pt>
                  <c:pt idx="215">
                    <c:v>Warwickshire</c:v>
                  </c:pt>
                  <c:pt idx="216">
                    <c:v>West Somerset</c:v>
                  </c:pt>
                  <c:pt idx="217">
                    <c:v>Arun</c:v>
                  </c:pt>
                  <c:pt idx="218">
                    <c:v>Ashford</c:v>
                  </c:pt>
                  <c:pt idx="219">
                    <c:v>Bexley</c:v>
                  </c:pt>
                  <c:pt idx="220">
                    <c:v>Breckland</c:v>
                  </c:pt>
                  <c:pt idx="221">
                    <c:v>Broxtowe</c:v>
                  </c:pt>
                  <c:pt idx="222">
                    <c:v>Cheshire East</c:v>
                  </c:pt>
                  <c:pt idx="223">
                    <c:v>Devon</c:v>
                  </c:pt>
                  <c:pt idx="224">
                    <c:v>Epping Forest</c:v>
                  </c:pt>
                  <c:pt idx="225">
                    <c:v>Forest Heath</c:v>
                  </c:pt>
                  <c:pt idx="226">
                    <c:v>Islington</c:v>
                  </c:pt>
                  <c:pt idx="227">
                    <c:v>King's Lynn and West Norfolk</c:v>
                  </c:pt>
                  <c:pt idx="228">
                    <c:v>Lambeth</c:v>
                  </c:pt>
                  <c:pt idx="229">
                    <c:v>Norfolk</c:v>
                  </c:pt>
                  <c:pt idx="230">
                    <c:v>North East Derbyshire</c:v>
                  </c:pt>
                  <c:pt idx="231">
                    <c:v>Oxfordshire</c:v>
                  </c:pt>
                  <c:pt idx="232">
                    <c:v>Rugby</c:v>
                  </c:pt>
                  <c:pt idx="233">
                    <c:v>Spelthorne</c:v>
                  </c:pt>
                  <c:pt idx="234">
                    <c:v>Stafford</c:v>
                  </c:pt>
                  <c:pt idx="235">
                    <c:v>West Lindsey</c:v>
                  </c:pt>
                  <c:pt idx="236">
                    <c:v>Windsor and Maidenhead</c:v>
                  </c:pt>
                  <c:pt idx="237">
                    <c:v>Wokingham</c:v>
                  </c:pt>
                  <c:pt idx="238">
                    <c:v>East Hampshire</c:v>
                  </c:pt>
                  <c:pt idx="239">
                    <c:v>East Hertfordshire</c:v>
                  </c:pt>
                  <c:pt idx="240">
                    <c:v>East Sussex</c:v>
                  </c:pt>
                  <c:pt idx="241">
                    <c:v>Eastbourne</c:v>
                  </c:pt>
                  <c:pt idx="242">
                    <c:v>Herefordshire, County of</c:v>
                  </c:pt>
                  <c:pt idx="243">
                    <c:v>Hertsmere</c:v>
                  </c:pt>
                  <c:pt idx="244">
                    <c:v>Mid Suffolk</c:v>
                  </c:pt>
                  <c:pt idx="245">
                    <c:v>Mid Sussex</c:v>
                  </c:pt>
                  <c:pt idx="246">
                    <c:v>North Dorset</c:v>
                  </c:pt>
                  <c:pt idx="247">
                    <c:v>Shepway</c:v>
                  </c:pt>
                  <c:pt idx="248">
                    <c:v>Somerset</c:v>
                  </c:pt>
                  <c:pt idx="249">
                    <c:v>South Lakeland</c:v>
                  </c:pt>
                  <c:pt idx="250">
                    <c:v>Sutton</c:v>
                  </c:pt>
                  <c:pt idx="251">
                    <c:v>Taunton Deane</c:v>
                  </c:pt>
                  <c:pt idx="252">
                    <c:v>Vale of White Horse</c:v>
                  </c:pt>
                  <c:pt idx="253">
                    <c:v>Welwyn Hatfield</c:v>
                  </c:pt>
                  <c:pt idx="254">
                    <c:v>Bath and North East Somerset</c:v>
                  </c:pt>
                  <c:pt idx="255">
                    <c:v>Bedford</c:v>
                  </c:pt>
                  <c:pt idx="256">
                    <c:v>Blaby</c:v>
                  </c:pt>
                  <c:pt idx="257">
                    <c:v>Bracknell Forest</c:v>
                  </c:pt>
                  <c:pt idx="258">
                    <c:v>Canterbury</c:v>
                  </c:pt>
                  <c:pt idx="259">
                    <c:v>Cotswold</c:v>
                  </c:pt>
                  <c:pt idx="260">
                    <c:v>Dacorum</c:v>
                  </c:pt>
                  <c:pt idx="261">
                    <c:v>Eastleigh</c:v>
                  </c:pt>
                  <c:pt idx="262">
                    <c:v>Hammersmith and Fulham</c:v>
                  </c:pt>
                  <c:pt idx="263">
                    <c:v>Hampshire</c:v>
                  </c:pt>
                  <c:pt idx="264">
                    <c:v>Hillingdon</c:v>
                  </c:pt>
                  <c:pt idx="265">
                    <c:v>Melton</c:v>
                  </c:pt>
                  <c:pt idx="266">
                    <c:v>North Norfolk</c:v>
                  </c:pt>
                  <c:pt idx="267">
                    <c:v>Sedgemoor</c:v>
                  </c:pt>
                  <c:pt idx="268">
                    <c:v>Solihull</c:v>
                  </c:pt>
                  <c:pt idx="269">
                    <c:v>South Ribble</c:v>
                  </c:pt>
                  <c:pt idx="270">
                    <c:v>Stockport</c:v>
                  </c:pt>
                  <c:pt idx="271">
                    <c:v>Tandridge</c:v>
                  </c:pt>
                  <c:pt idx="272">
                    <c:v>West Sussex</c:v>
                  </c:pt>
                  <c:pt idx="273">
                    <c:v>Wiltshire</c:v>
                  </c:pt>
                  <c:pt idx="274">
                    <c:v>Basingstoke and Deane</c:v>
                  </c:pt>
                  <c:pt idx="275">
                    <c:v>Brent</c:v>
                  </c:pt>
                  <c:pt idx="276">
                    <c:v>Brentwood</c:v>
                  </c:pt>
                  <c:pt idx="277">
                    <c:v>Buckinghamshire</c:v>
                  </c:pt>
                  <c:pt idx="278">
                    <c:v>Cambridgeshire</c:v>
                  </c:pt>
                  <c:pt idx="279">
                    <c:v>Central Bedfordshire</c:v>
                  </c:pt>
                  <c:pt idx="280">
                    <c:v>Chelmsford</c:v>
                  </c:pt>
                  <c:pt idx="281">
                    <c:v>Cheltenham</c:v>
                  </c:pt>
                  <c:pt idx="282">
                    <c:v>Crawley</c:v>
                  </c:pt>
                  <c:pt idx="283">
                    <c:v>Croydon</c:v>
                  </c:pt>
                  <c:pt idx="284">
                    <c:v>East Devon</c:v>
                  </c:pt>
                  <c:pt idx="285">
                    <c:v>Hart</c:v>
                  </c:pt>
                  <c:pt idx="286">
                    <c:v>Havant</c:v>
                  </c:pt>
                  <c:pt idx="287">
                    <c:v>North Kesteven</c:v>
                  </c:pt>
                  <c:pt idx="288">
                    <c:v>Oxford</c:v>
                  </c:pt>
                  <c:pt idx="289">
                    <c:v>Redbridge</c:v>
                  </c:pt>
                  <c:pt idx="290">
                    <c:v>Rushcliffe</c:v>
                  </c:pt>
                  <c:pt idx="291">
                    <c:v>Rutland</c:v>
                  </c:pt>
                  <c:pt idx="292">
                    <c:v>South Oxfordshire</c:v>
                  </c:pt>
                  <c:pt idx="293">
                    <c:v>St Edmundsbury</c:v>
                  </c:pt>
                  <c:pt idx="294">
                    <c:v>Suffolk</c:v>
                  </c:pt>
                  <c:pt idx="295">
                    <c:v>Surrey Heath</c:v>
                  </c:pt>
                  <c:pt idx="296">
                    <c:v>West Berkshire</c:v>
                  </c:pt>
                  <c:pt idx="297">
                    <c:v>Bromley</c:v>
                  </c:pt>
                  <c:pt idx="298">
                    <c:v>Broxbourne</c:v>
                  </c:pt>
                  <c:pt idx="299">
                    <c:v>Craven</c:v>
                  </c:pt>
                  <c:pt idx="300">
                    <c:v>Enfield</c:v>
                  </c:pt>
                  <c:pt idx="301">
                    <c:v>Hackney</c:v>
                  </c:pt>
                  <c:pt idx="302">
                    <c:v>Horsham</c:v>
                  </c:pt>
                  <c:pt idx="303">
                    <c:v>Sevenoaks</c:v>
                  </c:pt>
                  <c:pt idx="304">
                    <c:v>South Gloucestershire</c:v>
                  </c:pt>
                  <c:pt idx="305">
                    <c:v>South Norfolk</c:v>
                  </c:pt>
                  <c:pt idx="306">
                    <c:v>South Somerset</c:v>
                  </c:pt>
                  <c:pt idx="307">
                    <c:v>Test Valley</c:v>
                  </c:pt>
                  <c:pt idx="308">
                    <c:v>Warwick</c:v>
                  </c:pt>
                  <c:pt idx="309">
                    <c:v>Waveney</c:v>
                  </c:pt>
                  <c:pt idx="310">
                    <c:v>Wealden</c:v>
                  </c:pt>
                  <c:pt idx="311">
                    <c:v>West Dorset</c:v>
                  </c:pt>
                  <c:pt idx="312">
                    <c:v>Babergh</c:v>
                  </c:pt>
                  <c:pt idx="313">
                    <c:v>Eden</c:v>
                  </c:pt>
                  <c:pt idx="314">
                    <c:v>Huntingdonshire</c:v>
                  </c:pt>
                  <c:pt idx="315">
                    <c:v>Lewes</c:v>
                  </c:pt>
                  <c:pt idx="316">
                    <c:v>South Hams</c:v>
                  </c:pt>
                  <c:pt idx="317">
                    <c:v>Tonbridge and Malling</c:v>
                  </c:pt>
                  <c:pt idx="318">
                    <c:v>Woking</c:v>
                  </c:pt>
                  <c:pt idx="319">
                    <c:v>Wychavon</c:v>
                  </c:pt>
                  <c:pt idx="320">
                    <c:v>Chichester</c:v>
                  </c:pt>
                  <c:pt idx="321">
                    <c:v>Dorset</c:v>
                  </c:pt>
                  <c:pt idx="322">
                    <c:v>Norwich</c:v>
                  </c:pt>
                  <c:pt idx="323">
                    <c:v>Rochford</c:v>
                  </c:pt>
                  <c:pt idx="324">
                    <c:v>Suffolk Coastal</c:v>
                  </c:pt>
                  <c:pt idx="325">
                    <c:v>Surrey</c:v>
                  </c:pt>
                  <c:pt idx="326">
                    <c:v>Uttlesford</c:v>
                  </c:pt>
                  <c:pt idx="327">
                    <c:v>Winchester</c:v>
                  </c:pt>
                  <c:pt idx="328">
                    <c:v>Wycombe</c:v>
                  </c:pt>
                  <c:pt idx="329">
                    <c:v>Ealing</c:v>
                  </c:pt>
                  <c:pt idx="330">
                    <c:v>East Cambridgeshire</c:v>
                  </c:pt>
                  <c:pt idx="331">
                    <c:v>Hambleton</c:v>
                  </c:pt>
                  <c:pt idx="332">
                    <c:v>Runnymede</c:v>
                  </c:pt>
                  <c:pt idx="333">
                    <c:v>Stratford-on-Avon</c:v>
                  </c:pt>
                  <c:pt idx="334">
                    <c:v>Tunbridge Wells</c:v>
                  </c:pt>
                  <c:pt idx="335">
                    <c:v>Barnet</c:v>
                  </c:pt>
                  <c:pt idx="336">
                    <c:v>Elmbridge</c:v>
                  </c:pt>
                  <c:pt idx="337">
                    <c:v>Guildford</c:v>
                  </c:pt>
                  <c:pt idx="338">
                    <c:v>Haringey</c:v>
                  </c:pt>
                  <c:pt idx="339">
                    <c:v>Kingston upon Thames</c:v>
                  </c:pt>
                  <c:pt idx="340">
                    <c:v>New Forest</c:v>
                  </c:pt>
                  <c:pt idx="341">
                    <c:v>South Cambridgeshire</c:v>
                  </c:pt>
                  <c:pt idx="342">
                    <c:v>Purbeck</c:v>
                  </c:pt>
                  <c:pt idx="343">
                    <c:v>South Northamptonshire</c:v>
                  </c:pt>
                  <c:pt idx="344">
                    <c:v>Christchurch</c:v>
                  </c:pt>
                  <c:pt idx="345">
                    <c:v>Epsom and Ewell</c:v>
                  </c:pt>
                  <c:pt idx="346">
                    <c:v>Mid Devon</c:v>
                  </c:pt>
                  <c:pt idx="347">
                    <c:v>Waverley</c:v>
                  </c:pt>
                  <c:pt idx="348">
                    <c:v>Chiltern</c:v>
                  </c:pt>
                  <c:pt idx="349">
                    <c:v>Richmond upon Thames</c:v>
                  </c:pt>
                  <c:pt idx="350">
                    <c:v>East Dorset</c:v>
                  </c:pt>
                  <c:pt idx="351">
                    <c:v>Mole Valley</c:v>
                  </c:pt>
                  <c:pt idx="352">
                    <c:v>St Albans</c:v>
                  </c:pt>
                  <c:pt idx="353">
                    <c:v>Camden</c:v>
                  </c:pt>
                  <c:pt idx="354">
                    <c:v>Harrow</c:v>
                  </c:pt>
                  <c:pt idx="355">
                    <c:v>Kensington and Chelsea</c:v>
                  </c:pt>
                  <c:pt idx="356">
                    <c:v>Westminster</c:v>
                  </c:pt>
                </c:lvl>
              </c:multiLvlStrCache>
            </c:multiLvlStrRef>
          </c:cat>
          <c:val>
            <c:numRef>
              <c:f>[NHSOF_1b_I00655_D.xls]Sheet1!$E$2:$E$358</c:f>
              <c:numCache>
                <c:formatCode>0.0</c:formatCode>
                <c:ptCount val="357"/>
                <c:pt idx="0">
                  <c:v>10.199999999999999</c:v>
                </c:pt>
                <c:pt idx="1">
                  <c:v>10.1</c:v>
                </c:pt>
                <c:pt idx="2">
                  <c:v>10.7</c:v>
                </c:pt>
                <c:pt idx="3">
                  <c:v>10.6</c:v>
                </c:pt>
                <c:pt idx="4">
                  <c:v>10.5</c:v>
                </c:pt>
                <c:pt idx="5">
                  <c:v>10.5</c:v>
                </c:pt>
                <c:pt idx="6">
                  <c:v>10.6</c:v>
                </c:pt>
                <c:pt idx="7">
                  <c:v>10.7</c:v>
                </c:pt>
                <c:pt idx="8">
                  <c:v>10.6</c:v>
                </c:pt>
                <c:pt idx="9">
                  <c:v>10.6</c:v>
                </c:pt>
                <c:pt idx="10">
                  <c:v>10.8</c:v>
                </c:pt>
                <c:pt idx="11">
                  <c:v>10.8</c:v>
                </c:pt>
                <c:pt idx="12">
                  <c:v>10.9</c:v>
                </c:pt>
                <c:pt idx="13">
                  <c:v>10.7</c:v>
                </c:pt>
                <c:pt idx="14">
                  <c:v>10.9</c:v>
                </c:pt>
                <c:pt idx="15">
                  <c:v>10.9</c:v>
                </c:pt>
                <c:pt idx="16">
                  <c:v>11</c:v>
                </c:pt>
                <c:pt idx="17">
                  <c:v>10.9</c:v>
                </c:pt>
                <c:pt idx="18">
                  <c:v>10.8</c:v>
                </c:pt>
                <c:pt idx="19">
                  <c:v>10.8</c:v>
                </c:pt>
                <c:pt idx="20">
                  <c:v>10.8</c:v>
                </c:pt>
                <c:pt idx="21">
                  <c:v>10.9</c:v>
                </c:pt>
                <c:pt idx="22">
                  <c:v>10.9</c:v>
                </c:pt>
                <c:pt idx="23">
                  <c:v>11.1</c:v>
                </c:pt>
                <c:pt idx="24">
                  <c:v>11.1</c:v>
                </c:pt>
                <c:pt idx="25">
                  <c:v>11</c:v>
                </c:pt>
                <c:pt idx="26">
                  <c:v>11</c:v>
                </c:pt>
                <c:pt idx="27">
                  <c:v>11</c:v>
                </c:pt>
                <c:pt idx="28">
                  <c:v>11</c:v>
                </c:pt>
                <c:pt idx="29">
                  <c:v>11.1</c:v>
                </c:pt>
                <c:pt idx="30">
                  <c:v>11.2</c:v>
                </c:pt>
                <c:pt idx="31">
                  <c:v>11.1</c:v>
                </c:pt>
                <c:pt idx="32">
                  <c:v>11</c:v>
                </c:pt>
                <c:pt idx="33">
                  <c:v>11.1</c:v>
                </c:pt>
                <c:pt idx="34">
                  <c:v>11.1</c:v>
                </c:pt>
                <c:pt idx="35">
                  <c:v>11.1</c:v>
                </c:pt>
                <c:pt idx="36">
                  <c:v>10.9</c:v>
                </c:pt>
                <c:pt idx="37">
                  <c:v>11</c:v>
                </c:pt>
                <c:pt idx="38">
                  <c:v>11.2</c:v>
                </c:pt>
                <c:pt idx="39">
                  <c:v>11.2</c:v>
                </c:pt>
                <c:pt idx="40">
                  <c:v>11.1</c:v>
                </c:pt>
                <c:pt idx="41">
                  <c:v>11.2</c:v>
                </c:pt>
                <c:pt idx="42">
                  <c:v>11.1</c:v>
                </c:pt>
                <c:pt idx="43">
                  <c:v>10.9</c:v>
                </c:pt>
                <c:pt idx="44">
                  <c:v>11</c:v>
                </c:pt>
                <c:pt idx="45">
                  <c:v>11</c:v>
                </c:pt>
                <c:pt idx="46">
                  <c:v>11.2</c:v>
                </c:pt>
                <c:pt idx="47">
                  <c:v>11.3</c:v>
                </c:pt>
                <c:pt idx="48">
                  <c:v>11.3</c:v>
                </c:pt>
                <c:pt idx="49">
                  <c:v>11.3</c:v>
                </c:pt>
                <c:pt idx="50">
                  <c:v>11.2</c:v>
                </c:pt>
                <c:pt idx="51">
                  <c:v>11</c:v>
                </c:pt>
                <c:pt idx="52">
                  <c:v>11.1</c:v>
                </c:pt>
                <c:pt idx="53">
                  <c:v>11.4</c:v>
                </c:pt>
                <c:pt idx="54">
                  <c:v>11.2</c:v>
                </c:pt>
                <c:pt idx="55">
                  <c:v>11.5</c:v>
                </c:pt>
                <c:pt idx="56">
                  <c:v>11.3</c:v>
                </c:pt>
                <c:pt idx="57">
                  <c:v>11.4</c:v>
                </c:pt>
                <c:pt idx="58">
                  <c:v>11.3</c:v>
                </c:pt>
                <c:pt idx="59">
                  <c:v>11.2</c:v>
                </c:pt>
                <c:pt idx="60">
                  <c:v>11.2</c:v>
                </c:pt>
                <c:pt idx="61">
                  <c:v>11.3</c:v>
                </c:pt>
                <c:pt idx="62">
                  <c:v>11.2</c:v>
                </c:pt>
                <c:pt idx="63">
                  <c:v>11.3</c:v>
                </c:pt>
                <c:pt idx="64">
                  <c:v>11.5</c:v>
                </c:pt>
                <c:pt idx="65">
                  <c:v>11.3</c:v>
                </c:pt>
                <c:pt idx="66">
                  <c:v>11.3</c:v>
                </c:pt>
                <c:pt idx="67">
                  <c:v>11.3</c:v>
                </c:pt>
                <c:pt idx="68">
                  <c:v>11.4</c:v>
                </c:pt>
                <c:pt idx="69">
                  <c:v>11.3</c:v>
                </c:pt>
                <c:pt idx="70">
                  <c:v>11.4</c:v>
                </c:pt>
                <c:pt idx="71">
                  <c:v>11.5</c:v>
                </c:pt>
                <c:pt idx="72">
                  <c:v>11.6</c:v>
                </c:pt>
                <c:pt idx="73">
                  <c:v>11.3</c:v>
                </c:pt>
                <c:pt idx="74">
                  <c:v>11.4</c:v>
                </c:pt>
                <c:pt idx="75">
                  <c:v>11.4</c:v>
                </c:pt>
                <c:pt idx="76">
                  <c:v>11.4</c:v>
                </c:pt>
                <c:pt idx="77">
                  <c:v>11.4</c:v>
                </c:pt>
                <c:pt idx="78">
                  <c:v>11.4</c:v>
                </c:pt>
                <c:pt idx="79">
                  <c:v>11.5</c:v>
                </c:pt>
                <c:pt idx="80">
                  <c:v>11.4</c:v>
                </c:pt>
                <c:pt idx="81">
                  <c:v>11.4</c:v>
                </c:pt>
                <c:pt idx="82">
                  <c:v>11.4</c:v>
                </c:pt>
                <c:pt idx="83">
                  <c:v>11.4</c:v>
                </c:pt>
                <c:pt idx="84">
                  <c:v>11.4</c:v>
                </c:pt>
                <c:pt idx="85">
                  <c:v>11.5</c:v>
                </c:pt>
                <c:pt idx="86">
                  <c:v>11.2</c:v>
                </c:pt>
                <c:pt idx="87">
                  <c:v>11.5</c:v>
                </c:pt>
                <c:pt idx="88">
                  <c:v>11.4</c:v>
                </c:pt>
                <c:pt idx="89">
                  <c:v>11.4</c:v>
                </c:pt>
                <c:pt idx="90">
                  <c:v>11.4</c:v>
                </c:pt>
                <c:pt idx="91">
                  <c:v>11.3</c:v>
                </c:pt>
                <c:pt idx="92">
                  <c:v>11.6</c:v>
                </c:pt>
                <c:pt idx="93">
                  <c:v>11.4</c:v>
                </c:pt>
                <c:pt idx="94">
                  <c:v>11.4</c:v>
                </c:pt>
                <c:pt idx="95">
                  <c:v>11.6</c:v>
                </c:pt>
                <c:pt idx="96">
                  <c:v>11.3</c:v>
                </c:pt>
                <c:pt idx="97">
                  <c:v>11.4</c:v>
                </c:pt>
                <c:pt idx="98">
                  <c:v>11.5</c:v>
                </c:pt>
                <c:pt idx="99">
                  <c:v>11.5</c:v>
                </c:pt>
                <c:pt idx="100">
                  <c:v>11.5</c:v>
                </c:pt>
                <c:pt idx="101">
                  <c:v>11.5</c:v>
                </c:pt>
                <c:pt idx="102">
                  <c:v>11.6</c:v>
                </c:pt>
                <c:pt idx="103">
                  <c:v>11.6</c:v>
                </c:pt>
                <c:pt idx="104">
                  <c:v>11.6</c:v>
                </c:pt>
                <c:pt idx="105">
                  <c:v>11.6</c:v>
                </c:pt>
                <c:pt idx="106">
                  <c:v>11.7</c:v>
                </c:pt>
                <c:pt idx="107">
                  <c:v>11.7</c:v>
                </c:pt>
                <c:pt idx="108">
                  <c:v>11.6</c:v>
                </c:pt>
                <c:pt idx="109">
                  <c:v>11.6</c:v>
                </c:pt>
                <c:pt idx="110">
                  <c:v>11.6</c:v>
                </c:pt>
                <c:pt idx="111">
                  <c:v>11.6</c:v>
                </c:pt>
                <c:pt idx="112">
                  <c:v>11.7</c:v>
                </c:pt>
                <c:pt idx="113">
                  <c:v>11.7</c:v>
                </c:pt>
                <c:pt idx="114">
                  <c:v>11.6</c:v>
                </c:pt>
                <c:pt idx="115">
                  <c:v>11.5</c:v>
                </c:pt>
                <c:pt idx="116">
                  <c:v>11.8</c:v>
                </c:pt>
                <c:pt idx="117">
                  <c:v>11.7</c:v>
                </c:pt>
                <c:pt idx="118">
                  <c:v>11.5</c:v>
                </c:pt>
                <c:pt idx="119">
                  <c:v>11.4</c:v>
                </c:pt>
                <c:pt idx="120">
                  <c:v>11.7</c:v>
                </c:pt>
                <c:pt idx="121">
                  <c:v>11.5</c:v>
                </c:pt>
                <c:pt idx="122">
                  <c:v>11.6</c:v>
                </c:pt>
                <c:pt idx="123">
                  <c:v>11.3</c:v>
                </c:pt>
                <c:pt idx="124">
                  <c:v>11.6</c:v>
                </c:pt>
                <c:pt idx="125">
                  <c:v>11.6</c:v>
                </c:pt>
                <c:pt idx="126">
                  <c:v>11.7</c:v>
                </c:pt>
                <c:pt idx="127">
                  <c:v>11.6</c:v>
                </c:pt>
                <c:pt idx="128">
                  <c:v>11.8</c:v>
                </c:pt>
                <c:pt idx="129">
                  <c:v>11.6</c:v>
                </c:pt>
                <c:pt idx="130">
                  <c:v>11.7</c:v>
                </c:pt>
                <c:pt idx="131">
                  <c:v>11.7</c:v>
                </c:pt>
                <c:pt idx="132">
                  <c:v>11.7</c:v>
                </c:pt>
                <c:pt idx="133">
                  <c:v>11.6</c:v>
                </c:pt>
                <c:pt idx="134">
                  <c:v>11.5</c:v>
                </c:pt>
                <c:pt idx="135">
                  <c:v>11.6</c:v>
                </c:pt>
                <c:pt idx="136">
                  <c:v>11.7</c:v>
                </c:pt>
                <c:pt idx="137">
                  <c:v>11.6</c:v>
                </c:pt>
                <c:pt idx="138">
                  <c:v>11.7</c:v>
                </c:pt>
                <c:pt idx="139">
                  <c:v>11.8</c:v>
                </c:pt>
                <c:pt idx="140">
                  <c:v>11.7</c:v>
                </c:pt>
                <c:pt idx="141">
                  <c:v>11.7</c:v>
                </c:pt>
                <c:pt idx="142">
                  <c:v>11.8</c:v>
                </c:pt>
                <c:pt idx="143">
                  <c:v>11.6</c:v>
                </c:pt>
                <c:pt idx="144">
                  <c:v>11.7</c:v>
                </c:pt>
                <c:pt idx="145">
                  <c:v>11.9</c:v>
                </c:pt>
                <c:pt idx="146">
                  <c:v>11.7</c:v>
                </c:pt>
                <c:pt idx="147">
                  <c:v>11.8</c:v>
                </c:pt>
                <c:pt idx="148">
                  <c:v>11.8</c:v>
                </c:pt>
                <c:pt idx="149">
                  <c:v>11.8</c:v>
                </c:pt>
                <c:pt idx="150">
                  <c:v>11.8</c:v>
                </c:pt>
                <c:pt idx="151">
                  <c:v>11.8</c:v>
                </c:pt>
                <c:pt idx="152">
                  <c:v>11.8</c:v>
                </c:pt>
                <c:pt idx="153">
                  <c:v>11.9</c:v>
                </c:pt>
                <c:pt idx="154">
                  <c:v>11.9</c:v>
                </c:pt>
                <c:pt idx="155">
                  <c:v>11.8</c:v>
                </c:pt>
                <c:pt idx="156">
                  <c:v>11.8</c:v>
                </c:pt>
                <c:pt idx="157">
                  <c:v>11.9</c:v>
                </c:pt>
                <c:pt idx="158">
                  <c:v>11.8</c:v>
                </c:pt>
                <c:pt idx="159">
                  <c:v>11.8</c:v>
                </c:pt>
                <c:pt idx="160">
                  <c:v>11.9</c:v>
                </c:pt>
                <c:pt idx="161">
                  <c:v>12</c:v>
                </c:pt>
                <c:pt idx="162">
                  <c:v>11.9</c:v>
                </c:pt>
                <c:pt idx="163">
                  <c:v>11.8</c:v>
                </c:pt>
                <c:pt idx="164">
                  <c:v>11.7</c:v>
                </c:pt>
                <c:pt idx="165">
                  <c:v>11.7</c:v>
                </c:pt>
                <c:pt idx="166">
                  <c:v>11.9</c:v>
                </c:pt>
                <c:pt idx="167">
                  <c:v>12</c:v>
                </c:pt>
                <c:pt idx="168">
                  <c:v>11.9</c:v>
                </c:pt>
                <c:pt idx="169">
                  <c:v>11.7</c:v>
                </c:pt>
                <c:pt idx="170">
                  <c:v>11.8</c:v>
                </c:pt>
                <c:pt idx="171">
                  <c:v>12</c:v>
                </c:pt>
                <c:pt idx="172">
                  <c:v>12</c:v>
                </c:pt>
                <c:pt idx="173">
                  <c:v>11.7</c:v>
                </c:pt>
                <c:pt idx="174">
                  <c:v>12</c:v>
                </c:pt>
                <c:pt idx="175">
                  <c:v>12</c:v>
                </c:pt>
                <c:pt idx="176">
                  <c:v>12</c:v>
                </c:pt>
                <c:pt idx="177">
                  <c:v>12</c:v>
                </c:pt>
                <c:pt idx="178">
                  <c:v>12</c:v>
                </c:pt>
                <c:pt idx="179">
                  <c:v>12</c:v>
                </c:pt>
                <c:pt idx="180">
                  <c:v>11.9</c:v>
                </c:pt>
                <c:pt idx="181">
                  <c:v>12</c:v>
                </c:pt>
                <c:pt idx="182">
                  <c:v>12.1</c:v>
                </c:pt>
                <c:pt idx="183">
                  <c:v>12</c:v>
                </c:pt>
                <c:pt idx="184">
                  <c:v>12</c:v>
                </c:pt>
                <c:pt idx="185">
                  <c:v>12.1</c:v>
                </c:pt>
                <c:pt idx="186">
                  <c:v>11.9</c:v>
                </c:pt>
                <c:pt idx="187">
                  <c:v>12</c:v>
                </c:pt>
                <c:pt idx="188">
                  <c:v>11.8</c:v>
                </c:pt>
                <c:pt idx="189">
                  <c:v>12</c:v>
                </c:pt>
                <c:pt idx="190">
                  <c:v>12.1</c:v>
                </c:pt>
                <c:pt idx="191">
                  <c:v>11.8</c:v>
                </c:pt>
                <c:pt idx="192">
                  <c:v>12.1</c:v>
                </c:pt>
                <c:pt idx="193">
                  <c:v>12.1</c:v>
                </c:pt>
                <c:pt idx="194">
                  <c:v>12</c:v>
                </c:pt>
                <c:pt idx="195">
                  <c:v>12</c:v>
                </c:pt>
                <c:pt idx="196">
                  <c:v>12</c:v>
                </c:pt>
                <c:pt idx="197">
                  <c:v>12.1</c:v>
                </c:pt>
                <c:pt idx="198">
                  <c:v>12.1</c:v>
                </c:pt>
                <c:pt idx="199">
                  <c:v>12.2</c:v>
                </c:pt>
                <c:pt idx="200">
                  <c:v>12.1</c:v>
                </c:pt>
                <c:pt idx="201">
                  <c:v>11.9</c:v>
                </c:pt>
                <c:pt idx="202">
                  <c:v>12</c:v>
                </c:pt>
                <c:pt idx="203">
                  <c:v>12</c:v>
                </c:pt>
                <c:pt idx="204">
                  <c:v>12</c:v>
                </c:pt>
                <c:pt idx="205">
                  <c:v>11.9</c:v>
                </c:pt>
                <c:pt idx="206">
                  <c:v>12.1</c:v>
                </c:pt>
                <c:pt idx="207">
                  <c:v>12.2</c:v>
                </c:pt>
                <c:pt idx="208">
                  <c:v>12</c:v>
                </c:pt>
                <c:pt idx="209">
                  <c:v>12.1</c:v>
                </c:pt>
                <c:pt idx="210">
                  <c:v>12.1</c:v>
                </c:pt>
                <c:pt idx="211">
                  <c:v>12.1</c:v>
                </c:pt>
                <c:pt idx="212">
                  <c:v>12</c:v>
                </c:pt>
                <c:pt idx="213">
                  <c:v>12.1</c:v>
                </c:pt>
                <c:pt idx="214">
                  <c:v>12.1</c:v>
                </c:pt>
                <c:pt idx="215">
                  <c:v>12</c:v>
                </c:pt>
                <c:pt idx="216">
                  <c:v>12.2</c:v>
                </c:pt>
                <c:pt idx="217">
                  <c:v>12.2</c:v>
                </c:pt>
                <c:pt idx="218">
                  <c:v>12.2</c:v>
                </c:pt>
                <c:pt idx="219">
                  <c:v>12.1</c:v>
                </c:pt>
                <c:pt idx="220">
                  <c:v>12.1</c:v>
                </c:pt>
                <c:pt idx="221">
                  <c:v>12.2</c:v>
                </c:pt>
                <c:pt idx="222">
                  <c:v>12.1</c:v>
                </c:pt>
                <c:pt idx="223">
                  <c:v>12</c:v>
                </c:pt>
                <c:pt idx="224">
                  <c:v>12.2</c:v>
                </c:pt>
                <c:pt idx="225">
                  <c:v>12.3</c:v>
                </c:pt>
                <c:pt idx="226">
                  <c:v>12.3</c:v>
                </c:pt>
                <c:pt idx="227">
                  <c:v>12.2</c:v>
                </c:pt>
                <c:pt idx="228">
                  <c:v>12.2</c:v>
                </c:pt>
                <c:pt idx="229">
                  <c:v>12</c:v>
                </c:pt>
                <c:pt idx="230">
                  <c:v>12.2</c:v>
                </c:pt>
                <c:pt idx="231">
                  <c:v>12</c:v>
                </c:pt>
                <c:pt idx="232">
                  <c:v>12.3</c:v>
                </c:pt>
                <c:pt idx="233">
                  <c:v>12.3</c:v>
                </c:pt>
                <c:pt idx="234">
                  <c:v>12.2</c:v>
                </c:pt>
                <c:pt idx="235">
                  <c:v>12.2</c:v>
                </c:pt>
                <c:pt idx="236">
                  <c:v>12.2</c:v>
                </c:pt>
                <c:pt idx="237">
                  <c:v>12.2</c:v>
                </c:pt>
                <c:pt idx="238">
                  <c:v>12.3</c:v>
                </c:pt>
                <c:pt idx="239">
                  <c:v>12.3</c:v>
                </c:pt>
                <c:pt idx="240">
                  <c:v>12.1</c:v>
                </c:pt>
                <c:pt idx="241">
                  <c:v>12.3</c:v>
                </c:pt>
                <c:pt idx="242">
                  <c:v>12.3</c:v>
                </c:pt>
                <c:pt idx="243">
                  <c:v>12.4</c:v>
                </c:pt>
                <c:pt idx="244">
                  <c:v>12.3</c:v>
                </c:pt>
                <c:pt idx="245">
                  <c:v>12.3</c:v>
                </c:pt>
                <c:pt idx="246">
                  <c:v>12.4</c:v>
                </c:pt>
                <c:pt idx="247">
                  <c:v>12.3</c:v>
                </c:pt>
                <c:pt idx="248">
                  <c:v>12.1</c:v>
                </c:pt>
                <c:pt idx="249">
                  <c:v>12.3</c:v>
                </c:pt>
                <c:pt idx="250">
                  <c:v>12.2</c:v>
                </c:pt>
                <c:pt idx="251">
                  <c:v>12.3</c:v>
                </c:pt>
                <c:pt idx="252">
                  <c:v>12.3</c:v>
                </c:pt>
                <c:pt idx="253">
                  <c:v>12.3</c:v>
                </c:pt>
                <c:pt idx="254">
                  <c:v>12.4</c:v>
                </c:pt>
                <c:pt idx="255">
                  <c:v>12.4</c:v>
                </c:pt>
                <c:pt idx="256">
                  <c:v>12.5</c:v>
                </c:pt>
                <c:pt idx="257">
                  <c:v>12.5</c:v>
                </c:pt>
                <c:pt idx="258">
                  <c:v>12.4</c:v>
                </c:pt>
                <c:pt idx="259">
                  <c:v>12.5</c:v>
                </c:pt>
                <c:pt idx="260">
                  <c:v>12.4</c:v>
                </c:pt>
                <c:pt idx="261">
                  <c:v>12.5</c:v>
                </c:pt>
                <c:pt idx="262">
                  <c:v>12.5</c:v>
                </c:pt>
                <c:pt idx="263">
                  <c:v>12.2</c:v>
                </c:pt>
                <c:pt idx="264">
                  <c:v>12.3</c:v>
                </c:pt>
                <c:pt idx="265">
                  <c:v>12.6</c:v>
                </c:pt>
                <c:pt idx="266">
                  <c:v>12.4</c:v>
                </c:pt>
                <c:pt idx="267">
                  <c:v>12.4</c:v>
                </c:pt>
                <c:pt idx="268">
                  <c:v>12.3</c:v>
                </c:pt>
                <c:pt idx="269">
                  <c:v>12.5</c:v>
                </c:pt>
                <c:pt idx="270">
                  <c:v>12.3</c:v>
                </c:pt>
                <c:pt idx="271">
                  <c:v>12.5</c:v>
                </c:pt>
                <c:pt idx="272">
                  <c:v>12.2</c:v>
                </c:pt>
                <c:pt idx="273">
                  <c:v>12.2</c:v>
                </c:pt>
                <c:pt idx="274">
                  <c:v>12.5</c:v>
                </c:pt>
                <c:pt idx="275">
                  <c:v>12.5</c:v>
                </c:pt>
                <c:pt idx="276">
                  <c:v>12.5</c:v>
                </c:pt>
                <c:pt idx="277">
                  <c:v>12.4</c:v>
                </c:pt>
                <c:pt idx="278">
                  <c:v>12.3</c:v>
                </c:pt>
                <c:pt idx="279">
                  <c:v>12.5</c:v>
                </c:pt>
                <c:pt idx="280">
                  <c:v>12.5</c:v>
                </c:pt>
                <c:pt idx="281">
                  <c:v>12.6</c:v>
                </c:pt>
                <c:pt idx="282">
                  <c:v>12.7</c:v>
                </c:pt>
                <c:pt idx="283">
                  <c:v>12.5</c:v>
                </c:pt>
                <c:pt idx="284">
                  <c:v>12.4</c:v>
                </c:pt>
                <c:pt idx="285">
                  <c:v>12.6</c:v>
                </c:pt>
                <c:pt idx="286">
                  <c:v>12.5</c:v>
                </c:pt>
                <c:pt idx="287">
                  <c:v>12.5</c:v>
                </c:pt>
                <c:pt idx="288">
                  <c:v>12.6</c:v>
                </c:pt>
                <c:pt idx="289">
                  <c:v>12.5</c:v>
                </c:pt>
                <c:pt idx="290">
                  <c:v>12.6</c:v>
                </c:pt>
                <c:pt idx="291">
                  <c:v>12.7</c:v>
                </c:pt>
                <c:pt idx="292">
                  <c:v>12.4</c:v>
                </c:pt>
                <c:pt idx="293">
                  <c:v>12.5</c:v>
                </c:pt>
                <c:pt idx="294">
                  <c:v>12.3</c:v>
                </c:pt>
                <c:pt idx="295">
                  <c:v>12.6</c:v>
                </c:pt>
                <c:pt idx="296">
                  <c:v>12.5</c:v>
                </c:pt>
                <c:pt idx="297">
                  <c:v>12.5</c:v>
                </c:pt>
                <c:pt idx="298">
                  <c:v>12.6</c:v>
                </c:pt>
                <c:pt idx="299">
                  <c:v>12.7</c:v>
                </c:pt>
                <c:pt idx="300">
                  <c:v>12.5</c:v>
                </c:pt>
                <c:pt idx="301">
                  <c:v>12.7</c:v>
                </c:pt>
                <c:pt idx="302">
                  <c:v>12.5</c:v>
                </c:pt>
                <c:pt idx="303">
                  <c:v>12.6</c:v>
                </c:pt>
                <c:pt idx="304">
                  <c:v>12.5</c:v>
                </c:pt>
                <c:pt idx="305">
                  <c:v>12.5</c:v>
                </c:pt>
                <c:pt idx="306">
                  <c:v>12.6</c:v>
                </c:pt>
                <c:pt idx="307">
                  <c:v>12.7</c:v>
                </c:pt>
                <c:pt idx="308">
                  <c:v>12.6</c:v>
                </c:pt>
                <c:pt idx="309">
                  <c:v>12.6</c:v>
                </c:pt>
                <c:pt idx="310">
                  <c:v>12.6</c:v>
                </c:pt>
                <c:pt idx="311">
                  <c:v>12.6</c:v>
                </c:pt>
                <c:pt idx="312">
                  <c:v>12.7</c:v>
                </c:pt>
                <c:pt idx="313">
                  <c:v>12.8</c:v>
                </c:pt>
                <c:pt idx="314">
                  <c:v>12.7</c:v>
                </c:pt>
                <c:pt idx="315">
                  <c:v>12.7</c:v>
                </c:pt>
                <c:pt idx="316">
                  <c:v>12.7</c:v>
                </c:pt>
                <c:pt idx="317">
                  <c:v>12.8</c:v>
                </c:pt>
                <c:pt idx="318">
                  <c:v>12.8</c:v>
                </c:pt>
                <c:pt idx="319">
                  <c:v>12.7</c:v>
                </c:pt>
                <c:pt idx="320">
                  <c:v>12.8</c:v>
                </c:pt>
                <c:pt idx="321">
                  <c:v>12.7</c:v>
                </c:pt>
                <c:pt idx="322">
                  <c:v>12.9</c:v>
                </c:pt>
                <c:pt idx="323">
                  <c:v>12.8</c:v>
                </c:pt>
                <c:pt idx="324">
                  <c:v>12.8</c:v>
                </c:pt>
                <c:pt idx="325">
                  <c:v>12.6</c:v>
                </c:pt>
                <c:pt idx="326">
                  <c:v>12.9</c:v>
                </c:pt>
                <c:pt idx="327">
                  <c:v>12.8</c:v>
                </c:pt>
                <c:pt idx="328">
                  <c:v>12.8</c:v>
                </c:pt>
                <c:pt idx="329">
                  <c:v>12.8</c:v>
                </c:pt>
                <c:pt idx="330">
                  <c:v>13</c:v>
                </c:pt>
                <c:pt idx="331">
                  <c:v>12.9</c:v>
                </c:pt>
                <c:pt idx="332">
                  <c:v>13</c:v>
                </c:pt>
                <c:pt idx="333">
                  <c:v>12.9</c:v>
                </c:pt>
                <c:pt idx="334">
                  <c:v>13</c:v>
                </c:pt>
                <c:pt idx="335">
                  <c:v>12.9</c:v>
                </c:pt>
                <c:pt idx="336">
                  <c:v>13</c:v>
                </c:pt>
                <c:pt idx="337">
                  <c:v>13</c:v>
                </c:pt>
                <c:pt idx="338">
                  <c:v>13.1</c:v>
                </c:pt>
                <c:pt idx="339">
                  <c:v>13.1</c:v>
                </c:pt>
                <c:pt idx="340">
                  <c:v>12.9</c:v>
                </c:pt>
                <c:pt idx="341">
                  <c:v>12.9</c:v>
                </c:pt>
                <c:pt idx="342">
                  <c:v>13.2</c:v>
                </c:pt>
                <c:pt idx="343">
                  <c:v>13.2</c:v>
                </c:pt>
                <c:pt idx="344">
                  <c:v>13.3</c:v>
                </c:pt>
                <c:pt idx="345">
                  <c:v>13.4</c:v>
                </c:pt>
                <c:pt idx="346">
                  <c:v>13.3</c:v>
                </c:pt>
                <c:pt idx="347">
                  <c:v>13.2</c:v>
                </c:pt>
                <c:pt idx="348">
                  <c:v>13.4</c:v>
                </c:pt>
                <c:pt idx="349">
                  <c:v>13.4</c:v>
                </c:pt>
                <c:pt idx="350">
                  <c:v>13.4</c:v>
                </c:pt>
                <c:pt idx="351">
                  <c:v>13.4</c:v>
                </c:pt>
                <c:pt idx="352">
                  <c:v>13.6</c:v>
                </c:pt>
                <c:pt idx="353">
                  <c:v>14.1</c:v>
                </c:pt>
                <c:pt idx="354">
                  <c:v>14</c:v>
                </c:pt>
                <c:pt idx="355">
                  <c:v>14.5</c:v>
                </c:pt>
                <c:pt idx="356">
                  <c:v>14.6</c:v>
                </c:pt>
              </c:numCache>
            </c:numRef>
          </c:val>
          <c:smooth val="0"/>
          <c:extLst>
            <c:ext xmlns:c16="http://schemas.microsoft.com/office/drawing/2014/chart" uri="{C3380CC4-5D6E-409C-BE32-E72D297353CC}">
              <c16:uniqueId val="{00000004-A23F-4F3C-A609-EE15F1731AE3}"/>
            </c:ext>
          </c:extLst>
        </c:ser>
        <c:ser>
          <c:idx val="1"/>
          <c:order val="5"/>
          <c:tx>
            <c:v>Lower CI - Male</c:v>
          </c:tx>
          <c:spPr>
            <a:ln>
              <a:noFill/>
            </a:ln>
          </c:spPr>
          <c:marker>
            <c:symbol val="dot"/>
            <c:size val="2"/>
          </c:marker>
          <c:cat>
            <c:multiLvlStrRef>
              <c:f>[NHSOF_1b_I00655_D.xls]Sheet1!$A$2:$B$358</c:f>
              <c:multiLvlStrCache>
                <c:ptCount val="357"/>
                <c:lvl>
                  <c:pt idx="0">
                    <c:v>Male</c:v>
                  </c:pt>
                  <c:pt idx="1">
                    <c:v>Male</c:v>
                  </c:pt>
                  <c:pt idx="2">
                    <c:v>Male</c:v>
                  </c:pt>
                  <c:pt idx="3">
                    <c:v>Male</c:v>
                  </c:pt>
                  <c:pt idx="4">
                    <c:v>Male</c:v>
                  </c:pt>
                  <c:pt idx="5">
                    <c:v>Male</c:v>
                  </c:pt>
                  <c:pt idx="6">
                    <c:v>Male</c:v>
                  </c:pt>
                  <c:pt idx="7">
                    <c:v>Male</c:v>
                  </c:pt>
                  <c:pt idx="8">
                    <c:v>Male</c:v>
                  </c:pt>
                  <c:pt idx="9">
                    <c:v>Male</c:v>
                  </c:pt>
                  <c:pt idx="10">
                    <c:v>Male</c:v>
                  </c:pt>
                  <c:pt idx="11">
                    <c:v>Male</c:v>
                  </c:pt>
                  <c:pt idx="12">
                    <c:v>Male</c:v>
                  </c:pt>
                  <c:pt idx="13">
                    <c:v>Male</c:v>
                  </c:pt>
                  <c:pt idx="14">
                    <c:v>Male</c:v>
                  </c:pt>
                  <c:pt idx="15">
                    <c:v>Male</c:v>
                  </c:pt>
                  <c:pt idx="16">
                    <c:v>Male</c:v>
                  </c:pt>
                  <c:pt idx="17">
                    <c:v>Male</c:v>
                  </c:pt>
                  <c:pt idx="18">
                    <c:v>Male</c:v>
                  </c:pt>
                  <c:pt idx="19">
                    <c:v>Male</c:v>
                  </c:pt>
                  <c:pt idx="20">
                    <c:v>Male</c:v>
                  </c:pt>
                  <c:pt idx="21">
                    <c:v>Male</c:v>
                  </c:pt>
                  <c:pt idx="22">
                    <c:v>Male</c:v>
                  </c:pt>
                  <c:pt idx="23">
                    <c:v>Male</c:v>
                  </c:pt>
                  <c:pt idx="24">
                    <c:v>Male</c:v>
                  </c:pt>
                  <c:pt idx="25">
                    <c:v>Male</c:v>
                  </c:pt>
                  <c:pt idx="26">
                    <c:v>Male</c:v>
                  </c:pt>
                  <c:pt idx="27">
                    <c:v>Male</c:v>
                  </c:pt>
                  <c:pt idx="28">
                    <c:v>Male</c:v>
                  </c:pt>
                  <c:pt idx="29">
                    <c:v>Male</c:v>
                  </c:pt>
                  <c:pt idx="30">
                    <c:v>Male</c:v>
                  </c:pt>
                  <c:pt idx="31">
                    <c:v>Male</c:v>
                  </c:pt>
                  <c:pt idx="32">
                    <c:v>Male</c:v>
                  </c:pt>
                  <c:pt idx="33">
                    <c:v>Male</c:v>
                  </c:pt>
                  <c:pt idx="34">
                    <c:v>Male</c:v>
                  </c:pt>
                  <c:pt idx="35">
                    <c:v>Male</c:v>
                  </c:pt>
                  <c:pt idx="36">
                    <c:v>Male</c:v>
                  </c:pt>
                  <c:pt idx="37">
                    <c:v>Male</c:v>
                  </c:pt>
                  <c:pt idx="38">
                    <c:v>Male</c:v>
                  </c:pt>
                  <c:pt idx="39">
                    <c:v>Male</c:v>
                  </c:pt>
                  <c:pt idx="40">
                    <c:v>Male</c:v>
                  </c:pt>
                  <c:pt idx="41">
                    <c:v>Male</c:v>
                  </c:pt>
                  <c:pt idx="42">
                    <c:v>Male</c:v>
                  </c:pt>
                  <c:pt idx="43">
                    <c:v>Male</c:v>
                  </c:pt>
                  <c:pt idx="44">
                    <c:v>Male</c:v>
                  </c:pt>
                  <c:pt idx="45">
                    <c:v>Male</c:v>
                  </c:pt>
                  <c:pt idx="46">
                    <c:v>Male</c:v>
                  </c:pt>
                  <c:pt idx="47">
                    <c:v>Male</c:v>
                  </c:pt>
                  <c:pt idx="48">
                    <c:v>Male</c:v>
                  </c:pt>
                  <c:pt idx="49">
                    <c:v>Male</c:v>
                  </c:pt>
                  <c:pt idx="50">
                    <c:v>Male</c:v>
                  </c:pt>
                  <c:pt idx="51">
                    <c:v>Male</c:v>
                  </c:pt>
                  <c:pt idx="52">
                    <c:v>Male</c:v>
                  </c:pt>
                  <c:pt idx="53">
                    <c:v>Male</c:v>
                  </c:pt>
                  <c:pt idx="54">
                    <c:v>Male</c:v>
                  </c:pt>
                  <c:pt idx="55">
                    <c:v>Male</c:v>
                  </c:pt>
                  <c:pt idx="56">
                    <c:v>Male</c:v>
                  </c:pt>
                  <c:pt idx="57">
                    <c:v>Male</c:v>
                  </c:pt>
                  <c:pt idx="58">
                    <c:v>Male</c:v>
                  </c:pt>
                  <c:pt idx="59">
                    <c:v>Male</c:v>
                  </c:pt>
                  <c:pt idx="60">
                    <c:v>Male</c:v>
                  </c:pt>
                  <c:pt idx="61">
                    <c:v>Male</c:v>
                  </c:pt>
                  <c:pt idx="62">
                    <c:v>Male</c:v>
                  </c:pt>
                  <c:pt idx="63">
                    <c:v>Male</c:v>
                  </c:pt>
                  <c:pt idx="64">
                    <c:v>Male</c:v>
                  </c:pt>
                  <c:pt idx="65">
                    <c:v>Male</c:v>
                  </c:pt>
                  <c:pt idx="66">
                    <c:v>Male</c:v>
                  </c:pt>
                  <c:pt idx="67">
                    <c:v>Male</c:v>
                  </c:pt>
                  <c:pt idx="68">
                    <c:v>Male</c:v>
                  </c:pt>
                  <c:pt idx="69">
                    <c:v>Male</c:v>
                  </c:pt>
                  <c:pt idx="70">
                    <c:v>Male</c:v>
                  </c:pt>
                  <c:pt idx="71">
                    <c:v>Male</c:v>
                  </c:pt>
                  <c:pt idx="72">
                    <c:v>Male</c:v>
                  </c:pt>
                  <c:pt idx="73">
                    <c:v>Male</c:v>
                  </c:pt>
                  <c:pt idx="74">
                    <c:v>Male</c:v>
                  </c:pt>
                  <c:pt idx="75">
                    <c:v>Male</c:v>
                  </c:pt>
                  <c:pt idx="76">
                    <c:v>Male</c:v>
                  </c:pt>
                  <c:pt idx="77">
                    <c:v>Male</c:v>
                  </c:pt>
                  <c:pt idx="78">
                    <c:v>Male</c:v>
                  </c:pt>
                  <c:pt idx="79">
                    <c:v>Male</c:v>
                  </c:pt>
                  <c:pt idx="80">
                    <c:v>Male</c:v>
                  </c:pt>
                  <c:pt idx="81">
                    <c:v>Male</c:v>
                  </c:pt>
                  <c:pt idx="82">
                    <c:v>Male</c:v>
                  </c:pt>
                  <c:pt idx="83">
                    <c:v>Male</c:v>
                  </c:pt>
                  <c:pt idx="84">
                    <c:v>Male</c:v>
                  </c:pt>
                  <c:pt idx="85">
                    <c:v>Male</c:v>
                  </c:pt>
                  <c:pt idx="86">
                    <c:v>Male</c:v>
                  </c:pt>
                  <c:pt idx="87">
                    <c:v>Male</c:v>
                  </c:pt>
                  <c:pt idx="88">
                    <c:v>Male</c:v>
                  </c:pt>
                  <c:pt idx="89">
                    <c:v>Male</c:v>
                  </c:pt>
                  <c:pt idx="90">
                    <c:v>Male</c:v>
                  </c:pt>
                  <c:pt idx="91">
                    <c:v>Male</c:v>
                  </c:pt>
                  <c:pt idx="92">
                    <c:v>Male</c:v>
                  </c:pt>
                  <c:pt idx="93">
                    <c:v>Male</c:v>
                  </c:pt>
                  <c:pt idx="94">
                    <c:v>Male</c:v>
                  </c:pt>
                  <c:pt idx="95">
                    <c:v>Male</c:v>
                  </c:pt>
                  <c:pt idx="96">
                    <c:v>Male</c:v>
                  </c:pt>
                  <c:pt idx="97">
                    <c:v>Male</c:v>
                  </c:pt>
                  <c:pt idx="98">
                    <c:v>Male</c:v>
                  </c:pt>
                  <c:pt idx="99">
                    <c:v>Male</c:v>
                  </c:pt>
                  <c:pt idx="100">
                    <c:v>Male</c:v>
                  </c:pt>
                  <c:pt idx="101">
                    <c:v>Male</c:v>
                  </c:pt>
                  <c:pt idx="102">
                    <c:v>Male</c:v>
                  </c:pt>
                  <c:pt idx="103">
                    <c:v>Male</c:v>
                  </c:pt>
                  <c:pt idx="104">
                    <c:v>Male</c:v>
                  </c:pt>
                  <c:pt idx="105">
                    <c:v>Male</c:v>
                  </c:pt>
                  <c:pt idx="106">
                    <c:v>Male</c:v>
                  </c:pt>
                  <c:pt idx="107">
                    <c:v>Male</c:v>
                  </c:pt>
                  <c:pt idx="108">
                    <c:v>Male</c:v>
                  </c:pt>
                  <c:pt idx="109">
                    <c:v>Male</c:v>
                  </c:pt>
                  <c:pt idx="110">
                    <c:v>Male</c:v>
                  </c:pt>
                  <c:pt idx="111">
                    <c:v>Male</c:v>
                  </c:pt>
                  <c:pt idx="112">
                    <c:v>Male</c:v>
                  </c:pt>
                  <c:pt idx="113">
                    <c:v>Male</c:v>
                  </c:pt>
                  <c:pt idx="114">
                    <c:v>Male</c:v>
                  </c:pt>
                  <c:pt idx="115">
                    <c:v>Male</c:v>
                  </c:pt>
                  <c:pt idx="116">
                    <c:v>Male</c:v>
                  </c:pt>
                  <c:pt idx="117">
                    <c:v>Male</c:v>
                  </c:pt>
                  <c:pt idx="118">
                    <c:v>Male</c:v>
                  </c:pt>
                  <c:pt idx="119">
                    <c:v>Male</c:v>
                  </c:pt>
                  <c:pt idx="120">
                    <c:v>Male</c:v>
                  </c:pt>
                  <c:pt idx="121">
                    <c:v>Male</c:v>
                  </c:pt>
                  <c:pt idx="122">
                    <c:v>Male</c:v>
                  </c:pt>
                  <c:pt idx="123">
                    <c:v>Male</c:v>
                  </c:pt>
                  <c:pt idx="124">
                    <c:v>Male</c:v>
                  </c:pt>
                  <c:pt idx="125">
                    <c:v>Male</c:v>
                  </c:pt>
                  <c:pt idx="126">
                    <c:v>Male</c:v>
                  </c:pt>
                  <c:pt idx="127">
                    <c:v>Male</c:v>
                  </c:pt>
                  <c:pt idx="128">
                    <c:v>Male</c:v>
                  </c:pt>
                  <c:pt idx="129">
                    <c:v>Male</c:v>
                  </c:pt>
                  <c:pt idx="130">
                    <c:v>Male</c:v>
                  </c:pt>
                  <c:pt idx="131">
                    <c:v>Male</c:v>
                  </c:pt>
                  <c:pt idx="132">
                    <c:v>Male</c:v>
                  </c:pt>
                  <c:pt idx="133">
                    <c:v>Male</c:v>
                  </c:pt>
                  <c:pt idx="134">
                    <c:v>Male</c:v>
                  </c:pt>
                  <c:pt idx="135">
                    <c:v>Male</c:v>
                  </c:pt>
                  <c:pt idx="136">
                    <c:v>Male</c:v>
                  </c:pt>
                  <c:pt idx="137">
                    <c:v>Male</c:v>
                  </c:pt>
                  <c:pt idx="138">
                    <c:v>Male</c:v>
                  </c:pt>
                  <c:pt idx="139">
                    <c:v>Male</c:v>
                  </c:pt>
                  <c:pt idx="140">
                    <c:v>Male</c:v>
                  </c:pt>
                  <c:pt idx="141">
                    <c:v>Male</c:v>
                  </c:pt>
                  <c:pt idx="142">
                    <c:v>Male</c:v>
                  </c:pt>
                  <c:pt idx="143">
                    <c:v>Male</c:v>
                  </c:pt>
                  <c:pt idx="144">
                    <c:v>Male</c:v>
                  </c:pt>
                  <c:pt idx="145">
                    <c:v>Male</c:v>
                  </c:pt>
                  <c:pt idx="146">
                    <c:v>Male</c:v>
                  </c:pt>
                  <c:pt idx="147">
                    <c:v>Male</c:v>
                  </c:pt>
                  <c:pt idx="148">
                    <c:v>Male</c:v>
                  </c:pt>
                  <c:pt idx="149">
                    <c:v>Male</c:v>
                  </c:pt>
                  <c:pt idx="150">
                    <c:v>Male</c:v>
                  </c:pt>
                  <c:pt idx="151">
                    <c:v>Male</c:v>
                  </c:pt>
                  <c:pt idx="152">
                    <c:v>Male</c:v>
                  </c:pt>
                  <c:pt idx="153">
                    <c:v>Male</c:v>
                  </c:pt>
                  <c:pt idx="154">
                    <c:v>Male</c:v>
                  </c:pt>
                  <c:pt idx="155">
                    <c:v>Male</c:v>
                  </c:pt>
                  <c:pt idx="156">
                    <c:v>Male</c:v>
                  </c:pt>
                  <c:pt idx="157">
                    <c:v>Male</c:v>
                  </c:pt>
                  <c:pt idx="158">
                    <c:v>Male</c:v>
                  </c:pt>
                  <c:pt idx="159">
                    <c:v>Male</c:v>
                  </c:pt>
                  <c:pt idx="160">
                    <c:v>Male</c:v>
                  </c:pt>
                  <c:pt idx="161">
                    <c:v>Male</c:v>
                  </c:pt>
                  <c:pt idx="162">
                    <c:v>Male</c:v>
                  </c:pt>
                  <c:pt idx="163">
                    <c:v>Male</c:v>
                  </c:pt>
                  <c:pt idx="164">
                    <c:v>Male</c:v>
                  </c:pt>
                  <c:pt idx="165">
                    <c:v>Male</c:v>
                  </c:pt>
                  <c:pt idx="166">
                    <c:v>Male</c:v>
                  </c:pt>
                  <c:pt idx="167">
                    <c:v>Male</c:v>
                  </c:pt>
                  <c:pt idx="168">
                    <c:v>Male</c:v>
                  </c:pt>
                  <c:pt idx="169">
                    <c:v>Male</c:v>
                  </c:pt>
                  <c:pt idx="170">
                    <c:v>Male</c:v>
                  </c:pt>
                  <c:pt idx="171">
                    <c:v>Male</c:v>
                  </c:pt>
                  <c:pt idx="172">
                    <c:v>Male</c:v>
                  </c:pt>
                  <c:pt idx="173">
                    <c:v>Male</c:v>
                  </c:pt>
                  <c:pt idx="174">
                    <c:v>Male</c:v>
                  </c:pt>
                  <c:pt idx="175">
                    <c:v>Male</c:v>
                  </c:pt>
                  <c:pt idx="176">
                    <c:v>Male</c:v>
                  </c:pt>
                  <c:pt idx="177">
                    <c:v>Male</c:v>
                  </c:pt>
                  <c:pt idx="178">
                    <c:v>Male</c:v>
                  </c:pt>
                  <c:pt idx="179">
                    <c:v>Male</c:v>
                  </c:pt>
                  <c:pt idx="180">
                    <c:v>Male</c:v>
                  </c:pt>
                  <c:pt idx="181">
                    <c:v>Male</c:v>
                  </c:pt>
                  <c:pt idx="182">
                    <c:v>Male</c:v>
                  </c:pt>
                  <c:pt idx="183">
                    <c:v>Male</c:v>
                  </c:pt>
                  <c:pt idx="184">
                    <c:v>Male</c:v>
                  </c:pt>
                  <c:pt idx="185">
                    <c:v>Male</c:v>
                  </c:pt>
                  <c:pt idx="186">
                    <c:v>Male</c:v>
                  </c:pt>
                  <c:pt idx="187">
                    <c:v>Male</c:v>
                  </c:pt>
                  <c:pt idx="188">
                    <c:v>Male</c:v>
                  </c:pt>
                  <c:pt idx="189">
                    <c:v>Male</c:v>
                  </c:pt>
                  <c:pt idx="190">
                    <c:v>Male</c:v>
                  </c:pt>
                  <c:pt idx="191">
                    <c:v>Male</c:v>
                  </c:pt>
                  <c:pt idx="192">
                    <c:v>Male</c:v>
                  </c:pt>
                  <c:pt idx="193">
                    <c:v>Male</c:v>
                  </c:pt>
                  <c:pt idx="194">
                    <c:v>Male</c:v>
                  </c:pt>
                  <c:pt idx="195">
                    <c:v>Male</c:v>
                  </c:pt>
                  <c:pt idx="196">
                    <c:v>Male</c:v>
                  </c:pt>
                  <c:pt idx="197">
                    <c:v>Male</c:v>
                  </c:pt>
                  <c:pt idx="198">
                    <c:v>Male</c:v>
                  </c:pt>
                  <c:pt idx="199">
                    <c:v>Male</c:v>
                  </c:pt>
                  <c:pt idx="200">
                    <c:v>Male</c:v>
                  </c:pt>
                  <c:pt idx="201">
                    <c:v>Male</c:v>
                  </c:pt>
                  <c:pt idx="202">
                    <c:v>Male</c:v>
                  </c:pt>
                  <c:pt idx="203">
                    <c:v>Male</c:v>
                  </c:pt>
                  <c:pt idx="204">
                    <c:v>Male</c:v>
                  </c:pt>
                  <c:pt idx="205">
                    <c:v>Male</c:v>
                  </c:pt>
                  <c:pt idx="206">
                    <c:v>Male</c:v>
                  </c:pt>
                  <c:pt idx="207">
                    <c:v>Male</c:v>
                  </c:pt>
                  <c:pt idx="208">
                    <c:v>Male</c:v>
                  </c:pt>
                  <c:pt idx="209">
                    <c:v>Male</c:v>
                  </c:pt>
                  <c:pt idx="210">
                    <c:v>Male</c:v>
                  </c:pt>
                  <c:pt idx="211">
                    <c:v>Male</c:v>
                  </c:pt>
                  <c:pt idx="212">
                    <c:v>Male</c:v>
                  </c:pt>
                  <c:pt idx="213">
                    <c:v>Male</c:v>
                  </c:pt>
                  <c:pt idx="214">
                    <c:v>Male</c:v>
                  </c:pt>
                  <c:pt idx="215">
                    <c:v>Male</c:v>
                  </c:pt>
                  <c:pt idx="216">
                    <c:v>Male</c:v>
                  </c:pt>
                  <c:pt idx="217">
                    <c:v>Male</c:v>
                  </c:pt>
                  <c:pt idx="218">
                    <c:v>Male</c:v>
                  </c:pt>
                  <c:pt idx="219">
                    <c:v>Male</c:v>
                  </c:pt>
                  <c:pt idx="220">
                    <c:v>Male</c:v>
                  </c:pt>
                  <c:pt idx="221">
                    <c:v>Male</c:v>
                  </c:pt>
                  <c:pt idx="222">
                    <c:v>Male</c:v>
                  </c:pt>
                  <c:pt idx="223">
                    <c:v>Male</c:v>
                  </c:pt>
                  <c:pt idx="224">
                    <c:v>Male</c:v>
                  </c:pt>
                  <c:pt idx="225">
                    <c:v>Male</c:v>
                  </c:pt>
                  <c:pt idx="226">
                    <c:v>Male</c:v>
                  </c:pt>
                  <c:pt idx="227">
                    <c:v>Male</c:v>
                  </c:pt>
                  <c:pt idx="228">
                    <c:v>Male</c:v>
                  </c:pt>
                  <c:pt idx="229">
                    <c:v>Male</c:v>
                  </c:pt>
                  <c:pt idx="230">
                    <c:v>Male</c:v>
                  </c:pt>
                  <c:pt idx="231">
                    <c:v>Male</c:v>
                  </c:pt>
                  <c:pt idx="232">
                    <c:v>Male</c:v>
                  </c:pt>
                  <c:pt idx="233">
                    <c:v>Male</c:v>
                  </c:pt>
                  <c:pt idx="234">
                    <c:v>Male</c:v>
                  </c:pt>
                  <c:pt idx="235">
                    <c:v>Male</c:v>
                  </c:pt>
                  <c:pt idx="236">
                    <c:v>Male</c:v>
                  </c:pt>
                  <c:pt idx="237">
                    <c:v>Male</c:v>
                  </c:pt>
                  <c:pt idx="238">
                    <c:v>Male</c:v>
                  </c:pt>
                  <c:pt idx="239">
                    <c:v>Male</c:v>
                  </c:pt>
                  <c:pt idx="240">
                    <c:v>Male</c:v>
                  </c:pt>
                  <c:pt idx="241">
                    <c:v>Male</c:v>
                  </c:pt>
                  <c:pt idx="242">
                    <c:v>Male</c:v>
                  </c:pt>
                  <c:pt idx="243">
                    <c:v>Male</c:v>
                  </c:pt>
                  <c:pt idx="244">
                    <c:v>Male</c:v>
                  </c:pt>
                  <c:pt idx="245">
                    <c:v>Male</c:v>
                  </c:pt>
                  <c:pt idx="246">
                    <c:v>Male</c:v>
                  </c:pt>
                  <c:pt idx="247">
                    <c:v>Male</c:v>
                  </c:pt>
                  <c:pt idx="248">
                    <c:v>Male</c:v>
                  </c:pt>
                  <c:pt idx="249">
                    <c:v>Male</c:v>
                  </c:pt>
                  <c:pt idx="250">
                    <c:v>Male</c:v>
                  </c:pt>
                  <c:pt idx="251">
                    <c:v>Male</c:v>
                  </c:pt>
                  <c:pt idx="252">
                    <c:v>Male</c:v>
                  </c:pt>
                  <c:pt idx="253">
                    <c:v>Male</c:v>
                  </c:pt>
                  <c:pt idx="254">
                    <c:v>Male</c:v>
                  </c:pt>
                  <c:pt idx="255">
                    <c:v>Male</c:v>
                  </c:pt>
                  <c:pt idx="256">
                    <c:v>Male</c:v>
                  </c:pt>
                  <c:pt idx="257">
                    <c:v>Male</c:v>
                  </c:pt>
                  <c:pt idx="258">
                    <c:v>Male</c:v>
                  </c:pt>
                  <c:pt idx="259">
                    <c:v>Male</c:v>
                  </c:pt>
                  <c:pt idx="260">
                    <c:v>Male</c:v>
                  </c:pt>
                  <c:pt idx="261">
                    <c:v>Male</c:v>
                  </c:pt>
                  <c:pt idx="262">
                    <c:v>Male</c:v>
                  </c:pt>
                  <c:pt idx="263">
                    <c:v>Male</c:v>
                  </c:pt>
                  <c:pt idx="264">
                    <c:v>Male</c:v>
                  </c:pt>
                  <c:pt idx="265">
                    <c:v>Male</c:v>
                  </c:pt>
                  <c:pt idx="266">
                    <c:v>Male</c:v>
                  </c:pt>
                  <c:pt idx="267">
                    <c:v>Male</c:v>
                  </c:pt>
                  <c:pt idx="268">
                    <c:v>Male</c:v>
                  </c:pt>
                  <c:pt idx="269">
                    <c:v>Male</c:v>
                  </c:pt>
                  <c:pt idx="270">
                    <c:v>Male</c:v>
                  </c:pt>
                  <c:pt idx="271">
                    <c:v>Male</c:v>
                  </c:pt>
                  <c:pt idx="272">
                    <c:v>Male</c:v>
                  </c:pt>
                  <c:pt idx="273">
                    <c:v>Male</c:v>
                  </c:pt>
                  <c:pt idx="274">
                    <c:v>Male</c:v>
                  </c:pt>
                  <c:pt idx="275">
                    <c:v>Male</c:v>
                  </c:pt>
                  <c:pt idx="276">
                    <c:v>Male</c:v>
                  </c:pt>
                  <c:pt idx="277">
                    <c:v>Male</c:v>
                  </c:pt>
                  <c:pt idx="278">
                    <c:v>Male</c:v>
                  </c:pt>
                  <c:pt idx="279">
                    <c:v>Male</c:v>
                  </c:pt>
                  <c:pt idx="280">
                    <c:v>Male</c:v>
                  </c:pt>
                  <c:pt idx="281">
                    <c:v>Male</c:v>
                  </c:pt>
                  <c:pt idx="282">
                    <c:v>Male</c:v>
                  </c:pt>
                  <c:pt idx="283">
                    <c:v>Male</c:v>
                  </c:pt>
                  <c:pt idx="284">
                    <c:v>Male</c:v>
                  </c:pt>
                  <c:pt idx="285">
                    <c:v>Male</c:v>
                  </c:pt>
                  <c:pt idx="286">
                    <c:v>Male</c:v>
                  </c:pt>
                  <c:pt idx="287">
                    <c:v>Male</c:v>
                  </c:pt>
                  <c:pt idx="288">
                    <c:v>Male</c:v>
                  </c:pt>
                  <c:pt idx="289">
                    <c:v>Male</c:v>
                  </c:pt>
                  <c:pt idx="290">
                    <c:v>Male</c:v>
                  </c:pt>
                  <c:pt idx="291">
                    <c:v>Male</c:v>
                  </c:pt>
                  <c:pt idx="292">
                    <c:v>Male</c:v>
                  </c:pt>
                  <c:pt idx="293">
                    <c:v>Male</c:v>
                  </c:pt>
                  <c:pt idx="294">
                    <c:v>Male</c:v>
                  </c:pt>
                  <c:pt idx="295">
                    <c:v>Male</c:v>
                  </c:pt>
                  <c:pt idx="296">
                    <c:v>Male</c:v>
                  </c:pt>
                  <c:pt idx="297">
                    <c:v>Male</c:v>
                  </c:pt>
                  <c:pt idx="298">
                    <c:v>Male</c:v>
                  </c:pt>
                  <c:pt idx="299">
                    <c:v>Male</c:v>
                  </c:pt>
                  <c:pt idx="300">
                    <c:v>Male</c:v>
                  </c:pt>
                  <c:pt idx="301">
                    <c:v>Male</c:v>
                  </c:pt>
                  <c:pt idx="302">
                    <c:v>Male</c:v>
                  </c:pt>
                  <c:pt idx="303">
                    <c:v>Male</c:v>
                  </c:pt>
                  <c:pt idx="304">
                    <c:v>Male</c:v>
                  </c:pt>
                  <c:pt idx="305">
                    <c:v>Male</c:v>
                  </c:pt>
                  <c:pt idx="306">
                    <c:v>Male</c:v>
                  </c:pt>
                  <c:pt idx="307">
                    <c:v>Male</c:v>
                  </c:pt>
                  <c:pt idx="308">
                    <c:v>Male</c:v>
                  </c:pt>
                  <c:pt idx="309">
                    <c:v>Male</c:v>
                  </c:pt>
                  <c:pt idx="310">
                    <c:v>Male</c:v>
                  </c:pt>
                  <c:pt idx="311">
                    <c:v>Male</c:v>
                  </c:pt>
                  <c:pt idx="312">
                    <c:v>Male</c:v>
                  </c:pt>
                  <c:pt idx="313">
                    <c:v>Male</c:v>
                  </c:pt>
                  <c:pt idx="314">
                    <c:v>Male</c:v>
                  </c:pt>
                  <c:pt idx="315">
                    <c:v>Male</c:v>
                  </c:pt>
                  <c:pt idx="316">
                    <c:v>Male</c:v>
                  </c:pt>
                  <c:pt idx="317">
                    <c:v>Male</c:v>
                  </c:pt>
                  <c:pt idx="318">
                    <c:v>Male</c:v>
                  </c:pt>
                  <c:pt idx="319">
                    <c:v>Male</c:v>
                  </c:pt>
                  <c:pt idx="320">
                    <c:v>Male</c:v>
                  </c:pt>
                  <c:pt idx="321">
                    <c:v>Male</c:v>
                  </c:pt>
                  <c:pt idx="322">
                    <c:v>Male</c:v>
                  </c:pt>
                  <c:pt idx="323">
                    <c:v>Male</c:v>
                  </c:pt>
                  <c:pt idx="324">
                    <c:v>Male</c:v>
                  </c:pt>
                  <c:pt idx="325">
                    <c:v>Male</c:v>
                  </c:pt>
                  <c:pt idx="326">
                    <c:v>Male</c:v>
                  </c:pt>
                  <c:pt idx="327">
                    <c:v>Male</c:v>
                  </c:pt>
                  <c:pt idx="328">
                    <c:v>Male</c:v>
                  </c:pt>
                  <c:pt idx="329">
                    <c:v>Male</c:v>
                  </c:pt>
                  <c:pt idx="330">
                    <c:v>Male</c:v>
                  </c:pt>
                  <c:pt idx="331">
                    <c:v>Male</c:v>
                  </c:pt>
                  <c:pt idx="332">
                    <c:v>Male</c:v>
                  </c:pt>
                  <c:pt idx="333">
                    <c:v>Male</c:v>
                  </c:pt>
                  <c:pt idx="334">
                    <c:v>Male</c:v>
                  </c:pt>
                  <c:pt idx="335">
                    <c:v>Male</c:v>
                  </c:pt>
                  <c:pt idx="336">
                    <c:v>Male</c:v>
                  </c:pt>
                  <c:pt idx="337">
                    <c:v>Male</c:v>
                  </c:pt>
                  <c:pt idx="338">
                    <c:v>Male</c:v>
                  </c:pt>
                  <c:pt idx="339">
                    <c:v>Male</c:v>
                  </c:pt>
                  <c:pt idx="340">
                    <c:v>Male</c:v>
                  </c:pt>
                  <c:pt idx="341">
                    <c:v>Male</c:v>
                  </c:pt>
                  <c:pt idx="342">
                    <c:v>Male</c:v>
                  </c:pt>
                  <c:pt idx="343">
                    <c:v>Male</c:v>
                  </c:pt>
                  <c:pt idx="344">
                    <c:v>Male</c:v>
                  </c:pt>
                  <c:pt idx="345">
                    <c:v>Male</c:v>
                  </c:pt>
                  <c:pt idx="346">
                    <c:v>Male</c:v>
                  </c:pt>
                  <c:pt idx="347">
                    <c:v>Male</c:v>
                  </c:pt>
                  <c:pt idx="348">
                    <c:v>Male</c:v>
                  </c:pt>
                  <c:pt idx="349">
                    <c:v>Male</c:v>
                  </c:pt>
                  <c:pt idx="350">
                    <c:v>Male</c:v>
                  </c:pt>
                  <c:pt idx="351">
                    <c:v>Male</c:v>
                  </c:pt>
                  <c:pt idx="352">
                    <c:v>Male</c:v>
                  </c:pt>
                  <c:pt idx="353">
                    <c:v>Male</c:v>
                  </c:pt>
                  <c:pt idx="354">
                    <c:v>Male</c:v>
                  </c:pt>
                  <c:pt idx="355">
                    <c:v>Male</c:v>
                  </c:pt>
                  <c:pt idx="356">
                    <c:v>Male</c:v>
                  </c:pt>
                </c:lvl>
                <c:lvl>
                  <c:pt idx="0">
                    <c:v>Bolsover</c:v>
                  </c:pt>
                  <c:pt idx="1">
                    <c:v>Manchester</c:v>
                  </c:pt>
                  <c:pt idx="2">
                    <c:v>Burnley</c:v>
                  </c:pt>
                  <c:pt idx="3">
                    <c:v>Kingston upon Hull, City of</c:v>
                  </c:pt>
                  <c:pt idx="4">
                    <c:v>Stoke-on-Trent</c:v>
                  </c:pt>
                  <c:pt idx="5">
                    <c:v>Sunderland</c:v>
                  </c:pt>
                  <c:pt idx="6">
                    <c:v>Blackpool</c:v>
                  </c:pt>
                  <c:pt idx="7">
                    <c:v>Middlesbrough</c:v>
                  </c:pt>
                  <c:pt idx="8">
                    <c:v>Sandwell</c:v>
                  </c:pt>
                  <c:pt idx="9">
                    <c:v>Wigan</c:v>
                  </c:pt>
                  <c:pt idx="10">
                    <c:v>Blackburn with Darwen</c:v>
                  </c:pt>
                  <c:pt idx="11">
                    <c:v>Halton</c:v>
                  </c:pt>
                  <c:pt idx="12">
                    <c:v>Hyndburn</c:v>
                  </c:pt>
                  <c:pt idx="13">
                    <c:v>Tameside</c:v>
                  </c:pt>
                  <c:pt idx="14">
                    <c:v>Watford</c:v>
                  </c:pt>
                  <c:pt idx="15">
                    <c:v>Ashfield</c:v>
                  </c:pt>
                  <c:pt idx="16">
                    <c:v>Copeland</c:v>
                  </c:pt>
                  <c:pt idx="17">
                    <c:v>Knowsley</c:v>
                  </c:pt>
                  <c:pt idx="18">
                    <c:v>Leicester</c:v>
                  </c:pt>
                  <c:pt idx="19">
                    <c:v>Liverpool</c:v>
                  </c:pt>
                  <c:pt idx="20">
                    <c:v>Nottingham</c:v>
                  </c:pt>
                  <c:pt idx="21">
                    <c:v>Salford</c:v>
                  </c:pt>
                  <c:pt idx="22">
                    <c:v>Warrington</c:v>
                  </c:pt>
                  <c:pt idx="23">
                    <c:v>East Staffordshire</c:v>
                  </c:pt>
                  <c:pt idx="24">
                    <c:v>Lincoln</c:v>
                  </c:pt>
                  <c:pt idx="25">
                    <c:v>North Tyneside</c:v>
                  </c:pt>
                  <c:pt idx="26">
                    <c:v>Bolton</c:v>
                  </c:pt>
                  <c:pt idx="27">
                    <c:v>Bradford</c:v>
                  </c:pt>
                  <c:pt idx="28">
                    <c:v>Doncaster</c:v>
                  </c:pt>
                  <c:pt idx="29">
                    <c:v>Gateshead</c:v>
                  </c:pt>
                  <c:pt idx="30">
                    <c:v>North Warwickshire</c:v>
                  </c:pt>
                  <c:pt idx="31">
                    <c:v>Nuneaton and Bedworth</c:v>
                  </c:pt>
                  <c:pt idx="32">
                    <c:v>Oldham</c:v>
                  </c:pt>
                  <c:pt idx="33">
                    <c:v>Rochdale</c:v>
                  </c:pt>
                  <c:pt idx="34">
                    <c:v>Rotherham</c:v>
                  </c:pt>
                  <c:pt idx="35">
                    <c:v>South Tyneside</c:v>
                  </c:pt>
                  <c:pt idx="36">
                    <c:v>Tyne and Wear</c:v>
                  </c:pt>
                  <c:pt idx="37">
                    <c:v>Wakefield</c:v>
                  </c:pt>
                  <c:pt idx="38">
                    <c:v>Bassetlaw</c:v>
                  </c:pt>
                  <c:pt idx="39">
                    <c:v>Bromsgrove</c:v>
                  </c:pt>
                  <c:pt idx="40">
                    <c:v>Calderdale</c:v>
                  </c:pt>
                  <c:pt idx="41">
                    <c:v>Chesterfield</c:v>
                  </c:pt>
                  <c:pt idx="42">
                    <c:v>County Durham</c:v>
                  </c:pt>
                  <c:pt idx="43">
                    <c:v>Greater Manchester</c:v>
                  </c:pt>
                  <c:pt idx="44">
                    <c:v>Leeds</c:v>
                  </c:pt>
                  <c:pt idx="45">
                    <c:v>Merseyside</c:v>
                  </c:pt>
                  <c:pt idx="46">
                    <c:v>North West Leicestershire</c:v>
                  </c:pt>
                  <c:pt idx="47">
                    <c:v>Rossendale</c:v>
                  </c:pt>
                  <c:pt idx="48">
                    <c:v>Rushmoor</c:v>
                  </c:pt>
                  <c:pt idx="49">
                    <c:v>South Derbyshire</c:v>
                  </c:pt>
                  <c:pt idx="50">
                    <c:v>Stroud</c:v>
                  </c:pt>
                  <c:pt idx="51">
                    <c:v>West Yorkshire</c:v>
                  </c:pt>
                  <c:pt idx="52">
                    <c:v>Wirral</c:v>
                  </c:pt>
                  <c:pt idx="53">
                    <c:v>Barking and Dagenham</c:v>
                  </c:pt>
                  <c:pt idx="54">
                    <c:v>Barnsley</c:v>
                  </c:pt>
                  <c:pt idx="55">
                    <c:v>Barrow-in-Furness</c:v>
                  </c:pt>
                  <c:pt idx="56">
                    <c:v>Bury</c:v>
                  </c:pt>
                  <c:pt idx="57">
                    <c:v>Forest of Dean</c:v>
                  </c:pt>
                  <c:pt idx="58">
                    <c:v>Hartlepool</c:v>
                  </c:pt>
                  <c:pt idx="59">
                    <c:v>Kirklees</c:v>
                  </c:pt>
                  <c:pt idx="60">
                    <c:v>Medway</c:v>
                  </c:pt>
                  <c:pt idx="61">
                    <c:v>Newham</c:v>
                  </c:pt>
                  <c:pt idx="62">
                    <c:v>North Lincolnshire</c:v>
                  </c:pt>
                  <c:pt idx="63">
                    <c:v>Preston</c:v>
                  </c:pt>
                  <c:pt idx="64">
                    <c:v>Slough</c:v>
                  </c:pt>
                  <c:pt idx="65">
                    <c:v>Southampton</c:v>
                  </c:pt>
                  <c:pt idx="66">
                    <c:v>St. Helens</c:v>
                  </c:pt>
                  <c:pt idx="67">
                    <c:v>Swale</c:v>
                  </c:pt>
                  <c:pt idx="68">
                    <c:v>Tamworth</c:v>
                  </c:pt>
                  <c:pt idx="69">
                    <c:v>Birmingham</c:v>
                  </c:pt>
                  <c:pt idx="70">
                    <c:v>Boston</c:v>
                  </c:pt>
                  <c:pt idx="71">
                    <c:v>Chorley</c:v>
                  </c:pt>
                  <c:pt idx="72">
                    <c:v>Corby</c:v>
                  </c:pt>
                  <c:pt idx="73">
                    <c:v>Derbyshire</c:v>
                  </c:pt>
                  <c:pt idx="74">
                    <c:v>Erewash</c:v>
                  </c:pt>
                  <c:pt idx="75">
                    <c:v>Exeter</c:v>
                  </c:pt>
                  <c:pt idx="76">
                    <c:v>Great Yarmouth</c:v>
                  </c:pt>
                  <c:pt idx="77">
                    <c:v>Lancaster</c:v>
                  </c:pt>
                  <c:pt idx="78">
                    <c:v>Lichfield</c:v>
                  </c:pt>
                  <c:pt idx="79">
                    <c:v>Mansfield</c:v>
                  </c:pt>
                  <c:pt idx="80">
                    <c:v>Newcastle-under-Lyme</c:v>
                  </c:pt>
                  <c:pt idx="81">
                    <c:v>North East Lincolnshire</c:v>
                  </c:pt>
                  <c:pt idx="82">
                    <c:v>North Hertfordshire</c:v>
                  </c:pt>
                  <c:pt idx="83">
                    <c:v>Pendle</c:v>
                  </c:pt>
                  <c:pt idx="84">
                    <c:v>Scarborough</c:v>
                  </c:pt>
                  <c:pt idx="85">
                    <c:v>Selby</c:v>
                  </c:pt>
                  <c:pt idx="86">
                    <c:v>South Yorkshire</c:v>
                  </c:pt>
                  <c:pt idx="87">
                    <c:v>Stevenage</c:v>
                  </c:pt>
                  <c:pt idx="88">
                    <c:v>Thanet</c:v>
                  </c:pt>
                  <c:pt idx="89">
                    <c:v>Thurrock</c:v>
                  </c:pt>
                  <c:pt idx="90">
                    <c:v>Tower Hamlets</c:v>
                  </c:pt>
                  <c:pt idx="91">
                    <c:v>Wolverhampton</c:v>
                  </c:pt>
                  <c:pt idx="92">
                    <c:v>Allerdale</c:v>
                  </c:pt>
                  <c:pt idx="93">
                    <c:v>Bristol, City of</c:v>
                  </c:pt>
                  <c:pt idx="94">
                    <c:v>Derby</c:v>
                  </c:pt>
                  <c:pt idx="95">
                    <c:v>Hastings</c:v>
                  </c:pt>
                  <c:pt idx="96">
                    <c:v>Lancashire</c:v>
                  </c:pt>
                  <c:pt idx="97">
                    <c:v>Milton Keynes</c:v>
                  </c:pt>
                  <c:pt idx="98">
                    <c:v>Newcastle upon Tyne</c:v>
                  </c:pt>
                  <c:pt idx="99">
                    <c:v>Portsmouth</c:v>
                  </c:pt>
                  <c:pt idx="100">
                    <c:v>South Staffordshire</c:v>
                  </c:pt>
                  <c:pt idx="101">
                    <c:v>Telford and Wrekin</c:v>
                  </c:pt>
                  <c:pt idx="102">
                    <c:v>Amber Valley</c:v>
                  </c:pt>
                  <c:pt idx="103">
                    <c:v>Basildon</c:v>
                  </c:pt>
                  <c:pt idx="104">
                    <c:v>Castle Point</c:v>
                  </c:pt>
                  <c:pt idx="105">
                    <c:v>Darlington</c:v>
                  </c:pt>
                  <c:pt idx="106">
                    <c:v>Daventry</c:v>
                  </c:pt>
                  <c:pt idx="107">
                    <c:v>Fylde</c:v>
                  </c:pt>
                  <c:pt idx="108">
                    <c:v>Gloucester</c:v>
                  </c:pt>
                  <c:pt idx="109">
                    <c:v>Greenwich</c:v>
                  </c:pt>
                  <c:pt idx="110">
                    <c:v>Harlow</c:v>
                  </c:pt>
                  <c:pt idx="111">
                    <c:v>High Peak</c:v>
                  </c:pt>
                  <c:pt idx="112">
                    <c:v>Kettering</c:v>
                  </c:pt>
                  <c:pt idx="113">
                    <c:v>Newark and Sherwood</c:v>
                  </c:pt>
                  <c:pt idx="114">
                    <c:v>Northampton</c:v>
                  </c:pt>
                  <c:pt idx="115">
                    <c:v>Northumberland</c:v>
                  </c:pt>
                  <c:pt idx="116">
                    <c:v>Oadby and Wigston</c:v>
                  </c:pt>
                  <c:pt idx="117">
                    <c:v>Redditch</c:v>
                  </c:pt>
                  <c:pt idx="118">
                    <c:v>Sefton</c:v>
                  </c:pt>
                  <c:pt idx="119">
                    <c:v>Staffordshire</c:v>
                  </c:pt>
                  <c:pt idx="120">
                    <c:v>Torridge</c:v>
                  </c:pt>
                  <c:pt idx="121">
                    <c:v>Walsall</c:v>
                  </c:pt>
                  <c:pt idx="122">
                    <c:v>West Lancashire</c:v>
                  </c:pt>
                  <c:pt idx="123">
                    <c:v>West Midlands</c:v>
                  </c:pt>
                  <c:pt idx="124">
                    <c:v>Wyre</c:v>
                  </c:pt>
                  <c:pt idx="125">
                    <c:v>Braintree</c:v>
                  </c:pt>
                  <c:pt idx="126">
                    <c:v>Carlisle</c:v>
                  </c:pt>
                  <c:pt idx="127">
                    <c:v>Cheshire West and Chester</c:v>
                  </c:pt>
                  <c:pt idx="128">
                    <c:v>Dartford</c:v>
                  </c:pt>
                  <c:pt idx="129">
                    <c:v>Dudley</c:v>
                  </c:pt>
                  <c:pt idx="130">
                    <c:v>Gedling</c:v>
                  </c:pt>
                  <c:pt idx="131">
                    <c:v>Gosport</c:v>
                  </c:pt>
                  <c:pt idx="132">
                    <c:v>Isle of Wight</c:v>
                  </c:pt>
                  <c:pt idx="133">
                    <c:v>Maidstone</c:v>
                  </c:pt>
                  <c:pt idx="134">
                    <c:v>Nottinghamshire</c:v>
                  </c:pt>
                  <c:pt idx="135">
                    <c:v>Plymouth</c:v>
                  </c:pt>
                  <c:pt idx="136">
                    <c:v>Reading</c:v>
                  </c:pt>
                  <c:pt idx="137">
                    <c:v>Sheffield</c:v>
                  </c:pt>
                  <c:pt idx="138">
                    <c:v>South Holland</c:v>
                  </c:pt>
                  <c:pt idx="139">
                    <c:v>Staffordshire Moorlands</c:v>
                  </c:pt>
                  <c:pt idx="140">
                    <c:v>Swindon</c:v>
                  </c:pt>
                  <c:pt idx="141">
                    <c:v>Wandsworth</c:v>
                  </c:pt>
                  <c:pt idx="142">
                    <c:v>Cannock Chase</c:v>
                  </c:pt>
                  <c:pt idx="143">
                    <c:v>Cumbria</c:v>
                  </c:pt>
                  <c:pt idx="144">
                    <c:v>East Lindsey</c:v>
                  </c:pt>
                  <c:pt idx="145">
                    <c:v>Fenland</c:v>
                  </c:pt>
                  <c:pt idx="146">
                    <c:v>Gloucestershire</c:v>
                  </c:pt>
                  <c:pt idx="147">
                    <c:v>Harborough</c:v>
                  </c:pt>
                  <c:pt idx="148">
                    <c:v>Hinckley and Bosworth</c:v>
                  </c:pt>
                  <c:pt idx="149">
                    <c:v>Lewisham</c:v>
                  </c:pt>
                  <c:pt idx="150">
                    <c:v>Mendip</c:v>
                  </c:pt>
                  <c:pt idx="151">
                    <c:v>Peterborough</c:v>
                  </c:pt>
                  <c:pt idx="152">
                    <c:v>Redcar and Cleveland</c:v>
                  </c:pt>
                  <c:pt idx="153">
                    <c:v>Ribble Valley</c:v>
                  </c:pt>
                  <c:pt idx="154">
                    <c:v>Richmondshire</c:v>
                  </c:pt>
                  <c:pt idx="155">
                    <c:v>Stockton-on-Tees</c:v>
                  </c:pt>
                  <c:pt idx="156">
                    <c:v>Teignbridge</c:v>
                  </c:pt>
                  <c:pt idx="157">
                    <c:v>West Oxfordshire</c:v>
                  </c:pt>
                  <c:pt idx="158">
                    <c:v>Worthing</c:v>
                  </c:pt>
                  <c:pt idx="159">
                    <c:v>York</c:v>
                  </c:pt>
                  <c:pt idx="160">
                    <c:v>Bournemouth</c:v>
                  </c:pt>
                  <c:pt idx="161">
                    <c:v>Cambridge</c:v>
                  </c:pt>
                  <c:pt idx="162">
                    <c:v>Cherwell</c:v>
                  </c:pt>
                  <c:pt idx="163">
                    <c:v>East Riding of Yorkshire</c:v>
                  </c:pt>
                  <c:pt idx="164">
                    <c:v>Leicestershire</c:v>
                  </c:pt>
                  <c:pt idx="165">
                    <c:v>Lincolnshire</c:v>
                  </c:pt>
                  <c:pt idx="166">
                    <c:v>Luton</c:v>
                  </c:pt>
                  <c:pt idx="167">
                    <c:v>Maldon</c:v>
                  </c:pt>
                  <c:pt idx="168">
                    <c:v>Malvern Hills</c:v>
                  </c:pt>
                  <c:pt idx="169">
                    <c:v>Northamptonshire</c:v>
                  </c:pt>
                  <c:pt idx="170">
                    <c:v>Torbay</c:v>
                  </c:pt>
                  <c:pt idx="171">
                    <c:v>Wellingborough</c:v>
                  </c:pt>
                  <c:pt idx="172">
                    <c:v>West Devon</c:v>
                  </c:pt>
                  <c:pt idx="173">
                    <c:v>Worcestershire</c:v>
                  </c:pt>
                  <c:pt idx="174">
                    <c:v>Wyre Forest</c:v>
                  </c:pt>
                  <c:pt idx="175">
                    <c:v>Aylesbury Vale</c:v>
                  </c:pt>
                  <c:pt idx="176">
                    <c:v>Brighton and Hove</c:v>
                  </c:pt>
                  <c:pt idx="177">
                    <c:v>Broadland</c:v>
                  </c:pt>
                  <c:pt idx="178">
                    <c:v>Charnwood</c:v>
                  </c:pt>
                  <c:pt idx="179">
                    <c:v>Colchester</c:v>
                  </c:pt>
                  <c:pt idx="180">
                    <c:v>Cornwall</c:v>
                  </c:pt>
                  <c:pt idx="181">
                    <c:v>Coventry</c:v>
                  </c:pt>
                  <c:pt idx="182">
                    <c:v>Derbyshire Dales</c:v>
                  </c:pt>
                  <c:pt idx="183">
                    <c:v>Dover</c:v>
                  </c:pt>
                  <c:pt idx="184">
                    <c:v>Fareham</c:v>
                  </c:pt>
                  <c:pt idx="185">
                    <c:v>Gravesham</c:v>
                  </c:pt>
                  <c:pt idx="186">
                    <c:v>Hounslow</c:v>
                  </c:pt>
                  <c:pt idx="187">
                    <c:v>Ipswich</c:v>
                  </c:pt>
                  <c:pt idx="188">
                    <c:v>North Yorkshire</c:v>
                  </c:pt>
                  <c:pt idx="189">
                    <c:v>Reigate and Banstead</c:v>
                  </c:pt>
                  <c:pt idx="190">
                    <c:v>Ryedale</c:v>
                  </c:pt>
                  <c:pt idx="191">
                    <c:v>Shropshire</c:v>
                  </c:pt>
                  <c:pt idx="192">
                    <c:v>South Bucks</c:v>
                  </c:pt>
                  <c:pt idx="193">
                    <c:v>Southwark</c:v>
                  </c:pt>
                  <c:pt idx="194">
                    <c:v>Tendring</c:v>
                  </c:pt>
                  <c:pt idx="195">
                    <c:v>Three Rivers</c:v>
                  </c:pt>
                  <c:pt idx="196">
                    <c:v>Waltham Forest</c:v>
                  </c:pt>
                  <c:pt idx="197">
                    <c:v>Weymouth and Portland</c:v>
                  </c:pt>
                  <c:pt idx="198">
                    <c:v>Worcester</c:v>
                  </c:pt>
                  <c:pt idx="199">
                    <c:v>Adur</c:v>
                  </c:pt>
                  <c:pt idx="200">
                    <c:v>East Northamptonshire</c:v>
                  </c:pt>
                  <c:pt idx="201">
                    <c:v>Essex</c:v>
                  </c:pt>
                  <c:pt idx="202">
                    <c:v>Harrogate</c:v>
                  </c:pt>
                  <c:pt idx="203">
                    <c:v>Havering</c:v>
                  </c:pt>
                  <c:pt idx="204">
                    <c:v>Hertfordshire</c:v>
                  </c:pt>
                  <c:pt idx="205">
                    <c:v>Kent</c:v>
                  </c:pt>
                  <c:pt idx="206">
                    <c:v>Merton</c:v>
                  </c:pt>
                  <c:pt idx="207">
                    <c:v>North Devon</c:v>
                  </c:pt>
                  <c:pt idx="208">
                    <c:v>North Somerset</c:v>
                  </c:pt>
                  <c:pt idx="209">
                    <c:v>Poole</c:v>
                  </c:pt>
                  <c:pt idx="210">
                    <c:v>Rother</c:v>
                  </c:pt>
                  <c:pt idx="211">
                    <c:v>South Kesteven</c:v>
                  </c:pt>
                  <c:pt idx="212">
                    <c:v>Southend-on-Sea</c:v>
                  </c:pt>
                  <c:pt idx="213">
                    <c:v>Tewkesbury</c:v>
                  </c:pt>
                  <c:pt idx="214">
                    <c:v>Trafford</c:v>
                  </c:pt>
                  <c:pt idx="215">
                    <c:v>Warwickshire</c:v>
                  </c:pt>
                  <c:pt idx="216">
                    <c:v>West Somerset</c:v>
                  </c:pt>
                  <c:pt idx="217">
                    <c:v>Arun</c:v>
                  </c:pt>
                  <c:pt idx="218">
                    <c:v>Ashford</c:v>
                  </c:pt>
                  <c:pt idx="219">
                    <c:v>Bexley</c:v>
                  </c:pt>
                  <c:pt idx="220">
                    <c:v>Breckland</c:v>
                  </c:pt>
                  <c:pt idx="221">
                    <c:v>Broxtowe</c:v>
                  </c:pt>
                  <c:pt idx="222">
                    <c:v>Cheshire East</c:v>
                  </c:pt>
                  <c:pt idx="223">
                    <c:v>Devon</c:v>
                  </c:pt>
                  <c:pt idx="224">
                    <c:v>Epping Forest</c:v>
                  </c:pt>
                  <c:pt idx="225">
                    <c:v>Forest Heath</c:v>
                  </c:pt>
                  <c:pt idx="226">
                    <c:v>Islington</c:v>
                  </c:pt>
                  <c:pt idx="227">
                    <c:v>King's Lynn and West Norfolk</c:v>
                  </c:pt>
                  <c:pt idx="228">
                    <c:v>Lambeth</c:v>
                  </c:pt>
                  <c:pt idx="229">
                    <c:v>Norfolk</c:v>
                  </c:pt>
                  <c:pt idx="230">
                    <c:v>North East Derbyshire</c:v>
                  </c:pt>
                  <c:pt idx="231">
                    <c:v>Oxfordshire</c:v>
                  </c:pt>
                  <c:pt idx="232">
                    <c:v>Rugby</c:v>
                  </c:pt>
                  <c:pt idx="233">
                    <c:v>Spelthorne</c:v>
                  </c:pt>
                  <c:pt idx="234">
                    <c:v>Stafford</c:v>
                  </c:pt>
                  <c:pt idx="235">
                    <c:v>West Lindsey</c:v>
                  </c:pt>
                  <c:pt idx="236">
                    <c:v>Windsor and Maidenhead</c:v>
                  </c:pt>
                  <c:pt idx="237">
                    <c:v>Wokingham</c:v>
                  </c:pt>
                  <c:pt idx="238">
                    <c:v>East Hampshire</c:v>
                  </c:pt>
                  <c:pt idx="239">
                    <c:v>East Hertfordshire</c:v>
                  </c:pt>
                  <c:pt idx="240">
                    <c:v>East Sussex</c:v>
                  </c:pt>
                  <c:pt idx="241">
                    <c:v>Eastbourne</c:v>
                  </c:pt>
                  <c:pt idx="242">
                    <c:v>Herefordshire, County of</c:v>
                  </c:pt>
                  <c:pt idx="243">
                    <c:v>Hertsmere</c:v>
                  </c:pt>
                  <c:pt idx="244">
                    <c:v>Mid Suffolk</c:v>
                  </c:pt>
                  <c:pt idx="245">
                    <c:v>Mid Sussex</c:v>
                  </c:pt>
                  <c:pt idx="246">
                    <c:v>North Dorset</c:v>
                  </c:pt>
                  <c:pt idx="247">
                    <c:v>Shepway</c:v>
                  </c:pt>
                  <c:pt idx="248">
                    <c:v>Somerset</c:v>
                  </c:pt>
                  <c:pt idx="249">
                    <c:v>South Lakeland</c:v>
                  </c:pt>
                  <c:pt idx="250">
                    <c:v>Sutton</c:v>
                  </c:pt>
                  <c:pt idx="251">
                    <c:v>Taunton Deane</c:v>
                  </c:pt>
                  <c:pt idx="252">
                    <c:v>Vale of White Horse</c:v>
                  </c:pt>
                  <c:pt idx="253">
                    <c:v>Welwyn Hatfield</c:v>
                  </c:pt>
                  <c:pt idx="254">
                    <c:v>Bath and North East Somerset</c:v>
                  </c:pt>
                  <c:pt idx="255">
                    <c:v>Bedford</c:v>
                  </c:pt>
                  <c:pt idx="256">
                    <c:v>Blaby</c:v>
                  </c:pt>
                  <c:pt idx="257">
                    <c:v>Bracknell Forest</c:v>
                  </c:pt>
                  <c:pt idx="258">
                    <c:v>Canterbury</c:v>
                  </c:pt>
                  <c:pt idx="259">
                    <c:v>Cotswold</c:v>
                  </c:pt>
                  <c:pt idx="260">
                    <c:v>Dacorum</c:v>
                  </c:pt>
                  <c:pt idx="261">
                    <c:v>Eastleigh</c:v>
                  </c:pt>
                  <c:pt idx="262">
                    <c:v>Hammersmith and Fulham</c:v>
                  </c:pt>
                  <c:pt idx="263">
                    <c:v>Hampshire</c:v>
                  </c:pt>
                  <c:pt idx="264">
                    <c:v>Hillingdon</c:v>
                  </c:pt>
                  <c:pt idx="265">
                    <c:v>Melton</c:v>
                  </c:pt>
                  <c:pt idx="266">
                    <c:v>North Norfolk</c:v>
                  </c:pt>
                  <c:pt idx="267">
                    <c:v>Sedgemoor</c:v>
                  </c:pt>
                  <c:pt idx="268">
                    <c:v>Solihull</c:v>
                  </c:pt>
                  <c:pt idx="269">
                    <c:v>South Ribble</c:v>
                  </c:pt>
                  <c:pt idx="270">
                    <c:v>Stockport</c:v>
                  </c:pt>
                  <c:pt idx="271">
                    <c:v>Tandridge</c:v>
                  </c:pt>
                  <c:pt idx="272">
                    <c:v>West Sussex</c:v>
                  </c:pt>
                  <c:pt idx="273">
                    <c:v>Wiltshire</c:v>
                  </c:pt>
                  <c:pt idx="274">
                    <c:v>Basingstoke and Deane</c:v>
                  </c:pt>
                  <c:pt idx="275">
                    <c:v>Brent</c:v>
                  </c:pt>
                  <c:pt idx="276">
                    <c:v>Brentwood</c:v>
                  </c:pt>
                  <c:pt idx="277">
                    <c:v>Buckinghamshire</c:v>
                  </c:pt>
                  <c:pt idx="278">
                    <c:v>Cambridgeshire</c:v>
                  </c:pt>
                  <c:pt idx="279">
                    <c:v>Central Bedfordshire</c:v>
                  </c:pt>
                  <c:pt idx="280">
                    <c:v>Chelmsford</c:v>
                  </c:pt>
                  <c:pt idx="281">
                    <c:v>Cheltenham</c:v>
                  </c:pt>
                  <c:pt idx="282">
                    <c:v>Crawley</c:v>
                  </c:pt>
                  <c:pt idx="283">
                    <c:v>Croydon</c:v>
                  </c:pt>
                  <c:pt idx="284">
                    <c:v>East Devon</c:v>
                  </c:pt>
                  <c:pt idx="285">
                    <c:v>Hart</c:v>
                  </c:pt>
                  <c:pt idx="286">
                    <c:v>Havant</c:v>
                  </c:pt>
                  <c:pt idx="287">
                    <c:v>North Kesteven</c:v>
                  </c:pt>
                  <c:pt idx="288">
                    <c:v>Oxford</c:v>
                  </c:pt>
                  <c:pt idx="289">
                    <c:v>Redbridge</c:v>
                  </c:pt>
                  <c:pt idx="290">
                    <c:v>Rushcliffe</c:v>
                  </c:pt>
                  <c:pt idx="291">
                    <c:v>Rutland</c:v>
                  </c:pt>
                  <c:pt idx="292">
                    <c:v>South Oxfordshire</c:v>
                  </c:pt>
                  <c:pt idx="293">
                    <c:v>St Edmundsbury</c:v>
                  </c:pt>
                  <c:pt idx="294">
                    <c:v>Suffolk</c:v>
                  </c:pt>
                  <c:pt idx="295">
                    <c:v>Surrey Heath</c:v>
                  </c:pt>
                  <c:pt idx="296">
                    <c:v>West Berkshire</c:v>
                  </c:pt>
                  <c:pt idx="297">
                    <c:v>Bromley</c:v>
                  </c:pt>
                  <c:pt idx="298">
                    <c:v>Broxbourne</c:v>
                  </c:pt>
                  <c:pt idx="299">
                    <c:v>Craven</c:v>
                  </c:pt>
                  <c:pt idx="300">
                    <c:v>Enfield</c:v>
                  </c:pt>
                  <c:pt idx="301">
                    <c:v>Hackney</c:v>
                  </c:pt>
                  <c:pt idx="302">
                    <c:v>Horsham</c:v>
                  </c:pt>
                  <c:pt idx="303">
                    <c:v>Sevenoaks</c:v>
                  </c:pt>
                  <c:pt idx="304">
                    <c:v>South Gloucestershire</c:v>
                  </c:pt>
                  <c:pt idx="305">
                    <c:v>South Norfolk</c:v>
                  </c:pt>
                  <c:pt idx="306">
                    <c:v>South Somerset</c:v>
                  </c:pt>
                  <c:pt idx="307">
                    <c:v>Test Valley</c:v>
                  </c:pt>
                  <c:pt idx="308">
                    <c:v>Warwick</c:v>
                  </c:pt>
                  <c:pt idx="309">
                    <c:v>Waveney</c:v>
                  </c:pt>
                  <c:pt idx="310">
                    <c:v>Wealden</c:v>
                  </c:pt>
                  <c:pt idx="311">
                    <c:v>West Dorset</c:v>
                  </c:pt>
                  <c:pt idx="312">
                    <c:v>Babergh</c:v>
                  </c:pt>
                  <c:pt idx="313">
                    <c:v>Eden</c:v>
                  </c:pt>
                  <c:pt idx="314">
                    <c:v>Huntingdonshire</c:v>
                  </c:pt>
                  <c:pt idx="315">
                    <c:v>Lewes</c:v>
                  </c:pt>
                  <c:pt idx="316">
                    <c:v>South Hams</c:v>
                  </c:pt>
                  <c:pt idx="317">
                    <c:v>Tonbridge and Malling</c:v>
                  </c:pt>
                  <c:pt idx="318">
                    <c:v>Woking</c:v>
                  </c:pt>
                  <c:pt idx="319">
                    <c:v>Wychavon</c:v>
                  </c:pt>
                  <c:pt idx="320">
                    <c:v>Chichester</c:v>
                  </c:pt>
                  <c:pt idx="321">
                    <c:v>Dorset</c:v>
                  </c:pt>
                  <c:pt idx="322">
                    <c:v>Norwich</c:v>
                  </c:pt>
                  <c:pt idx="323">
                    <c:v>Rochford</c:v>
                  </c:pt>
                  <c:pt idx="324">
                    <c:v>Suffolk Coastal</c:v>
                  </c:pt>
                  <c:pt idx="325">
                    <c:v>Surrey</c:v>
                  </c:pt>
                  <c:pt idx="326">
                    <c:v>Uttlesford</c:v>
                  </c:pt>
                  <c:pt idx="327">
                    <c:v>Winchester</c:v>
                  </c:pt>
                  <c:pt idx="328">
                    <c:v>Wycombe</c:v>
                  </c:pt>
                  <c:pt idx="329">
                    <c:v>Ealing</c:v>
                  </c:pt>
                  <c:pt idx="330">
                    <c:v>East Cambridgeshire</c:v>
                  </c:pt>
                  <c:pt idx="331">
                    <c:v>Hambleton</c:v>
                  </c:pt>
                  <c:pt idx="332">
                    <c:v>Runnymede</c:v>
                  </c:pt>
                  <c:pt idx="333">
                    <c:v>Stratford-on-Avon</c:v>
                  </c:pt>
                  <c:pt idx="334">
                    <c:v>Tunbridge Wells</c:v>
                  </c:pt>
                  <c:pt idx="335">
                    <c:v>Barnet</c:v>
                  </c:pt>
                  <c:pt idx="336">
                    <c:v>Elmbridge</c:v>
                  </c:pt>
                  <c:pt idx="337">
                    <c:v>Guildford</c:v>
                  </c:pt>
                  <c:pt idx="338">
                    <c:v>Haringey</c:v>
                  </c:pt>
                  <c:pt idx="339">
                    <c:v>Kingston upon Thames</c:v>
                  </c:pt>
                  <c:pt idx="340">
                    <c:v>New Forest</c:v>
                  </c:pt>
                  <c:pt idx="341">
                    <c:v>South Cambridgeshire</c:v>
                  </c:pt>
                  <c:pt idx="342">
                    <c:v>Purbeck</c:v>
                  </c:pt>
                  <c:pt idx="343">
                    <c:v>South Northamptonshire</c:v>
                  </c:pt>
                  <c:pt idx="344">
                    <c:v>Christchurch</c:v>
                  </c:pt>
                  <c:pt idx="345">
                    <c:v>Epsom and Ewell</c:v>
                  </c:pt>
                  <c:pt idx="346">
                    <c:v>Mid Devon</c:v>
                  </c:pt>
                  <c:pt idx="347">
                    <c:v>Waverley</c:v>
                  </c:pt>
                  <c:pt idx="348">
                    <c:v>Chiltern</c:v>
                  </c:pt>
                  <c:pt idx="349">
                    <c:v>Richmond upon Thames</c:v>
                  </c:pt>
                  <c:pt idx="350">
                    <c:v>East Dorset</c:v>
                  </c:pt>
                  <c:pt idx="351">
                    <c:v>Mole Valley</c:v>
                  </c:pt>
                  <c:pt idx="352">
                    <c:v>St Albans</c:v>
                  </c:pt>
                  <c:pt idx="353">
                    <c:v>Camden</c:v>
                  </c:pt>
                  <c:pt idx="354">
                    <c:v>Harrow</c:v>
                  </c:pt>
                  <c:pt idx="355">
                    <c:v>Kensington and Chelsea</c:v>
                  </c:pt>
                  <c:pt idx="356">
                    <c:v>Westminster</c:v>
                  </c:pt>
                </c:lvl>
              </c:multiLvlStrCache>
            </c:multiLvlStrRef>
          </c:cat>
          <c:val>
            <c:numRef>
              <c:f>[NHSOF_1b_I00655_D.xls]Sheet1!$D$2:$D$358</c:f>
              <c:numCache>
                <c:formatCode>0.0</c:formatCode>
                <c:ptCount val="357"/>
                <c:pt idx="0">
                  <c:v>9.5</c:v>
                </c:pt>
                <c:pt idx="1">
                  <c:v>9.6999999999999993</c:v>
                </c:pt>
                <c:pt idx="2">
                  <c:v>9.9</c:v>
                </c:pt>
                <c:pt idx="3">
                  <c:v>10.1</c:v>
                </c:pt>
                <c:pt idx="4">
                  <c:v>10.1</c:v>
                </c:pt>
                <c:pt idx="5">
                  <c:v>10.1</c:v>
                </c:pt>
                <c:pt idx="6">
                  <c:v>10.1</c:v>
                </c:pt>
                <c:pt idx="7">
                  <c:v>10.1</c:v>
                </c:pt>
                <c:pt idx="8">
                  <c:v>10.199999999999999</c:v>
                </c:pt>
                <c:pt idx="9">
                  <c:v>10.199999999999999</c:v>
                </c:pt>
                <c:pt idx="10">
                  <c:v>10.1</c:v>
                </c:pt>
                <c:pt idx="11">
                  <c:v>10.1</c:v>
                </c:pt>
                <c:pt idx="12">
                  <c:v>10.1</c:v>
                </c:pt>
                <c:pt idx="13">
                  <c:v>10.199999999999999</c:v>
                </c:pt>
                <c:pt idx="14">
                  <c:v>10.1</c:v>
                </c:pt>
                <c:pt idx="15">
                  <c:v>10.3</c:v>
                </c:pt>
                <c:pt idx="16">
                  <c:v>10.3</c:v>
                </c:pt>
                <c:pt idx="17">
                  <c:v>10.4</c:v>
                </c:pt>
                <c:pt idx="18">
                  <c:v>10.4</c:v>
                </c:pt>
                <c:pt idx="19">
                  <c:v>10.4</c:v>
                </c:pt>
                <c:pt idx="20">
                  <c:v>10.4</c:v>
                </c:pt>
                <c:pt idx="21">
                  <c:v>10.4</c:v>
                </c:pt>
                <c:pt idx="22">
                  <c:v>10.4</c:v>
                </c:pt>
                <c:pt idx="23">
                  <c:v>10.4</c:v>
                </c:pt>
                <c:pt idx="24">
                  <c:v>10.3</c:v>
                </c:pt>
                <c:pt idx="25">
                  <c:v>10.5</c:v>
                </c:pt>
                <c:pt idx="26">
                  <c:v>10.5</c:v>
                </c:pt>
                <c:pt idx="27">
                  <c:v>10.7</c:v>
                </c:pt>
                <c:pt idx="28">
                  <c:v>10.6</c:v>
                </c:pt>
                <c:pt idx="29">
                  <c:v>10.6</c:v>
                </c:pt>
                <c:pt idx="30">
                  <c:v>10.4</c:v>
                </c:pt>
                <c:pt idx="31">
                  <c:v>10.5</c:v>
                </c:pt>
                <c:pt idx="32">
                  <c:v>10.5</c:v>
                </c:pt>
                <c:pt idx="33">
                  <c:v>10.6</c:v>
                </c:pt>
                <c:pt idx="34">
                  <c:v>10.6</c:v>
                </c:pt>
                <c:pt idx="35">
                  <c:v>10.6</c:v>
                </c:pt>
                <c:pt idx="36">
                  <c:v>10.7</c:v>
                </c:pt>
                <c:pt idx="37">
                  <c:v>10.6</c:v>
                </c:pt>
                <c:pt idx="38">
                  <c:v>10.6</c:v>
                </c:pt>
                <c:pt idx="39">
                  <c:v>10.6</c:v>
                </c:pt>
                <c:pt idx="40">
                  <c:v>10.6</c:v>
                </c:pt>
                <c:pt idx="41">
                  <c:v>10.5</c:v>
                </c:pt>
                <c:pt idx="42">
                  <c:v>10.8</c:v>
                </c:pt>
                <c:pt idx="43">
                  <c:v>10.8</c:v>
                </c:pt>
                <c:pt idx="44">
                  <c:v>10.8</c:v>
                </c:pt>
                <c:pt idx="45">
                  <c:v>10.8</c:v>
                </c:pt>
                <c:pt idx="46">
                  <c:v>10.5</c:v>
                </c:pt>
                <c:pt idx="47">
                  <c:v>10.4</c:v>
                </c:pt>
                <c:pt idx="48">
                  <c:v>10.5</c:v>
                </c:pt>
                <c:pt idx="49">
                  <c:v>10.5</c:v>
                </c:pt>
                <c:pt idx="50">
                  <c:v>10.7</c:v>
                </c:pt>
                <c:pt idx="51">
                  <c:v>10.8</c:v>
                </c:pt>
                <c:pt idx="52">
                  <c:v>10.7</c:v>
                </c:pt>
                <c:pt idx="53">
                  <c:v>10.7</c:v>
                </c:pt>
                <c:pt idx="54">
                  <c:v>10.8</c:v>
                </c:pt>
                <c:pt idx="55">
                  <c:v>10.6</c:v>
                </c:pt>
                <c:pt idx="56">
                  <c:v>10.7</c:v>
                </c:pt>
                <c:pt idx="57">
                  <c:v>10.7</c:v>
                </c:pt>
                <c:pt idx="58">
                  <c:v>10.6</c:v>
                </c:pt>
                <c:pt idx="59">
                  <c:v>10.8</c:v>
                </c:pt>
                <c:pt idx="60">
                  <c:v>10.8</c:v>
                </c:pt>
                <c:pt idx="61">
                  <c:v>10.7</c:v>
                </c:pt>
                <c:pt idx="62">
                  <c:v>10.7</c:v>
                </c:pt>
                <c:pt idx="63">
                  <c:v>10.7</c:v>
                </c:pt>
                <c:pt idx="64">
                  <c:v>10.6</c:v>
                </c:pt>
                <c:pt idx="65">
                  <c:v>10.8</c:v>
                </c:pt>
                <c:pt idx="66">
                  <c:v>10.8</c:v>
                </c:pt>
                <c:pt idx="67">
                  <c:v>10.6</c:v>
                </c:pt>
                <c:pt idx="68">
                  <c:v>10.6</c:v>
                </c:pt>
                <c:pt idx="69">
                  <c:v>11</c:v>
                </c:pt>
                <c:pt idx="70">
                  <c:v>10.7</c:v>
                </c:pt>
                <c:pt idx="71">
                  <c:v>10.8</c:v>
                </c:pt>
                <c:pt idx="72">
                  <c:v>10.5</c:v>
                </c:pt>
                <c:pt idx="73">
                  <c:v>11</c:v>
                </c:pt>
                <c:pt idx="74">
                  <c:v>10.8</c:v>
                </c:pt>
                <c:pt idx="75">
                  <c:v>10.7</c:v>
                </c:pt>
                <c:pt idx="76">
                  <c:v>10.8</c:v>
                </c:pt>
                <c:pt idx="77">
                  <c:v>10.8</c:v>
                </c:pt>
                <c:pt idx="78">
                  <c:v>10.8</c:v>
                </c:pt>
                <c:pt idx="79">
                  <c:v>10.8</c:v>
                </c:pt>
                <c:pt idx="80">
                  <c:v>10.8</c:v>
                </c:pt>
                <c:pt idx="81">
                  <c:v>10.9</c:v>
                </c:pt>
                <c:pt idx="82">
                  <c:v>10.9</c:v>
                </c:pt>
                <c:pt idx="83">
                  <c:v>10.7</c:v>
                </c:pt>
                <c:pt idx="84">
                  <c:v>10.9</c:v>
                </c:pt>
                <c:pt idx="85">
                  <c:v>10.8</c:v>
                </c:pt>
                <c:pt idx="86">
                  <c:v>11</c:v>
                </c:pt>
                <c:pt idx="87">
                  <c:v>10.7</c:v>
                </c:pt>
                <c:pt idx="88">
                  <c:v>10.9</c:v>
                </c:pt>
                <c:pt idx="89">
                  <c:v>10.7</c:v>
                </c:pt>
                <c:pt idx="90">
                  <c:v>10.7</c:v>
                </c:pt>
                <c:pt idx="91">
                  <c:v>10.9</c:v>
                </c:pt>
                <c:pt idx="92">
                  <c:v>10.9</c:v>
                </c:pt>
                <c:pt idx="93">
                  <c:v>11</c:v>
                </c:pt>
                <c:pt idx="94">
                  <c:v>10.9</c:v>
                </c:pt>
                <c:pt idx="95">
                  <c:v>10.8</c:v>
                </c:pt>
                <c:pt idx="96">
                  <c:v>11.1</c:v>
                </c:pt>
                <c:pt idx="97">
                  <c:v>10.9</c:v>
                </c:pt>
                <c:pt idx="98">
                  <c:v>11</c:v>
                </c:pt>
                <c:pt idx="99">
                  <c:v>10.9</c:v>
                </c:pt>
                <c:pt idx="100">
                  <c:v>11</c:v>
                </c:pt>
                <c:pt idx="101">
                  <c:v>10.9</c:v>
                </c:pt>
                <c:pt idx="102">
                  <c:v>11</c:v>
                </c:pt>
                <c:pt idx="103">
                  <c:v>11.1</c:v>
                </c:pt>
                <c:pt idx="104">
                  <c:v>10.9</c:v>
                </c:pt>
                <c:pt idx="105">
                  <c:v>10.9</c:v>
                </c:pt>
                <c:pt idx="106">
                  <c:v>10.9</c:v>
                </c:pt>
                <c:pt idx="107">
                  <c:v>11</c:v>
                </c:pt>
                <c:pt idx="108">
                  <c:v>10.9</c:v>
                </c:pt>
                <c:pt idx="109">
                  <c:v>11</c:v>
                </c:pt>
                <c:pt idx="110">
                  <c:v>10.9</c:v>
                </c:pt>
                <c:pt idx="111">
                  <c:v>10.9</c:v>
                </c:pt>
                <c:pt idx="112">
                  <c:v>10.9</c:v>
                </c:pt>
                <c:pt idx="113">
                  <c:v>11</c:v>
                </c:pt>
                <c:pt idx="114">
                  <c:v>11.1</c:v>
                </c:pt>
                <c:pt idx="115">
                  <c:v>11.2</c:v>
                </c:pt>
                <c:pt idx="116">
                  <c:v>10.9</c:v>
                </c:pt>
                <c:pt idx="117">
                  <c:v>10.9</c:v>
                </c:pt>
                <c:pt idx="118">
                  <c:v>11.1</c:v>
                </c:pt>
                <c:pt idx="119">
                  <c:v>11.2</c:v>
                </c:pt>
                <c:pt idx="120">
                  <c:v>11</c:v>
                </c:pt>
                <c:pt idx="121">
                  <c:v>11.1</c:v>
                </c:pt>
                <c:pt idx="122">
                  <c:v>11</c:v>
                </c:pt>
                <c:pt idx="123">
                  <c:v>11.2</c:v>
                </c:pt>
                <c:pt idx="124">
                  <c:v>11</c:v>
                </c:pt>
                <c:pt idx="125">
                  <c:v>11.1</c:v>
                </c:pt>
                <c:pt idx="126">
                  <c:v>11.1</c:v>
                </c:pt>
                <c:pt idx="127">
                  <c:v>11.2</c:v>
                </c:pt>
                <c:pt idx="128">
                  <c:v>11.1</c:v>
                </c:pt>
                <c:pt idx="129">
                  <c:v>11.2</c:v>
                </c:pt>
                <c:pt idx="130">
                  <c:v>11.1</c:v>
                </c:pt>
                <c:pt idx="131">
                  <c:v>11</c:v>
                </c:pt>
                <c:pt idx="132">
                  <c:v>11.2</c:v>
                </c:pt>
                <c:pt idx="133">
                  <c:v>11.1</c:v>
                </c:pt>
                <c:pt idx="134">
                  <c:v>11.2</c:v>
                </c:pt>
                <c:pt idx="135">
                  <c:v>11.2</c:v>
                </c:pt>
                <c:pt idx="136">
                  <c:v>11</c:v>
                </c:pt>
                <c:pt idx="137">
                  <c:v>11.2</c:v>
                </c:pt>
                <c:pt idx="138">
                  <c:v>11.1</c:v>
                </c:pt>
                <c:pt idx="139">
                  <c:v>11.1</c:v>
                </c:pt>
                <c:pt idx="140">
                  <c:v>11.2</c:v>
                </c:pt>
                <c:pt idx="141">
                  <c:v>11.1</c:v>
                </c:pt>
                <c:pt idx="142">
                  <c:v>11.1</c:v>
                </c:pt>
                <c:pt idx="143">
                  <c:v>11.3</c:v>
                </c:pt>
                <c:pt idx="144">
                  <c:v>11.3</c:v>
                </c:pt>
                <c:pt idx="145">
                  <c:v>11.2</c:v>
                </c:pt>
                <c:pt idx="146">
                  <c:v>11.4</c:v>
                </c:pt>
                <c:pt idx="147">
                  <c:v>11.1</c:v>
                </c:pt>
                <c:pt idx="148">
                  <c:v>11.2</c:v>
                </c:pt>
                <c:pt idx="149">
                  <c:v>11.2</c:v>
                </c:pt>
                <c:pt idx="150">
                  <c:v>11.2</c:v>
                </c:pt>
                <c:pt idx="151">
                  <c:v>11.2</c:v>
                </c:pt>
                <c:pt idx="152">
                  <c:v>11.2</c:v>
                </c:pt>
                <c:pt idx="153">
                  <c:v>11.1</c:v>
                </c:pt>
                <c:pt idx="154">
                  <c:v>11</c:v>
                </c:pt>
                <c:pt idx="155">
                  <c:v>11.2</c:v>
                </c:pt>
                <c:pt idx="156">
                  <c:v>11.3</c:v>
                </c:pt>
                <c:pt idx="157">
                  <c:v>11.2</c:v>
                </c:pt>
                <c:pt idx="158">
                  <c:v>11.2</c:v>
                </c:pt>
                <c:pt idx="159">
                  <c:v>11.3</c:v>
                </c:pt>
                <c:pt idx="160">
                  <c:v>11.4</c:v>
                </c:pt>
                <c:pt idx="161">
                  <c:v>11.3</c:v>
                </c:pt>
                <c:pt idx="162">
                  <c:v>11.3</c:v>
                </c:pt>
                <c:pt idx="163">
                  <c:v>11.5</c:v>
                </c:pt>
                <c:pt idx="164">
                  <c:v>11.5</c:v>
                </c:pt>
                <c:pt idx="165">
                  <c:v>11.4</c:v>
                </c:pt>
                <c:pt idx="166">
                  <c:v>11.3</c:v>
                </c:pt>
                <c:pt idx="167">
                  <c:v>11.3</c:v>
                </c:pt>
                <c:pt idx="168">
                  <c:v>11.3</c:v>
                </c:pt>
                <c:pt idx="169">
                  <c:v>11.4</c:v>
                </c:pt>
                <c:pt idx="170">
                  <c:v>11.3</c:v>
                </c:pt>
                <c:pt idx="171">
                  <c:v>11.2</c:v>
                </c:pt>
                <c:pt idx="172">
                  <c:v>11.2</c:v>
                </c:pt>
                <c:pt idx="173">
                  <c:v>11.5</c:v>
                </c:pt>
                <c:pt idx="174">
                  <c:v>11.3</c:v>
                </c:pt>
                <c:pt idx="175">
                  <c:v>11.4</c:v>
                </c:pt>
                <c:pt idx="176">
                  <c:v>11.4</c:v>
                </c:pt>
                <c:pt idx="177">
                  <c:v>11.5</c:v>
                </c:pt>
                <c:pt idx="178">
                  <c:v>11.5</c:v>
                </c:pt>
                <c:pt idx="179">
                  <c:v>11.4</c:v>
                </c:pt>
                <c:pt idx="180">
                  <c:v>11.6</c:v>
                </c:pt>
                <c:pt idx="181">
                  <c:v>11.5</c:v>
                </c:pt>
                <c:pt idx="182">
                  <c:v>11.4</c:v>
                </c:pt>
                <c:pt idx="183">
                  <c:v>11.3</c:v>
                </c:pt>
                <c:pt idx="184">
                  <c:v>11.4</c:v>
                </c:pt>
                <c:pt idx="185">
                  <c:v>11.4</c:v>
                </c:pt>
                <c:pt idx="186">
                  <c:v>11.4</c:v>
                </c:pt>
                <c:pt idx="187">
                  <c:v>11.4</c:v>
                </c:pt>
                <c:pt idx="188">
                  <c:v>11.6</c:v>
                </c:pt>
                <c:pt idx="189">
                  <c:v>11.4</c:v>
                </c:pt>
                <c:pt idx="190">
                  <c:v>11.3</c:v>
                </c:pt>
                <c:pt idx="191">
                  <c:v>11.5</c:v>
                </c:pt>
                <c:pt idx="192">
                  <c:v>11.3</c:v>
                </c:pt>
                <c:pt idx="193">
                  <c:v>11.4</c:v>
                </c:pt>
                <c:pt idx="194">
                  <c:v>11.5</c:v>
                </c:pt>
                <c:pt idx="195">
                  <c:v>11.3</c:v>
                </c:pt>
                <c:pt idx="196">
                  <c:v>11.4</c:v>
                </c:pt>
                <c:pt idx="197">
                  <c:v>11.3</c:v>
                </c:pt>
                <c:pt idx="198">
                  <c:v>11.3</c:v>
                </c:pt>
                <c:pt idx="199">
                  <c:v>11.4</c:v>
                </c:pt>
                <c:pt idx="200">
                  <c:v>11.4</c:v>
                </c:pt>
                <c:pt idx="201">
                  <c:v>11.7</c:v>
                </c:pt>
                <c:pt idx="202">
                  <c:v>11.5</c:v>
                </c:pt>
                <c:pt idx="203">
                  <c:v>11.6</c:v>
                </c:pt>
                <c:pt idx="204">
                  <c:v>11.7</c:v>
                </c:pt>
                <c:pt idx="205">
                  <c:v>11.7</c:v>
                </c:pt>
                <c:pt idx="206">
                  <c:v>11.5</c:v>
                </c:pt>
                <c:pt idx="207">
                  <c:v>11.5</c:v>
                </c:pt>
                <c:pt idx="208">
                  <c:v>11.6</c:v>
                </c:pt>
                <c:pt idx="209">
                  <c:v>11.6</c:v>
                </c:pt>
                <c:pt idx="210">
                  <c:v>11.5</c:v>
                </c:pt>
                <c:pt idx="211">
                  <c:v>11.5</c:v>
                </c:pt>
                <c:pt idx="212">
                  <c:v>11.5</c:v>
                </c:pt>
                <c:pt idx="213">
                  <c:v>11.4</c:v>
                </c:pt>
                <c:pt idx="214">
                  <c:v>11.6</c:v>
                </c:pt>
                <c:pt idx="215">
                  <c:v>11.7</c:v>
                </c:pt>
                <c:pt idx="216">
                  <c:v>11.3</c:v>
                </c:pt>
                <c:pt idx="217">
                  <c:v>11.7</c:v>
                </c:pt>
                <c:pt idx="218">
                  <c:v>11.6</c:v>
                </c:pt>
                <c:pt idx="219">
                  <c:v>11.7</c:v>
                </c:pt>
                <c:pt idx="220">
                  <c:v>11.6</c:v>
                </c:pt>
                <c:pt idx="221">
                  <c:v>11.6</c:v>
                </c:pt>
                <c:pt idx="222">
                  <c:v>11.7</c:v>
                </c:pt>
                <c:pt idx="223">
                  <c:v>11.7</c:v>
                </c:pt>
                <c:pt idx="224">
                  <c:v>11.6</c:v>
                </c:pt>
                <c:pt idx="225">
                  <c:v>11.4</c:v>
                </c:pt>
                <c:pt idx="226">
                  <c:v>11.5</c:v>
                </c:pt>
                <c:pt idx="227">
                  <c:v>11.7</c:v>
                </c:pt>
                <c:pt idx="228">
                  <c:v>11.5</c:v>
                </c:pt>
                <c:pt idx="229">
                  <c:v>11.8</c:v>
                </c:pt>
                <c:pt idx="230">
                  <c:v>11.5</c:v>
                </c:pt>
                <c:pt idx="231">
                  <c:v>11.8</c:v>
                </c:pt>
                <c:pt idx="232">
                  <c:v>11.5</c:v>
                </c:pt>
                <c:pt idx="233">
                  <c:v>11.6</c:v>
                </c:pt>
                <c:pt idx="234">
                  <c:v>11.6</c:v>
                </c:pt>
                <c:pt idx="235">
                  <c:v>11.6</c:v>
                </c:pt>
                <c:pt idx="236">
                  <c:v>11.6</c:v>
                </c:pt>
                <c:pt idx="237">
                  <c:v>11.6</c:v>
                </c:pt>
                <c:pt idx="238">
                  <c:v>11.7</c:v>
                </c:pt>
                <c:pt idx="239">
                  <c:v>11.7</c:v>
                </c:pt>
                <c:pt idx="240">
                  <c:v>11.9</c:v>
                </c:pt>
                <c:pt idx="241">
                  <c:v>11.7</c:v>
                </c:pt>
                <c:pt idx="242">
                  <c:v>11.8</c:v>
                </c:pt>
                <c:pt idx="243">
                  <c:v>11.7</c:v>
                </c:pt>
                <c:pt idx="244">
                  <c:v>11.7</c:v>
                </c:pt>
                <c:pt idx="245">
                  <c:v>11.7</c:v>
                </c:pt>
                <c:pt idx="246">
                  <c:v>11.6</c:v>
                </c:pt>
                <c:pt idx="247">
                  <c:v>11.6</c:v>
                </c:pt>
                <c:pt idx="248">
                  <c:v>11.9</c:v>
                </c:pt>
                <c:pt idx="249">
                  <c:v>11.7</c:v>
                </c:pt>
                <c:pt idx="250">
                  <c:v>11.7</c:v>
                </c:pt>
                <c:pt idx="251">
                  <c:v>11.7</c:v>
                </c:pt>
                <c:pt idx="252">
                  <c:v>11.7</c:v>
                </c:pt>
                <c:pt idx="253">
                  <c:v>11.6</c:v>
                </c:pt>
                <c:pt idx="254">
                  <c:v>11.9</c:v>
                </c:pt>
                <c:pt idx="255">
                  <c:v>11.8</c:v>
                </c:pt>
                <c:pt idx="256">
                  <c:v>11.8</c:v>
                </c:pt>
                <c:pt idx="257">
                  <c:v>11.8</c:v>
                </c:pt>
                <c:pt idx="258">
                  <c:v>11.9</c:v>
                </c:pt>
                <c:pt idx="259">
                  <c:v>11.8</c:v>
                </c:pt>
                <c:pt idx="260">
                  <c:v>11.7</c:v>
                </c:pt>
                <c:pt idx="261">
                  <c:v>11.8</c:v>
                </c:pt>
                <c:pt idx="262">
                  <c:v>11.7</c:v>
                </c:pt>
                <c:pt idx="263">
                  <c:v>12.1</c:v>
                </c:pt>
                <c:pt idx="264">
                  <c:v>11.8</c:v>
                </c:pt>
                <c:pt idx="265">
                  <c:v>11.6</c:v>
                </c:pt>
                <c:pt idx="266">
                  <c:v>11.9</c:v>
                </c:pt>
                <c:pt idx="267">
                  <c:v>11.8</c:v>
                </c:pt>
                <c:pt idx="268">
                  <c:v>11.8</c:v>
                </c:pt>
                <c:pt idx="269">
                  <c:v>11.8</c:v>
                </c:pt>
                <c:pt idx="270">
                  <c:v>11.9</c:v>
                </c:pt>
                <c:pt idx="271">
                  <c:v>11.8</c:v>
                </c:pt>
                <c:pt idx="272">
                  <c:v>11.9</c:v>
                </c:pt>
                <c:pt idx="273">
                  <c:v>11.9</c:v>
                </c:pt>
                <c:pt idx="274">
                  <c:v>11.9</c:v>
                </c:pt>
                <c:pt idx="275">
                  <c:v>12</c:v>
                </c:pt>
                <c:pt idx="276">
                  <c:v>11.8</c:v>
                </c:pt>
                <c:pt idx="277">
                  <c:v>12.1</c:v>
                </c:pt>
                <c:pt idx="278">
                  <c:v>12</c:v>
                </c:pt>
                <c:pt idx="279">
                  <c:v>12</c:v>
                </c:pt>
                <c:pt idx="280">
                  <c:v>11.9</c:v>
                </c:pt>
                <c:pt idx="281">
                  <c:v>11.9</c:v>
                </c:pt>
                <c:pt idx="282">
                  <c:v>11.8</c:v>
                </c:pt>
                <c:pt idx="283">
                  <c:v>12</c:v>
                </c:pt>
                <c:pt idx="284">
                  <c:v>12</c:v>
                </c:pt>
                <c:pt idx="285">
                  <c:v>11.9</c:v>
                </c:pt>
                <c:pt idx="286">
                  <c:v>11.9</c:v>
                </c:pt>
                <c:pt idx="287">
                  <c:v>11.8</c:v>
                </c:pt>
                <c:pt idx="288">
                  <c:v>11.8</c:v>
                </c:pt>
                <c:pt idx="289">
                  <c:v>12</c:v>
                </c:pt>
                <c:pt idx="290">
                  <c:v>11.9</c:v>
                </c:pt>
                <c:pt idx="291">
                  <c:v>11.7</c:v>
                </c:pt>
                <c:pt idx="292">
                  <c:v>11.9</c:v>
                </c:pt>
                <c:pt idx="293">
                  <c:v>11.9</c:v>
                </c:pt>
                <c:pt idx="294">
                  <c:v>12.1</c:v>
                </c:pt>
                <c:pt idx="295">
                  <c:v>11.8</c:v>
                </c:pt>
                <c:pt idx="296">
                  <c:v>11.9</c:v>
                </c:pt>
                <c:pt idx="297">
                  <c:v>12.1</c:v>
                </c:pt>
                <c:pt idx="298">
                  <c:v>11.9</c:v>
                </c:pt>
                <c:pt idx="299">
                  <c:v>11.9</c:v>
                </c:pt>
                <c:pt idx="300">
                  <c:v>12</c:v>
                </c:pt>
                <c:pt idx="301">
                  <c:v>11.9</c:v>
                </c:pt>
                <c:pt idx="302">
                  <c:v>12</c:v>
                </c:pt>
                <c:pt idx="303">
                  <c:v>12</c:v>
                </c:pt>
                <c:pt idx="304">
                  <c:v>12.1</c:v>
                </c:pt>
                <c:pt idx="305">
                  <c:v>12</c:v>
                </c:pt>
                <c:pt idx="306">
                  <c:v>12.1</c:v>
                </c:pt>
                <c:pt idx="307">
                  <c:v>12</c:v>
                </c:pt>
                <c:pt idx="308">
                  <c:v>12</c:v>
                </c:pt>
                <c:pt idx="309">
                  <c:v>12</c:v>
                </c:pt>
                <c:pt idx="310">
                  <c:v>12.1</c:v>
                </c:pt>
                <c:pt idx="311">
                  <c:v>12.1</c:v>
                </c:pt>
                <c:pt idx="312">
                  <c:v>12</c:v>
                </c:pt>
                <c:pt idx="313">
                  <c:v>12</c:v>
                </c:pt>
                <c:pt idx="314">
                  <c:v>12.1</c:v>
                </c:pt>
                <c:pt idx="315">
                  <c:v>12</c:v>
                </c:pt>
                <c:pt idx="316">
                  <c:v>12</c:v>
                </c:pt>
                <c:pt idx="317">
                  <c:v>12.1</c:v>
                </c:pt>
                <c:pt idx="318">
                  <c:v>12</c:v>
                </c:pt>
                <c:pt idx="319">
                  <c:v>12.1</c:v>
                </c:pt>
                <c:pt idx="320">
                  <c:v>12.2</c:v>
                </c:pt>
                <c:pt idx="321">
                  <c:v>12.4</c:v>
                </c:pt>
                <c:pt idx="322">
                  <c:v>12.2</c:v>
                </c:pt>
                <c:pt idx="323">
                  <c:v>12.1</c:v>
                </c:pt>
                <c:pt idx="324">
                  <c:v>12.3</c:v>
                </c:pt>
                <c:pt idx="325">
                  <c:v>12.4</c:v>
                </c:pt>
                <c:pt idx="326">
                  <c:v>12.2</c:v>
                </c:pt>
                <c:pt idx="327">
                  <c:v>12.2</c:v>
                </c:pt>
                <c:pt idx="328">
                  <c:v>12.2</c:v>
                </c:pt>
                <c:pt idx="329">
                  <c:v>12.3</c:v>
                </c:pt>
                <c:pt idx="330">
                  <c:v>12.2</c:v>
                </c:pt>
                <c:pt idx="331">
                  <c:v>12.2</c:v>
                </c:pt>
                <c:pt idx="332">
                  <c:v>12.2</c:v>
                </c:pt>
                <c:pt idx="333">
                  <c:v>12.3</c:v>
                </c:pt>
                <c:pt idx="334">
                  <c:v>12.3</c:v>
                </c:pt>
                <c:pt idx="335">
                  <c:v>12.5</c:v>
                </c:pt>
                <c:pt idx="336">
                  <c:v>12.4</c:v>
                </c:pt>
                <c:pt idx="337">
                  <c:v>12.3</c:v>
                </c:pt>
                <c:pt idx="338">
                  <c:v>12.4</c:v>
                </c:pt>
                <c:pt idx="339">
                  <c:v>12.4</c:v>
                </c:pt>
                <c:pt idx="340">
                  <c:v>12.5</c:v>
                </c:pt>
                <c:pt idx="341">
                  <c:v>12.4</c:v>
                </c:pt>
                <c:pt idx="342">
                  <c:v>12.3</c:v>
                </c:pt>
                <c:pt idx="343">
                  <c:v>12.4</c:v>
                </c:pt>
                <c:pt idx="344">
                  <c:v>12.5</c:v>
                </c:pt>
                <c:pt idx="345">
                  <c:v>12.5</c:v>
                </c:pt>
                <c:pt idx="346">
                  <c:v>12.5</c:v>
                </c:pt>
                <c:pt idx="347">
                  <c:v>12.6</c:v>
                </c:pt>
                <c:pt idx="348">
                  <c:v>12.7</c:v>
                </c:pt>
                <c:pt idx="349">
                  <c:v>12.7</c:v>
                </c:pt>
                <c:pt idx="350">
                  <c:v>12.8</c:v>
                </c:pt>
                <c:pt idx="351">
                  <c:v>12.7</c:v>
                </c:pt>
                <c:pt idx="352">
                  <c:v>12.9</c:v>
                </c:pt>
                <c:pt idx="353">
                  <c:v>13.3</c:v>
                </c:pt>
                <c:pt idx="354">
                  <c:v>13.4</c:v>
                </c:pt>
                <c:pt idx="355">
                  <c:v>13.7</c:v>
                </c:pt>
                <c:pt idx="356">
                  <c:v>13.9</c:v>
                </c:pt>
              </c:numCache>
            </c:numRef>
          </c:val>
          <c:smooth val="0"/>
          <c:extLst>
            <c:ext xmlns:c16="http://schemas.microsoft.com/office/drawing/2014/chart" uri="{C3380CC4-5D6E-409C-BE32-E72D297353CC}">
              <c16:uniqueId val="{00000005-A23F-4F3C-A609-EE15F1731AE3}"/>
            </c:ext>
          </c:extLst>
        </c:ser>
        <c:dLbls>
          <c:showLegendKey val="0"/>
          <c:showVal val="0"/>
          <c:showCatName val="0"/>
          <c:showSerName val="0"/>
          <c:showPercent val="0"/>
          <c:showBubbleSize val="0"/>
        </c:dLbls>
        <c:smooth val="0"/>
        <c:axId val="88272256"/>
        <c:axId val="104761600"/>
      </c:lineChart>
      <c:catAx>
        <c:axId val="88272256"/>
        <c:scaling>
          <c:orientation val="minMax"/>
        </c:scaling>
        <c:delete val="1"/>
        <c:axPos val="b"/>
        <c:title>
          <c:tx>
            <c:rich>
              <a:bodyPr/>
              <a:lstStyle/>
              <a:p>
                <a:pPr>
                  <a:defRPr/>
                </a:pPr>
                <a:r>
                  <a:rPr lang="en-GB"/>
                  <a:t>Local Authorities - England</a:t>
                </a:r>
              </a:p>
            </c:rich>
          </c:tx>
          <c:overlay val="0"/>
        </c:title>
        <c:majorTickMark val="out"/>
        <c:minorTickMark val="none"/>
        <c:tickLblPos val="nextTo"/>
        <c:crossAx val="104761600"/>
        <c:crosses val="autoZero"/>
        <c:auto val="1"/>
        <c:lblAlgn val="ctr"/>
        <c:lblOffset val="100"/>
        <c:noMultiLvlLbl val="0"/>
      </c:catAx>
      <c:valAx>
        <c:axId val="104761600"/>
        <c:scaling>
          <c:orientation val="minMax"/>
          <c:max val="18"/>
        </c:scaling>
        <c:delete val="0"/>
        <c:axPos val="l"/>
        <c:majorGridlines>
          <c:spPr>
            <a:ln>
              <a:solidFill>
                <a:schemeClr val="accent3">
                  <a:lumMod val="40000"/>
                  <a:lumOff val="60000"/>
                  <a:alpha val="15000"/>
                </a:schemeClr>
              </a:solidFill>
            </a:ln>
          </c:spPr>
        </c:majorGridlines>
        <c:title>
          <c:tx>
            <c:rich>
              <a:bodyPr rot="0" vert="wordArtVert"/>
              <a:lstStyle/>
              <a:p>
                <a:pPr>
                  <a:defRPr/>
                </a:pPr>
                <a:r>
                  <a:rPr lang="en-GB"/>
                  <a:t>Years</a:t>
                </a:r>
              </a:p>
            </c:rich>
          </c:tx>
          <c:overlay val="0"/>
        </c:title>
        <c:numFmt formatCode="0" sourceLinked="0"/>
        <c:majorTickMark val="out"/>
        <c:minorTickMark val="none"/>
        <c:tickLblPos val="nextTo"/>
        <c:crossAx val="88272256"/>
        <c:crosses val="autoZero"/>
        <c:crossBetween val="between"/>
      </c:valAx>
      <c:spPr>
        <a:ln>
          <a:noFill/>
        </a:ln>
      </c:spPr>
    </c:plotArea>
    <c:legend>
      <c:legendPos val="r"/>
      <c:layout>
        <c:manualLayout>
          <c:xMode val="edge"/>
          <c:yMode val="edge"/>
          <c:x val="0.72980847691068318"/>
          <c:y val="0.38135246855610938"/>
          <c:w val="0.25355370182687559"/>
          <c:h val="0.53919461902124621"/>
        </c:manualLayout>
      </c:layout>
      <c:overlay val="0"/>
      <c:txPr>
        <a:bodyPr/>
        <a:lstStyle/>
        <a:p>
          <a:pPr>
            <a:defRPr sz="800"/>
          </a:pPr>
          <a:endParaRPr lang="en-US"/>
        </a:p>
      </c:txPr>
    </c:legend>
    <c:plotVisOnly val="1"/>
    <c:dispBlanksAs val="gap"/>
    <c:showDLblsOverMax val="0"/>
  </c:chart>
  <c:spPr>
    <a:ln>
      <a:no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06A11A3C7F41BFBACA9D2165465C13"/>
        <w:category>
          <w:name w:val="General"/>
          <w:gallery w:val="placeholder"/>
        </w:category>
        <w:types>
          <w:type w:val="bbPlcHdr"/>
        </w:types>
        <w:behaviors>
          <w:behavior w:val="content"/>
        </w:behaviors>
        <w:guid w:val="{F05C8860-544C-48C7-ACC8-77BAB4DEA0E7}"/>
      </w:docPartPr>
      <w:docPartBody>
        <w:p w:rsidR="00A61385" w:rsidRDefault="00BB1C8F" w:rsidP="00BB1C8F">
          <w:pPr>
            <w:pStyle w:val="8B06A11A3C7F41BFBACA9D2165465C13"/>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8F"/>
    <w:rsid w:val="00A61385"/>
    <w:rsid w:val="00BB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C8F"/>
    <w:rPr>
      <w:color w:val="808080"/>
    </w:rPr>
  </w:style>
  <w:style w:type="paragraph" w:customStyle="1" w:styleId="C581ADB7E3FA489C8196B747C336F933">
    <w:name w:val="C581ADB7E3FA489C8196B747C336F933"/>
    <w:rsid w:val="00BB1C8F"/>
  </w:style>
  <w:style w:type="paragraph" w:customStyle="1" w:styleId="06BC1AAB1B43481095F4A00F38B54F33">
    <w:name w:val="06BC1AAB1B43481095F4A00F38B54F33"/>
    <w:rsid w:val="00BB1C8F"/>
  </w:style>
  <w:style w:type="paragraph" w:customStyle="1" w:styleId="C41B118133A7460E922258E963B35B16">
    <w:name w:val="C41B118133A7460E922258E963B35B16"/>
    <w:rsid w:val="00BB1C8F"/>
  </w:style>
  <w:style w:type="paragraph" w:customStyle="1" w:styleId="4D742BC2BDAC4A6DB27CFA1B184CEA89">
    <w:name w:val="4D742BC2BDAC4A6DB27CFA1B184CEA89"/>
    <w:rsid w:val="00BB1C8F"/>
  </w:style>
  <w:style w:type="paragraph" w:customStyle="1" w:styleId="C3AE905C77B24FD0BBD063AFD4C958CC">
    <w:name w:val="C3AE905C77B24FD0BBD063AFD4C958CC"/>
    <w:rsid w:val="00BB1C8F"/>
  </w:style>
  <w:style w:type="paragraph" w:customStyle="1" w:styleId="946BE8B3E5754C3098166CDE3CD53524">
    <w:name w:val="946BE8B3E5754C3098166CDE3CD53524"/>
    <w:rsid w:val="00BB1C8F"/>
  </w:style>
  <w:style w:type="paragraph" w:customStyle="1" w:styleId="8B06A11A3C7F41BFBACA9D2165465C13">
    <w:name w:val="8B06A11A3C7F41BFBACA9D2165465C13"/>
    <w:rsid w:val="00BB1C8F"/>
  </w:style>
  <w:style w:type="paragraph" w:customStyle="1" w:styleId="D9C084051CD94A1FAA3C33EDB156833F">
    <w:name w:val="D9C084051CD94A1FAA3C33EDB156833F"/>
    <w:rsid w:val="00BB1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BAA4-9D3E-4AAF-9A1A-9A372349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2020-03-12T11:56:00Z</dcterms:created>
  <dcterms:modified xsi:type="dcterms:W3CDTF">2020-03-18T15:14:00Z</dcterms:modified>
</cp:coreProperties>
</file>