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482C01">
      <w:pPr>
        <w:jc w:val="center"/>
        <w:rPr>
          <w:rFonts w:ascii="Arial" w:hAnsi="Arial" w:cs="Arial"/>
          <w:b/>
          <w:sz w:val="32"/>
          <w:szCs w:val="32"/>
        </w:rPr>
      </w:pPr>
      <w:bookmarkStart w:id="0" w:name="_Toc383595130"/>
      <w:r w:rsidRPr="00861C2E">
        <w:rPr>
          <w:rFonts w:ascii="Arial" w:hAnsi="Arial" w:cs="Arial"/>
          <w:b/>
          <w:sz w:val="32"/>
          <w:szCs w:val="32"/>
        </w:rPr>
        <w:t>NATIONAL INSTITUTE FOR HEALTH AND CARE EXCELLENCE</w:t>
      </w:r>
      <w:bookmarkEnd w:id="0"/>
    </w:p>
    <w:p w14:paraId="513A8F55" w14:textId="77777777" w:rsidR="008C183F" w:rsidRPr="00861C2E" w:rsidRDefault="008C183F" w:rsidP="00482C01">
      <w:pPr>
        <w:jc w:val="center"/>
        <w:rPr>
          <w:rFonts w:ascii="Arial" w:hAnsi="Arial" w:cs="Arial"/>
          <w:b/>
          <w:sz w:val="32"/>
          <w:szCs w:val="32"/>
        </w:rPr>
      </w:pPr>
    </w:p>
    <w:p w14:paraId="6C6B43FC" w14:textId="2F3EF7E2" w:rsidR="00482C01" w:rsidRDefault="009B0E59" w:rsidP="009611B2">
      <w:pPr>
        <w:spacing w:after="240"/>
        <w:jc w:val="center"/>
        <w:rPr>
          <w:rFonts w:ascii="Arial" w:hAnsi="Arial" w:cs="Arial"/>
          <w:b/>
          <w:sz w:val="32"/>
          <w:szCs w:val="32"/>
        </w:rPr>
      </w:pPr>
      <w:r>
        <w:rPr>
          <w:rFonts w:ascii="Arial" w:hAnsi="Arial" w:cs="Arial"/>
          <w:b/>
          <w:sz w:val="32"/>
          <w:szCs w:val="32"/>
        </w:rPr>
        <w:t>NICE indicator v</w:t>
      </w:r>
      <w:r w:rsidR="00192B09">
        <w:rPr>
          <w:rFonts w:ascii="Arial" w:hAnsi="Arial" w:cs="Arial"/>
          <w:b/>
          <w:sz w:val="32"/>
          <w:szCs w:val="32"/>
        </w:rPr>
        <w:t>alidity assessment</w:t>
      </w:r>
    </w:p>
    <w:p w14:paraId="0E41F7BE" w14:textId="0FEF30C5" w:rsidR="00F66205" w:rsidRPr="002921E7" w:rsidRDefault="00F66205" w:rsidP="009611B2">
      <w:pPr>
        <w:spacing w:before="480" w:after="240" w:line="360" w:lineRule="auto"/>
        <w:rPr>
          <w:rFonts w:ascii="Arial" w:hAnsi="Arial"/>
          <w:lang w:eastAsia="en-GB"/>
        </w:rPr>
      </w:pPr>
      <w:r w:rsidRPr="002921E7">
        <w:rPr>
          <w:rFonts w:ascii="Arial" w:hAnsi="Arial"/>
          <w:lang w:eastAsia="en-GB"/>
        </w:rPr>
        <w:t>Assurance date:</w:t>
      </w:r>
      <w:r>
        <w:rPr>
          <w:rFonts w:ascii="Arial" w:hAnsi="Arial"/>
          <w:lang w:eastAsia="en-GB"/>
        </w:rPr>
        <w:t xml:space="preserve"> </w:t>
      </w:r>
      <w:r>
        <w:rPr>
          <w:rFonts w:ascii="Arial" w:hAnsi="Arial"/>
          <w:lang w:eastAsia="en-GB"/>
        </w:rPr>
        <w:t>September</w:t>
      </w:r>
      <w:r>
        <w:rPr>
          <w:rFonts w:ascii="Arial" w:hAnsi="Arial"/>
          <w:lang w:eastAsia="en-GB"/>
        </w:rPr>
        <w:t xml:space="preserve"> 2021</w:t>
      </w:r>
    </w:p>
    <w:p w14:paraId="059701B5" w14:textId="3152C527" w:rsidR="00F66205" w:rsidRPr="00F66205" w:rsidRDefault="00F66205" w:rsidP="00F66205">
      <w:pPr>
        <w:spacing w:before="240" w:after="240" w:line="360" w:lineRule="auto"/>
        <w:rPr>
          <w:rFonts w:ascii="Arial" w:hAnsi="Arial"/>
          <w:lang w:eastAsia="en-GB"/>
        </w:rPr>
      </w:pPr>
      <w:r w:rsidRPr="002921E7">
        <w:rPr>
          <w:rFonts w:ascii="Arial" w:hAnsi="Arial"/>
          <w:lang w:eastAsia="en-GB"/>
        </w:rPr>
        <w:t>Review date:</w:t>
      </w:r>
      <w:r>
        <w:rPr>
          <w:rFonts w:ascii="Arial" w:hAnsi="Arial"/>
          <w:lang w:eastAsia="en-GB"/>
        </w:rPr>
        <w:t xml:space="preserve"> </w:t>
      </w:r>
      <w:r>
        <w:rPr>
          <w:rFonts w:ascii="Arial" w:hAnsi="Arial"/>
          <w:lang w:eastAsia="en-GB"/>
        </w:rPr>
        <w:t>September</w:t>
      </w:r>
      <w:r>
        <w:rPr>
          <w:rFonts w:ascii="Arial" w:hAnsi="Arial"/>
          <w:lang w:eastAsia="en-GB"/>
        </w:rPr>
        <w:t xml:space="preserve"> 2024</w:t>
      </w:r>
    </w:p>
    <w:p w14:paraId="047E7BC9" w14:textId="6D7D93AB" w:rsidR="009B0E59" w:rsidRPr="009B0E59" w:rsidRDefault="009B0E59" w:rsidP="009B0E59">
      <w:pPr>
        <w:pStyle w:val="Heading1"/>
        <w:rPr>
          <w:lang w:eastAsia="en-GB"/>
        </w:rPr>
      </w:pPr>
      <w:r w:rsidRPr="009B0E59">
        <w:rPr>
          <w:lang w:eastAsia="en-GB"/>
        </w:rPr>
        <w:t xml:space="preserve">Indicator </w:t>
      </w:r>
      <w:r w:rsidR="00FF79D5">
        <w:rPr>
          <w:lang w:eastAsia="en-GB"/>
        </w:rPr>
        <w:t>IAP00</w:t>
      </w:r>
      <w:r w:rsidR="00C1480F">
        <w:rPr>
          <w:lang w:eastAsia="en-GB"/>
        </w:rPr>
        <w:t>016</w:t>
      </w:r>
    </w:p>
    <w:p w14:paraId="43D55025" w14:textId="582DF061" w:rsidR="00284539" w:rsidRDefault="00C1480F" w:rsidP="009B0E59">
      <w:pPr>
        <w:pStyle w:val="Heading1"/>
        <w:rPr>
          <w:b w:val="0"/>
          <w:bCs w:val="0"/>
          <w:kern w:val="0"/>
          <w:sz w:val="24"/>
          <w:szCs w:val="24"/>
          <w:lang w:eastAsia="en-GB"/>
        </w:rPr>
      </w:pPr>
      <w:r>
        <w:rPr>
          <w:b w:val="0"/>
          <w:bCs w:val="0"/>
          <w:kern w:val="0"/>
          <w:sz w:val="24"/>
          <w:szCs w:val="24"/>
          <w:lang w:eastAsia="en-GB"/>
        </w:rPr>
        <w:t>Life expectancy at 75</w:t>
      </w:r>
      <w:r w:rsidR="00384090">
        <w:rPr>
          <w:b w:val="0"/>
          <w:bCs w:val="0"/>
          <w:kern w:val="0"/>
          <w:sz w:val="24"/>
          <w:szCs w:val="24"/>
          <w:lang w:eastAsia="en-GB"/>
        </w:rPr>
        <w:t xml:space="preserve"> (See also IAP00459 </w:t>
      </w:r>
      <w:r w:rsidR="00384090" w:rsidRPr="0074199D">
        <w:rPr>
          <w:b w:val="0"/>
          <w:bCs w:val="0"/>
          <w:kern w:val="0"/>
          <w:sz w:val="24"/>
          <w:szCs w:val="24"/>
          <w:lang w:eastAsia="en-GB"/>
        </w:rPr>
        <w:t>Health inequalities (area deprivation) - Life expectancy at 75</w:t>
      </w:r>
      <w:r w:rsidR="00384090">
        <w:rPr>
          <w:b w:val="0"/>
          <w:bCs w:val="0"/>
          <w:kern w:val="0"/>
          <w:sz w:val="24"/>
          <w:szCs w:val="24"/>
          <w:lang w:eastAsia="en-GB"/>
        </w:rPr>
        <w:t>)</w:t>
      </w:r>
    </w:p>
    <w:p w14:paraId="7C25BFBC" w14:textId="4DE0CAEA" w:rsidR="007136A7" w:rsidRDefault="00192B09" w:rsidP="009B0E59">
      <w:pPr>
        <w:pStyle w:val="Heading1"/>
      </w:pPr>
      <w:r>
        <w:t xml:space="preserve">Validity assessment </w:t>
      </w:r>
    </w:p>
    <w:tbl>
      <w:tblPr>
        <w:tblStyle w:val="TableGrid1"/>
        <w:tblW w:w="0" w:type="auto"/>
        <w:tblLook w:val="04A0" w:firstRow="1" w:lastRow="0" w:firstColumn="1" w:lastColumn="0" w:noHBand="0" w:noVBand="1"/>
      </w:tblPr>
      <w:tblGrid>
        <w:gridCol w:w="1878"/>
        <w:gridCol w:w="4092"/>
        <w:gridCol w:w="3047"/>
      </w:tblGrid>
      <w:tr w:rsidR="00455B14" w:rsidRPr="006E1387" w14:paraId="0815D160" w14:textId="1327D684" w:rsidTr="00455B14">
        <w:tc>
          <w:tcPr>
            <w:tcW w:w="1878" w:type="dxa"/>
          </w:tcPr>
          <w:p w14:paraId="04AA61DA" w14:textId="77777777"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Domain</w:t>
            </w:r>
          </w:p>
        </w:tc>
        <w:tc>
          <w:tcPr>
            <w:tcW w:w="4092" w:type="dxa"/>
          </w:tcPr>
          <w:p w14:paraId="177895C1" w14:textId="194D65D4" w:rsidR="00455B14" w:rsidRPr="006E1387" w:rsidRDefault="009B5C5F" w:rsidP="00F100EB">
            <w:pPr>
              <w:spacing w:before="120" w:after="120"/>
              <w:rPr>
                <w:rFonts w:ascii="Arial" w:hAnsi="Arial" w:cs="Arial"/>
                <w:b/>
                <w:sz w:val="22"/>
                <w:szCs w:val="22"/>
              </w:rPr>
            </w:pPr>
            <w:r w:rsidRPr="006E1387">
              <w:rPr>
                <w:rFonts w:ascii="Arial" w:hAnsi="Arial" w:cs="Arial"/>
                <w:b/>
                <w:sz w:val="22"/>
                <w:szCs w:val="22"/>
              </w:rPr>
              <w:t>Notes</w:t>
            </w:r>
            <w:r w:rsidR="00455B14" w:rsidRPr="006E1387">
              <w:rPr>
                <w:rFonts w:ascii="Arial" w:hAnsi="Arial" w:cs="Arial"/>
                <w:b/>
                <w:sz w:val="22"/>
                <w:szCs w:val="22"/>
              </w:rPr>
              <w:t xml:space="preserve"> </w:t>
            </w:r>
          </w:p>
        </w:tc>
        <w:tc>
          <w:tcPr>
            <w:tcW w:w="3047" w:type="dxa"/>
          </w:tcPr>
          <w:p w14:paraId="7A5D48DC" w14:textId="7C82261F"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Assessment</w:t>
            </w:r>
          </w:p>
        </w:tc>
      </w:tr>
      <w:tr w:rsidR="00455B14" w:rsidRPr="006E1387" w14:paraId="3708A997" w14:textId="67C127FD" w:rsidTr="00455B14">
        <w:tc>
          <w:tcPr>
            <w:tcW w:w="1878" w:type="dxa"/>
          </w:tcPr>
          <w:p w14:paraId="480E158F"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Importance</w:t>
            </w:r>
          </w:p>
        </w:tc>
        <w:tc>
          <w:tcPr>
            <w:tcW w:w="4092" w:type="dxa"/>
          </w:tcPr>
          <w:p w14:paraId="00803C67" w14:textId="761BFA4D" w:rsidR="00333A96" w:rsidRDefault="00333A96" w:rsidP="00333A96">
            <w:pPr>
              <w:spacing w:before="120" w:after="120"/>
              <w:rPr>
                <w:rFonts w:ascii="Arial" w:hAnsi="Arial" w:cs="Arial"/>
                <w:sz w:val="22"/>
                <w:szCs w:val="22"/>
              </w:rPr>
            </w:pPr>
            <w:r>
              <w:rPr>
                <w:rFonts w:ascii="Arial" w:hAnsi="Arial" w:cs="Arial"/>
                <w:sz w:val="22"/>
                <w:szCs w:val="22"/>
              </w:rPr>
              <w:t xml:space="preserve">Indicator is part of the </w:t>
            </w:r>
            <w:r w:rsidR="00C1480F">
              <w:rPr>
                <w:rFonts w:ascii="Arial" w:hAnsi="Arial" w:cs="Arial"/>
                <w:sz w:val="22"/>
                <w:szCs w:val="22"/>
              </w:rPr>
              <w:t>NHS</w:t>
            </w:r>
            <w:r w:rsidR="006A6B79">
              <w:rPr>
                <w:rFonts w:ascii="Arial" w:hAnsi="Arial" w:cs="Arial"/>
                <w:sz w:val="22"/>
                <w:szCs w:val="22"/>
              </w:rPr>
              <w:t xml:space="preserve"> outcomes </w:t>
            </w:r>
            <w:r w:rsidR="00C1480F">
              <w:rPr>
                <w:rFonts w:ascii="Arial" w:hAnsi="Arial" w:cs="Arial"/>
                <w:sz w:val="22"/>
                <w:szCs w:val="22"/>
              </w:rPr>
              <w:t>framework</w:t>
            </w:r>
            <w:r w:rsidR="00402BFB">
              <w:rPr>
                <w:rFonts w:ascii="Arial" w:hAnsi="Arial" w:cs="Arial"/>
                <w:sz w:val="22"/>
                <w:szCs w:val="22"/>
              </w:rPr>
              <w:t xml:space="preserve"> </w:t>
            </w:r>
            <w:r w:rsidR="00F75B77">
              <w:rPr>
                <w:rFonts w:ascii="Arial" w:hAnsi="Arial" w:cs="Arial"/>
                <w:sz w:val="22"/>
                <w:szCs w:val="22"/>
              </w:rPr>
              <w:t xml:space="preserve">domain </w:t>
            </w:r>
            <w:r w:rsidR="00C1480F">
              <w:rPr>
                <w:rFonts w:ascii="Arial" w:hAnsi="Arial" w:cs="Arial"/>
                <w:sz w:val="22"/>
                <w:szCs w:val="22"/>
              </w:rPr>
              <w:t>1</w:t>
            </w:r>
            <w:r w:rsidR="00F75B77">
              <w:rPr>
                <w:rFonts w:ascii="Arial" w:hAnsi="Arial" w:cs="Arial"/>
                <w:sz w:val="22"/>
                <w:szCs w:val="22"/>
              </w:rPr>
              <w:t xml:space="preserve"> – </w:t>
            </w:r>
            <w:r w:rsidR="00C1480F" w:rsidRPr="00C1480F">
              <w:rPr>
                <w:rFonts w:ascii="Arial" w:hAnsi="Arial" w:cs="Arial"/>
                <w:sz w:val="22"/>
                <w:szCs w:val="22"/>
              </w:rPr>
              <w:t>Preventing people from dying prematurely</w:t>
            </w:r>
            <w:r w:rsidR="00402BFB">
              <w:rPr>
                <w:rFonts w:ascii="Arial" w:hAnsi="Arial" w:cs="Arial"/>
                <w:sz w:val="22"/>
                <w:szCs w:val="22"/>
              </w:rPr>
              <w:t>.</w:t>
            </w:r>
          </w:p>
          <w:p w14:paraId="6A0AAFD7" w14:textId="0B077A58" w:rsidR="00645411" w:rsidRPr="006E1387" w:rsidRDefault="00161404" w:rsidP="00284539">
            <w:pPr>
              <w:spacing w:before="120" w:after="120"/>
              <w:rPr>
                <w:rFonts w:ascii="Arial" w:hAnsi="Arial" w:cs="Arial"/>
                <w:sz w:val="22"/>
                <w:szCs w:val="22"/>
              </w:rPr>
            </w:pPr>
            <w:r>
              <w:rPr>
                <w:rFonts w:ascii="Arial" w:hAnsi="Arial" w:cs="Arial"/>
                <w:sz w:val="22"/>
                <w:szCs w:val="22"/>
              </w:rPr>
              <w:t xml:space="preserve">At a national level the </w:t>
            </w:r>
            <w:r w:rsidR="00284539">
              <w:rPr>
                <w:rFonts w:ascii="Arial" w:hAnsi="Arial" w:cs="Arial"/>
                <w:sz w:val="22"/>
                <w:szCs w:val="22"/>
              </w:rPr>
              <w:t xml:space="preserve">value of this indicator has </w:t>
            </w:r>
            <w:r w:rsidR="00A27390">
              <w:rPr>
                <w:rFonts w:ascii="Arial" w:hAnsi="Arial" w:cs="Arial"/>
                <w:sz w:val="22"/>
                <w:szCs w:val="22"/>
              </w:rPr>
              <w:t>improved over time. In 199</w:t>
            </w:r>
            <w:r w:rsidR="00B45B75">
              <w:rPr>
                <w:rFonts w:ascii="Arial" w:hAnsi="Arial" w:cs="Arial"/>
                <w:sz w:val="22"/>
                <w:szCs w:val="22"/>
              </w:rPr>
              <w:t>0</w:t>
            </w:r>
            <w:r w:rsidR="00A27390">
              <w:rPr>
                <w:rFonts w:ascii="Arial" w:hAnsi="Arial" w:cs="Arial"/>
                <w:sz w:val="22"/>
                <w:szCs w:val="22"/>
              </w:rPr>
              <w:t xml:space="preserve"> the male life expectancy at 75 was 8.5 years and for females 11.1, increasing by 2019 to 11.8 and 13.5 respectively. Life expectancies are higher in less deprived deciles for both genders, and there is substantial geographical variation.</w:t>
            </w:r>
          </w:p>
        </w:tc>
        <w:tc>
          <w:tcPr>
            <w:tcW w:w="3047" w:type="dxa"/>
          </w:tcPr>
          <w:p w14:paraId="34B49690" w14:textId="1389F426" w:rsidR="00E05AB5" w:rsidRDefault="00E05AB5" w:rsidP="00C41156">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Indicator is based </w:t>
            </w:r>
            <w:r w:rsidR="005B620E">
              <w:rPr>
                <w:rFonts w:eastAsiaTheme="minorEastAsia" w:cs="Arial"/>
                <w:color w:val="000000" w:themeColor="dark1"/>
                <w:kern w:val="24"/>
                <w:sz w:val="22"/>
                <w:szCs w:val="22"/>
              </w:rPr>
              <w:t>on</w:t>
            </w:r>
            <w:r w:rsidR="00220702">
              <w:rPr>
                <w:rFonts w:eastAsiaTheme="minorEastAsia" w:cs="Arial"/>
                <w:color w:val="000000" w:themeColor="dark1"/>
                <w:kern w:val="24"/>
                <w:sz w:val="22"/>
                <w:szCs w:val="22"/>
              </w:rPr>
              <w:t xml:space="preserve"> a recogni</w:t>
            </w:r>
            <w:r w:rsidR="00A27390">
              <w:rPr>
                <w:rFonts w:eastAsiaTheme="minorEastAsia" w:cs="Arial"/>
                <w:color w:val="000000" w:themeColor="dark1"/>
                <w:kern w:val="24"/>
                <w:sz w:val="22"/>
                <w:szCs w:val="22"/>
              </w:rPr>
              <w:t>s</w:t>
            </w:r>
            <w:r w:rsidR="00220702">
              <w:rPr>
                <w:rFonts w:eastAsiaTheme="minorEastAsia" w:cs="Arial"/>
                <w:color w:val="000000" w:themeColor="dark1"/>
                <w:kern w:val="24"/>
                <w:sz w:val="22"/>
                <w:szCs w:val="22"/>
              </w:rPr>
              <w:t>ed dataset</w:t>
            </w:r>
            <w:r w:rsidR="006A6B79">
              <w:rPr>
                <w:rFonts w:eastAsiaTheme="minorEastAsia" w:cs="Arial"/>
                <w:color w:val="000000" w:themeColor="dark1"/>
                <w:kern w:val="24"/>
                <w:sz w:val="22"/>
                <w:szCs w:val="22"/>
              </w:rPr>
              <w:t>.</w:t>
            </w:r>
          </w:p>
          <w:p w14:paraId="78280FB7" w14:textId="14F9F362" w:rsidR="00E05AB5" w:rsidRPr="006E1387" w:rsidRDefault="00A27390" w:rsidP="00EC7278">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Indicator </w:t>
            </w:r>
            <w:r w:rsidR="000427A7">
              <w:rPr>
                <w:rFonts w:eastAsiaTheme="minorEastAsia" w:cs="Arial"/>
                <w:color w:val="000000" w:themeColor="dark1"/>
                <w:kern w:val="24"/>
                <w:sz w:val="22"/>
                <w:szCs w:val="22"/>
              </w:rPr>
              <w:t>shows improvement</w:t>
            </w:r>
            <w:r>
              <w:rPr>
                <w:rFonts w:eastAsiaTheme="minorEastAsia" w:cs="Arial"/>
                <w:color w:val="000000" w:themeColor="dark1"/>
                <w:kern w:val="24"/>
                <w:sz w:val="22"/>
                <w:szCs w:val="22"/>
              </w:rPr>
              <w:t xml:space="preserve"> over time, with variation by geography and by deprivation decile.</w:t>
            </w:r>
          </w:p>
        </w:tc>
      </w:tr>
      <w:tr w:rsidR="00455B14" w:rsidRPr="006E1387" w14:paraId="77F6A4A2" w14:textId="33EFD485" w:rsidTr="00455B14">
        <w:tc>
          <w:tcPr>
            <w:tcW w:w="1878" w:type="dxa"/>
          </w:tcPr>
          <w:p w14:paraId="6AF47F4B"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Evidence base</w:t>
            </w:r>
          </w:p>
        </w:tc>
        <w:tc>
          <w:tcPr>
            <w:tcW w:w="4092" w:type="dxa"/>
          </w:tcPr>
          <w:p w14:paraId="67D19D99" w14:textId="1EAEC52D" w:rsidR="0019550C" w:rsidRDefault="0019550C" w:rsidP="005F3926">
            <w:pPr>
              <w:spacing w:before="120" w:after="120"/>
              <w:rPr>
                <w:rFonts w:ascii="Arial" w:hAnsi="Arial" w:cs="Arial"/>
                <w:sz w:val="22"/>
                <w:szCs w:val="22"/>
              </w:rPr>
            </w:pPr>
            <w:r>
              <w:rPr>
                <w:rFonts w:ascii="Arial" w:hAnsi="Arial" w:cs="Arial"/>
                <w:sz w:val="22"/>
                <w:szCs w:val="22"/>
              </w:rPr>
              <w:t xml:space="preserve">From indicator </w:t>
            </w:r>
            <w:r w:rsidR="00521D6D">
              <w:rPr>
                <w:rFonts w:ascii="Arial" w:hAnsi="Arial" w:cs="Arial"/>
                <w:sz w:val="22"/>
                <w:szCs w:val="22"/>
              </w:rPr>
              <w:t>quality statement</w:t>
            </w:r>
            <w:r w:rsidR="00521D6D">
              <w:rPr>
                <w:rStyle w:val="FootnoteReference"/>
                <w:rFonts w:ascii="Arial" w:hAnsi="Arial" w:cs="Arial"/>
                <w:sz w:val="22"/>
                <w:szCs w:val="22"/>
              </w:rPr>
              <w:footnoteReference w:id="1"/>
            </w:r>
            <w:r w:rsidR="00521D6D">
              <w:rPr>
                <w:rFonts w:ascii="Arial" w:hAnsi="Arial" w:cs="Arial"/>
                <w:sz w:val="22"/>
                <w:szCs w:val="22"/>
              </w:rPr>
              <w:t>:</w:t>
            </w:r>
          </w:p>
          <w:p w14:paraId="2CA49360" w14:textId="36E1F59D" w:rsidR="00A27390" w:rsidRPr="00A27390" w:rsidRDefault="0019550C" w:rsidP="00A27390">
            <w:pPr>
              <w:spacing w:before="120" w:after="120"/>
              <w:rPr>
                <w:rFonts w:ascii="Arial" w:hAnsi="Arial" w:cs="Arial"/>
                <w:sz w:val="22"/>
                <w:szCs w:val="22"/>
              </w:rPr>
            </w:pPr>
            <w:r>
              <w:rPr>
                <w:rFonts w:ascii="Arial" w:hAnsi="Arial" w:cs="Arial"/>
                <w:sz w:val="22"/>
                <w:szCs w:val="22"/>
              </w:rPr>
              <w:t>“</w:t>
            </w:r>
            <w:r w:rsidR="00A27390" w:rsidRPr="00A27390">
              <w:rPr>
                <w:rFonts w:ascii="Arial" w:hAnsi="Arial" w:cs="Arial"/>
                <w:sz w:val="22"/>
                <w:szCs w:val="22"/>
              </w:rPr>
              <w:t>This indicator is an overarching indicator in domain 1 of the framework. The overarching indicators in domain 1 allow the Secretary of State to review how</w:t>
            </w:r>
            <w:r w:rsidR="00A27390">
              <w:rPr>
                <w:rFonts w:ascii="Arial" w:hAnsi="Arial" w:cs="Arial"/>
                <w:sz w:val="22"/>
                <w:szCs w:val="22"/>
              </w:rPr>
              <w:t xml:space="preserve"> </w:t>
            </w:r>
            <w:r w:rsidR="00A27390" w:rsidRPr="00A27390">
              <w:rPr>
                <w:rFonts w:ascii="Arial" w:hAnsi="Arial" w:cs="Arial"/>
                <w:sz w:val="22"/>
                <w:szCs w:val="22"/>
              </w:rPr>
              <w:t xml:space="preserve">successful the NHS has been in preventing people from dying prematurely, </w:t>
            </w:r>
            <w:proofErr w:type="gramStart"/>
            <w:r w:rsidR="00A27390" w:rsidRPr="00A27390">
              <w:rPr>
                <w:rFonts w:ascii="Arial" w:hAnsi="Arial" w:cs="Arial"/>
                <w:sz w:val="22"/>
                <w:szCs w:val="22"/>
              </w:rPr>
              <w:t>and in particular, preventing</w:t>
            </w:r>
            <w:proofErr w:type="gramEnd"/>
            <w:r w:rsidR="00A27390" w:rsidRPr="00A27390">
              <w:rPr>
                <w:rFonts w:ascii="Arial" w:hAnsi="Arial" w:cs="Arial"/>
                <w:sz w:val="22"/>
                <w:szCs w:val="22"/>
              </w:rPr>
              <w:t xml:space="preserve"> deaths from causes considered ‘amenable’ to healthcare. 'Amenable' in this context relates to premature deaths that should not occur in most cases in the presence of timely and effective healthcare.</w:t>
            </w:r>
          </w:p>
          <w:p w14:paraId="46FD2163" w14:textId="71C7B026" w:rsidR="005F3926" w:rsidRPr="006E1387" w:rsidRDefault="00A27390" w:rsidP="00A27390">
            <w:pPr>
              <w:spacing w:before="120" w:after="120"/>
              <w:rPr>
                <w:rFonts w:ascii="Arial" w:hAnsi="Arial" w:cs="Arial"/>
                <w:sz w:val="22"/>
                <w:szCs w:val="22"/>
              </w:rPr>
            </w:pPr>
            <w:r w:rsidRPr="00A27390">
              <w:rPr>
                <w:rFonts w:ascii="Arial" w:hAnsi="Arial" w:cs="Arial"/>
                <w:sz w:val="22"/>
                <w:szCs w:val="22"/>
              </w:rPr>
              <w:lastRenderedPageBreak/>
              <w:t xml:space="preserve">While a limited number of conditions for those aged 75 and over are included in the definition of “amenable” used in other domain 1 indicators, these indicators focus on those aged under 75 for the most part. This is largely because of the difficulty of ascribing cause of death in 75+ age groups where there are often multiple morbidities. </w:t>
            </w:r>
            <w:proofErr w:type="gramStart"/>
            <w:r w:rsidRPr="00A27390">
              <w:rPr>
                <w:rFonts w:ascii="Arial" w:hAnsi="Arial" w:cs="Arial"/>
                <w:sz w:val="22"/>
                <w:szCs w:val="22"/>
              </w:rPr>
              <w:t>However</w:t>
            </w:r>
            <w:proofErr w:type="gramEnd"/>
            <w:r w:rsidRPr="00A27390">
              <w:rPr>
                <w:rFonts w:ascii="Arial" w:hAnsi="Arial" w:cs="Arial"/>
                <w:sz w:val="22"/>
                <w:szCs w:val="22"/>
              </w:rPr>
              <w:t xml:space="preserve"> many deaths at ages 75 and over could be considered premature. </w:t>
            </w:r>
            <w:proofErr w:type="gramStart"/>
            <w:r w:rsidRPr="00A27390">
              <w:rPr>
                <w:rFonts w:ascii="Arial" w:hAnsi="Arial" w:cs="Arial"/>
                <w:sz w:val="22"/>
                <w:szCs w:val="22"/>
              </w:rPr>
              <w:t>In order to</w:t>
            </w:r>
            <w:proofErr w:type="gramEnd"/>
            <w:r w:rsidRPr="00A27390">
              <w:rPr>
                <w:rFonts w:ascii="Arial" w:hAnsi="Arial" w:cs="Arial"/>
                <w:sz w:val="22"/>
                <w:szCs w:val="22"/>
              </w:rPr>
              <w:t xml:space="preserve"> address concerns that the framework neglects premature or avoidable deaths in older people, this indicator, life expectancy at 75, is a companion indicator to amenable mortality.</w:t>
            </w:r>
            <w:r w:rsidR="0019550C" w:rsidRPr="0019550C">
              <w:rPr>
                <w:rFonts w:ascii="Arial" w:hAnsi="Arial" w:cs="Arial"/>
                <w:sz w:val="22"/>
                <w:szCs w:val="22"/>
              </w:rPr>
              <w:t xml:space="preserve">”.  </w:t>
            </w:r>
          </w:p>
        </w:tc>
        <w:tc>
          <w:tcPr>
            <w:tcW w:w="3047" w:type="dxa"/>
          </w:tcPr>
          <w:p w14:paraId="12B8C1AB" w14:textId="65AAEB79" w:rsidR="00E05AB5" w:rsidRPr="006E1387" w:rsidRDefault="00A27390" w:rsidP="00AE6604">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lastRenderedPageBreak/>
              <w:t>This indicator covers a wide range of conditions where an evidence base exists.</w:t>
            </w:r>
          </w:p>
        </w:tc>
      </w:tr>
      <w:tr w:rsidR="00455B14" w:rsidRPr="006E1387" w14:paraId="3CC8FB8C" w14:textId="54EA7E4F" w:rsidTr="00455B14">
        <w:tc>
          <w:tcPr>
            <w:tcW w:w="1878" w:type="dxa"/>
          </w:tcPr>
          <w:p w14:paraId="4C16DA9B" w14:textId="563A5247"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Specification </w:t>
            </w:r>
          </w:p>
        </w:tc>
        <w:tc>
          <w:tcPr>
            <w:tcW w:w="4092" w:type="dxa"/>
          </w:tcPr>
          <w:p w14:paraId="7F5AB8B1" w14:textId="062A6C50" w:rsidR="00455B14" w:rsidRDefault="00F2277C"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Numerator: </w:t>
            </w:r>
            <w:r w:rsidR="00463F62">
              <w:rPr>
                <w:rFonts w:ascii="Arial" w:hAnsi="Arial" w:cs="Arial"/>
                <w:color w:val="000000"/>
                <w:kern w:val="24"/>
                <w:sz w:val="22"/>
                <w:szCs w:val="22"/>
                <w:lang w:eastAsia="en-GB"/>
              </w:rPr>
              <w:t>Number of deaths aged 75 and over recorded in a year (or group of years for pooled data).</w:t>
            </w:r>
          </w:p>
          <w:p w14:paraId="4FC7B690" w14:textId="31521B00"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Denominator:</w:t>
            </w:r>
            <w:r w:rsidR="00402BFB">
              <w:rPr>
                <w:rFonts w:ascii="Arial" w:hAnsi="Arial" w:cs="Arial"/>
                <w:color w:val="000000"/>
                <w:kern w:val="24"/>
                <w:sz w:val="22"/>
                <w:szCs w:val="22"/>
                <w:lang w:eastAsia="en-GB"/>
              </w:rPr>
              <w:t xml:space="preserve"> </w:t>
            </w:r>
            <w:r w:rsidR="00463F62">
              <w:rPr>
                <w:rFonts w:ascii="Arial" w:hAnsi="Arial" w:cs="Arial"/>
                <w:color w:val="000000"/>
                <w:kern w:val="24"/>
                <w:sz w:val="22"/>
                <w:szCs w:val="22"/>
                <w:lang w:eastAsia="en-GB"/>
              </w:rPr>
              <w:t>Population of people aged 75 and over</w:t>
            </w:r>
          </w:p>
          <w:p w14:paraId="158FFEDA" w14:textId="488C6CC3" w:rsidR="00F77F03" w:rsidRPr="006E1387" w:rsidRDefault="00F77F03"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Exclusions: </w:t>
            </w:r>
            <w:r w:rsidR="00463F62">
              <w:rPr>
                <w:rFonts w:ascii="Arial" w:hAnsi="Arial" w:cs="Arial"/>
                <w:color w:val="000000"/>
                <w:kern w:val="24"/>
                <w:sz w:val="22"/>
                <w:szCs w:val="22"/>
                <w:lang w:eastAsia="en-GB"/>
              </w:rPr>
              <w:t>None</w:t>
            </w:r>
          </w:p>
          <w:p w14:paraId="46400236" w14:textId="41769395" w:rsidR="00402BFB" w:rsidRDefault="00F656C3"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Methodology: </w:t>
            </w:r>
            <w:r w:rsidR="00463F62">
              <w:rPr>
                <w:rFonts w:ascii="Arial" w:hAnsi="Arial" w:cs="Arial"/>
                <w:color w:val="000000"/>
                <w:kern w:val="24"/>
                <w:sz w:val="22"/>
                <w:szCs w:val="22"/>
                <w:lang w:eastAsia="en-GB"/>
              </w:rPr>
              <w:t xml:space="preserve">Death rates from a single year (or group of years for pooled data) are applied to estimate </w:t>
            </w:r>
            <w:r w:rsidR="002B77DF">
              <w:rPr>
                <w:rFonts w:ascii="Arial" w:hAnsi="Arial" w:cs="Arial"/>
                <w:color w:val="000000"/>
                <w:kern w:val="24"/>
                <w:sz w:val="22"/>
                <w:szCs w:val="22"/>
                <w:lang w:eastAsia="en-GB"/>
              </w:rPr>
              <w:t>life expectancy assuming that those rates apply throughout the remainder of a person’s life.</w:t>
            </w:r>
          </w:p>
          <w:p w14:paraId="241B73C2" w14:textId="52A79D0D"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Geography:</w:t>
            </w:r>
            <w:r w:rsidR="00873503">
              <w:rPr>
                <w:rFonts w:ascii="Arial" w:hAnsi="Arial" w:cs="Arial"/>
                <w:color w:val="000000"/>
                <w:kern w:val="24"/>
                <w:sz w:val="22"/>
                <w:szCs w:val="22"/>
                <w:lang w:eastAsia="en-GB"/>
              </w:rPr>
              <w:t xml:space="preserve"> </w:t>
            </w:r>
            <w:r w:rsidR="000438E0">
              <w:rPr>
                <w:rFonts w:ascii="Arial" w:hAnsi="Arial" w:cs="Arial"/>
                <w:color w:val="000000"/>
                <w:kern w:val="24"/>
                <w:sz w:val="22"/>
                <w:szCs w:val="22"/>
                <w:lang w:eastAsia="en-GB"/>
              </w:rPr>
              <w:t>England,</w:t>
            </w:r>
            <w:r w:rsidR="00BA478F">
              <w:rPr>
                <w:rFonts w:ascii="Arial" w:hAnsi="Arial" w:cs="Arial"/>
                <w:color w:val="000000"/>
                <w:kern w:val="24"/>
                <w:sz w:val="22"/>
                <w:szCs w:val="22"/>
                <w:lang w:eastAsia="en-GB"/>
              </w:rPr>
              <w:t xml:space="preserve"> </w:t>
            </w:r>
            <w:r w:rsidR="00A27390">
              <w:rPr>
                <w:rFonts w:ascii="Arial" w:hAnsi="Arial" w:cs="Arial"/>
                <w:color w:val="000000"/>
                <w:kern w:val="24"/>
                <w:sz w:val="22"/>
                <w:szCs w:val="22"/>
                <w:lang w:eastAsia="en-GB"/>
              </w:rPr>
              <w:t>Local authority, region, deprivation decile</w:t>
            </w:r>
            <w:r w:rsidR="00EB5258">
              <w:rPr>
                <w:rFonts w:ascii="Arial" w:hAnsi="Arial" w:cs="Arial"/>
                <w:color w:val="000000"/>
                <w:kern w:val="24"/>
                <w:sz w:val="22"/>
                <w:szCs w:val="22"/>
                <w:lang w:eastAsia="en-GB"/>
              </w:rPr>
              <w:t>.</w:t>
            </w:r>
            <w:r w:rsidR="00A27390">
              <w:rPr>
                <w:rFonts w:ascii="Arial" w:hAnsi="Arial" w:cs="Arial"/>
                <w:color w:val="000000"/>
                <w:kern w:val="24"/>
                <w:sz w:val="22"/>
                <w:szCs w:val="22"/>
                <w:lang w:eastAsia="en-GB"/>
              </w:rPr>
              <w:t xml:space="preserve"> Gender splits available for </w:t>
            </w:r>
            <w:proofErr w:type="gramStart"/>
            <w:r w:rsidR="00A27390">
              <w:rPr>
                <w:rFonts w:ascii="Arial" w:hAnsi="Arial" w:cs="Arial"/>
                <w:color w:val="000000"/>
                <w:kern w:val="24"/>
                <w:sz w:val="22"/>
                <w:szCs w:val="22"/>
                <w:lang w:eastAsia="en-GB"/>
              </w:rPr>
              <w:t>all of</w:t>
            </w:r>
            <w:proofErr w:type="gramEnd"/>
            <w:r w:rsidR="00A27390">
              <w:rPr>
                <w:rFonts w:ascii="Arial" w:hAnsi="Arial" w:cs="Arial"/>
                <w:color w:val="000000"/>
                <w:kern w:val="24"/>
                <w:sz w:val="22"/>
                <w:szCs w:val="22"/>
                <w:lang w:eastAsia="en-GB"/>
              </w:rPr>
              <w:t xml:space="preserve"> the above.</w:t>
            </w:r>
          </w:p>
          <w:p w14:paraId="5B155699" w14:textId="5CC4E38B"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Data Source:</w:t>
            </w:r>
            <w:r w:rsidR="00873503">
              <w:rPr>
                <w:rFonts w:ascii="Arial" w:hAnsi="Arial" w:cs="Arial"/>
                <w:color w:val="000000"/>
                <w:kern w:val="24"/>
                <w:sz w:val="22"/>
                <w:szCs w:val="22"/>
                <w:lang w:eastAsia="en-GB"/>
              </w:rPr>
              <w:t xml:space="preserve"> </w:t>
            </w:r>
            <w:r w:rsidR="00A27390">
              <w:rPr>
                <w:rFonts w:ascii="Arial" w:hAnsi="Arial" w:cs="Arial"/>
                <w:color w:val="000000"/>
                <w:kern w:val="24"/>
                <w:sz w:val="22"/>
                <w:szCs w:val="22"/>
                <w:lang w:eastAsia="en-GB"/>
              </w:rPr>
              <w:t>Office for National Statistics (ONS) mortality data</w:t>
            </w:r>
            <w:r w:rsidR="00463F62">
              <w:rPr>
                <w:rFonts w:ascii="Arial" w:hAnsi="Arial" w:cs="Arial"/>
                <w:color w:val="000000"/>
                <w:kern w:val="24"/>
                <w:sz w:val="22"/>
                <w:szCs w:val="22"/>
                <w:lang w:eastAsia="en-GB"/>
              </w:rPr>
              <w:t xml:space="preserve"> and mid-year population estimates.</w:t>
            </w:r>
          </w:p>
          <w:p w14:paraId="134E4565" w14:textId="35A34D1F" w:rsidR="00A54F81" w:rsidRPr="006E1387" w:rsidRDefault="00873503" w:rsidP="00EB5258">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Disclosure control:</w:t>
            </w:r>
            <w:r w:rsidR="00EB5258">
              <w:t xml:space="preserve"> </w:t>
            </w:r>
            <w:r w:rsidR="00463F62">
              <w:rPr>
                <w:rFonts w:ascii="Arial" w:hAnsi="Arial" w:cs="Arial"/>
                <w:color w:val="000000"/>
                <w:kern w:val="24"/>
                <w:sz w:val="22"/>
                <w:szCs w:val="22"/>
                <w:lang w:eastAsia="en-GB"/>
              </w:rPr>
              <w:t>No values calculated for City of London or Isles of Scilly due to small numbers.</w:t>
            </w:r>
          </w:p>
        </w:tc>
        <w:tc>
          <w:tcPr>
            <w:tcW w:w="3047" w:type="dxa"/>
          </w:tcPr>
          <w:p w14:paraId="3C3529D2" w14:textId="0B8323A7"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has defined components necessary to construct the indicator</w:t>
            </w:r>
            <w:r w:rsidR="00217BF3">
              <w:rPr>
                <w:rFonts w:ascii="Arial" w:eastAsiaTheme="minorEastAsia" w:hAnsi="Arial" w:cs="Arial"/>
                <w:color w:val="000000" w:themeColor="dark1"/>
                <w:kern w:val="24"/>
                <w:sz w:val="22"/>
                <w:szCs w:val="22"/>
              </w:rPr>
              <w:t>.</w:t>
            </w:r>
          </w:p>
          <w:p w14:paraId="42FC7796" w14:textId="5A354569" w:rsidR="00455B14" w:rsidRPr="006E1387" w:rsidRDefault="00455B14" w:rsidP="00455B14">
            <w:pPr>
              <w:spacing w:before="120" w:after="120"/>
              <w:rPr>
                <w:rFonts w:ascii="Arial" w:hAnsi="Arial" w:cs="Arial"/>
                <w:color w:val="000000"/>
                <w:kern w:val="24"/>
                <w:sz w:val="22"/>
                <w:szCs w:val="22"/>
                <w:lang w:eastAsia="en-GB"/>
              </w:rPr>
            </w:pPr>
          </w:p>
        </w:tc>
      </w:tr>
      <w:tr w:rsidR="00455B14" w:rsidRPr="006E1387" w14:paraId="23FEA25E" w14:textId="6A849BFE" w:rsidTr="00455B14">
        <w:tc>
          <w:tcPr>
            <w:tcW w:w="1878" w:type="dxa"/>
          </w:tcPr>
          <w:p w14:paraId="05670B1F" w14:textId="657854F2"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 xml:space="preserve">Feasibility  </w:t>
            </w:r>
          </w:p>
        </w:tc>
        <w:tc>
          <w:tcPr>
            <w:tcW w:w="4092" w:type="dxa"/>
          </w:tcPr>
          <w:p w14:paraId="6164A0BB" w14:textId="3F05EB80" w:rsidR="00F656C3" w:rsidRPr="006E1387" w:rsidRDefault="00F52CF4" w:rsidP="00AF27B4">
            <w:pPr>
              <w:spacing w:before="120" w:after="120"/>
              <w:rPr>
                <w:rFonts w:ascii="Arial" w:hAnsi="Arial" w:cs="Arial"/>
                <w:sz w:val="22"/>
                <w:szCs w:val="22"/>
              </w:rPr>
            </w:pPr>
            <w:r>
              <w:rPr>
                <w:rFonts w:ascii="Arial" w:hAnsi="Arial" w:cs="Arial"/>
                <w:sz w:val="22"/>
                <w:szCs w:val="22"/>
              </w:rPr>
              <w:t>All data from long running data sources.</w:t>
            </w:r>
          </w:p>
          <w:p w14:paraId="23202A2C" w14:textId="363ECA27" w:rsidR="002B4762" w:rsidRPr="006E1387" w:rsidRDefault="002B4762" w:rsidP="002B4762">
            <w:pPr>
              <w:spacing w:before="120" w:after="120"/>
              <w:rPr>
                <w:rFonts w:ascii="Arial" w:hAnsi="Arial" w:cs="Arial"/>
                <w:sz w:val="22"/>
                <w:szCs w:val="22"/>
              </w:rPr>
            </w:pPr>
          </w:p>
        </w:tc>
        <w:tc>
          <w:tcPr>
            <w:tcW w:w="3047" w:type="dxa"/>
          </w:tcPr>
          <w:p w14:paraId="7C614BB1" w14:textId="4725421D" w:rsidR="00455B14" w:rsidRPr="006E1387" w:rsidRDefault="00262A3E" w:rsidP="00EC7278">
            <w:pPr>
              <w:spacing w:before="120" w:after="120"/>
              <w:rPr>
                <w:rFonts w:ascii="Arial" w:eastAsiaTheme="minorEastAsia" w:hAnsi="Arial" w:cs="Arial"/>
                <w:color w:val="000000" w:themeColor="dark1"/>
                <w:kern w:val="24"/>
                <w:sz w:val="22"/>
                <w:szCs w:val="22"/>
                <w:lang w:eastAsia="en-GB"/>
              </w:rPr>
            </w:pPr>
            <w:r>
              <w:rPr>
                <w:rFonts w:ascii="Arial" w:eastAsiaTheme="minorEastAsia" w:hAnsi="Arial" w:cs="Arial"/>
                <w:color w:val="000000" w:themeColor="dark1"/>
                <w:kern w:val="24"/>
                <w:sz w:val="22"/>
                <w:szCs w:val="22"/>
                <w:lang w:eastAsia="en-GB"/>
              </w:rPr>
              <w:t>Data has been flowing for some time and data sources will continue</w:t>
            </w:r>
            <w:r w:rsidR="002B77DF">
              <w:rPr>
                <w:rFonts w:ascii="Arial" w:eastAsiaTheme="minorEastAsia" w:hAnsi="Arial" w:cs="Arial"/>
                <w:color w:val="000000" w:themeColor="dark1"/>
                <w:kern w:val="24"/>
                <w:sz w:val="22"/>
                <w:szCs w:val="22"/>
                <w:lang w:eastAsia="en-GB"/>
              </w:rPr>
              <w:t>.</w:t>
            </w:r>
          </w:p>
        </w:tc>
      </w:tr>
      <w:tr w:rsidR="00455B14" w:rsidRPr="006E1387" w14:paraId="211AFDFC" w14:textId="3BA1BF23" w:rsidTr="00455B14">
        <w:tc>
          <w:tcPr>
            <w:tcW w:w="1878" w:type="dxa"/>
          </w:tcPr>
          <w:p w14:paraId="7AA7B574"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Acceptability</w:t>
            </w:r>
          </w:p>
        </w:tc>
        <w:tc>
          <w:tcPr>
            <w:tcW w:w="4092" w:type="dxa"/>
          </w:tcPr>
          <w:p w14:paraId="4BB33FF6" w14:textId="1888B631" w:rsidR="00EB5258" w:rsidRDefault="002B77DF" w:rsidP="00EB5258">
            <w:pPr>
              <w:spacing w:before="120" w:after="120"/>
              <w:rPr>
                <w:rFonts w:ascii="Arial" w:hAnsi="Arial" w:cs="Arial"/>
                <w:sz w:val="22"/>
                <w:szCs w:val="22"/>
              </w:rPr>
            </w:pPr>
            <w:r>
              <w:rPr>
                <w:rFonts w:ascii="Arial" w:hAnsi="Arial" w:cs="Arial"/>
                <w:sz w:val="22"/>
                <w:szCs w:val="22"/>
              </w:rPr>
              <w:t>Indicator methodology is well established and improvement over time is clear.</w:t>
            </w:r>
          </w:p>
          <w:p w14:paraId="2117977B" w14:textId="218AFB98" w:rsidR="009F3187" w:rsidRPr="006E1387" w:rsidRDefault="009F3187" w:rsidP="00262A3E">
            <w:pPr>
              <w:spacing w:before="120" w:after="120"/>
              <w:rPr>
                <w:rFonts w:cs="Arial"/>
                <w:sz w:val="22"/>
                <w:szCs w:val="22"/>
              </w:rPr>
            </w:pPr>
          </w:p>
        </w:tc>
        <w:tc>
          <w:tcPr>
            <w:tcW w:w="3047" w:type="dxa"/>
          </w:tcPr>
          <w:p w14:paraId="29506238" w14:textId="2D49B6DF"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assesses performance that is attributable to or within the control of the audience</w:t>
            </w:r>
            <w:r w:rsidR="00AB6032" w:rsidRPr="006E1387">
              <w:rPr>
                <w:rFonts w:ascii="Arial" w:eastAsiaTheme="minorEastAsia" w:hAnsi="Arial" w:cs="Arial"/>
                <w:color w:val="000000" w:themeColor="dark1"/>
                <w:kern w:val="24"/>
                <w:sz w:val="22"/>
                <w:szCs w:val="22"/>
              </w:rPr>
              <w:t>.</w:t>
            </w:r>
          </w:p>
          <w:p w14:paraId="472E62AD" w14:textId="1A0ECD0F" w:rsidR="00217BF3" w:rsidRPr="006E1387" w:rsidRDefault="00455B14" w:rsidP="00455B14">
            <w:pPr>
              <w:spacing w:before="120" w:after="120"/>
              <w:rPr>
                <w:rFonts w:ascii="Arial" w:eastAsiaTheme="minorEastAsia" w:hAnsi="Arial" w:cs="Arial"/>
                <w:color w:val="000000" w:themeColor="dark1"/>
                <w:kern w:val="24"/>
                <w:sz w:val="22"/>
                <w:szCs w:val="22"/>
                <w:lang w:eastAsia="en-GB"/>
              </w:rPr>
            </w:pPr>
            <w:r w:rsidRPr="006E1387">
              <w:rPr>
                <w:rFonts w:ascii="Arial" w:eastAsiaTheme="minorEastAsia" w:hAnsi="Arial" w:cs="Arial"/>
                <w:color w:val="000000" w:themeColor="dark1"/>
                <w:kern w:val="24"/>
                <w:sz w:val="22"/>
                <w:szCs w:val="22"/>
                <w:lang w:eastAsia="en-GB"/>
              </w:rPr>
              <w:lastRenderedPageBreak/>
              <w:t>The results of the indicator can be used to improve practice</w:t>
            </w:r>
            <w:r w:rsidR="009B0E59" w:rsidRPr="006E1387">
              <w:rPr>
                <w:rFonts w:ascii="Arial" w:eastAsiaTheme="minorEastAsia" w:hAnsi="Arial" w:cs="Arial"/>
                <w:color w:val="000000" w:themeColor="dark1"/>
                <w:kern w:val="24"/>
                <w:sz w:val="22"/>
                <w:szCs w:val="22"/>
                <w:lang w:eastAsia="en-GB"/>
              </w:rPr>
              <w:t>.</w:t>
            </w:r>
          </w:p>
        </w:tc>
      </w:tr>
      <w:tr w:rsidR="00041011" w:rsidRPr="006E1387" w14:paraId="515852F3" w14:textId="598C7331" w:rsidTr="009D2922">
        <w:trPr>
          <w:trHeight w:val="2836"/>
        </w:trPr>
        <w:tc>
          <w:tcPr>
            <w:tcW w:w="1878" w:type="dxa"/>
          </w:tcPr>
          <w:p w14:paraId="5DC1BD3A" w14:textId="17F33E7B" w:rsidR="00041011" w:rsidRPr="006E1387" w:rsidRDefault="00041011" w:rsidP="00041011">
            <w:pPr>
              <w:spacing w:before="120" w:after="120"/>
              <w:rPr>
                <w:rFonts w:ascii="Arial" w:hAnsi="Arial" w:cs="Arial"/>
                <w:color w:val="000000"/>
                <w:kern w:val="24"/>
                <w:sz w:val="22"/>
                <w:szCs w:val="22"/>
              </w:rPr>
            </w:pPr>
            <w:r w:rsidRPr="006E1387">
              <w:rPr>
                <w:rFonts w:ascii="Arial" w:hAnsi="Arial" w:cs="Arial"/>
                <w:color w:val="000000"/>
                <w:kern w:val="24"/>
                <w:sz w:val="22"/>
                <w:szCs w:val="22"/>
              </w:rPr>
              <w:lastRenderedPageBreak/>
              <w:t>Risk</w:t>
            </w:r>
          </w:p>
        </w:tc>
        <w:tc>
          <w:tcPr>
            <w:tcW w:w="4092" w:type="dxa"/>
          </w:tcPr>
          <w:p w14:paraId="53E28159" w14:textId="77777777" w:rsidR="000427A7" w:rsidRDefault="002B77DF" w:rsidP="00BA30D0">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None identified.</w:t>
            </w:r>
            <w:r w:rsidR="003C4DB4">
              <w:rPr>
                <w:rFonts w:ascii="Arial" w:hAnsi="Arial" w:cs="Arial"/>
                <w:color w:val="000000"/>
                <w:kern w:val="24"/>
                <w:sz w:val="22"/>
                <w:szCs w:val="22"/>
                <w:lang w:eastAsia="en-GB"/>
              </w:rPr>
              <w:t xml:space="preserve"> </w:t>
            </w:r>
          </w:p>
          <w:p w14:paraId="6C854FEE" w14:textId="53FAB444" w:rsidR="00041011" w:rsidRPr="006E1387" w:rsidRDefault="003C4DB4" w:rsidP="00BA30D0">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Similar indicator (Life expectancy at 65) is published in the Public Health Outcomes Framework.</w:t>
            </w:r>
          </w:p>
        </w:tc>
        <w:tc>
          <w:tcPr>
            <w:tcW w:w="3047" w:type="dxa"/>
          </w:tcPr>
          <w:p w14:paraId="7C2C11AA" w14:textId="04F83DB3" w:rsidR="00041011" w:rsidRPr="006E1387" w:rsidRDefault="002B77DF" w:rsidP="00EC7278">
            <w:pPr>
              <w:pStyle w:val="NICEnormal"/>
              <w:spacing w:before="120" w:after="120" w:line="240" w:lineRule="auto"/>
              <w:rPr>
                <w:rFonts w:cs="Arial"/>
                <w:color w:val="000000"/>
                <w:kern w:val="24"/>
                <w:sz w:val="22"/>
                <w:szCs w:val="22"/>
                <w:lang w:eastAsia="en-GB"/>
              </w:rPr>
            </w:pPr>
            <w:r>
              <w:rPr>
                <w:rFonts w:eastAsiaTheme="minorEastAsia" w:cs="Arial"/>
                <w:color w:val="000000" w:themeColor="dark1"/>
                <w:kern w:val="24"/>
                <w:sz w:val="22"/>
                <w:szCs w:val="22"/>
              </w:rPr>
              <w:t>None</w:t>
            </w:r>
          </w:p>
        </w:tc>
      </w:tr>
    </w:tbl>
    <w:p w14:paraId="37D9A2F5" w14:textId="084C27AB" w:rsidR="004A517E" w:rsidRDefault="004A517E">
      <w:pPr>
        <w:rPr>
          <w:rFonts w:ascii="Arial" w:hAnsi="Arial"/>
          <w:lang w:val="en-US"/>
        </w:rPr>
      </w:pPr>
    </w:p>
    <w:p w14:paraId="55E62290" w14:textId="0D9B251B" w:rsidR="00937DDA" w:rsidRDefault="00F66205" w:rsidP="00937DDA">
      <w:pPr>
        <w:pStyle w:val="Paragraphnonumbers"/>
      </w:pPr>
      <w:r>
        <w:rPr>
          <w:b/>
        </w:rPr>
        <w:t>S</w:t>
      </w:r>
      <w:r w:rsidR="00937DDA" w:rsidRPr="00B12039">
        <w:rPr>
          <w:b/>
        </w:rPr>
        <w:t>ummary:</w:t>
      </w:r>
      <w:r w:rsidR="00937DDA">
        <w:t xml:space="preserve"> </w:t>
      </w:r>
      <w:r>
        <w:t>I</w:t>
      </w:r>
      <w:r w:rsidR="002B77DF">
        <w:t>ndicator</w:t>
      </w:r>
      <w:r>
        <w:t xml:space="preserve"> to be renewed</w:t>
      </w:r>
      <w:r w:rsidR="002B77DF">
        <w:t>.</w:t>
      </w:r>
    </w:p>
    <w:p w14:paraId="08048D62" w14:textId="77777777" w:rsidR="003E0E61" w:rsidRDefault="003E0E61" w:rsidP="003E0E61">
      <w:pPr>
        <w:pStyle w:val="Paragraphnonumbers"/>
        <w:rPr>
          <w:b/>
        </w:rPr>
      </w:pPr>
      <w:r>
        <w:rPr>
          <w:b/>
        </w:rPr>
        <w:t xml:space="preserve">NHS Digital Indicator reference: </w:t>
      </w:r>
    </w:p>
    <w:p w14:paraId="31B0AD03" w14:textId="3C74DF6C" w:rsidR="003E0E61" w:rsidRDefault="003E0E61" w:rsidP="003E0E61">
      <w:pPr>
        <w:pStyle w:val="Paragraphnonumbers"/>
      </w:pPr>
      <w:r>
        <w:t xml:space="preserve">NHS Outcomes Framework - </w:t>
      </w:r>
      <w:r w:rsidR="009A3DC0">
        <w:t>1b Life expectancy at 75</w:t>
      </w:r>
    </w:p>
    <w:p w14:paraId="123085F8" w14:textId="6AABF54B" w:rsidR="00D73835" w:rsidRDefault="00D73835" w:rsidP="003E0E61">
      <w:pPr>
        <w:pStyle w:val="Paragraphnonumbers"/>
      </w:pPr>
    </w:p>
    <w:p w14:paraId="61EE2DE3" w14:textId="09635009" w:rsidR="009A3DC0" w:rsidRPr="009A3DC0" w:rsidRDefault="009A3DC0" w:rsidP="009A3DC0"/>
    <w:p w14:paraId="42021255" w14:textId="64860F08" w:rsidR="009A3DC0" w:rsidRPr="009A3DC0" w:rsidRDefault="009A3DC0" w:rsidP="009A3DC0"/>
    <w:p w14:paraId="05FBA30A" w14:textId="21AA7726" w:rsidR="009A3DC0" w:rsidRPr="009A3DC0" w:rsidRDefault="009A3DC0" w:rsidP="009A3DC0"/>
    <w:p w14:paraId="23A9AF58" w14:textId="3FB881D5" w:rsidR="009A3DC0" w:rsidRPr="009A3DC0" w:rsidRDefault="009A3DC0" w:rsidP="009A3DC0"/>
    <w:p w14:paraId="2459B16E" w14:textId="1FF895C4" w:rsidR="009A3DC0" w:rsidRPr="009A3DC0" w:rsidRDefault="009A3DC0" w:rsidP="009A3DC0"/>
    <w:p w14:paraId="1E963AA6" w14:textId="0454BFDC" w:rsidR="009A3DC0" w:rsidRPr="009A3DC0" w:rsidRDefault="009A3DC0" w:rsidP="009A3DC0"/>
    <w:p w14:paraId="42510E53" w14:textId="3A9F50DB" w:rsidR="009A3DC0" w:rsidRPr="009A3DC0" w:rsidRDefault="009A3DC0" w:rsidP="009A3DC0"/>
    <w:p w14:paraId="0CEDBF13" w14:textId="17C7E364" w:rsidR="009A3DC0" w:rsidRPr="009A3DC0" w:rsidRDefault="009A3DC0" w:rsidP="009A3DC0"/>
    <w:p w14:paraId="6A6B429A" w14:textId="2FE6EE87" w:rsidR="009A3DC0" w:rsidRPr="009A3DC0" w:rsidRDefault="009A3DC0" w:rsidP="009A3DC0"/>
    <w:p w14:paraId="4959900D" w14:textId="0BF828DA" w:rsidR="009A3DC0" w:rsidRPr="009A3DC0" w:rsidRDefault="009A3DC0" w:rsidP="009A3DC0"/>
    <w:p w14:paraId="4A43FCC6" w14:textId="2D452002" w:rsidR="009A3DC0" w:rsidRPr="009A3DC0" w:rsidRDefault="009A3DC0" w:rsidP="009A3DC0"/>
    <w:p w14:paraId="4FE9ABAA" w14:textId="526B88C6" w:rsidR="009A3DC0" w:rsidRPr="009A3DC0" w:rsidRDefault="009A3DC0" w:rsidP="009A3DC0"/>
    <w:p w14:paraId="026B02FA" w14:textId="5E5DEBA3" w:rsidR="009A3DC0" w:rsidRDefault="009A3DC0" w:rsidP="009A3DC0">
      <w:pPr>
        <w:rPr>
          <w:rFonts w:ascii="Arial" w:hAnsi="Arial"/>
        </w:rPr>
      </w:pPr>
    </w:p>
    <w:p w14:paraId="5425BC9C" w14:textId="46C188D5" w:rsidR="009A3DC0" w:rsidRDefault="009A3DC0" w:rsidP="009A3DC0">
      <w:pPr>
        <w:rPr>
          <w:rFonts w:ascii="Arial" w:hAnsi="Arial"/>
        </w:rPr>
      </w:pPr>
    </w:p>
    <w:p w14:paraId="09AB3D42" w14:textId="0959B358" w:rsidR="009A3DC0" w:rsidRPr="009A3DC0" w:rsidRDefault="009A3DC0" w:rsidP="009A3DC0">
      <w:pPr>
        <w:tabs>
          <w:tab w:val="left" w:pos="2985"/>
        </w:tabs>
      </w:pPr>
      <w:r>
        <w:tab/>
      </w:r>
    </w:p>
    <w:sectPr w:rsidR="009A3DC0" w:rsidRPr="009A3DC0" w:rsidSect="00192B09">
      <w:headerReference w:type="default" r:id="rId8"/>
      <w:footerReference w:type="default" r:id="rId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4AE2E" w14:textId="77777777" w:rsidR="00ED6F53" w:rsidRDefault="00ED6F53" w:rsidP="00446BEE">
      <w:r>
        <w:separator/>
      </w:r>
    </w:p>
  </w:endnote>
  <w:endnote w:type="continuationSeparator" w:id="0">
    <w:p w14:paraId="1EE071A7" w14:textId="77777777" w:rsidR="00ED6F53" w:rsidRDefault="00ED6F5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35455" w14:textId="66A5BE37" w:rsidR="003E0E61" w:rsidRDefault="003E0E61" w:rsidP="003E0E61">
    <w:pPr>
      <w:pStyle w:val="Footer"/>
    </w:pPr>
    <w:r>
      <w:t>IAP00016 Life expectancy at 75: Validity assessment September 2021</w:t>
    </w:r>
  </w:p>
  <w:p w14:paraId="0042B07A" w14:textId="6DA7EFB1" w:rsidR="00BB14CA" w:rsidRPr="008C1C95" w:rsidRDefault="009B0E59" w:rsidP="003E0E61">
    <w:pPr>
      <w:pStyle w:val="Footer"/>
      <w:jc w:val="center"/>
    </w:pPr>
    <w:r>
      <w:tab/>
    </w:r>
    <w:r>
      <w:tab/>
    </w:r>
    <w:r w:rsidR="00BB14CA">
      <w:fldChar w:fldCharType="begin"/>
    </w:r>
    <w:r w:rsidR="00BB14CA">
      <w:instrText xml:space="preserve"> PAGE </w:instrText>
    </w:r>
    <w:r w:rsidR="00BB14CA">
      <w:fldChar w:fldCharType="separate"/>
    </w:r>
    <w:r w:rsidR="007038F5">
      <w:rPr>
        <w:noProof/>
      </w:rPr>
      <w:t>3</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7038F5">
      <w:rPr>
        <w:noProof/>
      </w:rPr>
      <w:t>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7BEBC" w14:textId="77777777" w:rsidR="00ED6F53" w:rsidRDefault="00ED6F53" w:rsidP="00446BEE">
      <w:r>
        <w:separator/>
      </w:r>
    </w:p>
  </w:footnote>
  <w:footnote w:type="continuationSeparator" w:id="0">
    <w:p w14:paraId="28DE568C" w14:textId="77777777" w:rsidR="00ED6F53" w:rsidRDefault="00ED6F53" w:rsidP="00446BEE">
      <w:r>
        <w:continuationSeparator/>
      </w:r>
    </w:p>
  </w:footnote>
  <w:footnote w:id="1">
    <w:p w14:paraId="31CF1D59" w14:textId="3E7198D3" w:rsidR="00521D6D" w:rsidRDefault="00521D6D">
      <w:pPr>
        <w:pStyle w:val="FootnoteText"/>
      </w:pPr>
      <w:r>
        <w:rPr>
          <w:rStyle w:val="FootnoteReference"/>
        </w:rPr>
        <w:footnoteRef/>
      </w:r>
      <w:r>
        <w:t xml:space="preserve"> NHS Digital. </w:t>
      </w:r>
      <w:r w:rsidR="00A27390">
        <w:t>NHS</w:t>
      </w:r>
      <w:r w:rsidR="00EB5258">
        <w:t xml:space="preserve"> </w:t>
      </w:r>
      <w:r>
        <w:t xml:space="preserve">outcomes </w:t>
      </w:r>
      <w:r w:rsidR="00A27390">
        <w:t>framework</w:t>
      </w:r>
      <w:r w:rsidR="00EB5258">
        <w:t>,</w:t>
      </w:r>
      <w:r>
        <w:t xml:space="preserve"> Indicator Quality Statement, Domain </w:t>
      </w:r>
      <w:r w:rsidR="00A27390">
        <w:t>1</w:t>
      </w:r>
      <w:r>
        <w:t xml:space="preserve">. </w:t>
      </w:r>
      <w:r w:rsidR="00A27390" w:rsidRPr="00A27390">
        <w:t>1b Life expectancy at 75: i Males ii Females</w:t>
      </w:r>
      <w:r>
        <w:t xml:space="preserve">. Version </w:t>
      </w:r>
      <w:r w:rsidR="00EB5258">
        <w:t>1</w:t>
      </w:r>
      <w:r>
        <w:t>.</w:t>
      </w:r>
      <w:r w:rsidR="00A27390">
        <w:t>11</w:t>
      </w:r>
      <w:r>
        <w:t xml:space="preserve">, </w:t>
      </w:r>
      <w:r w:rsidR="00A27390">
        <w:t>May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F3D4" w14:textId="77777777" w:rsidR="00BB14CA" w:rsidRDefault="00BB14CA" w:rsidP="00670FFB">
    <w:pPr>
      <w:pStyle w:val="Header"/>
      <w:tabs>
        <w:tab w:val="left" w:pos="2768"/>
        <w:tab w:val="center" w:pos="4156"/>
      </w:tabs>
      <w:jc w:val="center"/>
      <w:rPr>
        <w:b/>
        <w:color w:val="FF0000"/>
        <w:sz w:val="22"/>
        <w:szCs w:val="22"/>
      </w:rPr>
    </w:pP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A576E9A"/>
    <w:multiLevelType w:val="hybridMultilevel"/>
    <w:tmpl w:val="CF58F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7"/>
  </w:num>
  <w:num w:numId="4">
    <w:abstractNumId w:val="12"/>
  </w:num>
  <w:num w:numId="5">
    <w:abstractNumId w:val="24"/>
  </w:num>
  <w:num w:numId="6">
    <w:abstractNumId w:val="1"/>
  </w:num>
  <w:num w:numId="7">
    <w:abstractNumId w:val="10"/>
  </w:num>
  <w:num w:numId="8">
    <w:abstractNumId w:val="22"/>
  </w:num>
  <w:num w:numId="9">
    <w:abstractNumId w:val="23"/>
  </w:num>
  <w:num w:numId="10">
    <w:abstractNumId w:val="5"/>
  </w:num>
  <w:num w:numId="11">
    <w:abstractNumId w:val="7"/>
  </w:num>
  <w:num w:numId="12">
    <w:abstractNumId w:val="3"/>
  </w:num>
  <w:num w:numId="13">
    <w:abstractNumId w:val="30"/>
  </w:num>
  <w:num w:numId="14">
    <w:abstractNumId w:val="14"/>
  </w:num>
  <w:num w:numId="15">
    <w:abstractNumId w:val="9"/>
  </w:num>
  <w:num w:numId="16">
    <w:abstractNumId w:val="19"/>
  </w:num>
  <w:num w:numId="17">
    <w:abstractNumId w:val="16"/>
  </w:num>
  <w:num w:numId="18">
    <w:abstractNumId w:val="21"/>
  </w:num>
  <w:num w:numId="19">
    <w:abstractNumId w:val="25"/>
  </w:num>
  <w:num w:numId="20">
    <w:abstractNumId w:val="6"/>
  </w:num>
  <w:num w:numId="21">
    <w:abstractNumId w:val="28"/>
  </w:num>
  <w:num w:numId="22">
    <w:abstractNumId w:val="0"/>
  </w:num>
  <w:num w:numId="23">
    <w:abstractNumId w:val="4"/>
  </w:num>
  <w:num w:numId="24">
    <w:abstractNumId w:val="26"/>
  </w:num>
  <w:num w:numId="25">
    <w:abstractNumId w:val="18"/>
  </w:num>
  <w:num w:numId="26">
    <w:abstractNumId w:val="17"/>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13"/>
  </w:num>
  <w:num w:numId="31">
    <w:abstractNumId w:val="5"/>
  </w:num>
  <w:num w:numId="32">
    <w:abstractNumId w:val="5"/>
  </w:num>
  <w:num w:numId="33">
    <w:abstractNumId w:val="5"/>
  </w:num>
  <w:num w:numId="34">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5"/>
  </w:num>
  <w:num w:numId="37">
    <w:abstractNumId w:val="5"/>
  </w:num>
  <w:num w:numId="38">
    <w:abstractNumId w:val="29"/>
  </w:num>
  <w:num w:numId="39">
    <w:abstractNumId w:val="20"/>
  </w:num>
  <w:num w:numId="40">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4649"/>
    <w:rsid w:val="00035D96"/>
    <w:rsid w:val="00036EE4"/>
    <w:rsid w:val="00037552"/>
    <w:rsid w:val="00041011"/>
    <w:rsid w:val="000414CD"/>
    <w:rsid w:val="000427A7"/>
    <w:rsid w:val="0004386A"/>
    <w:rsid w:val="000438E0"/>
    <w:rsid w:val="000453F8"/>
    <w:rsid w:val="00050710"/>
    <w:rsid w:val="000523A6"/>
    <w:rsid w:val="000524FA"/>
    <w:rsid w:val="00052A67"/>
    <w:rsid w:val="00052B85"/>
    <w:rsid w:val="00053145"/>
    <w:rsid w:val="00056013"/>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1301"/>
    <w:rsid w:val="000B1CBF"/>
    <w:rsid w:val="000B33BD"/>
    <w:rsid w:val="000B34B8"/>
    <w:rsid w:val="000B5939"/>
    <w:rsid w:val="000B5EBE"/>
    <w:rsid w:val="000C22B9"/>
    <w:rsid w:val="000C4D57"/>
    <w:rsid w:val="000C4EE8"/>
    <w:rsid w:val="000C7A5D"/>
    <w:rsid w:val="000D04B0"/>
    <w:rsid w:val="000D1487"/>
    <w:rsid w:val="000D3776"/>
    <w:rsid w:val="000E0E0D"/>
    <w:rsid w:val="000E24A0"/>
    <w:rsid w:val="000E4899"/>
    <w:rsid w:val="000E7E3C"/>
    <w:rsid w:val="000F3B49"/>
    <w:rsid w:val="000F6502"/>
    <w:rsid w:val="001043B0"/>
    <w:rsid w:val="001066B8"/>
    <w:rsid w:val="00110A94"/>
    <w:rsid w:val="00110AD8"/>
    <w:rsid w:val="00112FAE"/>
    <w:rsid w:val="0011312D"/>
    <w:rsid w:val="001131E2"/>
    <w:rsid w:val="001134E7"/>
    <w:rsid w:val="00121C0F"/>
    <w:rsid w:val="00124CBD"/>
    <w:rsid w:val="001252AE"/>
    <w:rsid w:val="00125557"/>
    <w:rsid w:val="001306F4"/>
    <w:rsid w:val="00130EC7"/>
    <w:rsid w:val="00134FDA"/>
    <w:rsid w:val="00135081"/>
    <w:rsid w:val="001352C4"/>
    <w:rsid w:val="00136466"/>
    <w:rsid w:val="001368F7"/>
    <w:rsid w:val="001377B8"/>
    <w:rsid w:val="00140B46"/>
    <w:rsid w:val="00140D83"/>
    <w:rsid w:val="001413FC"/>
    <w:rsid w:val="00145D3C"/>
    <w:rsid w:val="001503E8"/>
    <w:rsid w:val="00154516"/>
    <w:rsid w:val="00155A83"/>
    <w:rsid w:val="00156264"/>
    <w:rsid w:val="00156529"/>
    <w:rsid w:val="001579DA"/>
    <w:rsid w:val="00161404"/>
    <w:rsid w:val="00161EBC"/>
    <w:rsid w:val="00165770"/>
    <w:rsid w:val="00165B01"/>
    <w:rsid w:val="00166C1A"/>
    <w:rsid w:val="0017169E"/>
    <w:rsid w:val="0017396B"/>
    <w:rsid w:val="00175BE8"/>
    <w:rsid w:val="00175F5D"/>
    <w:rsid w:val="00177200"/>
    <w:rsid w:val="001773DC"/>
    <w:rsid w:val="001779E5"/>
    <w:rsid w:val="00182263"/>
    <w:rsid w:val="0018281C"/>
    <w:rsid w:val="00185F6B"/>
    <w:rsid w:val="00187570"/>
    <w:rsid w:val="00192188"/>
    <w:rsid w:val="00192B09"/>
    <w:rsid w:val="001936A7"/>
    <w:rsid w:val="00193D4B"/>
    <w:rsid w:val="00194E6C"/>
    <w:rsid w:val="0019550C"/>
    <w:rsid w:val="00196653"/>
    <w:rsid w:val="00196E29"/>
    <w:rsid w:val="001976DA"/>
    <w:rsid w:val="001A056C"/>
    <w:rsid w:val="001A23E4"/>
    <w:rsid w:val="001A281B"/>
    <w:rsid w:val="001A3011"/>
    <w:rsid w:val="001A48E7"/>
    <w:rsid w:val="001A73CD"/>
    <w:rsid w:val="001B06E1"/>
    <w:rsid w:val="001B1619"/>
    <w:rsid w:val="001B187B"/>
    <w:rsid w:val="001B376D"/>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1315"/>
    <w:rsid w:val="001F1D2D"/>
    <w:rsid w:val="001F3305"/>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17BF3"/>
    <w:rsid w:val="00220661"/>
    <w:rsid w:val="00220702"/>
    <w:rsid w:val="002213B0"/>
    <w:rsid w:val="0022189B"/>
    <w:rsid w:val="002223A6"/>
    <w:rsid w:val="002229AD"/>
    <w:rsid w:val="00224AEE"/>
    <w:rsid w:val="00225FF4"/>
    <w:rsid w:val="00230A13"/>
    <w:rsid w:val="00230C67"/>
    <w:rsid w:val="002331C6"/>
    <w:rsid w:val="002363B6"/>
    <w:rsid w:val="00236B76"/>
    <w:rsid w:val="002408EA"/>
    <w:rsid w:val="00241410"/>
    <w:rsid w:val="002549B2"/>
    <w:rsid w:val="002563DF"/>
    <w:rsid w:val="0026014A"/>
    <w:rsid w:val="0026108E"/>
    <w:rsid w:val="002614ED"/>
    <w:rsid w:val="00262A3E"/>
    <w:rsid w:val="00265142"/>
    <w:rsid w:val="00266AA6"/>
    <w:rsid w:val="00266B50"/>
    <w:rsid w:val="00270605"/>
    <w:rsid w:val="00271804"/>
    <w:rsid w:val="00271857"/>
    <w:rsid w:val="00276AC9"/>
    <w:rsid w:val="00277ED2"/>
    <w:rsid w:val="00280F8A"/>
    <w:rsid w:val="00284539"/>
    <w:rsid w:val="00284F52"/>
    <w:rsid w:val="00286537"/>
    <w:rsid w:val="00286C3A"/>
    <w:rsid w:val="00287467"/>
    <w:rsid w:val="00291A5B"/>
    <w:rsid w:val="00292B2C"/>
    <w:rsid w:val="0029330E"/>
    <w:rsid w:val="00296E2E"/>
    <w:rsid w:val="002A23A7"/>
    <w:rsid w:val="002A5503"/>
    <w:rsid w:val="002A6812"/>
    <w:rsid w:val="002A7339"/>
    <w:rsid w:val="002A7A24"/>
    <w:rsid w:val="002B4762"/>
    <w:rsid w:val="002B565A"/>
    <w:rsid w:val="002B71D2"/>
    <w:rsid w:val="002B77DF"/>
    <w:rsid w:val="002C0DA9"/>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3A9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5698"/>
    <w:rsid w:val="00367685"/>
    <w:rsid w:val="00367A82"/>
    <w:rsid w:val="00370ACD"/>
    <w:rsid w:val="00371E29"/>
    <w:rsid w:val="003722FA"/>
    <w:rsid w:val="003731E6"/>
    <w:rsid w:val="00373EA4"/>
    <w:rsid w:val="00374EA0"/>
    <w:rsid w:val="00374EB6"/>
    <w:rsid w:val="00375AE7"/>
    <w:rsid w:val="00375E5F"/>
    <w:rsid w:val="00376C2A"/>
    <w:rsid w:val="00377277"/>
    <w:rsid w:val="00377304"/>
    <w:rsid w:val="00381BEA"/>
    <w:rsid w:val="00381FB7"/>
    <w:rsid w:val="00382495"/>
    <w:rsid w:val="00384090"/>
    <w:rsid w:val="00384141"/>
    <w:rsid w:val="003856AA"/>
    <w:rsid w:val="00386007"/>
    <w:rsid w:val="003861AC"/>
    <w:rsid w:val="003862A5"/>
    <w:rsid w:val="00390249"/>
    <w:rsid w:val="00391F56"/>
    <w:rsid w:val="003953C7"/>
    <w:rsid w:val="003A03DC"/>
    <w:rsid w:val="003A1975"/>
    <w:rsid w:val="003A1DE1"/>
    <w:rsid w:val="003A39A0"/>
    <w:rsid w:val="003A3E2A"/>
    <w:rsid w:val="003A4CBB"/>
    <w:rsid w:val="003B0286"/>
    <w:rsid w:val="003B091A"/>
    <w:rsid w:val="003B1C33"/>
    <w:rsid w:val="003B254D"/>
    <w:rsid w:val="003B298F"/>
    <w:rsid w:val="003B69AA"/>
    <w:rsid w:val="003C3023"/>
    <w:rsid w:val="003C39D1"/>
    <w:rsid w:val="003C4DB4"/>
    <w:rsid w:val="003C7AAF"/>
    <w:rsid w:val="003C7B7D"/>
    <w:rsid w:val="003D2D5E"/>
    <w:rsid w:val="003D497C"/>
    <w:rsid w:val="003D52EA"/>
    <w:rsid w:val="003D566D"/>
    <w:rsid w:val="003D58F7"/>
    <w:rsid w:val="003D5BF8"/>
    <w:rsid w:val="003D5D5A"/>
    <w:rsid w:val="003D6018"/>
    <w:rsid w:val="003E0602"/>
    <w:rsid w:val="003E0BD4"/>
    <w:rsid w:val="003E0E61"/>
    <w:rsid w:val="003E12B1"/>
    <w:rsid w:val="003E1787"/>
    <w:rsid w:val="003E22FC"/>
    <w:rsid w:val="003F0EB9"/>
    <w:rsid w:val="003F2EC0"/>
    <w:rsid w:val="003F40D1"/>
    <w:rsid w:val="003F42F7"/>
    <w:rsid w:val="003F4970"/>
    <w:rsid w:val="003F540E"/>
    <w:rsid w:val="003F694A"/>
    <w:rsid w:val="003F7CE6"/>
    <w:rsid w:val="003F7D78"/>
    <w:rsid w:val="00402BFB"/>
    <w:rsid w:val="00405B03"/>
    <w:rsid w:val="00405FDF"/>
    <w:rsid w:val="004068EA"/>
    <w:rsid w:val="004075B6"/>
    <w:rsid w:val="00407F14"/>
    <w:rsid w:val="00410E4D"/>
    <w:rsid w:val="00411C38"/>
    <w:rsid w:val="0041238E"/>
    <w:rsid w:val="004150FB"/>
    <w:rsid w:val="00416EA1"/>
    <w:rsid w:val="00420952"/>
    <w:rsid w:val="00422E2D"/>
    <w:rsid w:val="00423C0E"/>
    <w:rsid w:val="00423DB4"/>
    <w:rsid w:val="0042425C"/>
    <w:rsid w:val="004247FB"/>
    <w:rsid w:val="004271A0"/>
    <w:rsid w:val="0042742A"/>
    <w:rsid w:val="004306C0"/>
    <w:rsid w:val="00431F8B"/>
    <w:rsid w:val="00433F81"/>
    <w:rsid w:val="00440CCA"/>
    <w:rsid w:val="00442D76"/>
    <w:rsid w:val="004440AF"/>
    <w:rsid w:val="00446BEE"/>
    <w:rsid w:val="00450E6D"/>
    <w:rsid w:val="004518F7"/>
    <w:rsid w:val="0045334C"/>
    <w:rsid w:val="004539A8"/>
    <w:rsid w:val="004539D9"/>
    <w:rsid w:val="00455B14"/>
    <w:rsid w:val="00456B1D"/>
    <w:rsid w:val="004615CD"/>
    <w:rsid w:val="00461C01"/>
    <w:rsid w:val="00462AFA"/>
    <w:rsid w:val="0046325E"/>
    <w:rsid w:val="00463F62"/>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6448"/>
    <w:rsid w:val="004D756F"/>
    <w:rsid w:val="004E0E78"/>
    <w:rsid w:val="004E39D5"/>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1D6D"/>
    <w:rsid w:val="00523BB4"/>
    <w:rsid w:val="005243EC"/>
    <w:rsid w:val="005245EF"/>
    <w:rsid w:val="005249CF"/>
    <w:rsid w:val="00525DD1"/>
    <w:rsid w:val="00527A29"/>
    <w:rsid w:val="005343E1"/>
    <w:rsid w:val="005353CB"/>
    <w:rsid w:val="00535CCD"/>
    <w:rsid w:val="00545970"/>
    <w:rsid w:val="00550783"/>
    <w:rsid w:val="005508EE"/>
    <w:rsid w:val="005533F8"/>
    <w:rsid w:val="005536FB"/>
    <w:rsid w:val="00555CC8"/>
    <w:rsid w:val="00556B58"/>
    <w:rsid w:val="005577FA"/>
    <w:rsid w:val="00561A27"/>
    <w:rsid w:val="0056425E"/>
    <w:rsid w:val="00565745"/>
    <w:rsid w:val="00566CCC"/>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20E"/>
    <w:rsid w:val="005B6D38"/>
    <w:rsid w:val="005B73E7"/>
    <w:rsid w:val="005B795C"/>
    <w:rsid w:val="005C05E1"/>
    <w:rsid w:val="005C3893"/>
    <w:rsid w:val="005C5E41"/>
    <w:rsid w:val="005C7DB5"/>
    <w:rsid w:val="005D15B9"/>
    <w:rsid w:val="005D1E0A"/>
    <w:rsid w:val="005D352A"/>
    <w:rsid w:val="005D4C95"/>
    <w:rsid w:val="005E0AC1"/>
    <w:rsid w:val="005E2508"/>
    <w:rsid w:val="005E437F"/>
    <w:rsid w:val="005E58ED"/>
    <w:rsid w:val="005E62A7"/>
    <w:rsid w:val="005E6B30"/>
    <w:rsid w:val="005F25FD"/>
    <w:rsid w:val="005F2905"/>
    <w:rsid w:val="005F3926"/>
    <w:rsid w:val="005F3989"/>
    <w:rsid w:val="005F3C5C"/>
    <w:rsid w:val="005F5AFD"/>
    <w:rsid w:val="005F6BB8"/>
    <w:rsid w:val="005F6F0A"/>
    <w:rsid w:val="005F7681"/>
    <w:rsid w:val="00601291"/>
    <w:rsid w:val="00601414"/>
    <w:rsid w:val="0060351B"/>
    <w:rsid w:val="00607959"/>
    <w:rsid w:val="0061221F"/>
    <w:rsid w:val="00614078"/>
    <w:rsid w:val="006150A0"/>
    <w:rsid w:val="0061798B"/>
    <w:rsid w:val="0062228B"/>
    <w:rsid w:val="00624430"/>
    <w:rsid w:val="00625AEE"/>
    <w:rsid w:val="00627687"/>
    <w:rsid w:val="006276D1"/>
    <w:rsid w:val="006279C2"/>
    <w:rsid w:val="00630A5B"/>
    <w:rsid w:val="00637F2A"/>
    <w:rsid w:val="00642C45"/>
    <w:rsid w:val="0064313B"/>
    <w:rsid w:val="006434DF"/>
    <w:rsid w:val="00645411"/>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A6B79"/>
    <w:rsid w:val="006B17FD"/>
    <w:rsid w:val="006B44E2"/>
    <w:rsid w:val="006C0C61"/>
    <w:rsid w:val="006C3D61"/>
    <w:rsid w:val="006D0590"/>
    <w:rsid w:val="006D4325"/>
    <w:rsid w:val="006D55A6"/>
    <w:rsid w:val="006D6BD0"/>
    <w:rsid w:val="006E09CB"/>
    <w:rsid w:val="006E1387"/>
    <w:rsid w:val="006E2124"/>
    <w:rsid w:val="006E23A2"/>
    <w:rsid w:val="006E299B"/>
    <w:rsid w:val="006E303F"/>
    <w:rsid w:val="006E46C1"/>
    <w:rsid w:val="006E4E37"/>
    <w:rsid w:val="006E5D76"/>
    <w:rsid w:val="006F17D4"/>
    <w:rsid w:val="006F255A"/>
    <w:rsid w:val="006F2843"/>
    <w:rsid w:val="006F6463"/>
    <w:rsid w:val="007038F5"/>
    <w:rsid w:val="0070542C"/>
    <w:rsid w:val="007067D1"/>
    <w:rsid w:val="00713287"/>
    <w:rsid w:val="007136A7"/>
    <w:rsid w:val="007139DD"/>
    <w:rsid w:val="007143AC"/>
    <w:rsid w:val="00715962"/>
    <w:rsid w:val="00716007"/>
    <w:rsid w:val="00716835"/>
    <w:rsid w:val="00716ACF"/>
    <w:rsid w:val="007210C5"/>
    <w:rsid w:val="007250F1"/>
    <w:rsid w:val="00726FF0"/>
    <w:rsid w:val="00727230"/>
    <w:rsid w:val="00730AA4"/>
    <w:rsid w:val="0073113B"/>
    <w:rsid w:val="00732C44"/>
    <w:rsid w:val="00734CC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A19BF"/>
    <w:rsid w:val="007B1A6C"/>
    <w:rsid w:val="007B5378"/>
    <w:rsid w:val="007C1642"/>
    <w:rsid w:val="007C33F3"/>
    <w:rsid w:val="007C40AD"/>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E7E62"/>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36D1E"/>
    <w:rsid w:val="00840FF7"/>
    <w:rsid w:val="00841169"/>
    <w:rsid w:val="00843F79"/>
    <w:rsid w:val="00844032"/>
    <w:rsid w:val="008443D8"/>
    <w:rsid w:val="008445E7"/>
    <w:rsid w:val="00844854"/>
    <w:rsid w:val="00847D3A"/>
    <w:rsid w:val="00855549"/>
    <w:rsid w:val="0086032D"/>
    <w:rsid w:val="00861B3D"/>
    <w:rsid w:val="00862879"/>
    <w:rsid w:val="00865CE7"/>
    <w:rsid w:val="0086701C"/>
    <w:rsid w:val="00867262"/>
    <w:rsid w:val="00870BDD"/>
    <w:rsid w:val="008717F1"/>
    <w:rsid w:val="00873503"/>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D9F"/>
    <w:rsid w:val="008C4122"/>
    <w:rsid w:val="008C4BD2"/>
    <w:rsid w:val="008C669E"/>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DDA"/>
    <w:rsid w:val="00937E8B"/>
    <w:rsid w:val="009460E7"/>
    <w:rsid w:val="00947483"/>
    <w:rsid w:val="00947FDB"/>
    <w:rsid w:val="00952219"/>
    <w:rsid w:val="009535CF"/>
    <w:rsid w:val="009539B0"/>
    <w:rsid w:val="00953F4A"/>
    <w:rsid w:val="009543A4"/>
    <w:rsid w:val="00955F17"/>
    <w:rsid w:val="009562D0"/>
    <w:rsid w:val="00957124"/>
    <w:rsid w:val="00960B9B"/>
    <w:rsid w:val="00960CC3"/>
    <w:rsid w:val="009611B2"/>
    <w:rsid w:val="0096180D"/>
    <w:rsid w:val="00961E3B"/>
    <w:rsid w:val="00962360"/>
    <w:rsid w:val="009669AD"/>
    <w:rsid w:val="00966EB0"/>
    <w:rsid w:val="0096715D"/>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DC0"/>
    <w:rsid w:val="009A3F7F"/>
    <w:rsid w:val="009A4775"/>
    <w:rsid w:val="009A75C4"/>
    <w:rsid w:val="009B0897"/>
    <w:rsid w:val="009B0E59"/>
    <w:rsid w:val="009B276A"/>
    <w:rsid w:val="009B3223"/>
    <w:rsid w:val="009B4063"/>
    <w:rsid w:val="009B52E5"/>
    <w:rsid w:val="009B5C5F"/>
    <w:rsid w:val="009C0968"/>
    <w:rsid w:val="009C1354"/>
    <w:rsid w:val="009C3C0C"/>
    <w:rsid w:val="009C3CDC"/>
    <w:rsid w:val="009C5ADA"/>
    <w:rsid w:val="009C6214"/>
    <w:rsid w:val="009C77BF"/>
    <w:rsid w:val="009D02ED"/>
    <w:rsid w:val="009D1D56"/>
    <w:rsid w:val="009D1EB8"/>
    <w:rsid w:val="009D2922"/>
    <w:rsid w:val="009D49AA"/>
    <w:rsid w:val="009D4FBB"/>
    <w:rsid w:val="009D7602"/>
    <w:rsid w:val="009E3151"/>
    <w:rsid w:val="009E680B"/>
    <w:rsid w:val="009F1902"/>
    <w:rsid w:val="009F3187"/>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27390"/>
    <w:rsid w:val="00A3050E"/>
    <w:rsid w:val="00A305B3"/>
    <w:rsid w:val="00A32C40"/>
    <w:rsid w:val="00A3325A"/>
    <w:rsid w:val="00A40427"/>
    <w:rsid w:val="00A4094A"/>
    <w:rsid w:val="00A426B6"/>
    <w:rsid w:val="00A426BE"/>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560"/>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6604"/>
    <w:rsid w:val="00AE76CB"/>
    <w:rsid w:val="00AF108A"/>
    <w:rsid w:val="00AF10F5"/>
    <w:rsid w:val="00AF1393"/>
    <w:rsid w:val="00AF27B4"/>
    <w:rsid w:val="00AF5D31"/>
    <w:rsid w:val="00AF6DD8"/>
    <w:rsid w:val="00B01831"/>
    <w:rsid w:val="00B0269C"/>
    <w:rsid w:val="00B02E55"/>
    <w:rsid w:val="00B03527"/>
    <w:rsid w:val="00B0389A"/>
    <w:rsid w:val="00B0538C"/>
    <w:rsid w:val="00B05610"/>
    <w:rsid w:val="00B06D4E"/>
    <w:rsid w:val="00B119ED"/>
    <w:rsid w:val="00B11A62"/>
    <w:rsid w:val="00B14C5C"/>
    <w:rsid w:val="00B14C68"/>
    <w:rsid w:val="00B14DDE"/>
    <w:rsid w:val="00B157D0"/>
    <w:rsid w:val="00B15EF3"/>
    <w:rsid w:val="00B17751"/>
    <w:rsid w:val="00B17DE0"/>
    <w:rsid w:val="00B22A36"/>
    <w:rsid w:val="00B265EB"/>
    <w:rsid w:val="00B27031"/>
    <w:rsid w:val="00B307EC"/>
    <w:rsid w:val="00B31F24"/>
    <w:rsid w:val="00B32429"/>
    <w:rsid w:val="00B341DA"/>
    <w:rsid w:val="00B44CE2"/>
    <w:rsid w:val="00B453BB"/>
    <w:rsid w:val="00B45B75"/>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0D0"/>
    <w:rsid w:val="00BA31F9"/>
    <w:rsid w:val="00BA3317"/>
    <w:rsid w:val="00BA3FDA"/>
    <w:rsid w:val="00BA4313"/>
    <w:rsid w:val="00BA4784"/>
    <w:rsid w:val="00BA478F"/>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FC8"/>
    <w:rsid w:val="00BC7ABB"/>
    <w:rsid w:val="00BD079D"/>
    <w:rsid w:val="00BD2A8E"/>
    <w:rsid w:val="00BD3051"/>
    <w:rsid w:val="00BD38BB"/>
    <w:rsid w:val="00BD4879"/>
    <w:rsid w:val="00BD50F7"/>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4D2"/>
    <w:rsid w:val="00C0050E"/>
    <w:rsid w:val="00C026AC"/>
    <w:rsid w:val="00C0570D"/>
    <w:rsid w:val="00C066A3"/>
    <w:rsid w:val="00C130C8"/>
    <w:rsid w:val="00C13168"/>
    <w:rsid w:val="00C13F60"/>
    <w:rsid w:val="00C14404"/>
    <w:rsid w:val="00C1480F"/>
    <w:rsid w:val="00C17D6A"/>
    <w:rsid w:val="00C203C9"/>
    <w:rsid w:val="00C21776"/>
    <w:rsid w:val="00C22E43"/>
    <w:rsid w:val="00C23238"/>
    <w:rsid w:val="00C235DF"/>
    <w:rsid w:val="00C2539E"/>
    <w:rsid w:val="00C278DE"/>
    <w:rsid w:val="00C2796B"/>
    <w:rsid w:val="00C3004B"/>
    <w:rsid w:val="00C31F4C"/>
    <w:rsid w:val="00C3209A"/>
    <w:rsid w:val="00C32ADC"/>
    <w:rsid w:val="00C35755"/>
    <w:rsid w:val="00C41156"/>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69C"/>
    <w:rsid w:val="00CB4A8A"/>
    <w:rsid w:val="00CB60DD"/>
    <w:rsid w:val="00CB6E1F"/>
    <w:rsid w:val="00CB7E4D"/>
    <w:rsid w:val="00CC04DE"/>
    <w:rsid w:val="00CC12E7"/>
    <w:rsid w:val="00CC3F84"/>
    <w:rsid w:val="00CC6E2D"/>
    <w:rsid w:val="00CD24A8"/>
    <w:rsid w:val="00CD315A"/>
    <w:rsid w:val="00CD319A"/>
    <w:rsid w:val="00CD5502"/>
    <w:rsid w:val="00CE0526"/>
    <w:rsid w:val="00CE1ED9"/>
    <w:rsid w:val="00CE3665"/>
    <w:rsid w:val="00CE4F42"/>
    <w:rsid w:val="00CF0BB4"/>
    <w:rsid w:val="00CF1333"/>
    <w:rsid w:val="00CF1BB4"/>
    <w:rsid w:val="00CF2FF8"/>
    <w:rsid w:val="00CF3F6B"/>
    <w:rsid w:val="00CF4851"/>
    <w:rsid w:val="00CF58B7"/>
    <w:rsid w:val="00CF58D0"/>
    <w:rsid w:val="00CF5DD6"/>
    <w:rsid w:val="00D0069F"/>
    <w:rsid w:val="00D007C0"/>
    <w:rsid w:val="00D05493"/>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488C"/>
    <w:rsid w:val="00DE5EE7"/>
    <w:rsid w:val="00DF1EC1"/>
    <w:rsid w:val="00DF343E"/>
    <w:rsid w:val="00DF67C3"/>
    <w:rsid w:val="00DF6CEB"/>
    <w:rsid w:val="00E0098A"/>
    <w:rsid w:val="00E009D9"/>
    <w:rsid w:val="00E027D1"/>
    <w:rsid w:val="00E03F71"/>
    <w:rsid w:val="00E045EE"/>
    <w:rsid w:val="00E05AB5"/>
    <w:rsid w:val="00E06ED0"/>
    <w:rsid w:val="00E1082D"/>
    <w:rsid w:val="00E130CB"/>
    <w:rsid w:val="00E14934"/>
    <w:rsid w:val="00E172BE"/>
    <w:rsid w:val="00E2160E"/>
    <w:rsid w:val="00E24E02"/>
    <w:rsid w:val="00E25210"/>
    <w:rsid w:val="00E255EC"/>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5258"/>
    <w:rsid w:val="00EB6F5F"/>
    <w:rsid w:val="00EC7278"/>
    <w:rsid w:val="00ED07B2"/>
    <w:rsid w:val="00ED246E"/>
    <w:rsid w:val="00ED379C"/>
    <w:rsid w:val="00ED4D08"/>
    <w:rsid w:val="00ED5834"/>
    <w:rsid w:val="00ED6AAF"/>
    <w:rsid w:val="00ED6F53"/>
    <w:rsid w:val="00EE065C"/>
    <w:rsid w:val="00EE093B"/>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277C"/>
    <w:rsid w:val="00F24175"/>
    <w:rsid w:val="00F25246"/>
    <w:rsid w:val="00F307D6"/>
    <w:rsid w:val="00F31A8E"/>
    <w:rsid w:val="00F32C2D"/>
    <w:rsid w:val="00F33108"/>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2CF4"/>
    <w:rsid w:val="00F53495"/>
    <w:rsid w:val="00F559F9"/>
    <w:rsid w:val="00F56168"/>
    <w:rsid w:val="00F561EE"/>
    <w:rsid w:val="00F63D66"/>
    <w:rsid w:val="00F64504"/>
    <w:rsid w:val="00F6458C"/>
    <w:rsid w:val="00F6478A"/>
    <w:rsid w:val="00F656C3"/>
    <w:rsid w:val="00F66205"/>
    <w:rsid w:val="00F6661C"/>
    <w:rsid w:val="00F6682D"/>
    <w:rsid w:val="00F701C7"/>
    <w:rsid w:val="00F7531F"/>
    <w:rsid w:val="00F75B77"/>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2CE"/>
    <w:rsid w:val="00FD05BA"/>
    <w:rsid w:val="00FD0638"/>
    <w:rsid w:val="00FD0AFD"/>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 w:val="00FF7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DE1"/>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customStyle="1" w:styleId="UnresolvedMention1">
    <w:name w:val="Unresolved Mention1"/>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AE6604"/>
    <w:rPr>
      <w:sz w:val="20"/>
      <w:szCs w:val="20"/>
    </w:rPr>
  </w:style>
  <w:style w:type="character" w:customStyle="1" w:styleId="EndnoteTextChar">
    <w:name w:val="Endnote Text Char"/>
    <w:basedOn w:val="DefaultParagraphFont"/>
    <w:link w:val="EndnoteText"/>
    <w:semiHidden/>
    <w:rsid w:val="00AE660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2397861">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AB519-77F8-48C9-A862-88ED242E1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533</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2022-02-03T08:19:00Z</dcterms:created>
  <dcterms:modified xsi:type="dcterms:W3CDTF">2022-02-03T08:22:00Z</dcterms:modified>
</cp:coreProperties>
</file>