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4204" w14:textId="45D35115" w:rsidR="0033457E" w:rsidRPr="00F109A6" w:rsidRDefault="0025330F" w:rsidP="0033457E">
      <w:pPr>
        <w:jc w:val="center"/>
        <w:rPr>
          <w:b/>
          <w:bCs/>
          <w:sz w:val="28"/>
          <w:szCs w:val="28"/>
        </w:rPr>
      </w:pPr>
      <w:r>
        <w:rPr>
          <w:b/>
          <w:bCs/>
          <w:sz w:val="28"/>
          <w:szCs w:val="28"/>
        </w:rPr>
        <w:t xml:space="preserve"> </w:t>
      </w:r>
      <w:r w:rsidR="0033457E" w:rsidRPr="00F109A6">
        <w:rPr>
          <w:b/>
          <w:bCs/>
          <w:sz w:val="28"/>
          <w:szCs w:val="28"/>
        </w:rPr>
        <w:t>NHS Digital</w:t>
      </w:r>
    </w:p>
    <w:p w14:paraId="3E297B28" w14:textId="77777777" w:rsidR="0033457E" w:rsidRPr="00F109A6" w:rsidRDefault="0033457E" w:rsidP="0033457E">
      <w:pPr>
        <w:jc w:val="center"/>
        <w:rPr>
          <w:b/>
          <w:bCs/>
          <w:sz w:val="28"/>
          <w:szCs w:val="28"/>
        </w:rPr>
      </w:pPr>
      <w:r w:rsidRPr="00F109A6">
        <w:rPr>
          <w:b/>
          <w:bCs/>
          <w:sz w:val="28"/>
          <w:szCs w:val="28"/>
        </w:rPr>
        <w:t>Indicator Supporting Documentation</w:t>
      </w:r>
    </w:p>
    <w:p w14:paraId="58666FFE" w14:textId="77777777" w:rsidR="0033457E" w:rsidRDefault="0033457E" w:rsidP="0033457E">
      <w:pPr>
        <w:jc w:val="center"/>
        <w:rPr>
          <w:b/>
          <w:bCs/>
          <w:sz w:val="28"/>
          <w:szCs w:val="28"/>
        </w:rPr>
      </w:pPr>
      <w:r w:rsidRPr="00F109A6">
        <w:rPr>
          <w:b/>
          <w:bCs/>
          <w:sz w:val="28"/>
          <w:szCs w:val="28"/>
        </w:rPr>
        <w:t>IAP00</w:t>
      </w:r>
      <w:r>
        <w:rPr>
          <w:b/>
          <w:bCs/>
          <w:sz w:val="28"/>
          <w:szCs w:val="28"/>
        </w:rPr>
        <w:t xml:space="preserve">017 </w:t>
      </w:r>
      <w:r w:rsidRPr="00DF0E93">
        <w:rPr>
          <w:b/>
          <w:bCs/>
          <w:sz w:val="28"/>
          <w:szCs w:val="28"/>
        </w:rPr>
        <w:t>Under 75 mortality from cardiovascular disease (NHSOF)</w:t>
      </w:r>
    </w:p>
    <w:p w14:paraId="6CE34188" w14:textId="77777777" w:rsidR="0033457E" w:rsidRDefault="0033457E" w:rsidP="0033457E"/>
    <w:tbl>
      <w:tblPr>
        <w:tblStyle w:val="TableGrid"/>
        <w:tblW w:w="15593" w:type="dxa"/>
        <w:tblInd w:w="-826" w:type="dxa"/>
        <w:tblLayout w:type="fixed"/>
        <w:tblLook w:val="04A0" w:firstRow="1" w:lastRow="0" w:firstColumn="1" w:lastColumn="0" w:noHBand="0" w:noVBand="1"/>
      </w:tblPr>
      <w:tblGrid>
        <w:gridCol w:w="1763"/>
        <w:gridCol w:w="13830"/>
      </w:tblGrid>
      <w:tr w:rsidR="0033457E" w:rsidRPr="0082321B" w14:paraId="3028906E" w14:textId="77777777" w:rsidTr="00F21F23">
        <w:tc>
          <w:tcPr>
            <w:tcW w:w="1763" w:type="dxa"/>
          </w:tcPr>
          <w:p w14:paraId="52E7EB09" w14:textId="77777777" w:rsidR="0033457E" w:rsidRPr="0082321B" w:rsidRDefault="0033457E" w:rsidP="00F21F23">
            <w:r w:rsidRPr="0082321B">
              <w:t>IAP Code</w:t>
            </w:r>
          </w:p>
        </w:tc>
        <w:tc>
          <w:tcPr>
            <w:tcW w:w="13830" w:type="dxa"/>
          </w:tcPr>
          <w:p w14:paraId="2630909D" w14:textId="77777777" w:rsidR="0033457E" w:rsidRPr="0082321B" w:rsidRDefault="0033457E" w:rsidP="00F21F23">
            <w:r w:rsidRPr="0082321B">
              <w:t>IAP00017</w:t>
            </w:r>
          </w:p>
        </w:tc>
      </w:tr>
      <w:tr w:rsidR="0033457E" w:rsidRPr="0082321B" w14:paraId="45B4082D" w14:textId="77777777" w:rsidTr="00F21F23">
        <w:tc>
          <w:tcPr>
            <w:tcW w:w="1763" w:type="dxa"/>
          </w:tcPr>
          <w:p w14:paraId="1F39AB0C" w14:textId="77777777" w:rsidR="0033457E" w:rsidRPr="0082321B" w:rsidRDefault="0033457E" w:rsidP="00F21F23">
            <w:r w:rsidRPr="0082321B">
              <w:t>Title</w:t>
            </w:r>
          </w:p>
        </w:tc>
        <w:tc>
          <w:tcPr>
            <w:tcW w:w="13830" w:type="dxa"/>
          </w:tcPr>
          <w:p w14:paraId="0263B219" w14:textId="77777777" w:rsidR="0033457E" w:rsidRPr="0082321B" w:rsidRDefault="0033457E" w:rsidP="00F21F23">
            <w:r w:rsidRPr="0082321B">
              <w:t>Under 75 Mortality Rate from Cardiovascular disease</w:t>
            </w:r>
          </w:p>
        </w:tc>
      </w:tr>
      <w:tr w:rsidR="0033457E" w:rsidRPr="0082321B" w14:paraId="293BC38A" w14:textId="77777777" w:rsidTr="00F21F23">
        <w:tc>
          <w:tcPr>
            <w:tcW w:w="1763" w:type="dxa"/>
          </w:tcPr>
          <w:p w14:paraId="26AA8ECD" w14:textId="77777777" w:rsidR="0033457E" w:rsidRPr="0082321B" w:rsidRDefault="0033457E" w:rsidP="00F21F23">
            <w:r w:rsidRPr="0082321B">
              <w:t>Published by</w:t>
            </w:r>
          </w:p>
        </w:tc>
        <w:tc>
          <w:tcPr>
            <w:tcW w:w="13830" w:type="dxa"/>
          </w:tcPr>
          <w:p w14:paraId="783520E4" w14:textId="77777777" w:rsidR="0033457E" w:rsidRPr="0082321B" w:rsidRDefault="0033457E" w:rsidP="00F21F23">
            <w:r w:rsidRPr="0082321B">
              <w:t>Department of Health and Social Care</w:t>
            </w:r>
          </w:p>
        </w:tc>
      </w:tr>
      <w:tr w:rsidR="0033457E" w:rsidRPr="0082321B" w14:paraId="37058885" w14:textId="77777777" w:rsidTr="00F21F23">
        <w:tc>
          <w:tcPr>
            <w:tcW w:w="1763" w:type="dxa"/>
          </w:tcPr>
          <w:p w14:paraId="74C95095" w14:textId="77777777" w:rsidR="0033457E" w:rsidRPr="0082321B" w:rsidRDefault="0033457E" w:rsidP="00F21F23">
            <w:r w:rsidRPr="0082321B">
              <w:t>Reporting period</w:t>
            </w:r>
          </w:p>
        </w:tc>
        <w:tc>
          <w:tcPr>
            <w:tcW w:w="13830" w:type="dxa"/>
          </w:tcPr>
          <w:p w14:paraId="6A2560F5" w14:textId="77777777" w:rsidR="0033457E" w:rsidRPr="0082321B" w:rsidRDefault="0033457E" w:rsidP="00F21F23">
            <w:r w:rsidRPr="0082321B">
              <w:t>Annually</w:t>
            </w:r>
          </w:p>
        </w:tc>
      </w:tr>
      <w:tr w:rsidR="0033457E" w:rsidRPr="0082321B" w14:paraId="5DAC2FE4" w14:textId="77777777" w:rsidTr="00F21F23">
        <w:tc>
          <w:tcPr>
            <w:tcW w:w="1763" w:type="dxa"/>
          </w:tcPr>
          <w:p w14:paraId="6A533745" w14:textId="77777777" w:rsidR="0033457E" w:rsidRPr="0082321B" w:rsidRDefault="0033457E" w:rsidP="00F21F23">
            <w:r w:rsidRPr="0082321B">
              <w:t>Geographical Coverage</w:t>
            </w:r>
          </w:p>
        </w:tc>
        <w:tc>
          <w:tcPr>
            <w:tcW w:w="13830" w:type="dxa"/>
          </w:tcPr>
          <w:p w14:paraId="157C53EC" w14:textId="77777777" w:rsidR="0033457E" w:rsidRPr="0082321B" w:rsidRDefault="0033457E" w:rsidP="00F21F23">
            <w:r w:rsidRPr="0082321B">
              <w:t>England</w:t>
            </w:r>
          </w:p>
        </w:tc>
      </w:tr>
      <w:tr w:rsidR="0033457E" w:rsidRPr="0082321B" w14:paraId="24DFBE26" w14:textId="77777777" w:rsidTr="00F21F23">
        <w:tc>
          <w:tcPr>
            <w:tcW w:w="1763" w:type="dxa"/>
          </w:tcPr>
          <w:p w14:paraId="31B62FA5" w14:textId="77777777" w:rsidR="0033457E" w:rsidRPr="0082321B" w:rsidRDefault="0033457E" w:rsidP="00F21F23">
            <w:r w:rsidRPr="0082321B">
              <w:t>Reporting level(s)</w:t>
            </w:r>
          </w:p>
        </w:tc>
        <w:tc>
          <w:tcPr>
            <w:tcW w:w="13830" w:type="dxa"/>
          </w:tcPr>
          <w:p w14:paraId="354EA369" w14:textId="77777777" w:rsidR="0033457E" w:rsidRPr="0082321B" w:rsidRDefault="0033457E" w:rsidP="00F21F23">
            <w:r w:rsidRPr="0082321B">
              <w:t>National</w:t>
            </w:r>
          </w:p>
        </w:tc>
      </w:tr>
      <w:tr w:rsidR="0033457E" w:rsidRPr="0082321B" w14:paraId="1D5F1460" w14:textId="77777777" w:rsidTr="00F21F23">
        <w:tc>
          <w:tcPr>
            <w:tcW w:w="1763" w:type="dxa"/>
          </w:tcPr>
          <w:p w14:paraId="368E8AD3" w14:textId="77777777" w:rsidR="0033457E" w:rsidRPr="0082321B" w:rsidRDefault="0033457E" w:rsidP="00F21F23">
            <w:r w:rsidRPr="0082321B">
              <w:t>Based on data from</w:t>
            </w:r>
          </w:p>
        </w:tc>
        <w:tc>
          <w:tcPr>
            <w:tcW w:w="13830" w:type="dxa"/>
          </w:tcPr>
          <w:p w14:paraId="1570A463" w14:textId="77777777" w:rsidR="0033457E" w:rsidRPr="0082321B" w:rsidRDefault="0033457E" w:rsidP="00F21F23">
            <w:r w:rsidRPr="0082321B">
              <w:t>Office for National Statistics</w:t>
            </w:r>
          </w:p>
        </w:tc>
      </w:tr>
      <w:tr w:rsidR="0033457E" w:rsidRPr="0082321B" w14:paraId="391A2E46" w14:textId="77777777" w:rsidTr="00F21F23">
        <w:tc>
          <w:tcPr>
            <w:tcW w:w="1763" w:type="dxa"/>
          </w:tcPr>
          <w:p w14:paraId="639D795F" w14:textId="77777777" w:rsidR="0033457E" w:rsidRPr="0082321B" w:rsidRDefault="0033457E" w:rsidP="00F21F23">
            <w:r w:rsidRPr="0082321B">
              <w:t>Contact Author Name</w:t>
            </w:r>
          </w:p>
        </w:tc>
        <w:tc>
          <w:tcPr>
            <w:tcW w:w="13830" w:type="dxa"/>
          </w:tcPr>
          <w:p w14:paraId="2B460AD4" w14:textId="77777777" w:rsidR="0033457E" w:rsidRPr="0082321B" w:rsidRDefault="0033457E" w:rsidP="00F21F23">
            <w:r w:rsidRPr="0082321B">
              <w:t>Sunita Shier</w:t>
            </w:r>
            <w:bookmarkStart w:id="0" w:name="_GoBack"/>
            <w:bookmarkEnd w:id="0"/>
          </w:p>
        </w:tc>
      </w:tr>
      <w:tr w:rsidR="0033457E" w:rsidRPr="0082321B" w14:paraId="7CEEE597" w14:textId="77777777" w:rsidTr="00F21F23">
        <w:tc>
          <w:tcPr>
            <w:tcW w:w="1763" w:type="dxa"/>
          </w:tcPr>
          <w:p w14:paraId="3C6E034E" w14:textId="77777777" w:rsidR="0033457E" w:rsidRPr="0082321B" w:rsidRDefault="0033457E" w:rsidP="00F21F23">
            <w:r w:rsidRPr="0082321B">
              <w:t>Contact Author Email</w:t>
            </w:r>
          </w:p>
        </w:tc>
        <w:tc>
          <w:tcPr>
            <w:tcW w:w="13830" w:type="dxa"/>
          </w:tcPr>
          <w:p w14:paraId="638192F0" w14:textId="77777777" w:rsidR="0033457E" w:rsidRPr="0082321B" w:rsidRDefault="0033457E" w:rsidP="00F21F23">
            <w:r w:rsidRPr="0082321B">
              <w:t>Sunita.shier@dh.gsi.gov.uk</w:t>
            </w:r>
          </w:p>
        </w:tc>
      </w:tr>
      <w:tr w:rsidR="0033457E" w:rsidRPr="0082321B" w14:paraId="0DC50747" w14:textId="77777777" w:rsidTr="00F21F23">
        <w:tc>
          <w:tcPr>
            <w:tcW w:w="1763" w:type="dxa"/>
          </w:tcPr>
          <w:p w14:paraId="73EABAFA" w14:textId="77777777" w:rsidR="0033457E" w:rsidRPr="0082321B" w:rsidRDefault="0033457E" w:rsidP="00F21F23">
            <w:r w:rsidRPr="0082321B">
              <w:t>Rating</w:t>
            </w:r>
          </w:p>
        </w:tc>
        <w:tc>
          <w:tcPr>
            <w:tcW w:w="13830" w:type="dxa"/>
          </w:tcPr>
          <w:p w14:paraId="0F140308" w14:textId="77777777" w:rsidR="0033457E" w:rsidRPr="0082321B" w:rsidRDefault="0033457E" w:rsidP="00F21F23">
            <w:r w:rsidRPr="0082321B">
              <w:t>Assured</w:t>
            </w:r>
          </w:p>
        </w:tc>
      </w:tr>
      <w:tr w:rsidR="0033457E" w:rsidRPr="0082321B" w14:paraId="241A1948" w14:textId="77777777" w:rsidTr="00F21F23">
        <w:tc>
          <w:tcPr>
            <w:tcW w:w="1763" w:type="dxa"/>
          </w:tcPr>
          <w:p w14:paraId="5AB4D933" w14:textId="77777777" w:rsidR="0033457E" w:rsidRPr="0082321B" w:rsidRDefault="0033457E" w:rsidP="00F21F23">
            <w:r w:rsidRPr="0082321B">
              <w:t>Assurance date</w:t>
            </w:r>
          </w:p>
        </w:tc>
        <w:tc>
          <w:tcPr>
            <w:tcW w:w="13830" w:type="dxa"/>
          </w:tcPr>
          <w:p w14:paraId="66FD7262" w14:textId="77777777" w:rsidR="0033457E" w:rsidRPr="0082321B" w:rsidRDefault="0033457E" w:rsidP="00F21F23">
            <w:r w:rsidRPr="0082321B">
              <w:t>01.05.2011</w:t>
            </w:r>
          </w:p>
        </w:tc>
      </w:tr>
      <w:tr w:rsidR="0033457E" w:rsidRPr="0082321B" w14:paraId="448C7B34" w14:textId="77777777" w:rsidTr="00F21F23">
        <w:tc>
          <w:tcPr>
            <w:tcW w:w="1763" w:type="dxa"/>
          </w:tcPr>
          <w:p w14:paraId="1848A66A" w14:textId="77777777" w:rsidR="0033457E" w:rsidRPr="0082321B" w:rsidRDefault="0033457E" w:rsidP="00F21F23">
            <w:r w:rsidRPr="0082321B">
              <w:t>Review date</w:t>
            </w:r>
          </w:p>
        </w:tc>
        <w:tc>
          <w:tcPr>
            <w:tcW w:w="13830" w:type="dxa"/>
          </w:tcPr>
          <w:p w14:paraId="36250062" w14:textId="77777777" w:rsidR="0033457E" w:rsidRPr="0082321B" w:rsidRDefault="0033457E" w:rsidP="00F21F23">
            <w:r w:rsidRPr="0082321B">
              <w:t>01.05.2014</w:t>
            </w:r>
          </w:p>
        </w:tc>
      </w:tr>
      <w:tr w:rsidR="0033457E" w:rsidRPr="0082321B" w14:paraId="19CBAC49" w14:textId="77777777" w:rsidTr="00F21F23">
        <w:tc>
          <w:tcPr>
            <w:tcW w:w="1763" w:type="dxa"/>
          </w:tcPr>
          <w:p w14:paraId="5C5F5E4B" w14:textId="77777777" w:rsidR="0033457E" w:rsidRPr="0082321B" w:rsidRDefault="0033457E" w:rsidP="00F21F23">
            <w:r w:rsidRPr="0082321B">
              <w:t>Indicator set</w:t>
            </w:r>
          </w:p>
        </w:tc>
        <w:tc>
          <w:tcPr>
            <w:tcW w:w="13830" w:type="dxa"/>
          </w:tcPr>
          <w:p w14:paraId="51B14C5F" w14:textId="77777777" w:rsidR="0033457E" w:rsidRPr="0082321B" w:rsidRDefault="0033457E" w:rsidP="00F21F23">
            <w:r w:rsidRPr="0082321B">
              <w:t>NHS Outcomes Framework</w:t>
            </w:r>
          </w:p>
        </w:tc>
      </w:tr>
      <w:tr w:rsidR="0033457E" w:rsidRPr="0082321B" w14:paraId="73BEFB48" w14:textId="77777777" w:rsidTr="00F21F23">
        <w:tc>
          <w:tcPr>
            <w:tcW w:w="1763" w:type="dxa"/>
          </w:tcPr>
          <w:p w14:paraId="359D22D8" w14:textId="77777777" w:rsidR="0033457E" w:rsidRPr="0082321B" w:rsidRDefault="0033457E" w:rsidP="00F21F23">
            <w:r w:rsidRPr="0082321B">
              <w:t xml:space="preserve">Brief Description </w:t>
            </w:r>
          </w:p>
          <w:p w14:paraId="684E8664" w14:textId="77777777" w:rsidR="0033457E" w:rsidRPr="0082321B" w:rsidRDefault="0033457E" w:rsidP="00F21F23"/>
        </w:tc>
        <w:tc>
          <w:tcPr>
            <w:tcW w:w="13830" w:type="dxa"/>
          </w:tcPr>
          <w:p w14:paraId="2786A6F0" w14:textId="77777777" w:rsidR="0033457E" w:rsidRPr="0082321B" w:rsidRDefault="0033457E" w:rsidP="00F21F23">
            <w:r w:rsidRPr="0082321B">
              <w:t>Age-standardised rate of mortality from all cardiovascular diseases in persons less than 75 years per 100,000 population</w:t>
            </w:r>
          </w:p>
        </w:tc>
      </w:tr>
      <w:tr w:rsidR="0033457E" w:rsidRPr="0082321B" w14:paraId="2ABCBDE4" w14:textId="77777777" w:rsidTr="00F21F23">
        <w:tc>
          <w:tcPr>
            <w:tcW w:w="1763" w:type="dxa"/>
          </w:tcPr>
          <w:p w14:paraId="00BAFEE8" w14:textId="77777777" w:rsidR="0033457E" w:rsidRPr="0082321B" w:rsidRDefault="0033457E" w:rsidP="00F21F23">
            <w:r w:rsidRPr="0082321B">
              <w:t>Purpose</w:t>
            </w:r>
          </w:p>
        </w:tc>
        <w:tc>
          <w:tcPr>
            <w:tcW w:w="13830" w:type="dxa"/>
          </w:tcPr>
          <w:p w14:paraId="20D1C69A" w14:textId="77777777" w:rsidR="0033457E" w:rsidRPr="0082321B" w:rsidRDefault="0033457E" w:rsidP="00F21F23">
            <w:r w:rsidRPr="0082321B">
              <w:t>The objective of this domain is to capture how successfully the NHS is playing its part in reducing the number of avoidable deaths, recognising that the NHS Commissioning Board can be accountable only for the NHS contribution to this goal. Not all deaths can be prevented through healthcare; indeed, the major impact on reducing mortality will be by preventing people becoming ill in the first place.</w:t>
            </w:r>
          </w:p>
        </w:tc>
      </w:tr>
      <w:tr w:rsidR="0033457E" w:rsidRPr="0082321B" w14:paraId="45850BD7" w14:textId="77777777" w:rsidTr="00F21F23">
        <w:tc>
          <w:tcPr>
            <w:tcW w:w="1763" w:type="dxa"/>
          </w:tcPr>
          <w:p w14:paraId="25CD9ECC" w14:textId="77777777" w:rsidR="0033457E" w:rsidRPr="0082321B" w:rsidRDefault="0033457E" w:rsidP="00F21F23">
            <w:r w:rsidRPr="0082321B">
              <w:t>Definition</w:t>
            </w:r>
          </w:p>
        </w:tc>
        <w:tc>
          <w:tcPr>
            <w:tcW w:w="13830" w:type="dxa"/>
          </w:tcPr>
          <w:p w14:paraId="5C51B476" w14:textId="77777777" w:rsidR="0033457E" w:rsidRPr="0082321B" w:rsidRDefault="0033457E" w:rsidP="00F21F23">
            <w:r w:rsidRPr="0082321B">
              <w:t>Age-standardised rate of mortality from all cardiovascular diseases in persons less than 75 years per 100,000 population</w:t>
            </w:r>
          </w:p>
        </w:tc>
      </w:tr>
      <w:tr w:rsidR="0033457E" w:rsidRPr="0082321B" w14:paraId="7161A454" w14:textId="77777777" w:rsidTr="00F21F23">
        <w:tc>
          <w:tcPr>
            <w:tcW w:w="1763" w:type="dxa"/>
          </w:tcPr>
          <w:p w14:paraId="1C2407BB" w14:textId="77777777" w:rsidR="0033457E" w:rsidRPr="0082321B" w:rsidRDefault="0033457E" w:rsidP="00F21F23">
            <w:r w:rsidRPr="0082321B">
              <w:t>Data Source</w:t>
            </w:r>
          </w:p>
        </w:tc>
        <w:tc>
          <w:tcPr>
            <w:tcW w:w="13830" w:type="dxa"/>
          </w:tcPr>
          <w:p w14:paraId="2D49557F" w14:textId="77777777" w:rsidR="0033457E" w:rsidRPr="0082321B" w:rsidRDefault="0033457E" w:rsidP="00F21F23">
            <w:r w:rsidRPr="0082321B">
              <w:t>Office for National Statistics (ONS). Mortality and population statistics.</w:t>
            </w:r>
          </w:p>
        </w:tc>
      </w:tr>
      <w:tr w:rsidR="0033457E" w:rsidRPr="0082321B" w14:paraId="148E176D" w14:textId="77777777" w:rsidTr="00F21F23">
        <w:tc>
          <w:tcPr>
            <w:tcW w:w="1763" w:type="dxa"/>
          </w:tcPr>
          <w:p w14:paraId="49EA1763" w14:textId="77777777" w:rsidR="0033457E" w:rsidRPr="0082321B" w:rsidRDefault="0033457E" w:rsidP="00F21F23">
            <w:r w:rsidRPr="0082321B">
              <w:t>Numerator</w:t>
            </w:r>
          </w:p>
        </w:tc>
        <w:tc>
          <w:tcPr>
            <w:tcW w:w="13830" w:type="dxa"/>
          </w:tcPr>
          <w:p w14:paraId="349007F5" w14:textId="77777777" w:rsidR="0033457E" w:rsidRPr="0082321B" w:rsidRDefault="0033457E" w:rsidP="00F21F23">
            <w:r w:rsidRPr="0082321B">
              <w:t>Number of deaths under 75 years from cardiovascular disease</w:t>
            </w:r>
          </w:p>
        </w:tc>
      </w:tr>
      <w:tr w:rsidR="0033457E" w:rsidRPr="0082321B" w14:paraId="13260ADC" w14:textId="77777777" w:rsidTr="00F21F23">
        <w:tc>
          <w:tcPr>
            <w:tcW w:w="1763" w:type="dxa"/>
          </w:tcPr>
          <w:p w14:paraId="2A2566C6" w14:textId="77777777" w:rsidR="0033457E" w:rsidRPr="0082321B" w:rsidRDefault="0033457E" w:rsidP="00F21F23">
            <w:r w:rsidRPr="0082321B">
              <w:t>Denominator</w:t>
            </w:r>
          </w:p>
        </w:tc>
        <w:tc>
          <w:tcPr>
            <w:tcW w:w="13830" w:type="dxa"/>
          </w:tcPr>
          <w:p w14:paraId="77E479EA" w14:textId="77777777" w:rsidR="0033457E" w:rsidRPr="0082321B" w:rsidRDefault="0033457E" w:rsidP="00F21F23">
            <w:r w:rsidRPr="0082321B">
              <w:t>Resident population under 75 years</w:t>
            </w:r>
          </w:p>
        </w:tc>
      </w:tr>
      <w:tr w:rsidR="0033457E" w:rsidRPr="0082321B" w14:paraId="59826F0D" w14:textId="77777777" w:rsidTr="00F21F23">
        <w:tc>
          <w:tcPr>
            <w:tcW w:w="1763" w:type="dxa"/>
          </w:tcPr>
          <w:p w14:paraId="357B4F59" w14:textId="77777777" w:rsidR="0033457E" w:rsidRPr="0082321B" w:rsidRDefault="0033457E" w:rsidP="00F21F23">
            <w:r w:rsidRPr="0082321B">
              <w:t>Calculation</w:t>
            </w:r>
          </w:p>
        </w:tc>
        <w:tc>
          <w:tcPr>
            <w:tcW w:w="13830" w:type="dxa"/>
          </w:tcPr>
          <w:p w14:paraId="569FD05D" w14:textId="77777777" w:rsidR="0033457E" w:rsidRPr="0082321B" w:rsidRDefault="0033457E" w:rsidP="00F21F23">
            <w:r w:rsidRPr="0082321B">
              <w:t>Directly age-standardised rates.</w:t>
            </w:r>
          </w:p>
          <w:p w14:paraId="4C09611E" w14:textId="77777777" w:rsidR="0033457E" w:rsidRPr="0082321B" w:rsidRDefault="0033457E" w:rsidP="00F21F23"/>
          <w:p w14:paraId="1EDF93DE" w14:textId="77777777" w:rsidR="0033457E" w:rsidRPr="0082321B" w:rsidRDefault="0033457E" w:rsidP="00F21F23">
            <w:r w:rsidRPr="0082321B">
              <w:t>The directly age-standardised rate is the rate of events that would occur in a standard population if that population were to experience the age-specific rates of the subject population. Explicitly:</w:t>
            </w:r>
          </w:p>
          <w:p w14:paraId="02386892" w14:textId="77777777" w:rsidR="0033457E" w:rsidRPr="0082321B" w:rsidRDefault="0033457E" w:rsidP="00F21F23"/>
          <w:p w14:paraId="49105000" w14:textId="20A9DE8F" w:rsidR="0033457E" w:rsidRPr="0082321B" w:rsidRDefault="00515D1A" w:rsidP="00515D1A">
            <w:pPr>
              <w:ind w:firstLine="720"/>
            </w:pPr>
            <m:oMath>
              <m:r>
                <w:rPr>
                  <w:rFonts w:ascii="Cambria Math"/>
                </w:rPr>
                <m:t>DSR=</m:t>
              </m:r>
              <m:f>
                <m:fPr>
                  <m:ctrlPr>
                    <w:rPr>
                      <w:rFonts w:ascii="Cambria Math" w:hAnsi="Cambria Math"/>
                      <w:i/>
                    </w:rPr>
                  </m:ctrlPr>
                </m:fPr>
                <m:num>
                  <m:nary>
                    <m:naryPr>
                      <m:chr m:val="∑"/>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w</m:t>
                          </m:r>
                        </m:e>
                        <m:sub>
                          <m:r>
                            <w:rPr>
                              <w:rFonts w:ascii="Cambria Math"/>
                            </w:rPr>
                            <m:t>i</m:t>
                          </m:r>
                        </m:sub>
                      </m:sSub>
                      <m:sSub>
                        <m:sSubPr>
                          <m:ctrlPr>
                            <w:rPr>
                              <w:rFonts w:ascii="Cambria Math" w:hAnsi="Cambria Math"/>
                              <w:i/>
                            </w:rPr>
                          </m:ctrlPr>
                        </m:sSubPr>
                        <m:e>
                          <m:r>
                            <w:rPr>
                              <w:rFonts w:ascii="Cambria Math"/>
                            </w:rPr>
                            <m:t>r</m:t>
                          </m:r>
                        </m:e>
                        <m:sub>
                          <m:r>
                            <w:rPr>
                              <w:rFonts w:ascii="Cambria Math"/>
                            </w:rPr>
                            <m:t>i</m:t>
                          </m:r>
                        </m:sub>
                      </m:sSub>
                    </m:e>
                  </m:nary>
                </m:num>
                <m:den>
                  <m:nary>
                    <m:naryPr>
                      <m:chr m:val="∑"/>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w</m:t>
                          </m:r>
                        </m:e>
                        <m:sub>
                          <m:r>
                            <w:rPr>
                              <w:rFonts w:ascii="Cambria Math"/>
                            </w:rPr>
                            <m:t>i</m:t>
                          </m:r>
                        </m:sub>
                      </m:sSub>
                    </m:e>
                  </m:nary>
                </m:den>
              </m:f>
              <m:r>
                <w:rPr>
                  <w:rFonts w:ascii="Cambria Math"/>
                </w:rPr>
                <m:t>×</m:t>
              </m:r>
              <m:r>
                <w:rPr>
                  <w:rFonts w:ascii="Cambria Math"/>
                </w:rPr>
                <m:t>100,000</m:t>
              </m:r>
            </m:oMath>
            <w:r w:rsidR="0033457E" w:rsidRPr="0082321B">
              <w:t xml:space="preserve">  (expressed per 100,000 population)</w:t>
            </w:r>
          </w:p>
          <w:p w14:paraId="11D9FB3A" w14:textId="77777777" w:rsidR="0033457E" w:rsidRPr="0082321B" w:rsidRDefault="0033457E" w:rsidP="00F21F23"/>
          <w:p w14:paraId="7287A7C6" w14:textId="77777777" w:rsidR="0033457E" w:rsidRPr="0082321B" w:rsidRDefault="0033457E" w:rsidP="00F21F23">
            <w:r w:rsidRPr="0082321B">
              <w:t>where:</w:t>
            </w:r>
          </w:p>
          <w:p w14:paraId="593C509D" w14:textId="77777777" w:rsidR="0033457E" w:rsidRPr="0082321B" w:rsidRDefault="0033457E" w:rsidP="00F21F23">
            <w:proofErr w:type="spellStart"/>
            <w:r w:rsidRPr="0082321B">
              <w:rPr>
                <w:i/>
              </w:rPr>
              <w:t>w</w:t>
            </w:r>
            <w:r w:rsidRPr="0082321B">
              <w:rPr>
                <w:i/>
                <w:vertAlign w:val="subscript"/>
              </w:rPr>
              <w:t>i</w:t>
            </w:r>
            <w:proofErr w:type="spellEnd"/>
            <w:r w:rsidRPr="0082321B">
              <w:rPr>
                <w:i/>
              </w:rPr>
              <w:t xml:space="preserve"> </w:t>
            </w:r>
            <w:r w:rsidRPr="0082321B">
              <w:t xml:space="preserve">is the number, or proportion, of individuals in the standard population in age group </w:t>
            </w:r>
            <w:proofErr w:type="spellStart"/>
            <w:r w:rsidRPr="0082321B">
              <w:rPr>
                <w:i/>
              </w:rPr>
              <w:t>i</w:t>
            </w:r>
            <w:proofErr w:type="spellEnd"/>
            <w:r w:rsidRPr="0082321B">
              <w:t>.</w:t>
            </w:r>
          </w:p>
          <w:p w14:paraId="79ED7046" w14:textId="77777777" w:rsidR="0033457E" w:rsidRPr="0082321B" w:rsidRDefault="0033457E" w:rsidP="00F21F23">
            <w:proofErr w:type="spellStart"/>
            <w:r w:rsidRPr="0082321B">
              <w:rPr>
                <w:i/>
              </w:rPr>
              <w:t>r</w:t>
            </w:r>
            <w:r w:rsidRPr="0082321B">
              <w:rPr>
                <w:i/>
                <w:vertAlign w:val="subscript"/>
              </w:rPr>
              <w:t>i</w:t>
            </w:r>
            <w:proofErr w:type="spellEnd"/>
            <w:r w:rsidRPr="0082321B">
              <w:t xml:space="preserve"> is the crude age-specific rate in the subject population in age group </w:t>
            </w:r>
            <w:proofErr w:type="spellStart"/>
            <w:r w:rsidRPr="0082321B">
              <w:rPr>
                <w:i/>
              </w:rPr>
              <w:t>i</w:t>
            </w:r>
            <w:proofErr w:type="spellEnd"/>
            <w:r w:rsidRPr="0082321B">
              <w:t>, given by:</w:t>
            </w:r>
          </w:p>
          <w:p w14:paraId="24F91415" w14:textId="77777777" w:rsidR="0033457E" w:rsidRPr="0082321B" w:rsidRDefault="0033457E" w:rsidP="00F21F23"/>
          <w:p w14:paraId="02843DC7" w14:textId="60B65D9F" w:rsidR="0033457E" w:rsidRPr="0082321B" w:rsidRDefault="003F72CF" w:rsidP="0025330F">
            <w:pPr>
              <w:ind w:firstLine="720"/>
            </w:pPr>
            <m:oMathPara>
              <m:oMath>
                <m:sSub>
                  <m:sSubPr>
                    <m:ctrlPr>
                      <w:rPr>
                        <w:rFonts w:ascii="Cambria Math" w:hAnsi="Cambria Math"/>
                        <w:i/>
                      </w:rPr>
                    </m:ctrlPr>
                  </m:sSubPr>
                  <m:e>
                    <m:r>
                      <w:rPr>
                        <w:rFonts w:ascii="Cambria Math"/>
                      </w:rPr>
                      <m:t>r</m:t>
                    </m:r>
                  </m:e>
                  <m:sub>
                    <m:r>
                      <w:rPr>
                        <w:rFonts w:ascii="Cambria Math"/>
                      </w:rPr>
                      <m:t>i</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O</m:t>
                        </m:r>
                      </m:e>
                      <m:sub>
                        <m:r>
                          <w:rPr>
                            <w:rFonts w:ascii="Cambria Math"/>
                          </w:rPr>
                          <m:t>i</m:t>
                        </m:r>
                      </m:sub>
                    </m:sSub>
                  </m:num>
                  <m:den>
                    <m:sSub>
                      <m:sSubPr>
                        <m:ctrlPr>
                          <w:rPr>
                            <w:rFonts w:ascii="Cambria Math" w:hAnsi="Cambria Math"/>
                            <w:i/>
                          </w:rPr>
                        </m:ctrlPr>
                      </m:sSubPr>
                      <m:e>
                        <m:r>
                          <w:rPr>
                            <w:rFonts w:ascii="Cambria Math"/>
                          </w:rPr>
                          <m:t>n</m:t>
                        </m:r>
                      </m:e>
                      <m:sub>
                        <m:r>
                          <w:rPr>
                            <w:rFonts w:ascii="Cambria Math"/>
                          </w:rPr>
                          <m:t>i</m:t>
                        </m:r>
                      </m:sub>
                    </m:sSub>
                  </m:den>
                </m:f>
              </m:oMath>
            </m:oMathPara>
          </w:p>
          <w:p w14:paraId="2642AE19" w14:textId="77777777" w:rsidR="0033457E" w:rsidRPr="0082321B" w:rsidRDefault="0033457E" w:rsidP="00F21F23"/>
          <w:p w14:paraId="671DAE67" w14:textId="77777777" w:rsidR="0033457E" w:rsidRPr="0082321B" w:rsidRDefault="0033457E" w:rsidP="00F21F23">
            <w:r w:rsidRPr="0082321B">
              <w:t>where:</w:t>
            </w:r>
          </w:p>
          <w:p w14:paraId="78B89489" w14:textId="77777777" w:rsidR="0033457E" w:rsidRPr="0082321B" w:rsidRDefault="0033457E" w:rsidP="00F21F23">
            <w:r w:rsidRPr="0082321B">
              <w:rPr>
                <w:i/>
              </w:rPr>
              <w:t>O</w:t>
            </w:r>
            <w:r w:rsidRPr="0082321B">
              <w:rPr>
                <w:i/>
                <w:vertAlign w:val="subscript"/>
              </w:rPr>
              <w:t>i</w:t>
            </w:r>
            <w:r w:rsidRPr="0082321B">
              <w:t xml:space="preserve"> is the observed number of events in the subject population in age group </w:t>
            </w:r>
            <w:proofErr w:type="spellStart"/>
            <w:r w:rsidRPr="0082321B">
              <w:rPr>
                <w:i/>
              </w:rPr>
              <w:t>i</w:t>
            </w:r>
            <w:proofErr w:type="spellEnd"/>
            <w:r w:rsidRPr="0082321B">
              <w:t>.</w:t>
            </w:r>
          </w:p>
          <w:p w14:paraId="5C2733EB" w14:textId="77777777" w:rsidR="0033457E" w:rsidRPr="0082321B" w:rsidRDefault="0033457E" w:rsidP="00F21F23">
            <w:proofErr w:type="spellStart"/>
            <w:r w:rsidRPr="0082321B">
              <w:rPr>
                <w:i/>
              </w:rPr>
              <w:t>n</w:t>
            </w:r>
            <w:r w:rsidRPr="0082321B">
              <w:rPr>
                <w:i/>
                <w:vertAlign w:val="subscript"/>
              </w:rPr>
              <w:t>i</w:t>
            </w:r>
            <w:proofErr w:type="spellEnd"/>
            <w:r w:rsidRPr="0082321B">
              <w:t xml:space="preserve"> is the number of individuals in the subject population in age group </w:t>
            </w:r>
            <w:proofErr w:type="spellStart"/>
            <w:r w:rsidRPr="0082321B">
              <w:rPr>
                <w:i/>
              </w:rPr>
              <w:t>i</w:t>
            </w:r>
            <w:proofErr w:type="spellEnd"/>
            <w:r w:rsidRPr="0082321B">
              <w:t>.</w:t>
            </w:r>
          </w:p>
          <w:p w14:paraId="66FFAACA" w14:textId="77777777" w:rsidR="0033457E" w:rsidRPr="0082321B" w:rsidRDefault="0033457E" w:rsidP="00F21F23"/>
          <w:p w14:paraId="79480137" w14:textId="77777777" w:rsidR="0033457E" w:rsidRPr="0082321B" w:rsidRDefault="0033457E" w:rsidP="00F21F23">
            <w:pPr>
              <w:pStyle w:val="Heading3"/>
              <w:tabs>
                <w:tab w:val="left" w:pos="0"/>
              </w:tabs>
              <w:outlineLvl w:val="2"/>
              <w:rPr>
                <w:szCs w:val="22"/>
              </w:rPr>
            </w:pPr>
            <w:bookmarkStart w:id="1" w:name="_Toc259641928"/>
            <w:r w:rsidRPr="0082321B">
              <w:rPr>
                <w:szCs w:val="22"/>
              </w:rPr>
              <w:t>Confidence intervals for directly standardised rates</w:t>
            </w:r>
            <w:bookmarkEnd w:id="1"/>
          </w:p>
          <w:p w14:paraId="5A638228" w14:textId="77777777" w:rsidR="0033457E" w:rsidRPr="0082321B" w:rsidRDefault="0033457E" w:rsidP="00F21F23">
            <w:pPr>
              <w:tabs>
                <w:tab w:val="left" w:pos="567"/>
              </w:tabs>
            </w:pPr>
          </w:p>
          <w:p w14:paraId="36851704" w14:textId="77777777" w:rsidR="0033457E" w:rsidRPr="0082321B" w:rsidRDefault="0033457E" w:rsidP="00F21F23">
            <w:pPr>
              <w:tabs>
                <w:tab w:val="left" w:pos="567"/>
              </w:tabs>
            </w:pPr>
            <w:r w:rsidRPr="0082321B">
              <w:t>95% confidence intervals for the age-standardised rates were calculated using a normal approximation. Standard errors are obtained using the method described by Breslow and Day,</w:t>
            </w:r>
            <w:r w:rsidRPr="0082321B">
              <w:endnoteReference w:id="1"/>
            </w:r>
            <w:r w:rsidRPr="0082321B">
              <w:t xml:space="preserve"> but modified to use the binomial variance for a proportion to estimate the variances of the crude age-specific rates.</w:t>
            </w:r>
            <w:r w:rsidRPr="0082321B">
              <w:endnoteReference w:id="2"/>
            </w:r>
            <w:r w:rsidRPr="0082321B">
              <w:t xml:space="preserve"> This method is likely to be unreliable when there are fewer than 50 cases in an area, hence confidence intervals for rates based on less than 50 cases should be viewed with caution. The lower and upper limits for the rates are denoted by DSR</w:t>
            </w:r>
            <w:r w:rsidRPr="0082321B">
              <w:rPr>
                <w:vertAlign w:val="subscript"/>
              </w:rPr>
              <w:t>LL</w:t>
            </w:r>
            <w:r w:rsidRPr="0082321B">
              <w:t xml:space="preserve"> and DSR</w:t>
            </w:r>
            <w:r w:rsidRPr="0082321B">
              <w:rPr>
                <w:vertAlign w:val="subscript"/>
              </w:rPr>
              <w:t>UL</w:t>
            </w:r>
            <w:r w:rsidRPr="0082321B">
              <w:t xml:space="preserve"> respectively.</w:t>
            </w:r>
          </w:p>
          <w:p w14:paraId="2AD0D02B" w14:textId="77777777" w:rsidR="0033457E" w:rsidRPr="0082321B" w:rsidRDefault="0033457E" w:rsidP="00F21F23">
            <w:pPr>
              <w:tabs>
                <w:tab w:val="left" w:pos="0"/>
              </w:tabs>
            </w:pPr>
          </w:p>
          <w:p w14:paraId="27CEC1B0" w14:textId="7D75AE20" w:rsidR="0033457E" w:rsidRPr="0082321B" w:rsidRDefault="0033457E" w:rsidP="0025330F">
            <w:pPr>
              <w:tabs>
                <w:tab w:val="left" w:pos="0"/>
              </w:tabs>
            </w:pPr>
            <w:r w:rsidRPr="0082321B">
              <w:tab/>
            </w:r>
            <m:oMath>
              <m:r>
                <w:rPr>
                  <w:rFonts w:ascii="Cambria Math"/>
                </w:rPr>
                <m:t>DS</m:t>
              </m:r>
              <m:sSub>
                <m:sSubPr>
                  <m:ctrlPr>
                    <w:rPr>
                      <w:rFonts w:ascii="Cambria Math" w:hAnsi="Cambria Math"/>
                      <w:i/>
                    </w:rPr>
                  </m:ctrlPr>
                </m:sSubPr>
                <m:e>
                  <m:r>
                    <w:rPr>
                      <w:rFonts w:ascii="Cambria Math"/>
                    </w:rPr>
                    <m:t>R</m:t>
                  </m:r>
                </m:e>
                <m:sub>
                  <m:r>
                    <w:rPr>
                      <w:rFonts w:ascii="Cambria Math"/>
                    </w:rPr>
                    <m:t>LL/UL</m:t>
                  </m:r>
                </m:sub>
              </m:sSub>
              <m:r>
                <w:rPr>
                  <w:rFonts w:ascii="Cambria Math"/>
                </w:rPr>
                <m:t>=DSR</m:t>
              </m:r>
              <m:r>
                <w:rPr>
                  <w:rFonts w:ascii="Cambria Math"/>
                </w:rPr>
                <m:t>±</m:t>
              </m:r>
              <m:r>
                <w:rPr>
                  <w:rFonts w:ascii="Cambria Math"/>
                </w:rPr>
                <m:t>1.96</m:t>
              </m:r>
              <m:r>
                <w:rPr>
                  <w:rFonts w:ascii="Cambria Math"/>
                </w:rPr>
                <m:t>×</m:t>
              </m:r>
              <m:r>
                <w:rPr>
                  <w:rFonts w:ascii="Cambria Math"/>
                </w:rPr>
                <m:t>100,000</m:t>
              </m:r>
              <m:r>
                <w:rPr>
                  <w:rFonts w:ascii="Cambria Math"/>
                </w:rPr>
                <m:t>×</m:t>
              </m:r>
              <m:rad>
                <m:radPr>
                  <m:degHide m:val="1"/>
                  <m:ctrlPr>
                    <w:rPr>
                      <w:rFonts w:ascii="Cambria Math" w:hAnsi="Cambria Math"/>
                      <w:i/>
                    </w:rPr>
                  </m:ctrlPr>
                </m:radPr>
                <m:deg/>
                <m:e>
                  <m:f>
                    <m:fPr>
                      <m:ctrlPr>
                        <w:rPr>
                          <w:rFonts w:ascii="Cambria Math" w:hAnsi="Cambria Math"/>
                          <w:i/>
                        </w:rPr>
                      </m:ctrlPr>
                    </m:fPr>
                    <m:num>
                      <m:r>
                        <w:rPr>
                          <w:rFonts w:ascii="Cambria Math"/>
                        </w:rPr>
                        <m:t>1</m:t>
                      </m:r>
                    </m:num>
                    <m:den>
                      <m:sSup>
                        <m:sSupPr>
                          <m:ctrlPr>
                            <w:rPr>
                              <w:rFonts w:ascii="Cambria Math" w:hAnsi="Cambria Math"/>
                              <w:i/>
                            </w:rPr>
                          </m:ctrlPr>
                        </m:sSupPr>
                        <m:e>
                          <m:d>
                            <m:dPr>
                              <m:ctrlPr>
                                <w:rPr>
                                  <w:rFonts w:ascii="Cambria Math" w:hAnsi="Cambria Math"/>
                                  <w:i/>
                                </w:rPr>
                              </m:ctrlPr>
                            </m:dPr>
                            <m:e>
                              <m:nary>
                                <m:naryPr>
                                  <m:chr m:val="∑"/>
                                  <m:supHide m:val="1"/>
                                  <m:ctrlPr>
                                    <w:rPr>
                                      <w:rFonts w:ascii="Cambria Math" w:hAnsi="Cambria Math"/>
                                      <w:i/>
                                    </w:rPr>
                                  </m:ctrlPr>
                                </m:naryPr>
                                <m:sub>
                                  <m:r>
                                    <w:rPr>
                                      <w:rFonts w:ascii="Cambria Math"/>
                                    </w:rPr>
                                    <m:t>ij</m:t>
                                  </m:r>
                                </m:sub>
                                <m:sup/>
                                <m:e>
                                  <m:sSub>
                                    <m:sSubPr>
                                      <m:ctrlPr>
                                        <w:rPr>
                                          <w:rFonts w:ascii="Cambria Math" w:hAnsi="Cambria Math"/>
                                          <w:i/>
                                        </w:rPr>
                                      </m:ctrlPr>
                                    </m:sSubPr>
                                    <m:e>
                                      <m:r>
                                        <w:rPr>
                                          <w:rFonts w:ascii="Cambria Math"/>
                                        </w:rPr>
                                        <m:t>w</m:t>
                                      </m:r>
                                    </m:e>
                                    <m:sub>
                                      <m:r>
                                        <w:rPr>
                                          <w:rFonts w:ascii="Cambria Math"/>
                                        </w:rPr>
                                        <m:t>i</m:t>
                                      </m:r>
                                    </m:sub>
                                  </m:sSub>
                                </m:e>
                              </m:nary>
                            </m:e>
                          </m:d>
                        </m:e>
                        <m:sup>
                          <m:r>
                            <w:rPr>
                              <w:rFonts w:ascii="Cambria Math"/>
                            </w:rPr>
                            <m:t>2</m:t>
                          </m:r>
                        </m:sup>
                      </m:sSup>
                    </m:den>
                  </m:f>
                  <m:r>
                    <w:rPr>
                      <w:rFonts w:ascii="Cambria Math"/>
                    </w:rPr>
                    <m:t>×</m:t>
                  </m:r>
                  <m:nary>
                    <m:naryPr>
                      <m:chr m:val="∑"/>
                      <m:supHide m:val="1"/>
                      <m:ctrlPr>
                        <w:rPr>
                          <w:rFonts w:ascii="Cambria Math" w:hAnsi="Cambria Math"/>
                          <w:i/>
                        </w:rPr>
                      </m:ctrlPr>
                    </m:naryPr>
                    <m:sub>
                      <m:r>
                        <w:rPr>
                          <w:rFonts w:ascii="Cambria Math"/>
                        </w:rPr>
                        <m:t>ij</m:t>
                      </m:r>
                    </m:sub>
                    <m:sup/>
                    <m:e>
                      <m:f>
                        <m:fPr>
                          <m:ctrlPr>
                            <w:rPr>
                              <w:rFonts w:ascii="Cambria Math" w:hAnsi="Cambria Math"/>
                              <w:i/>
                            </w:rPr>
                          </m:ctrlPr>
                        </m:fPr>
                        <m:num>
                          <m:sSubSup>
                            <m:sSubSupPr>
                              <m:ctrlPr>
                                <w:rPr>
                                  <w:rFonts w:ascii="Cambria Math" w:hAnsi="Cambria Math"/>
                                  <w:i/>
                                </w:rPr>
                              </m:ctrlPr>
                            </m:sSubSupPr>
                            <m:e>
                              <m:r>
                                <w:rPr>
                                  <w:rFonts w:ascii="Cambria Math"/>
                                </w:rPr>
                                <m:t>w</m:t>
                              </m:r>
                            </m:e>
                            <m:sub>
                              <m:r>
                                <w:rPr>
                                  <w:rFonts w:ascii="Cambria Math"/>
                                </w:rPr>
                                <m:t>i</m:t>
                              </m:r>
                            </m:sub>
                            <m:sup>
                              <m:r>
                                <w:rPr>
                                  <w:rFonts w:ascii="Cambria Math"/>
                                </w:rPr>
                                <m:t>2</m:t>
                              </m:r>
                            </m:sup>
                          </m:sSubSup>
                          <m:r>
                            <w:rPr>
                              <w:rFonts w:ascii="Cambria Math" w:hAnsi="Cambria Math" w:cs="Cambria Math"/>
                            </w:rPr>
                            <m:t>⋅</m:t>
                          </m:r>
                          <m:sSub>
                            <m:sSubPr>
                              <m:ctrlPr>
                                <w:rPr>
                                  <w:rFonts w:ascii="Cambria Math" w:hAnsi="Cambria Math"/>
                                  <w:i/>
                                </w:rPr>
                              </m:ctrlPr>
                            </m:sSubPr>
                            <m:e>
                              <m:r>
                                <w:rPr>
                                  <w:rFonts w:ascii="Cambria Math"/>
                                </w:rPr>
                                <m:t>r</m:t>
                              </m:r>
                            </m:e>
                            <m:sub>
                              <m:r>
                                <w:rPr>
                                  <w:rFonts w:ascii="Cambria Math"/>
                                </w:rPr>
                                <m:t>ij</m:t>
                              </m:r>
                            </m:sub>
                          </m:sSub>
                          <m:d>
                            <m:dPr>
                              <m:ctrlPr>
                                <w:rPr>
                                  <w:rFonts w:ascii="Cambria Math" w:hAnsi="Cambria Math"/>
                                  <w:i/>
                                </w:rPr>
                              </m:ctrlPr>
                            </m:dPr>
                            <m:e>
                              <m:r>
                                <w:rPr>
                                  <w:rFonts w:ascii="Cambria Math"/>
                                </w:rPr>
                                <m:t>1</m:t>
                              </m:r>
                              <m:r>
                                <w:rPr>
                                  <w:rFonts w:ascii="Cambria Math"/>
                                </w:rPr>
                                <m:t>-</m:t>
                              </m:r>
                              <m:sSub>
                                <m:sSubPr>
                                  <m:ctrlPr>
                                    <w:rPr>
                                      <w:rFonts w:ascii="Cambria Math" w:hAnsi="Cambria Math"/>
                                      <w:i/>
                                    </w:rPr>
                                  </m:ctrlPr>
                                </m:sSubPr>
                                <m:e>
                                  <m:r>
                                    <w:rPr>
                                      <w:rFonts w:ascii="Cambria Math"/>
                                    </w:rPr>
                                    <m:t>r</m:t>
                                  </m:r>
                                </m:e>
                                <m:sub>
                                  <m:r>
                                    <w:rPr>
                                      <w:rFonts w:ascii="Cambria Math"/>
                                    </w:rPr>
                                    <m:t>ij</m:t>
                                  </m:r>
                                </m:sub>
                              </m:sSub>
                            </m:e>
                          </m:d>
                        </m:num>
                        <m:den>
                          <m:sSub>
                            <m:sSubPr>
                              <m:ctrlPr>
                                <w:rPr>
                                  <w:rFonts w:ascii="Cambria Math" w:hAnsi="Cambria Math"/>
                                  <w:i/>
                                </w:rPr>
                              </m:ctrlPr>
                            </m:sSubPr>
                            <m:e>
                              <m:r>
                                <w:rPr>
                                  <w:rFonts w:ascii="Cambria Math"/>
                                </w:rPr>
                                <m:t>n</m:t>
                              </m:r>
                            </m:e>
                            <m:sub>
                              <m:r>
                                <w:rPr>
                                  <w:rFonts w:ascii="Cambria Math"/>
                                </w:rPr>
                                <m:t>ij</m:t>
                              </m:r>
                            </m:sub>
                          </m:sSub>
                        </m:den>
                      </m:f>
                    </m:e>
                  </m:nary>
                </m:e>
              </m:rad>
            </m:oMath>
            <w:r w:rsidRPr="0082321B">
              <w:t xml:space="preserve"> </w:t>
            </w:r>
          </w:p>
          <w:p w14:paraId="41E93C07" w14:textId="77777777" w:rsidR="0033457E" w:rsidRPr="0082321B" w:rsidRDefault="0033457E" w:rsidP="00F21F23">
            <w:pPr>
              <w:tabs>
                <w:tab w:val="left" w:pos="0"/>
              </w:tabs>
            </w:pPr>
            <w:r w:rsidRPr="0082321B">
              <w:tab/>
              <w:t>(expressed per 100,000 population)</w:t>
            </w:r>
          </w:p>
          <w:p w14:paraId="2BB0B023" w14:textId="77777777" w:rsidR="0033457E" w:rsidRPr="0082321B" w:rsidRDefault="0033457E" w:rsidP="00F21F23">
            <w:pPr>
              <w:tabs>
                <w:tab w:val="left" w:pos="2552"/>
              </w:tabs>
            </w:pPr>
          </w:p>
          <w:p w14:paraId="3461EF27" w14:textId="77777777" w:rsidR="0033457E" w:rsidRPr="0082321B" w:rsidRDefault="0033457E" w:rsidP="00F21F23">
            <w:pPr>
              <w:tabs>
                <w:tab w:val="left" w:pos="0"/>
              </w:tabs>
            </w:pPr>
            <w:r w:rsidRPr="0082321B">
              <w:t>where:</w:t>
            </w:r>
          </w:p>
          <w:p w14:paraId="2C208D1A" w14:textId="77777777" w:rsidR="0033457E" w:rsidRPr="0082321B" w:rsidRDefault="0033457E" w:rsidP="00F21F23">
            <w:pPr>
              <w:tabs>
                <w:tab w:val="left" w:pos="2552"/>
              </w:tabs>
              <w:rPr>
                <w:i/>
              </w:rPr>
            </w:pPr>
            <w:proofErr w:type="spellStart"/>
            <w:r w:rsidRPr="0082321B">
              <w:rPr>
                <w:i/>
              </w:rPr>
              <w:t>w</w:t>
            </w:r>
            <w:r w:rsidRPr="0082321B">
              <w:rPr>
                <w:i/>
                <w:vertAlign w:val="subscript"/>
              </w:rPr>
              <w:t>i</w:t>
            </w:r>
            <w:proofErr w:type="spellEnd"/>
            <w:r w:rsidRPr="0082321B">
              <w:t xml:space="preserve"> is the number, or proportion, of individuals in the standard population in age group </w:t>
            </w:r>
            <w:proofErr w:type="spellStart"/>
            <w:r w:rsidRPr="0082321B">
              <w:rPr>
                <w:i/>
              </w:rPr>
              <w:t>i</w:t>
            </w:r>
            <w:proofErr w:type="spellEnd"/>
            <w:r w:rsidRPr="0082321B">
              <w:t>.</w:t>
            </w:r>
          </w:p>
          <w:p w14:paraId="77D1E16E" w14:textId="77777777" w:rsidR="0033457E" w:rsidRPr="0082321B" w:rsidRDefault="0033457E" w:rsidP="00F21F23">
            <w:pPr>
              <w:tabs>
                <w:tab w:val="left" w:pos="2552"/>
              </w:tabs>
            </w:pPr>
            <w:proofErr w:type="spellStart"/>
            <w:r w:rsidRPr="0082321B">
              <w:rPr>
                <w:i/>
              </w:rPr>
              <w:t>r</w:t>
            </w:r>
            <w:r w:rsidRPr="0082321B">
              <w:rPr>
                <w:i/>
                <w:vertAlign w:val="subscript"/>
              </w:rPr>
              <w:t>ij</w:t>
            </w:r>
            <w:proofErr w:type="spellEnd"/>
            <w:r w:rsidRPr="0082321B">
              <w:t xml:space="preserve"> is the crude age-specific rate in the subject population in age group </w:t>
            </w:r>
            <w:proofErr w:type="spellStart"/>
            <w:r w:rsidRPr="0082321B">
              <w:t>i</w:t>
            </w:r>
            <w:proofErr w:type="spellEnd"/>
            <w:r w:rsidRPr="0082321B">
              <w:t>, in year</w:t>
            </w:r>
            <w:r w:rsidRPr="0082321B">
              <w:rPr>
                <w:i/>
              </w:rPr>
              <w:t xml:space="preserve"> j</w:t>
            </w:r>
            <w:r w:rsidRPr="0082321B">
              <w:t>.</w:t>
            </w:r>
          </w:p>
          <w:p w14:paraId="49C221A3" w14:textId="77777777" w:rsidR="0033457E" w:rsidRPr="0082321B" w:rsidRDefault="0033457E" w:rsidP="00F21F23">
            <w:proofErr w:type="spellStart"/>
            <w:r w:rsidRPr="0082321B">
              <w:rPr>
                <w:i/>
              </w:rPr>
              <w:t>n</w:t>
            </w:r>
            <w:r w:rsidRPr="0082321B">
              <w:rPr>
                <w:i/>
                <w:vertAlign w:val="subscript"/>
              </w:rPr>
              <w:t>ij</w:t>
            </w:r>
            <w:proofErr w:type="spellEnd"/>
            <w:r w:rsidRPr="0082321B">
              <w:t xml:space="preserve"> is the number of individuals in the subject population in age group </w:t>
            </w:r>
            <w:proofErr w:type="spellStart"/>
            <w:r w:rsidRPr="0082321B">
              <w:t>i</w:t>
            </w:r>
            <w:proofErr w:type="spellEnd"/>
            <w:r w:rsidRPr="0082321B">
              <w:t>, in year</w:t>
            </w:r>
            <w:r w:rsidRPr="0082321B">
              <w:rPr>
                <w:i/>
              </w:rPr>
              <w:t xml:space="preserve"> j</w:t>
            </w:r>
            <w:r w:rsidRPr="0082321B">
              <w:t>.</w:t>
            </w:r>
          </w:p>
          <w:p w14:paraId="37913A9D" w14:textId="77777777" w:rsidR="0033457E" w:rsidRPr="0082321B" w:rsidRDefault="0033457E" w:rsidP="00F21F23"/>
        </w:tc>
      </w:tr>
      <w:tr w:rsidR="0033457E" w:rsidRPr="0082321B" w14:paraId="05E47FCA" w14:textId="77777777" w:rsidTr="00F21F23">
        <w:tc>
          <w:tcPr>
            <w:tcW w:w="1763" w:type="dxa"/>
          </w:tcPr>
          <w:p w14:paraId="7BEB33A4" w14:textId="77777777" w:rsidR="0033457E" w:rsidRPr="0082321B" w:rsidRDefault="0033457E" w:rsidP="00F21F23">
            <w:r w:rsidRPr="0082321B">
              <w:lastRenderedPageBreak/>
              <w:t>Interpretation Guidelines</w:t>
            </w:r>
          </w:p>
        </w:tc>
        <w:tc>
          <w:tcPr>
            <w:tcW w:w="13830" w:type="dxa"/>
          </w:tcPr>
          <w:p w14:paraId="09290654" w14:textId="77777777" w:rsidR="0033457E" w:rsidRPr="0082321B" w:rsidRDefault="0033457E" w:rsidP="00F21F23">
            <w:r w:rsidRPr="0082321B">
              <w:t>See ‘The NHS Outcomes Framework 2011-12’ document.</w:t>
            </w:r>
          </w:p>
        </w:tc>
      </w:tr>
      <w:tr w:rsidR="0033457E" w:rsidRPr="0082321B" w14:paraId="16BC98A7" w14:textId="77777777" w:rsidTr="00F21F23">
        <w:tc>
          <w:tcPr>
            <w:tcW w:w="1763" w:type="dxa"/>
          </w:tcPr>
          <w:p w14:paraId="2A070F7F" w14:textId="77777777" w:rsidR="0033457E" w:rsidRPr="0082321B" w:rsidRDefault="0033457E" w:rsidP="00F21F23">
            <w:r w:rsidRPr="0082321B">
              <w:t>Caveats</w:t>
            </w:r>
          </w:p>
        </w:tc>
        <w:tc>
          <w:tcPr>
            <w:tcW w:w="13830" w:type="dxa"/>
          </w:tcPr>
          <w:p w14:paraId="6BEA4DEE" w14:textId="77777777" w:rsidR="0033457E" w:rsidRPr="0082321B" w:rsidRDefault="0033457E" w:rsidP="00F21F23">
            <w:r w:rsidRPr="0082321B">
              <w:t>None.</w:t>
            </w:r>
          </w:p>
        </w:tc>
      </w:tr>
    </w:tbl>
    <w:p w14:paraId="5C38F570" w14:textId="77777777" w:rsidR="0033457E" w:rsidRPr="0082321B" w:rsidRDefault="0033457E" w:rsidP="0033457E">
      <w:pPr>
        <w:rPr>
          <w:b/>
        </w:rPr>
      </w:pPr>
    </w:p>
    <w:p w14:paraId="102CC16D" w14:textId="77777777" w:rsidR="0033457E" w:rsidRDefault="0033457E" w:rsidP="0033457E">
      <w:pPr>
        <w:rPr>
          <w:b/>
        </w:rPr>
      </w:pPr>
      <w:r w:rsidRPr="0082321B">
        <w:rPr>
          <w:b/>
        </w:rPr>
        <w:br w:type="page"/>
      </w:r>
    </w:p>
    <w:p w14:paraId="2005301E" w14:textId="77777777" w:rsidR="0033457E" w:rsidRPr="00340C78" w:rsidRDefault="0033457E" w:rsidP="00D45A20">
      <w:pPr>
        <w:pStyle w:val="Heading5"/>
      </w:pPr>
      <w:r w:rsidRPr="00340C78">
        <w:lastRenderedPageBreak/>
        <w:t>Application form</w:t>
      </w:r>
    </w:p>
    <w:p w14:paraId="0213A740" w14:textId="77777777" w:rsidR="0033457E" w:rsidRDefault="0033457E" w:rsidP="0033457E">
      <w:pPr>
        <w:rPr>
          <w:b/>
        </w:rPr>
      </w:pPr>
    </w:p>
    <w:tbl>
      <w:tblPr>
        <w:tblStyle w:val="TableGrid"/>
        <w:tblW w:w="0" w:type="auto"/>
        <w:tblLook w:val="04A0" w:firstRow="1" w:lastRow="0" w:firstColumn="1" w:lastColumn="0" w:noHBand="0" w:noVBand="1"/>
      </w:tblPr>
      <w:tblGrid>
        <w:gridCol w:w="3256"/>
        <w:gridCol w:w="10692"/>
      </w:tblGrid>
      <w:tr w:rsidR="0033457E" w14:paraId="66F9A65A" w14:textId="77777777" w:rsidTr="00F21F23">
        <w:tc>
          <w:tcPr>
            <w:tcW w:w="3256" w:type="dxa"/>
          </w:tcPr>
          <w:p w14:paraId="4703E624" w14:textId="77777777" w:rsidR="0033457E" w:rsidRDefault="0033457E" w:rsidP="00F21F23">
            <w:pPr>
              <w:rPr>
                <w:b/>
              </w:rPr>
            </w:pPr>
            <w:r w:rsidRPr="0082321B">
              <w:rPr>
                <w:b/>
              </w:rPr>
              <w:t>Set or domain</w:t>
            </w:r>
          </w:p>
        </w:tc>
        <w:tc>
          <w:tcPr>
            <w:tcW w:w="10692" w:type="dxa"/>
          </w:tcPr>
          <w:p w14:paraId="7BA0CD24" w14:textId="77777777" w:rsidR="0033457E" w:rsidRPr="0082321B" w:rsidRDefault="0033457E" w:rsidP="00F21F23">
            <w:pPr>
              <w:spacing w:before="240"/>
            </w:pPr>
            <w:r w:rsidRPr="0082321B">
              <w:t>1.1 NHS Outcomes Framework – Domain 1 – Preventing people from dying prematurely</w:t>
            </w:r>
          </w:p>
          <w:p w14:paraId="62EADBA8" w14:textId="77777777" w:rsidR="0033457E" w:rsidRDefault="0033457E" w:rsidP="00F21F23">
            <w:pPr>
              <w:rPr>
                <w:b/>
              </w:rPr>
            </w:pPr>
            <w:r w:rsidRPr="0082321B">
              <w:t>Improvement area – Reducing premature mortality from the major causes of death</w:t>
            </w:r>
          </w:p>
        </w:tc>
      </w:tr>
      <w:tr w:rsidR="0033457E" w14:paraId="26854D91" w14:textId="77777777" w:rsidTr="00F21F23">
        <w:tc>
          <w:tcPr>
            <w:tcW w:w="3256" w:type="dxa"/>
          </w:tcPr>
          <w:p w14:paraId="126FC13C" w14:textId="77777777" w:rsidR="0033457E" w:rsidRDefault="0033457E" w:rsidP="00F21F23">
            <w:pPr>
              <w:rPr>
                <w:b/>
              </w:rPr>
            </w:pPr>
            <w:r w:rsidRPr="0082321B">
              <w:rPr>
                <w:b/>
              </w:rPr>
              <w:t>Topic area</w:t>
            </w:r>
          </w:p>
        </w:tc>
        <w:tc>
          <w:tcPr>
            <w:tcW w:w="10692" w:type="dxa"/>
          </w:tcPr>
          <w:p w14:paraId="6454DBE8" w14:textId="77777777" w:rsidR="0033457E" w:rsidRDefault="0033457E" w:rsidP="00F21F23">
            <w:pPr>
              <w:rPr>
                <w:b/>
              </w:rPr>
            </w:pPr>
            <w:r w:rsidRPr="0082321B">
              <w:t>Premature mortality</w:t>
            </w:r>
          </w:p>
        </w:tc>
      </w:tr>
      <w:tr w:rsidR="0033457E" w14:paraId="17CFCD87" w14:textId="77777777" w:rsidTr="00F21F23">
        <w:tc>
          <w:tcPr>
            <w:tcW w:w="3256" w:type="dxa"/>
          </w:tcPr>
          <w:p w14:paraId="62FD77EF" w14:textId="77777777" w:rsidR="0033457E" w:rsidRDefault="0033457E" w:rsidP="00F21F23">
            <w:pPr>
              <w:rPr>
                <w:b/>
              </w:rPr>
            </w:pPr>
            <w:r w:rsidRPr="0082321B">
              <w:rPr>
                <w:b/>
              </w:rPr>
              <w:t>Definition</w:t>
            </w:r>
          </w:p>
        </w:tc>
        <w:tc>
          <w:tcPr>
            <w:tcW w:w="10692" w:type="dxa"/>
          </w:tcPr>
          <w:p w14:paraId="30EEF7DF" w14:textId="77777777" w:rsidR="0033457E" w:rsidRPr="0082321B" w:rsidRDefault="0033457E" w:rsidP="00F21F23">
            <w:pPr>
              <w:rPr>
                <w:lang w:eastAsia="en-GB"/>
              </w:rPr>
            </w:pPr>
            <w:r w:rsidRPr="0082321B">
              <w:t>A measure of the likelihood of dying of heart disease under the age of 75, which allows for comparisons between populations with different age profiles and over time.</w:t>
            </w:r>
          </w:p>
          <w:p w14:paraId="5AA7FD01" w14:textId="77777777" w:rsidR="0033457E" w:rsidRPr="0082321B" w:rsidRDefault="0033457E" w:rsidP="00F21F23">
            <w:pPr>
              <w:rPr>
                <w:lang w:eastAsia="en-GB"/>
              </w:rPr>
            </w:pPr>
            <w:r w:rsidRPr="0082321B">
              <w:rPr>
                <w:lang w:eastAsia="en-GB"/>
              </w:rPr>
              <w:t>Reported as a directly age-standardised mortality rate per 100,000 population from cardiovascular disease for people aged under 75 for all breakdowns except age group (including 95% confidence intervals).</w:t>
            </w:r>
          </w:p>
          <w:p w14:paraId="79A1E4C7" w14:textId="77777777" w:rsidR="0033457E" w:rsidRPr="0082321B" w:rsidRDefault="0033457E" w:rsidP="00F21F23">
            <w:pPr>
              <w:rPr>
                <w:lang w:eastAsia="en-GB"/>
              </w:rPr>
            </w:pPr>
            <w:r w:rsidRPr="0082321B">
              <w:t>Age group indicator values are crude rates and not directly standardised. Direct standardisation to the European Standard Population is not possible at this level</w:t>
            </w:r>
          </w:p>
          <w:p w14:paraId="52D2A931" w14:textId="77777777" w:rsidR="0033457E" w:rsidRPr="0082321B" w:rsidRDefault="0033457E" w:rsidP="00F21F23">
            <w:pPr>
              <w:rPr>
                <w:lang w:eastAsia="en-GB"/>
              </w:rPr>
            </w:pPr>
            <w:r w:rsidRPr="0082321B">
              <w:rPr>
                <w:lang w:eastAsia="en-GB"/>
              </w:rPr>
              <w:t>This indicator is calculated using Office for National Statistics (ONS) mortality data and mid-year population estimate data and is reported for calendar years.  This indicator includes the following geographic and other socio-economic breakdowns:</w:t>
            </w:r>
            <w:r w:rsidRPr="0082321B">
              <w:rPr>
                <w:lang w:eastAsia="en-GB"/>
              </w:rPr>
              <w:br/>
              <w:t>England</w:t>
            </w:r>
            <w:r w:rsidRPr="0082321B">
              <w:rPr>
                <w:lang w:eastAsia="en-GB"/>
              </w:rPr>
              <w:br/>
              <w:t>Lower tier local authority</w:t>
            </w:r>
            <w:r w:rsidRPr="0082321B">
              <w:rPr>
                <w:lang w:eastAsia="en-GB"/>
              </w:rPr>
              <w:br/>
              <w:t>Region</w:t>
            </w:r>
          </w:p>
          <w:p w14:paraId="76B1A33A" w14:textId="77777777" w:rsidR="0033457E" w:rsidRPr="00340C78" w:rsidRDefault="0033457E" w:rsidP="00F21F23">
            <w:pPr>
              <w:rPr>
                <w:lang w:eastAsia="en-GB"/>
              </w:rPr>
            </w:pPr>
            <w:r w:rsidRPr="0082321B">
              <w:rPr>
                <w:lang w:eastAsia="en-GB"/>
              </w:rPr>
              <w:t>Deprivation decile</w:t>
            </w:r>
            <w:r w:rsidRPr="0082321B">
              <w:rPr>
                <w:lang w:eastAsia="en-GB"/>
              </w:rPr>
              <w:br/>
              <w:t>Gender</w:t>
            </w:r>
            <w:r w:rsidRPr="0082321B">
              <w:rPr>
                <w:lang w:eastAsia="en-GB"/>
              </w:rPr>
              <w:br/>
              <w:t>Age bands (5 years: 0-74)</w:t>
            </w:r>
          </w:p>
        </w:tc>
      </w:tr>
      <w:tr w:rsidR="0033457E" w14:paraId="2AAFCC79" w14:textId="77777777" w:rsidTr="00F21F23">
        <w:tc>
          <w:tcPr>
            <w:tcW w:w="3256" w:type="dxa"/>
          </w:tcPr>
          <w:p w14:paraId="1A0C656C" w14:textId="77777777" w:rsidR="0033457E" w:rsidRDefault="0033457E" w:rsidP="00F21F23">
            <w:pPr>
              <w:rPr>
                <w:b/>
              </w:rPr>
            </w:pPr>
            <w:r w:rsidRPr="0082321B">
              <w:rPr>
                <w:b/>
              </w:rPr>
              <w:t>Indicator owner &amp; contact details</w:t>
            </w:r>
          </w:p>
        </w:tc>
        <w:tc>
          <w:tcPr>
            <w:tcW w:w="10692" w:type="dxa"/>
          </w:tcPr>
          <w:p w14:paraId="689BAE9B" w14:textId="77777777" w:rsidR="0033457E" w:rsidRPr="0082321B" w:rsidRDefault="0033457E" w:rsidP="00F21F23">
            <w:pPr>
              <w:rPr>
                <w:rStyle w:val="Hyperlink"/>
                <w:b/>
              </w:rPr>
            </w:pPr>
            <w:r w:rsidRPr="0082321B">
              <w:rPr>
                <w:rStyle w:val="Hyperlink"/>
                <w:b/>
              </w:rPr>
              <w:t>Department of Health</w:t>
            </w:r>
          </w:p>
          <w:p w14:paraId="3786705D" w14:textId="77777777" w:rsidR="0033457E" w:rsidRPr="0082321B" w:rsidRDefault="0033457E" w:rsidP="00F21F23">
            <w:pPr>
              <w:rPr>
                <w:rStyle w:val="Hyperlink"/>
              </w:rPr>
            </w:pPr>
            <w:r w:rsidRPr="0082321B">
              <w:rPr>
                <w:rStyle w:val="Hyperlink"/>
              </w:rPr>
              <w:t>Andrew Parker</w:t>
            </w:r>
          </w:p>
          <w:p w14:paraId="3B916385" w14:textId="77777777" w:rsidR="0033457E" w:rsidRPr="0082321B" w:rsidRDefault="0033457E" w:rsidP="00F21F23">
            <w:r w:rsidRPr="0082321B">
              <w:t>Principal Operational Research Analyst</w:t>
            </w:r>
          </w:p>
          <w:p w14:paraId="53A3C6F2" w14:textId="77777777" w:rsidR="0033457E" w:rsidRPr="0082321B" w:rsidRDefault="0033457E" w:rsidP="00F21F23">
            <w:r w:rsidRPr="0082321B">
              <w:t>Outcomes Analysis Team</w:t>
            </w:r>
          </w:p>
          <w:p w14:paraId="4D1425C1" w14:textId="77777777" w:rsidR="0033457E" w:rsidRPr="0082321B" w:rsidRDefault="0033457E" w:rsidP="00F21F23">
            <w:r w:rsidRPr="0082321B">
              <w:t>Department of Health</w:t>
            </w:r>
          </w:p>
          <w:p w14:paraId="18F92FE9" w14:textId="77777777" w:rsidR="0033457E" w:rsidRDefault="003F72CF" w:rsidP="00F21F23">
            <w:pPr>
              <w:rPr>
                <w:b/>
              </w:rPr>
            </w:pPr>
            <w:hyperlink r:id="rId7" w:history="1">
              <w:r w:rsidR="0033457E" w:rsidRPr="0082321B">
                <w:rPr>
                  <w:rStyle w:val="Hyperlink"/>
                </w:rPr>
                <w:t>Andrew.Parker@dh.gsi.gov.uk</w:t>
              </w:r>
            </w:hyperlink>
          </w:p>
        </w:tc>
      </w:tr>
      <w:tr w:rsidR="0033457E" w14:paraId="12574338" w14:textId="77777777" w:rsidTr="00F21F23">
        <w:tc>
          <w:tcPr>
            <w:tcW w:w="3256" w:type="dxa"/>
          </w:tcPr>
          <w:p w14:paraId="3543F4BB" w14:textId="77777777" w:rsidR="0033457E" w:rsidRDefault="0033457E" w:rsidP="00F21F23">
            <w:pPr>
              <w:rPr>
                <w:b/>
              </w:rPr>
            </w:pPr>
            <w:r w:rsidRPr="0082321B">
              <w:rPr>
                <w:b/>
              </w:rPr>
              <w:t>Publication status</w:t>
            </w:r>
          </w:p>
        </w:tc>
        <w:sdt>
          <w:sdtPr>
            <w:alias w:val="Publication status"/>
            <w:tag w:val="Publication status"/>
            <w:id w:val="-694159432"/>
            <w:placeholder>
              <w:docPart w:val="9F362F3D77AE4D10B4616AD346596BD0"/>
            </w:placeholder>
            <w:comboBox>
              <w:listItem w:value="Choose an item."/>
              <w:listItem w:displayText="Currently in publication" w:value="Currently in publication"/>
              <w:listItem w:displayText="Not currently in publication" w:value="Not currently in publication"/>
            </w:comboBox>
          </w:sdtPr>
          <w:sdtEndPr/>
          <w:sdtContent>
            <w:tc>
              <w:tcPr>
                <w:tcW w:w="10692" w:type="dxa"/>
              </w:tcPr>
              <w:p w14:paraId="0B107B4F" w14:textId="77777777" w:rsidR="0033457E" w:rsidRDefault="0033457E" w:rsidP="00F21F23">
                <w:pPr>
                  <w:rPr>
                    <w:b/>
                  </w:rPr>
                </w:pPr>
                <w:r w:rsidRPr="0082321B">
                  <w:t>Currently in publication</w:t>
                </w:r>
              </w:p>
            </w:tc>
          </w:sdtContent>
        </w:sdt>
      </w:tr>
      <w:tr w:rsidR="0033457E" w14:paraId="4C957CA6" w14:textId="77777777" w:rsidTr="00F21F23">
        <w:tc>
          <w:tcPr>
            <w:tcW w:w="3256" w:type="dxa"/>
          </w:tcPr>
          <w:p w14:paraId="38BA73B1" w14:textId="77777777" w:rsidR="0033457E" w:rsidRDefault="0033457E" w:rsidP="00F21F23">
            <w:pPr>
              <w:rPr>
                <w:b/>
              </w:rPr>
            </w:pPr>
            <w:r>
              <w:rPr>
                <w:b/>
              </w:rPr>
              <w:t>RATIONALE</w:t>
            </w:r>
          </w:p>
        </w:tc>
        <w:tc>
          <w:tcPr>
            <w:tcW w:w="10692" w:type="dxa"/>
          </w:tcPr>
          <w:p w14:paraId="63F5178E" w14:textId="77777777" w:rsidR="0033457E" w:rsidRDefault="0033457E" w:rsidP="00F21F23">
            <w:pPr>
              <w:rPr>
                <w:b/>
              </w:rPr>
            </w:pPr>
          </w:p>
        </w:tc>
      </w:tr>
      <w:tr w:rsidR="0033457E" w14:paraId="5B7144CB" w14:textId="77777777" w:rsidTr="00F21F23">
        <w:tc>
          <w:tcPr>
            <w:tcW w:w="3256" w:type="dxa"/>
          </w:tcPr>
          <w:p w14:paraId="1DDBD2E2" w14:textId="77777777" w:rsidR="0033457E" w:rsidRDefault="0033457E" w:rsidP="00F21F23">
            <w:pPr>
              <w:rPr>
                <w:b/>
              </w:rPr>
            </w:pPr>
            <w:r w:rsidRPr="0082321B">
              <w:rPr>
                <w:b/>
              </w:rPr>
              <w:t>Purpose</w:t>
            </w:r>
          </w:p>
        </w:tc>
        <w:tc>
          <w:tcPr>
            <w:tcW w:w="10692" w:type="dxa"/>
          </w:tcPr>
          <w:p w14:paraId="1535F521" w14:textId="77777777" w:rsidR="0033457E" w:rsidRPr="0082321B" w:rsidRDefault="0033457E" w:rsidP="00F21F23">
            <w:pPr>
              <w:spacing w:before="240"/>
              <w:rPr>
                <w:lang w:val="en-US"/>
              </w:rPr>
            </w:pPr>
            <w:r w:rsidRPr="0082321B">
              <w:rPr>
                <w:lang w:val="en-US"/>
              </w:rPr>
              <w:t xml:space="preserve">Cardiovascular disease (CVD) is one of the major causes of death in under-75s in England. There have been huge gains over the past decades in terms of better treatment for CVD and improvements in lifestyle, but to ensure that there continues to be a reduction in the rate of premature mortality from CVD, there needs to be concerted action in both prevention and treatment. </w:t>
            </w:r>
          </w:p>
          <w:p w14:paraId="5209C256" w14:textId="77777777" w:rsidR="0033457E" w:rsidRDefault="0033457E" w:rsidP="00F21F23">
            <w:pPr>
              <w:rPr>
                <w:b/>
              </w:rPr>
            </w:pPr>
            <w:r w:rsidRPr="0082321B">
              <w:rPr>
                <w:lang w:val="en-US"/>
              </w:rPr>
              <w:lastRenderedPageBreak/>
              <w:t>As part of the NHS Outcomes Framework, the indicator is used by DH to hold NHS England to account in reducing premature mortality as set out in the NHS Mandate. This indicator is also used to monitor inequalities in the provision of healthcare.</w:t>
            </w:r>
          </w:p>
        </w:tc>
      </w:tr>
      <w:tr w:rsidR="0033457E" w14:paraId="59F0A9ED" w14:textId="77777777" w:rsidTr="00F21F23">
        <w:tc>
          <w:tcPr>
            <w:tcW w:w="3256" w:type="dxa"/>
          </w:tcPr>
          <w:p w14:paraId="2368FAA3" w14:textId="77777777" w:rsidR="0033457E" w:rsidRPr="0082321B" w:rsidRDefault="0033457E" w:rsidP="00F21F23">
            <w:pPr>
              <w:rPr>
                <w:b/>
              </w:rPr>
            </w:pPr>
            <w:r w:rsidRPr="0082321B">
              <w:rPr>
                <w:b/>
              </w:rPr>
              <w:lastRenderedPageBreak/>
              <w:t>Sponsor</w:t>
            </w:r>
          </w:p>
        </w:tc>
        <w:tc>
          <w:tcPr>
            <w:tcW w:w="10692" w:type="dxa"/>
          </w:tcPr>
          <w:p w14:paraId="0D63FF5B" w14:textId="77777777" w:rsidR="0033457E" w:rsidRPr="0082321B" w:rsidRDefault="0033457E" w:rsidP="00F21F23">
            <w:r w:rsidRPr="0082321B">
              <w:t>Lucy Witter</w:t>
            </w:r>
          </w:p>
          <w:p w14:paraId="50480C1E" w14:textId="77777777" w:rsidR="0033457E" w:rsidRPr="0082321B" w:rsidRDefault="0033457E" w:rsidP="00F21F23">
            <w:r w:rsidRPr="0082321B">
              <w:t>NHS Mandate, Outcomes Framework &amp; NHS England sponsorship team</w:t>
            </w:r>
          </w:p>
          <w:p w14:paraId="7705AE5E" w14:textId="77777777" w:rsidR="0033457E" w:rsidRPr="0082321B" w:rsidRDefault="0033457E" w:rsidP="00F21F23">
            <w:r w:rsidRPr="0082321B">
              <w:t>Department of Health</w:t>
            </w:r>
          </w:p>
          <w:p w14:paraId="2FFF3353" w14:textId="77777777" w:rsidR="0033457E" w:rsidRPr="0082321B" w:rsidRDefault="0033457E" w:rsidP="00F21F23">
            <w:pPr>
              <w:autoSpaceDE w:val="0"/>
              <w:autoSpaceDN w:val="0"/>
            </w:pPr>
            <w:r w:rsidRPr="0082321B">
              <w:t xml:space="preserve">Tel: 020 7210 4368 </w:t>
            </w:r>
          </w:p>
          <w:p w14:paraId="6C60D5A2" w14:textId="77777777" w:rsidR="0033457E" w:rsidRPr="0082321B" w:rsidRDefault="003F72CF" w:rsidP="00F21F23">
            <w:pPr>
              <w:spacing w:before="240"/>
              <w:rPr>
                <w:lang w:val="en-US"/>
              </w:rPr>
            </w:pPr>
            <w:hyperlink r:id="rId8" w:history="1">
              <w:r w:rsidR="0033457E" w:rsidRPr="0082321B">
                <w:rPr>
                  <w:rStyle w:val="Hyperlink"/>
                </w:rPr>
                <w:t>lucy.witter@dh.gsi.gov.uk</w:t>
              </w:r>
            </w:hyperlink>
          </w:p>
        </w:tc>
      </w:tr>
      <w:tr w:rsidR="0033457E" w14:paraId="27143996" w14:textId="77777777" w:rsidTr="00F21F23">
        <w:tc>
          <w:tcPr>
            <w:tcW w:w="3256" w:type="dxa"/>
          </w:tcPr>
          <w:p w14:paraId="00B3CF87" w14:textId="77777777" w:rsidR="0033457E" w:rsidRPr="0082321B" w:rsidRDefault="0033457E" w:rsidP="00F21F23">
            <w:pPr>
              <w:rPr>
                <w:b/>
              </w:rPr>
            </w:pPr>
            <w:r w:rsidRPr="0082321B">
              <w:rPr>
                <w:b/>
              </w:rPr>
              <w:t>Endorsement</w:t>
            </w:r>
          </w:p>
        </w:tc>
        <w:tc>
          <w:tcPr>
            <w:tcW w:w="10692" w:type="dxa"/>
          </w:tcPr>
          <w:p w14:paraId="0D2D2D23" w14:textId="77777777" w:rsidR="0033457E" w:rsidRPr="0082321B" w:rsidRDefault="0033457E" w:rsidP="00F21F23">
            <w:pPr>
              <w:contextualSpacing/>
            </w:pPr>
            <w:r w:rsidRPr="0082321B">
              <w:t>ONS Statistical contacts associated with Mortality</w:t>
            </w:r>
          </w:p>
          <w:p w14:paraId="192948F2" w14:textId="77777777" w:rsidR="0033457E" w:rsidRPr="0082321B" w:rsidRDefault="0033457E" w:rsidP="00F21F23">
            <w:pPr>
              <w:contextualSpacing/>
            </w:pPr>
          </w:p>
          <w:p w14:paraId="5FE037DA" w14:textId="77777777" w:rsidR="0033457E" w:rsidRPr="0082321B" w:rsidRDefault="0033457E" w:rsidP="00F21F23">
            <w:pPr>
              <w:contextualSpacing/>
            </w:pPr>
            <w:r w:rsidRPr="0082321B">
              <w:t xml:space="preserve">Olugbenga </w:t>
            </w:r>
            <w:proofErr w:type="spellStart"/>
            <w:r w:rsidRPr="0082321B">
              <w:t>Olatunde</w:t>
            </w:r>
            <w:proofErr w:type="spellEnd"/>
          </w:p>
          <w:p w14:paraId="37CB96C7" w14:textId="77777777" w:rsidR="0033457E" w:rsidRPr="0082321B" w:rsidRDefault="0033457E" w:rsidP="00F21F23">
            <w:pPr>
              <w:contextualSpacing/>
            </w:pPr>
            <w:r w:rsidRPr="0082321B">
              <w:t>Life Events and Population Sources</w:t>
            </w:r>
          </w:p>
          <w:p w14:paraId="186413BB" w14:textId="77777777" w:rsidR="0033457E" w:rsidRPr="0082321B" w:rsidRDefault="0033457E" w:rsidP="00F21F23">
            <w:pPr>
              <w:contextualSpacing/>
            </w:pPr>
            <w:r w:rsidRPr="0082321B">
              <w:t>Office for National Statistics</w:t>
            </w:r>
          </w:p>
          <w:p w14:paraId="5255B2B1" w14:textId="77777777" w:rsidR="0033457E" w:rsidRPr="0082321B" w:rsidRDefault="0033457E" w:rsidP="00F21F23">
            <w:pPr>
              <w:contextualSpacing/>
            </w:pPr>
            <w:r w:rsidRPr="0082321B">
              <w:t>Tel: 01633 456491</w:t>
            </w:r>
          </w:p>
          <w:p w14:paraId="3CB50E43" w14:textId="77777777" w:rsidR="0033457E" w:rsidRPr="0082321B" w:rsidRDefault="003F72CF" w:rsidP="00F21F23">
            <w:pPr>
              <w:spacing w:before="240"/>
              <w:contextualSpacing/>
              <w:rPr>
                <w:rStyle w:val="Hyperlink"/>
              </w:rPr>
            </w:pPr>
            <w:hyperlink r:id="rId9" w:history="1">
              <w:r w:rsidR="0033457E" w:rsidRPr="0082321B">
                <w:rPr>
                  <w:rStyle w:val="Hyperlink"/>
                </w:rPr>
                <w:t>mortality@ons.gsi.gov.uk</w:t>
              </w:r>
            </w:hyperlink>
            <w:r w:rsidR="0033457E" w:rsidRPr="0082321B">
              <w:t xml:space="preserve"> </w:t>
            </w:r>
            <w:r w:rsidR="0033457E" w:rsidRPr="0082321B">
              <w:rPr>
                <w:rStyle w:val="Hyperlink"/>
              </w:rPr>
              <w:t xml:space="preserve"> </w:t>
            </w:r>
          </w:p>
          <w:p w14:paraId="08F0F1A4" w14:textId="77777777" w:rsidR="0033457E" w:rsidRPr="0082321B" w:rsidRDefault="0033457E" w:rsidP="00F21F23">
            <w:pPr>
              <w:spacing w:before="240"/>
              <w:contextualSpacing/>
              <w:rPr>
                <w:rStyle w:val="Hyperlink"/>
              </w:rPr>
            </w:pPr>
          </w:p>
          <w:p w14:paraId="1E72D721" w14:textId="77777777" w:rsidR="0033457E" w:rsidRPr="0082321B" w:rsidRDefault="0033457E" w:rsidP="00F21F23">
            <w:pPr>
              <w:spacing w:before="240"/>
              <w:contextualSpacing/>
            </w:pPr>
            <w:r w:rsidRPr="0082321B">
              <w:t xml:space="preserve">Andrew Tooley </w:t>
            </w:r>
          </w:p>
          <w:p w14:paraId="36B3C975" w14:textId="77777777" w:rsidR="0033457E" w:rsidRPr="0082321B" w:rsidRDefault="0033457E" w:rsidP="00F21F23">
            <w:pPr>
              <w:spacing w:before="240"/>
              <w:contextualSpacing/>
            </w:pPr>
            <w:r w:rsidRPr="0082321B">
              <w:t>ONS</w:t>
            </w:r>
          </w:p>
          <w:p w14:paraId="2A445763" w14:textId="77777777" w:rsidR="0033457E" w:rsidRPr="0082321B" w:rsidRDefault="003F72CF" w:rsidP="00F21F23">
            <w:pPr>
              <w:spacing w:before="240"/>
              <w:contextualSpacing/>
            </w:pPr>
            <w:hyperlink r:id="rId10" w:history="1">
              <w:r w:rsidR="0033457E" w:rsidRPr="0082321B">
                <w:rPr>
                  <w:rStyle w:val="Hyperlink"/>
                </w:rPr>
                <w:t>andrew.tooley@ons.gsi.gov.uk</w:t>
              </w:r>
            </w:hyperlink>
            <w:r w:rsidR="0033457E" w:rsidRPr="0082321B">
              <w:t xml:space="preserve"> </w:t>
            </w:r>
          </w:p>
          <w:p w14:paraId="1AD92831" w14:textId="77777777" w:rsidR="0033457E" w:rsidRPr="0082321B" w:rsidRDefault="0033457E" w:rsidP="00F21F23">
            <w:pPr>
              <w:spacing w:before="240"/>
              <w:contextualSpacing/>
            </w:pPr>
            <w:r w:rsidRPr="0082321B">
              <w:t>+44 (0)1633 455397</w:t>
            </w:r>
          </w:p>
          <w:p w14:paraId="17E78E42" w14:textId="77777777" w:rsidR="0033457E" w:rsidRPr="0082321B" w:rsidRDefault="0033457E" w:rsidP="00F21F23">
            <w:pPr>
              <w:contextualSpacing/>
            </w:pPr>
          </w:p>
          <w:p w14:paraId="29494522" w14:textId="77777777" w:rsidR="0033457E" w:rsidRPr="0082321B" w:rsidRDefault="0033457E" w:rsidP="00F21F23">
            <w:pPr>
              <w:spacing w:before="240"/>
              <w:contextualSpacing/>
            </w:pPr>
            <w:r w:rsidRPr="0082321B">
              <w:t>ONS statistical contact associated with Population Estimates:</w:t>
            </w:r>
          </w:p>
          <w:p w14:paraId="7AEDE3F1" w14:textId="77777777" w:rsidR="0033457E" w:rsidRPr="0082321B" w:rsidRDefault="0033457E" w:rsidP="00F21F23">
            <w:pPr>
              <w:spacing w:before="240"/>
              <w:contextualSpacing/>
            </w:pPr>
          </w:p>
          <w:p w14:paraId="134E9668" w14:textId="77777777" w:rsidR="0033457E" w:rsidRPr="0082321B" w:rsidRDefault="0033457E" w:rsidP="00F21F23">
            <w:pPr>
              <w:spacing w:before="240"/>
              <w:contextualSpacing/>
            </w:pPr>
            <w:r w:rsidRPr="0082321B">
              <w:t>Pete Large</w:t>
            </w:r>
          </w:p>
          <w:p w14:paraId="48ECBF04" w14:textId="77777777" w:rsidR="0033457E" w:rsidRPr="0082321B" w:rsidRDefault="0033457E" w:rsidP="00F21F23">
            <w:pPr>
              <w:spacing w:before="240"/>
              <w:contextualSpacing/>
            </w:pPr>
            <w:r w:rsidRPr="0082321B">
              <w:t>Population Estimates Unit</w:t>
            </w:r>
          </w:p>
          <w:p w14:paraId="3D68CEE0" w14:textId="77777777" w:rsidR="0033457E" w:rsidRPr="0082321B" w:rsidRDefault="003F72CF" w:rsidP="00F21F23">
            <w:pPr>
              <w:spacing w:before="240"/>
              <w:contextualSpacing/>
            </w:pPr>
            <w:hyperlink r:id="rId11" w:history="1">
              <w:r w:rsidR="0033457E" w:rsidRPr="0082321B">
                <w:rPr>
                  <w:rStyle w:val="Hyperlink"/>
                </w:rPr>
                <w:t>pop.info@ons.gsi.gov.uk</w:t>
              </w:r>
            </w:hyperlink>
            <w:r w:rsidR="0033457E" w:rsidRPr="0082321B">
              <w:t xml:space="preserve"> </w:t>
            </w:r>
          </w:p>
          <w:p w14:paraId="78D539B8" w14:textId="77777777" w:rsidR="0033457E" w:rsidRPr="0082321B" w:rsidRDefault="0033457E" w:rsidP="00F21F23">
            <w:r w:rsidRPr="0082321B">
              <w:t>Telephone: +44 (0)1329 444661</w:t>
            </w:r>
          </w:p>
        </w:tc>
      </w:tr>
      <w:tr w:rsidR="0033457E" w14:paraId="624E5DA8" w14:textId="77777777" w:rsidTr="00F21F23">
        <w:tc>
          <w:tcPr>
            <w:tcW w:w="3256" w:type="dxa"/>
          </w:tcPr>
          <w:p w14:paraId="4DF1FF24" w14:textId="77777777" w:rsidR="0033457E" w:rsidRPr="0082321B" w:rsidRDefault="0033457E" w:rsidP="00F21F23">
            <w:pPr>
              <w:spacing w:before="240"/>
              <w:rPr>
                <w:b/>
              </w:rPr>
            </w:pPr>
            <w:r w:rsidRPr="0082321B">
              <w:rPr>
                <w:b/>
              </w:rPr>
              <w:t>Evidence and Policy base</w:t>
            </w:r>
          </w:p>
          <w:p w14:paraId="57D5E523" w14:textId="77777777" w:rsidR="0033457E" w:rsidRPr="0082321B" w:rsidRDefault="0033457E" w:rsidP="00F21F23">
            <w:pPr>
              <w:rPr>
                <w:b/>
              </w:rPr>
            </w:pPr>
            <w:r w:rsidRPr="0082321B">
              <w:t>Including related national incentives, critical business question, NICE quality standard and set or domain rationale, if appropriate</w:t>
            </w:r>
          </w:p>
        </w:tc>
        <w:tc>
          <w:tcPr>
            <w:tcW w:w="10692" w:type="dxa"/>
          </w:tcPr>
          <w:p w14:paraId="43C4607B" w14:textId="77777777" w:rsidR="0033457E" w:rsidRPr="0082321B" w:rsidRDefault="0033457E" w:rsidP="00F21F23">
            <w:pPr>
              <w:spacing w:before="240"/>
            </w:pPr>
            <w:r w:rsidRPr="0082321B">
              <w:t xml:space="preserve">This has been selected as an improvement area for Domain 1 (Preventing people from dying prematurely) of the NHS Outcomes Framework.  </w:t>
            </w:r>
          </w:p>
          <w:p w14:paraId="5FB636AF" w14:textId="77777777" w:rsidR="0033457E" w:rsidRPr="0082321B" w:rsidRDefault="0033457E" w:rsidP="00F21F23">
            <w:pPr>
              <w:autoSpaceDE w:val="0"/>
              <w:autoSpaceDN w:val="0"/>
              <w:adjustRightInd w:val="0"/>
            </w:pPr>
            <w:r w:rsidRPr="0082321B">
              <w:t xml:space="preserve">Cardiovascular disease is one of the major causes of death and disability in </w:t>
            </w:r>
            <w:proofErr w:type="gramStart"/>
            <w:r w:rsidRPr="0082321B">
              <w:t>England .</w:t>
            </w:r>
            <w:proofErr w:type="gramEnd"/>
            <w:r w:rsidRPr="0082321B">
              <w:t xml:space="preserve"> The Government wants to maintain a focus on tackling premature mortality and so it is important that it has indicators across the five major killers which allows it to track progress and be able to compare performance with other countries. The data derived from this indicator also enables inequalities to be identified and </w:t>
            </w:r>
            <w:proofErr w:type="gramStart"/>
            <w:r w:rsidRPr="0082321B">
              <w:t>at  local</w:t>
            </w:r>
            <w:proofErr w:type="gramEnd"/>
            <w:r w:rsidRPr="0082321B">
              <w:t xml:space="preserve"> level it </w:t>
            </w:r>
            <w:r w:rsidRPr="0082321B">
              <w:lastRenderedPageBreak/>
              <w:t xml:space="preserve">is used to help understand where  those inequalities are and develop bespoke programmes to address them. </w:t>
            </w:r>
          </w:p>
          <w:p w14:paraId="6C5CB5E8" w14:textId="77777777" w:rsidR="0033457E" w:rsidRPr="0082321B" w:rsidRDefault="0033457E" w:rsidP="00F21F23">
            <w:pPr>
              <w:autoSpaceDE w:val="0"/>
              <w:autoSpaceDN w:val="0"/>
              <w:adjustRightInd w:val="0"/>
            </w:pPr>
          </w:p>
          <w:p w14:paraId="3BBB796C" w14:textId="77777777" w:rsidR="0033457E" w:rsidRPr="0082321B" w:rsidRDefault="0033457E" w:rsidP="00F21F23">
            <w:pPr>
              <w:autoSpaceDE w:val="0"/>
              <w:autoSpaceDN w:val="0"/>
              <w:adjustRightInd w:val="0"/>
              <w:rPr>
                <w:u w:val="single"/>
              </w:rPr>
            </w:pPr>
            <w:r w:rsidRPr="0082321B">
              <w:t>In March 2013 the Department of Health published a policy document: Cardiovascular Disease Outcomes Strategy – ‘Improving outcomes for people with or at risk of cardiovascular disease’, can be found at:</w:t>
            </w:r>
            <w:r w:rsidRPr="0082321B">
              <w:rPr>
                <w:u w:val="single"/>
              </w:rPr>
              <w:t xml:space="preserve"> (https://www.gov.uk/government/uploads/system/uploads/attachment_data/file/214895/9387-2900853-CVD-Outcomes_web1.pdf)</w:t>
            </w:r>
          </w:p>
          <w:p w14:paraId="222DECB1" w14:textId="77777777" w:rsidR="0033457E" w:rsidRPr="0082321B" w:rsidRDefault="0033457E" w:rsidP="00F21F23">
            <w:pPr>
              <w:autoSpaceDE w:val="0"/>
              <w:autoSpaceDN w:val="0"/>
              <w:adjustRightInd w:val="0"/>
            </w:pPr>
          </w:p>
          <w:p w14:paraId="56DE0E94" w14:textId="77777777" w:rsidR="0033457E" w:rsidRPr="0082321B" w:rsidRDefault="0033457E" w:rsidP="00F21F23">
            <w:pPr>
              <w:autoSpaceDE w:val="0"/>
              <w:autoSpaceDN w:val="0"/>
              <w:adjustRightInd w:val="0"/>
            </w:pPr>
            <w:r w:rsidRPr="0082321B">
              <w:t>This highlights how to help local authorities as well as NHS commissioners and providers to identify where there is scope to make most impact by identifying ten key actions that will deliver improvements in patient outcomes, some of which will also save money.</w:t>
            </w:r>
          </w:p>
          <w:p w14:paraId="1FE21A29" w14:textId="77777777" w:rsidR="0033457E" w:rsidRPr="0082321B" w:rsidRDefault="0033457E" w:rsidP="00F21F23">
            <w:pPr>
              <w:autoSpaceDE w:val="0"/>
              <w:autoSpaceDN w:val="0"/>
              <w:adjustRightInd w:val="0"/>
            </w:pPr>
          </w:p>
          <w:p w14:paraId="40125AEE" w14:textId="77777777" w:rsidR="0033457E" w:rsidRPr="0082321B" w:rsidRDefault="0033457E" w:rsidP="00F21F23">
            <w:pPr>
              <w:pStyle w:val="Default"/>
              <w:rPr>
                <w:color w:val="auto"/>
                <w:sz w:val="22"/>
                <w:szCs w:val="22"/>
              </w:rPr>
            </w:pPr>
            <w:r w:rsidRPr="0082321B">
              <w:rPr>
                <w:color w:val="auto"/>
                <w:sz w:val="22"/>
                <w:szCs w:val="22"/>
              </w:rPr>
              <w:t>In April 2014 the Department of Health published the ‘Living Well for Longer’ policy document as part of the ‘Reducing premature mortality programme’, can be found at: (</w:t>
            </w:r>
            <w:hyperlink r:id="rId12" w:history="1">
              <w:r w:rsidRPr="0082321B">
                <w:rPr>
                  <w:rStyle w:val="Hyperlink"/>
                  <w:color w:val="auto"/>
                  <w:sz w:val="22"/>
                  <w:szCs w:val="22"/>
                </w:rPr>
                <w:t>https://www.gov.uk/government/uploads/system/uploads/attachment_data/file/307703/LW4L.pdf</w:t>
              </w:r>
            </w:hyperlink>
            <w:r w:rsidRPr="0082321B">
              <w:rPr>
                <w:color w:val="auto"/>
                <w:sz w:val="22"/>
                <w:szCs w:val="22"/>
              </w:rPr>
              <w:t>)</w:t>
            </w:r>
          </w:p>
          <w:p w14:paraId="1B37339B" w14:textId="77777777" w:rsidR="0033457E" w:rsidRPr="0082321B" w:rsidRDefault="0033457E" w:rsidP="00F21F23">
            <w:pPr>
              <w:pStyle w:val="Default"/>
              <w:rPr>
                <w:color w:val="auto"/>
                <w:sz w:val="22"/>
                <w:szCs w:val="22"/>
              </w:rPr>
            </w:pPr>
          </w:p>
          <w:p w14:paraId="2FC37E4D" w14:textId="77777777" w:rsidR="0033457E" w:rsidRPr="0082321B" w:rsidRDefault="0033457E" w:rsidP="00F21F23">
            <w:pPr>
              <w:autoSpaceDE w:val="0"/>
              <w:autoSpaceDN w:val="0"/>
              <w:adjustRightInd w:val="0"/>
            </w:pPr>
            <w:r w:rsidRPr="0082321B">
              <w:t xml:space="preserve">This highlights the aim to match the best countries in Europe in preventing early and avoidable deaths on an unprecedented scale – equivalent to an additional 30,000 lives saved per year by the year 2020. </w:t>
            </w:r>
          </w:p>
          <w:p w14:paraId="79D12444" w14:textId="77777777" w:rsidR="0033457E" w:rsidRPr="0082321B" w:rsidRDefault="0033457E" w:rsidP="00F21F23">
            <w:pPr>
              <w:autoSpaceDE w:val="0"/>
              <w:autoSpaceDN w:val="0"/>
              <w:adjustRightInd w:val="0"/>
            </w:pPr>
          </w:p>
          <w:p w14:paraId="67692BCD" w14:textId="77777777" w:rsidR="0033457E" w:rsidRPr="0082321B" w:rsidRDefault="0033457E" w:rsidP="00F21F23">
            <w:pPr>
              <w:spacing w:before="240"/>
            </w:pPr>
            <w:r w:rsidRPr="0082321B">
              <w:t xml:space="preserve">It also highlights how to help local authorities as well as NHS commissioners and providers to identify where there is scope to make most impact by identifying ten key actions that will deliver improvements in patient outcomes, some of which will also save money. </w:t>
            </w:r>
          </w:p>
          <w:p w14:paraId="48C25547" w14:textId="77777777" w:rsidR="0033457E" w:rsidRPr="0082321B" w:rsidRDefault="0033457E" w:rsidP="00F21F23">
            <w:pPr>
              <w:contextualSpacing/>
            </w:pPr>
            <w:r w:rsidRPr="0082321B">
              <w:t xml:space="preserve">This indicator </w:t>
            </w:r>
            <w:proofErr w:type="gramStart"/>
            <w:r w:rsidRPr="0082321B">
              <w:t>enables  CCGs</w:t>
            </w:r>
            <w:proofErr w:type="gramEnd"/>
            <w:r w:rsidRPr="0082321B">
              <w:t xml:space="preserve"> and LAs monitor their progress is how well they are delivering these polices and to compare performance with each other through the CVD profiles produced by the National Cardiovascular Intelligence Network (NCVIN).</w:t>
            </w:r>
          </w:p>
        </w:tc>
      </w:tr>
      <w:tr w:rsidR="0033457E" w14:paraId="68499220" w14:textId="77777777" w:rsidTr="00F21F23">
        <w:tc>
          <w:tcPr>
            <w:tcW w:w="3256" w:type="dxa"/>
          </w:tcPr>
          <w:p w14:paraId="736BE034" w14:textId="77777777" w:rsidR="0033457E" w:rsidRPr="0082321B" w:rsidRDefault="0033457E" w:rsidP="00F21F23">
            <w:pPr>
              <w:spacing w:before="240"/>
              <w:rPr>
                <w:b/>
              </w:rPr>
            </w:pPr>
            <w:r>
              <w:rPr>
                <w:b/>
              </w:rPr>
              <w:lastRenderedPageBreak/>
              <w:t>DATA</w:t>
            </w:r>
          </w:p>
        </w:tc>
        <w:tc>
          <w:tcPr>
            <w:tcW w:w="10692" w:type="dxa"/>
          </w:tcPr>
          <w:p w14:paraId="0C85137E" w14:textId="77777777" w:rsidR="0033457E" w:rsidRPr="0082321B" w:rsidRDefault="0033457E" w:rsidP="00F21F23">
            <w:pPr>
              <w:spacing w:before="240"/>
            </w:pPr>
          </w:p>
        </w:tc>
      </w:tr>
      <w:tr w:rsidR="0033457E" w14:paraId="449A55D8" w14:textId="77777777" w:rsidTr="00F21F23">
        <w:tc>
          <w:tcPr>
            <w:tcW w:w="3256" w:type="dxa"/>
          </w:tcPr>
          <w:p w14:paraId="6977CF28" w14:textId="77777777" w:rsidR="0033457E" w:rsidRPr="0082321B" w:rsidRDefault="0033457E" w:rsidP="00F21F23">
            <w:pPr>
              <w:spacing w:before="240"/>
              <w:rPr>
                <w:b/>
              </w:rPr>
            </w:pPr>
            <w:r w:rsidRPr="0082321B">
              <w:rPr>
                <w:b/>
              </w:rPr>
              <w:t>Data source</w:t>
            </w:r>
          </w:p>
        </w:tc>
        <w:tc>
          <w:tcPr>
            <w:tcW w:w="10692" w:type="dxa"/>
          </w:tcPr>
          <w:p w14:paraId="34532333" w14:textId="77777777" w:rsidR="0033457E" w:rsidRPr="0082321B" w:rsidRDefault="0033457E" w:rsidP="00F21F23">
            <w:pPr>
              <w:rPr>
                <w:u w:val="single"/>
              </w:rPr>
            </w:pPr>
            <w:r w:rsidRPr="0082321B">
              <w:rPr>
                <w:u w:val="single"/>
              </w:rPr>
              <w:t xml:space="preserve">Denominator: </w:t>
            </w:r>
          </w:p>
          <w:p w14:paraId="747A240E" w14:textId="77777777" w:rsidR="0033457E" w:rsidRPr="0082321B" w:rsidRDefault="0033457E" w:rsidP="00F21F23">
            <w:r w:rsidRPr="0082321B">
              <w:t xml:space="preserve">Office for National Statistics (ONS) mid-year population estimates of the relevant age group and gender based on the 2011 Census </w:t>
            </w:r>
          </w:p>
          <w:p w14:paraId="0CC626B3" w14:textId="77777777" w:rsidR="0033457E" w:rsidRPr="0082321B" w:rsidRDefault="0033457E" w:rsidP="00F21F23">
            <w:pPr>
              <w:rPr>
                <w:u w:val="single"/>
              </w:rPr>
            </w:pPr>
            <w:r w:rsidRPr="0082321B">
              <w:rPr>
                <w:u w:val="single"/>
              </w:rPr>
              <w:t xml:space="preserve">Numerator: </w:t>
            </w:r>
          </w:p>
          <w:p w14:paraId="28C74D03" w14:textId="77777777" w:rsidR="0033457E" w:rsidRPr="0082321B" w:rsidRDefault="0033457E" w:rsidP="00F21F23">
            <w:pPr>
              <w:spacing w:before="240"/>
            </w:pPr>
            <w:r w:rsidRPr="0082321B">
              <w:t>Mortality data by cause, published annually by the ONS</w:t>
            </w:r>
          </w:p>
          <w:p w14:paraId="00E23779" w14:textId="77777777" w:rsidR="0033457E" w:rsidRPr="0082321B" w:rsidRDefault="0033457E" w:rsidP="00F21F23">
            <w:pPr>
              <w:spacing w:before="240"/>
              <w:rPr>
                <w:u w:val="single"/>
              </w:rPr>
            </w:pPr>
            <w:r w:rsidRPr="0082321B">
              <w:rPr>
                <w:u w:val="single"/>
              </w:rPr>
              <w:lastRenderedPageBreak/>
              <w:t>Standard population:</w:t>
            </w:r>
          </w:p>
          <w:p w14:paraId="0176C619" w14:textId="77777777" w:rsidR="0033457E" w:rsidRPr="0082321B" w:rsidRDefault="0033457E" w:rsidP="00F21F23">
            <w:pPr>
              <w:spacing w:before="240"/>
            </w:pPr>
            <w:r w:rsidRPr="0082321B">
              <w:t>2013 based European Standard Population (ESP), published by the ONS (originating from Eurostat).</w:t>
            </w:r>
          </w:p>
        </w:tc>
      </w:tr>
      <w:tr w:rsidR="0033457E" w14:paraId="731C84A7" w14:textId="77777777" w:rsidTr="00F21F23">
        <w:tc>
          <w:tcPr>
            <w:tcW w:w="3256" w:type="dxa"/>
          </w:tcPr>
          <w:p w14:paraId="6FDC1D9C" w14:textId="77777777" w:rsidR="0033457E" w:rsidRPr="0082321B" w:rsidRDefault="0033457E" w:rsidP="00F21F23">
            <w:pPr>
              <w:spacing w:before="240"/>
              <w:rPr>
                <w:b/>
              </w:rPr>
            </w:pPr>
            <w:r w:rsidRPr="0082321B">
              <w:rPr>
                <w:b/>
              </w:rPr>
              <w:lastRenderedPageBreak/>
              <w:t>Justification of source and others considered</w:t>
            </w:r>
          </w:p>
        </w:tc>
        <w:tc>
          <w:tcPr>
            <w:tcW w:w="10692" w:type="dxa"/>
          </w:tcPr>
          <w:p w14:paraId="6A68EEF8" w14:textId="77777777" w:rsidR="0033457E" w:rsidRPr="0082321B" w:rsidRDefault="0033457E" w:rsidP="00F21F23">
            <w:pPr>
              <w:spacing w:before="240"/>
            </w:pPr>
            <w:r w:rsidRPr="0082321B">
              <w:t>ONS is the official source of mortality and population statistics in England and Wales. They receive up to date and accurate registers of deaths from registrars across England.</w:t>
            </w:r>
          </w:p>
          <w:p w14:paraId="56A47F54" w14:textId="77777777" w:rsidR="0033457E" w:rsidRPr="0082321B" w:rsidRDefault="0033457E" w:rsidP="00F21F23">
            <w:pPr>
              <w:spacing w:before="240"/>
            </w:pPr>
            <w:r w:rsidRPr="0082321B">
              <w:t>As ONS mid-year population estimates are the official source of the estimate’s population in England, no other data sources were considered for this indicator.</w:t>
            </w:r>
          </w:p>
          <w:p w14:paraId="7FB58E2E" w14:textId="77777777" w:rsidR="0033457E" w:rsidRPr="0082321B" w:rsidRDefault="0033457E" w:rsidP="00F21F23">
            <w:pPr>
              <w:spacing w:before="240"/>
            </w:pPr>
            <w:r w:rsidRPr="0082321B">
              <w:t>The European Standard Population is methodological standard of population distribution which is adopted across Europe to make international comparisons of mortality rates.</w:t>
            </w:r>
          </w:p>
        </w:tc>
      </w:tr>
      <w:tr w:rsidR="0033457E" w14:paraId="7699B174" w14:textId="77777777" w:rsidTr="00F21F23">
        <w:tc>
          <w:tcPr>
            <w:tcW w:w="3256" w:type="dxa"/>
          </w:tcPr>
          <w:p w14:paraId="2819E3F2" w14:textId="77777777" w:rsidR="0033457E" w:rsidRPr="0082321B" w:rsidRDefault="0033457E" w:rsidP="00F21F23">
            <w:pPr>
              <w:spacing w:before="240"/>
              <w:rPr>
                <w:b/>
              </w:rPr>
            </w:pPr>
            <w:r w:rsidRPr="0082321B">
              <w:rPr>
                <w:b/>
              </w:rPr>
              <w:t>Data availability</w:t>
            </w:r>
          </w:p>
        </w:tc>
        <w:tc>
          <w:tcPr>
            <w:tcW w:w="10692" w:type="dxa"/>
          </w:tcPr>
          <w:p w14:paraId="044A7656" w14:textId="77777777" w:rsidR="0033457E" w:rsidRPr="0082321B" w:rsidRDefault="0033457E" w:rsidP="00F21F23">
            <w:pPr>
              <w:spacing w:before="240"/>
              <w:rPr>
                <w:u w:val="single"/>
              </w:rPr>
            </w:pPr>
            <w:r w:rsidRPr="0082321B">
              <w:rPr>
                <w:u w:val="single"/>
              </w:rPr>
              <w:t>Numerator:</w:t>
            </w:r>
          </w:p>
          <w:p w14:paraId="37AA764B" w14:textId="77777777" w:rsidR="0033457E" w:rsidRPr="0082321B" w:rsidRDefault="0033457E" w:rsidP="00F21F23">
            <w:pPr>
              <w:rPr>
                <w:u w:val="single"/>
              </w:rPr>
            </w:pPr>
            <w:r w:rsidRPr="0082321B">
              <w:t>ONS mortality data</w:t>
            </w:r>
            <w:r w:rsidRPr="0082321B">
              <w:rPr>
                <w:rStyle w:val="FootnoteReference"/>
              </w:rPr>
              <w:footnoteReference w:id="1"/>
            </w:r>
            <w:r w:rsidRPr="0082321B">
              <w:t xml:space="preserve"> is published online annually by calendar year and is available around August / September after year-end. Record level mortality data are not publicly available. The HSCIC receives record level mortality data from ONS based on a data sharing agreement.</w:t>
            </w:r>
          </w:p>
          <w:p w14:paraId="2188E5CD" w14:textId="77777777" w:rsidR="0033457E" w:rsidRPr="0082321B" w:rsidRDefault="0033457E" w:rsidP="00F21F23">
            <w:pPr>
              <w:rPr>
                <w:u w:val="single"/>
              </w:rPr>
            </w:pPr>
            <w:r w:rsidRPr="0082321B">
              <w:rPr>
                <w:u w:val="single"/>
              </w:rPr>
              <w:t>Denominator:</w:t>
            </w:r>
          </w:p>
          <w:p w14:paraId="1BE4B90D" w14:textId="77777777" w:rsidR="0033457E" w:rsidRPr="0082321B" w:rsidRDefault="0033457E" w:rsidP="00F21F23">
            <w:r w:rsidRPr="0082321B">
              <w:t>ONS mid-year population estimates</w:t>
            </w:r>
            <w:r w:rsidRPr="0082321B">
              <w:rPr>
                <w:rStyle w:val="FootnoteReference"/>
              </w:rPr>
              <w:footnoteReference w:id="2"/>
            </w:r>
            <w:r w:rsidRPr="0082321B">
              <w:t xml:space="preserve"> are published (publicly) online annually by calendar year and are available the summer after year-end (available about 12 months after the reference date of 30 June).</w:t>
            </w:r>
          </w:p>
          <w:p w14:paraId="309BD774" w14:textId="77777777" w:rsidR="0033457E" w:rsidRPr="0082321B" w:rsidRDefault="0033457E" w:rsidP="00F21F23">
            <w:r w:rsidRPr="0082321B">
              <w:t>The mid-year population estimates for Lower Super Output Areas (LSOAs), which are used to calculate the deprivation breakdown for this indicator, are available in autumn after year-end.</w:t>
            </w:r>
          </w:p>
          <w:p w14:paraId="65A54BAA" w14:textId="77777777" w:rsidR="0033457E" w:rsidRPr="0082321B" w:rsidRDefault="0033457E" w:rsidP="00F21F23">
            <w:pPr>
              <w:rPr>
                <w:u w:val="single"/>
              </w:rPr>
            </w:pPr>
            <w:r w:rsidRPr="0082321B">
              <w:rPr>
                <w:u w:val="single"/>
              </w:rPr>
              <w:t>Standard population:</w:t>
            </w:r>
          </w:p>
          <w:p w14:paraId="1154A063" w14:textId="77777777" w:rsidR="0033457E" w:rsidRPr="0082321B" w:rsidRDefault="0033457E" w:rsidP="00F21F23">
            <w:pPr>
              <w:spacing w:before="240"/>
            </w:pPr>
            <w:r w:rsidRPr="0082321B">
              <w:t>The European Standard Population</w:t>
            </w:r>
            <w:r w:rsidRPr="0082321B">
              <w:rPr>
                <w:rStyle w:val="FootnoteReference"/>
              </w:rPr>
              <w:footnoteReference w:id="3"/>
            </w:r>
            <w:r w:rsidRPr="0082321B">
              <w:t xml:space="preserve"> methodology was updated in 2013 (1976 prior model version) to reflect an ageing population distribution across Europe.  The 2013 per 100,000 population will remain static for </w:t>
            </w:r>
            <w:proofErr w:type="gramStart"/>
            <w:r w:rsidRPr="0082321B">
              <w:t>a number of</w:t>
            </w:r>
            <w:proofErr w:type="gramEnd"/>
            <w:r w:rsidRPr="0082321B">
              <w:t xml:space="preserve"> years or even decades.</w:t>
            </w:r>
          </w:p>
        </w:tc>
      </w:tr>
    </w:tbl>
    <w:p w14:paraId="0139B7E4" w14:textId="77777777" w:rsidR="0033457E" w:rsidRDefault="0033457E" w:rsidP="0033457E">
      <w:pPr>
        <w:rPr>
          <w:b/>
        </w:rPr>
      </w:pPr>
    </w:p>
    <w:p w14:paraId="1E5045FA" w14:textId="77777777" w:rsidR="0033457E" w:rsidRPr="00340C78" w:rsidRDefault="0033457E" w:rsidP="0033457E">
      <w:pPr>
        <w:rPr>
          <w:b/>
          <w:sz w:val="28"/>
          <w:szCs w:val="28"/>
        </w:rPr>
      </w:pPr>
      <w:r w:rsidRPr="00340C78">
        <w:rPr>
          <w:b/>
          <w:sz w:val="28"/>
          <w:szCs w:val="28"/>
        </w:rPr>
        <w:t>Data (continued)</w:t>
      </w:r>
    </w:p>
    <w:p w14:paraId="08993861" w14:textId="77777777" w:rsidR="0033457E" w:rsidRDefault="0033457E" w:rsidP="0033457E">
      <w:pPr>
        <w:rPr>
          <w:b/>
        </w:rPr>
      </w:pPr>
    </w:p>
    <w:p w14:paraId="791494D3" w14:textId="77777777" w:rsidR="0033457E" w:rsidRPr="0082321B" w:rsidRDefault="0033457E" w:rsidP="0033457E">
      <w:pPr>
        <w:rPr>
          <w:b/>
        </w:rPr>
      </w:pPr>
      <w:r w:rsidRPr="0082321B">
        <w:rPr>
          <w:b/>
        </w:rPr>
        <w:lastRenderedPageBreak/>
        <w:t>Data quality</w:t>
      </w:r>
    </w:p>
    <w:p w14:paraId="259E51F6" w14:textId="77777777" w:rsidR="0033457E" w:rsidRPr="0082321B" w:rsidRDefault="0033457E" w:rsidP="0033457E">
      <w:pPr>
        <w:spacing w:before="240"/>
        <w:rPr>
          <w:u w:val="single"/>
          <w:lang w:val="en"/>
        </w:rPr>
      </w:pPr>
      <w:r w:rsidRPr="0082321B">
        <w:rPr>
          <w:u w:val="single"/>
          <w:lang w:val="en"/>
        </w:rPr>
        <w:t>Numerator:</w:t>
      </w:r>
    </w:p>
    <w:p w14:paraId="45BB0A6E" w14:textId="77777777" w:rsidR="0033457E" w:rsidRPr="0082321B" w:rsidRDefault="0033457E" w:rsidP="0033457E">
      <w:pPr>
        <w:spacing w:before="240"/>
        <w:rPr>
          <w:lang w:val="en"/>
        </w:rPr>
      </w:pPr>
      <w:r w:rsidRPr="0082321B">
        <w:rPr>
          <w:lang w:val="en"/>
        </w:rPr>
        <w:t>Daily extracts of death registrations from the Registration Online system are received by ONS then pass through a series of automatic validation processes which highlight any inconsistencies. The Mortality Metadata provides detailed information on the collection, processing and quality of mortality data for England and Wales.</w:t>
      </w:r>
    </w:p>
    <w:p w14:paraId="338C036A" w14:textId="77777777" w:rsidR="0033457E" w:rsidRPr="0082321B" w:rsidRDefault="0033457E" w:rsidP="0033457E">
      <w:pPr>
        <w:spacing w:before="240"/>
        <w:rPr>
          <w:lang w:val="en"/>
        </w:rPr>
      </w:pPr>
      <w:r w:rsidRPr="0082321B">
        <w:rPr>
          <w:lang w:val="en"/>
        </w:rPr>
        <w:t xml:space="preserve">Internal consistency checks are then conducted to eliminate any errors made during the recording of deaths, and to ensure the annual dataset is complete. Before becoming usable for analysis, the data pass through more validation checks and processes, these include running frequency counts on a range of variables, checking the plausibility of combinations of fields, and checking inconsistencies. Suspect records are </w:t>
      </w:r>
      <w:proofErr w:type="gramStart"/>
      <w:r w:rsidRPr="0082321B">
        <w:rPr>
          <w:lang w:val="en"/>
        </w:rPr>
        <w:t>referred back</w:t>
      </w:r>
      <w:proofErr w:type="gramEnd"/>
      <w:r w:rsidRPr="0082321B">
        <w:rPr>
          <w:lang w:val="en"/>
        </w:rPr>
        <w:t xml:space="preserve"> to register offices. Any concerns relating to cause of death are referred to a Medical Advisor/Medical Epidemiologist. The Mortality Metadata provides more detail on all these checks.</w:t>
      </w:r>
    </w:p>
    <w:p w14:paraId="1D6BD11A" w14:textId="77777777" w:rsidR="0033457E" w:rsidRPr="0082321B" w:rsidRDefault="0033457E" w:rsidP="0033457E">
      <w:pPr>
        <w:spacing w:before="240"/>
        <w:rPr>
          <w:lang w:val="en"/>
        </w:rPr>
      </w:pPr>
      <w:r w:rsidRPr="0082321B">
        <w:rPr>
          <w:lang w:val="en"/>
        </w:rPr>
        <w:t xml:space="preserve">Mortality statistics are produced based on the deaths registered in a </w:t>
      </w:r>
      <w:proofErr w:type="gramStart"/>
      <w:r w:rsidRPr="0082321B">
        <w:rPr>
          <w:lang w:val="en"/>
        </w:rPr>
        <w:t>particular reference</w:t>
      </w:r>
      <w:proofErr w:type="gramEnd"/>
      <w:r w:rsidRPr="0082321B">
        <w:rPr>
          <w:lang w:val="en"/>
        </w:rPr>
        <w:t xml:space="preserve"> period, rather than deaths occurring in a particular period. This allows for more timely publication of complete statistics but means that annual figures include some deaths that occurred in years prior to the reference year (approximately 4.5%). Legislation in England and Wales means that when a coroner’s inquest takes place, the death cannot be registered until the inquest is complete. Since ONS has no information about the death until it is registered, there can be a delay between the date the death occurred and when the death is added to the ONS mortality database. The only exception is when a coroner adjourns the inquest and carries out an “accelerated registration”, while awaiting the outcome of criminal proceedings. More information of the impact of registration delays each year by specific causes is included in the appropriate statistical bulletin.</w:t>
      </w:r>
    </w:p>
    <w:p w14:paraId="4C4192E2" w14:textId="77777777" w:rsidR="0033457E" w:rsidRPr="0082321B" w:rsidRDefault="0033457E" w:rsidP="0033457E">
      <w:pPr>
        <w:spacing w:before="240"/>
        <w:rPr>
          <w:lang w:val="en"/>
        </w:rPr>
      </w:pPr>
      <w:r w:rsidRPr="0082321B">
        <w:rPr>
          <w:lang w:val="en"/>
        </w:rPr>
        <w:t xml:space="preserve">Although mortality statistics based on registrations are not entirely comparable to those based on occurrences, the differences are relatively small, since in most cases deaths occur and are registered in the same calendar year. For example, the number of death registrations in 2013 involving deaths occurring in 2013 was 482,658 while the number of 2013 death occurrences </w:t>
      </w:r>
      <w:proofErr w:type="gramStart"/>
      <w:r w:rsidRPr="0082321B">
        <w:rPr>
          <w:lang w:val="en"/>
        </w:rPr>
        <w:t>was</w:t>
      </w:r>
      <w:proofErr w:type="gramEnd"/>
      <w:r w:rsidRPr="0082321B">
        <w:rPr>
          <w:lang w:val="en"/>
        </w:rPr>
        <w:t xml:space="preserve"> 502,670 (a difference of 4.1%). There will always be </w:t>
      </w:r>
      <w:proofErr w:type="gramStart"/>
      <w:r w:rsidRPr="0082321B">
        <w:rPr>
          <w:lang w:val="en"/>
        </w:rPr>
        <w:t>a number of</w:t>
      </w:r>
      <w:proofErr w:type="gramEnd"/>
      <w:r w:rsidRPr="0082321B">
        <w:rPr>
          <w:lang w:val="en"/>
        </w:rPr>
        <w:t xml:space="preserve"> late death registrations for previous years that will be included in the annual extract of death registrations.</w:t>
      </w:r>
    </w:p>
    <w:p w14:paraId="0AACCA09" w14:textId="77777777" w:rsidR="0033457E" w:rsidRPr="0082321B" w:rsidRDefault="0033457E" w:rsidP="0033457E">
      <w:pPr>
        <w:spacing w:before="240"/>
        <w:rPr>
          <w:lang w:val="en"/>
        </w:rPr>
      </w:pPr>
      <w:r w:rsidRPr="0082321B">
        <w:rPr>
          <w:lang w:val="en"/>
        </w:rPr>
        <w:t xml:space="preserve">For </w:t>
      </w:r>
      <w:proofErr w:type="gramStart"/>
      <w:r w:rsidRPr="0082321B">
        <w:rPr>
          <w:lang w:val="en"/>
        </w:rPr>
        <w:t>the majority of</w:t>
      </w:r>
      <w:proofErr w:type="gramEnd"/>
      <w:r w:rsidRPr="0082321B">
        <w:rPr>
          <w:lang w:val="en"/>
        </w:rPr>
        <w:t xml:space="preserve"> deaths (around 80%) ONS codes the underlying cause of death using automated cause coding software. The remainder are coded manually by experienced coders. Manual coding is necessary for deaths involving a coroner’s inquest. Using an automated coding tool improves the international and temporal comparability of mortality statistics. Periodical reports on persistent coding problems are referred to a Medical Epidemiologist and to international forums.</w:t>
      </w:r>
    </w:p>
    <w:p w14:paraId="21CF7E42" w14:textId="77777777" w:rsidR="0033457E" w:rsidRPr="0082321B" w:rsidRDefault="0033457E" w:rsidP="0033457E">
      <w:pPr>
        <w:spacing w:before="240"/>
        <w:rPr>
          <w:lang w:val="en"/>
        </w:rPr>
      </w:pPr>
      <w:r w:rsidRPr="0082321B">
        <w:rPr>
          <w:lang w:val="en"/>
        </w:rPr>
        <w:t>Where the underlying cause of death is assigned to an external cause (for example, a transport accident), at least 1 code is assigned to define the nature of the injury. If multiple injuries are recorded, 1 will be selected as the secondary cause code. Again, how this selection is done is based on rules assigned by WHO to ensure accuracy and comparability of statistics.</w:t>
      </w:r>
    </w:p>
    <w:p w14:paraId="302B6C4A" w14:textId="77777777" w:rsidR="0033457E" w:rsidRPr="0082321B" w:rsidRDefault="0033457E" w:rsidP="0033457E">
      <w:pPr>
        <w:spacing w:before="240"/>
        <w:rPr>
          <w:lang w:val="en"/>
        </w:rPr>
      </w:pPr>
      <w:r w:rsidRPr="0082321B">
        <w:rPr>
          <w:lang w:val="en"/>
        </w:rPr>
        <w:lastRenderedPageBreak/>
        <w:t>The Coroners and Justice Act 2009 will reform the process of death certification by introducing a single unified system. The introduction of medical examiners and the scrutiny they provide is expected to improve the quality (precision and completeness) of the cause of death recorded on the MCCD and, consequently, will have an impact on cause of death statistics.</w:t>
      </w:r>
    </w:p>
    <w:p w14:paraId="0CE62336" w14:textId="77777777" w:rsidR="0033457E" w:rsidRPr="0082321B" w:rsidRDefault="0033457E" w:rsidP="0033457E">
      <w:pPr>
        <w:spacing w:before="240"/>
        <w:rPr>
          <w:lang w:val="en"/>
        </w:rPr>
      </w:pPr>
      <w:r w:rsidRPr="0082321B">
        <w:rPr>
          <w:lang w:val="en"/>
        </w:rPr>
        <w:t xml:space="preserve">The consistency of manual cause of death coding for narrative verdicts has previously been assessed by ONS (Hill &amp; Cook, 2011). A total of 7,914 deaths were re-coded by 8 experienced ONS cause coders and comparisons made between the original underlying cause of death assigned in each case and the new underlying cause of death. The research showed that although in some cases the coders assigned a different underlying cause of death, </w:t>
      </w:r>
      <w:proofErr w:type="gramStart"/>
      <w:r w:rsidRPr="0082321B">
        <w:rPr>
          <w:lang w:val="en"/>
        </w:rPr>
        <w:t>overall</w:t>
      </w:r>
      <w:proofErr w:type="gramEnd"/>
      <w:r w:rsidRPr="0082321B">
        <w:rPr>
          <w:lang w:val="en"/>
        </w:rPr>
        <w:t xml:space="preserve"> they applied the ICD classification rules consistently. A total of 78% of cases matched to the fourth digit level of the ICD-10 cause of death code and 90% matched at ICD-</w:t>
      </w:r>
      <w:proofErr w:type="gramStart"/>
      <w:r w:rsidRPr="0082321B">
        <w:rPr>
          <w:lang w:val="en"/>
        </w:rPr>
        <w:t>10 chapter</w:t>
      </w:r>
      <w:proofErr w:type="gramEnd"/>
      <w:r w:rsidRPr="0082321B">
        <w:rPr>
          <w:lang w:val="en"/>
        </w:rPr>
        <w:t xml:space="preserve"> level.</w:t>
      </w:r>
    </w:p>
    <w:p w14:paraId="73E1774D" w14:textId="77777777" w:rsidR="0033457E" w:rsidRPr="0082321B" w:rsidRDefault="0033457E" w:rsidP="0033457E">
      <w:pPr>
        <w:spacing w:before="240"/>
      </w:pPr>
      <w:r w:rsidRPr="0082321B">
        <w:rPr>
          <w:lang w:val="en"/>
        </w:rPr>
        <w:t>A quality and methodology information report for the ONS mortality data can be found here:</w:t>
      </w:r>
      <w:r w:rsidRPr="0082321B">
        <w:t xml:space="preserve"> </w:t>
      </w:r>
      <w:hyperlink r:id="rId13" w:history="1">
        <w:r w:rsidRPr="0082321B">
          <w:rPr>
            <w:rStyle w:val="Hyperlink"/>
          </w:rPr>
          <w:t>http://www.ons.gov.uk/ons/guide-method/method-quality/quality/quality-information/social-statistics/sqr-mortality-statistics.pdf</w:t>
        </w:r>
      </w:hyperlink>
    </w:p>
    <w:p w14:paraId="2BAAB704" w14:textId="77777777" w:rsidR="0033457E" w:rsidRPr="0082321B" w:rsidRDefault="0033457E" w:rsidP="0033457E">
      <w:pPr>
        <w:rPr>
          <w:u w:val="single"/>
        </w:rPr>
      </w:pPr>
      <w:r w:rsidRPr="0082321B">
        <w:rPr>
          <w:u w:val="single"/>
        </w:rPr>
        <w:t>Denominator:</w:t>
      </w:r>
    </w:p>
    <w:p w14:paraId="4F3BD99D" w14:textId="77777777" w:rsidR="0033457E" w:rsidRPr="0082321B" w:rsidRDefault="0033457E" w:rsidP="0033457E">
      <w:pPr>
        <w:spacing w:before="240"/>
        <w:rPr>
          <w:lang w:val="en"/>
        </w:rPr>
      </w:pPr>
      <w:r w:rsidRPr="0082321B">
        <w:rPr>
          <w:lang w:val="en"/>
        </w:rPr>
        <w:t xml:space="preserve">Population estimates are produced using a well-established demographic approach called the cohort component method. This involves combining information from </w:t>
      </w:r>
      <w:proofErr w:type="gramStart"/>
      <w:r w:rsidRPr="0082321B">
        <w:rPr>
          <w:lang w:val="en"/>
        </w:rPr>
        <w:t>a number of</w:t>
      </w:r>
      <w:proofErr w:type="gramEnd"/>
      <w:r w:rsidRPr="0082321B">
        <w:rPr>
          <w:lang w:val="en"/>
        </w:rPr>
        <w:t xml:space="preserve"> data sources including the previous census, survey data and administrative registers. The data sources used are the best that are available on a nationally consistent basis down to local authority level, but the estimates are subject to the coverage and error associated with these sources. Information from administrative registers such as the numbers of births and deaths </w:t>
      </w:r>
      <w:proofErr w:type="gramStart"/>
      <w:r w:rsidRPr="0082321B">
        <w:rPr>
          <w:lang w:val="en"/>
        </w:rPr>
        <w:t>are considered to be</w:t>
      </w:r>
      <w:proofErr w:type="gramEnd"/>
      <w:r w:rsidRPr="0082321B">
        <w:rPr>
          <w:lang w:val="en"/>
        </w:rPr>
        <w:t xml:space="preserve"> very reliable.</w:t>
      </w:r>
    </w:p>
    <w:p w14:paraId="4618289D" w14:textId="77777777" w:rsidR="0033457E" w:rsidRPr="0082321B" w:rsidRDefault="0033457E" w:rsidP="0033457E">
      <w:pPr>
        <w:spacing w:before="240"/>
        <w:rPr>
          <w:lang w:val="en"/>
        </w:rPr>
      </w:pPr>
      <w:r w:rsidRPr="0082321B">
        <w:rPr>
          <w:lang w:val="en"/>
        </w:rPr>
        <w:t>Several products providing information on the likely accuracy of the estimates are planned or already available:</w:t>
      </w:r>
    </w:p>
    <w:p w14:paraId="27DADAF0" w14:textId="77777777" w:rsidR="0033457E" w:rsidRPr="0082321B" w:rsidRDefault="0033457E" w:rsidP="0033457E">
      <w:pPr>
        <w:pStyle w:val="ListParagraph"/>
        <w:numPr>
          <w:ilvl w:val="0"/>
          <w:numId w:val="33"/>
        </w:numPr>
        <w:spacing w:before="240" w:after="180" w:line="240" w:lineRule="auto"/>
        <w:contextualSpacing w:val="0"/>
        <w:textboxTightWrap w:val="lastLineOnly"/>
        <w:rPr>
          <w:rFonts w:ascii="Arial" w:hAnsi="Arial" w:cs="Arial"/>
          <w:lang w:val="en"/>
        </w:rPr>
      </w:pPr>
      <w:r w:rsidRPr="0082321B">
        <w:rPr>
          <w:rFonts w:ascii="Arial" w:hAnsi="Arial" w:cs="Arial"/>
          <w:lang w:val="en"/>
        </w:rPr>
        <w:t xml:space="preserve">a set of Quality Indicators which provide a </w:t>
      </w:r>
      <w:proofErr w:type="gramStart"/>
      <w:r w:rsidRPr="0082321B">
        <w:rPr>
          <w:rFonts w:ascii="Arial" w:hAnsi="Arial" w:cs="Arial"/>
          <w:lang w:val="en"/>
        </w:rPr>
        <w:t>high level</w:t>
      </w:r>
      <w:proofErr w:type="gramEnd"/>
      <w:r w:rsidRPr="0082321B">
        <w:rPr>
          <w:rFonts w:ascii="Arial" w:hAnsi="Arial" w:cs="Arial"/>
          <w:lang w:val="en"/>
        </w:rPr>
        <w:t xml:space="preserve"> indication of the likely reliability of the estimates for each Local Authority are published alongside each release (from the estimates for 2013 onwards)</w:t>
      </w:r>
    </w:p>
    <w:p w14:paraId="120E031B" w14:textId="77777777" w:rsidR="0033457E" w:rsidRPr="0082321B" w:rsidRDefault="0033457E" w:rsidP="0033457E">
      <w:pPr>
        <w:pStyle w:val="ListParagraph"/>
        <w:numPr>
          <w:ilvl w:val="0"/>
          <w:numId w:val="33"/>
        </w:numPr>
        <w:spacing w:before="240" w:after="180" w:line="240" w:lineRule="auto"/>
        <w:contextualSpacing w:val="0"/>
        <w:textboxTightWrap w:val="lastLineOnly"/>
        <w:rPr>
          <w:rFonts w:ascii="Arial" w:hAnsi="Arial" w:cs="Arial"/>
          <w:lang w:val="en"/>
        </w:rPr>
      </w:pPr>
      <w:r w:rsidRPr="0082321B">
        <w:rPr>
          <w:rFonts w:ascii="Arial" w:hAnsi="Arial" w:cs="Arial"/>
          <w:lang w:val="en"/>
        </w:rPr>
        <w:t>a Data Comparator tool, allowing easy comparison of the population estimates with counts from administrative sources, is also published alongside each release (again from the estimates for 2013 onwards)</w:t>
      </w:r>
    </w:p>
    <w:p w14:paraId="3E99D516" w14:textId="77777777" w:rsidR="0033457E" w:rsidRPr="0082321B" w:rsidRDefault="0033457E" w:rsidP="0033457E">
      <w:pPr>
        <w:pStyle w:val="ListParagraph"/>
        <w:numPr>
          <w:ilvl w:val="0"/>
          <w:numId w:val="33"/>
        </w:numPr>
        <w:spacing w:before="240" w:after="180" w:line="240" w:lineRule="auto"/>
        <w:contextualSpacing w:val="0"/>
        <w:textboxTightWrap w:val="lastLineOnly"/>
        <w:rPr>
          <w:rFonts w:ascii="Arial" w:hAnsi="Arial" w:cs="Arial"/>
          <w:lang w:val="en"/>
        </w:rPr>
      </w:pPr>
      <w:r w:rsidRPr="0082321B">
        <w:rPr>
          <w:rFonts w:ascii="Arial" w:hAnsi="Arial" w:cs="Arial"/>
          <w:lang w:val="en"/>
        </w:rPr>
        <w:t>statistical measures of the reliability of the 2011 Census estimates - on which the population estimates are based - are published in the Confidence Intervals for the 2011 Census report</w:t>
      </w:r>
    </w:p>
    <w:p w14:paraId="2E908243" w14:textId="77777777" w:rsidR="0033457E" w:rsidRPr="0082321B" w:rsidRDefault="0033457E" w:rsidP="0033457E">
      <w:pPr>
        <w:pStyle w:val="ListParagraph"/>
        <w:numPr>
          <w:ilvl w:val="0"/>
          <w:numId w:val="33"/>
        </w:numPr>
        <w:spacing w:before="240" w:after="180" w:line="240" w:lineRule="auto"/>
        <w:contextualSpacing w:val="0"/>
        <w:textboxTightWrap w:val="lastLineOnly"/>
        <w:rPr>
          <w:rFonts w:ascii="Arial" w:hAnsi="Arial" w:cs="Arial"/>
          <w:lang w:val="en"/>
        </w:rPr>
      </w:pPr>
      <w:r w:rsidRPr="0082321B">
        <w:rPr>
          <w:rFonts w:ascii="Arial" w:hAnsi="Arial" w:cs="Arial"/>
          <w:lang w:val="en"/>
        </w:rPr>
        <w:t>further products are being developed for publication to help users understand the reliability of the estimates</w:t>
      </w:r>
    </w:p>
    <w:p w14:paraId="78E212F0" w14:textId="77777777" w:rsidR="0033457E" w:rsidRPr="0082321B" w:rsidRDefault="0033457E" w:rsidP="0033457E">
      <w:pPr>
        <w:pStyle w:val="ListParagraph"/>
        <w:numPr>
          <w:ilvl w:val="0"/>
          <w:numId w:val="33"/>
        </w:numPr>
        <w:spacing w:before="240" w:after="180" w:line="240" w:lineRule="auto"/>
        <w:contextualSpacing w:val="0"/>
        <w:textboxTightWrap w:val="lastLineOnly"/>
        <w:rPr>
          <w:rFonts w:ascii="Arial" w:hAnsi="Arial" w:cs="Arial"/>
          <w:lang w:val="en"/>
        </w:rPr>
      </w:pPr>
      <w:r w:rsidRPr="0082321B">
        <w:rPr>
          <w:rFonts w:ascii="Arial" w:hAnsi="Arial" w:cs="Arial"/>
          <w:lang w:val="en"/>
        </w:rPr>
        <w:t>information is also available, as described below, on the likely accuracy of the migration estimates which are used in updating the population estimates each year</w:t>
      </w:r>
    </w:p>
    <w:p w14:paraId="13FD6FC9" w14:textId="77777777" w:rsidR="0033457E" w:rsidRPr="0082321B" w:rsidRDefault="0033457E" w:rsidP="0033457E">
      <w:pPr>
        <w:spacing w:before="240"/>
        <w:rPr>
          <w:lang w:val="en"/>
        </w:rPr>
      </w:pPr>
      <w:r w:rsidRPr="0082321B">
        <w:rPr>
          <w:lang w:val="en"/>
        </w:rPr>
        <w:lastRenderedPageBreak/>
        <w:t>One source of potential inaccuracy in the estimates is the use of sample surveys in the derivation of the 2011 Census estimates (where the Census Coverage Survey is used to adjust for estimated non-response) used as the base population, and the IPS-based estimates of international migration. Sampling error from those sources allows the derivation of an estimated confidence interval of +/- 0.2%. This means that if the Census and IPS were repeated many times, with a new sample for the related surveys selected each time, we would expect the true value to be within 0.2% of the estimated value 95% of the time.</w:t>
      </w:r>
    </w:p>
    <w:p w14:paraId="7CB62963" w14:textId="77777777" w:rsidR="0033457E" w:rsidRPr="0082321B" w:rsidRDefault="0033457E" w:rsidP="0033457E">
      <w:pPr>
        <w:spacing w:before="240"/>
        <w:rPr>
          <w:rStyle w:val="Hyperlink"/>
        </w:rPr>
      </w:pPr>
      <w:r w:rsidRPr="0082321B">
        <w:rPr>
          <w:lang w:val="en"/>
        </w:rPr>
        <w:t>A quality and methodology information report for the ONS mid-year population estimates can be found here:</w:t>
      </w:r>
      <w:hyperlink r:id="rId14" w:history="1">
        <w:r w:rsidRPr="0082321B">
          <w:rPr>
            <w:rStyle w:val="Hyperlink"/>
          </w:rPr>
          <w:t>http://www.ons.gov.uk/ons/guide-method/method-quality/quality/quality-information/population/quality-and-methodology-information-for-annual-mid-year-population-estimates.pdf</w:t>
        </w:r>
      </w:hyperlink>
    </w:p>
    <w:p w14:paraId="735EC415" w14:textId="77777777" w:rsidR="0033457E" w:rsidRPr="0082321B" w:rsidRDefault="0033457E" w:rsidP="0033457E">
      <w:pPr>
        <w:spacing w:before="240"/>
        <w:rPr>
          <w:u w:val="single"/>
          <w:lang w:val="en"/>
        </w:rPr>
      </w:pPr>
      <w:r w:rsidRPr="0082321B">
        <w:rPr>
          <w:lang w:val="en"/>
        </w:rPr>
        <w:t xml:space="preserve"> </w:t>
      </w:r>
      <w:r w:rsidRPr="0082321B">
        <w:rPr>
          <w:u w:val="single"/>
          <w:lang w:val="en"/>
        </w:rPr>
        <w:t>Standard population:</w:t>
      </w:r>
    </w:p>
    <w:p w14:paraId="1595430E" w14:textId="77777777" w:rsidR="0033457E" w:rsidRDefault="0033457E" w:rsidP="0033457E">
      <w:pPr>
        <w:spacing w:before="240"/>
        <w:rPr>
          <w:lang w:val="en"/>
        </w:rPr>
      </w:pPr>
      <w:r w:rsidRPr="0082321B">
        <w:rPr>
          <w:lang w:val="en"/>
        </w:rPr>
        <w:t>From 2014/15 the majority of ONS mortality outputs will be based on new methods for age-</w:t>
      </w:r>
      <w:proofErr w:type="spellStart"/>
      <w:r w:rsidRPr="0082321B">
        <w:rPr>
          <w:lang w:val="en"/>
        </w:rPr>
        <w:t>standardisation</w:t>
      </w:r>
      <w:proofErr w:type="spellEnd"/>
      <w:r w:rsidRPr="0082321B">
        <w:rPr>
          <w:lang w:val="en"/>
        </w:rPr>
        <w:t>, from Eurostat. 2013 European standard population (2013 ESP) will replace the previous ‘1976 ESP’ methodological standard in health statistics. The age distribution of the population continues to show a progressive shift towards older ages. A comparison between the two population structures (per 100,000 population) is shown below.</w:t>
      </w:r>
    </w:p>
    <w:p w14:paraId="1A3A3972" w14:textId="77777777" w:rsidR="0033457E" w:rsidRDefault="0033457E" w:rsidP="0033457E">
      <w:pPr>
        <w:spacing w:before="240"/>
        <w:rPr>
          <w:lang w:val="en"/>
        </w:rPr>
      </w:pPr>
      <w:r w:rsidRPr="0082321B">
        <w:rPr>
          <w:noProof/>
          <w:lang w:eastAsia="en-GB"/>
        </w:rPr>
        <w:drawing>
          <wp:inline distT="0" distB="0" distL="0" distR="0" wp14:anchorId="1A08C515" wp14:editId="03A737F2">
            <wp:extent cx="4876800" cy="2102859"/>
            <wp:effectExtent l="0" t="0" r="0" b="0"/>
            <wp:docPr id="3" name="Picture 3" descr="Graphs showing a comparison between the two population structures (per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76800" cy="2102859"/>
                    </a:xfrm>
                    <a:prstGeom prst="rect">
                      <a:avLst/>
                    </a:prstGeom>
                  </pic:spPr>
                </pic:pic>
              </a:graphicData>
            </a:graphic>
          </wp:inline>
        </w:drawing>
      </w:r>
    </w:p>
    <w:p w14:paraId="46BA7739" w14:textId="77777777" w:rsidR="0033457E" w:rsidRPr="0082321B" w:rsidRDefault="0033457E" w:rsidP="0033457E">
      <w:pPr>
        <w:spacing w:before="240"/>
        <w:rPr>
          <w:lang w:val="en"/>
        </w:rPr>
      </w:pPr>
      <w:r w:rsidRPr="0082321B">
        <w:rPr>
          <w:lang w:val="en"/>
        </w:rPr>
        <w:t xml:space="preserve">To ensure consistency and comparability with the </w:t>
      </w:r>
      <w:proofErr w:type="gramStart"/>
      <w:r w:rsidRPr="0082321B">
        <w:rPr>
          <w:lang w:val="en"/>
        </w:rPr>
        <w:t>10 year</w:t>
      </w:r>
      <w:proofErr w:type="gramEnd"/>
      <w:r w:rsidRPr="0082321B">
        <w:rPr>
          <w:lang w:val="en"/>
        </w:rPr>
        <w:t xml:space="preserve"> dataset, all previous years prior to 2013 will be recalculated using the 2013 ESP. </w:t>
      </w:r>
    </w:p>
    <w:p w14:paraId="7A7C9102" w14:textId="77777777" w:rsidR="0033457E" w:rsidRPr="0082321B" w:rsidRDefault="0033457E" w:rsidP="0033457E">
      <w:pPr>
        <w:spacing w:before="240"/>
        <w:rPr>
          <w:lang w:val="en"/>
        </w:rPr>
      </w:pPr>
      <w:r w:rsidRPr="0082321B">
        <w:rPr>
          <w:lang w:val="en"/>
        </w:rPr>
        <w:lastRenderedPageBreak/>
        <w:t xml:space="preserve">The impact of calculating mortality rates using the 2013 European Standard Population on causes of death report, from the ONS can be found here: </w:t>
      </w:r>
      <w:hyperlink r:id="rId16" w:history="1">
        <w:r w:rsidRPr="0082321B">
          <w:rPr>
            <w:rStyle w:val="Hyperlink"/>
            <w:lang w:val="en"/>
          </w:rPr>
          <w:t>http://www.ons.gov.uk/ons/guide-method/user-guidance/health-and-life-events/revised-european-standard-population-2013--2013-esp-/rpt-2013-esp-mortality-rates.pdf</w:t>
        </w:r>
      </w:hyperlink>
      <w:r w:rsidRPr="0082321B">
        <w:rPr>
          <w:lang w:val="en"/>
        </w:rPr>
        <w:t xml:space="preserve"> . The summary of impacts from this change are:</w:t>
      </w:r>
    </w:p>
    <w:p w14:paraId="17D3E8A0" w14:textId="77777777" w:rsidR="0033457E" w:rsidRPr="0082321B" w:rsidRDefault="0033457E" w:rsidP="0033457E">
      <w:pPr>
        <w:pStyle w:val="ListParagraph"/>
        <w:numPr>
          <w:ilvl w:val="0"/>
          <w:numId w:val="31"/>
        </w:numPr>
        <w:spacing w:before="240" w:after="180" w:line="240" w:lineRule="auto"/>
        <w:contextualSpacing w:val="0"/>
        <w:textboxTightWrap w:val="lastLineOnly"/>
        <w:rPr>
          <w:rFonts w:ascii="Arial" w:hAnsi="Arial" w:cs="Arial"/>
          <w:lang w:val="en"/>
        </w:rPr>
      </w:pPr>
      <w:r w:rsidRPr="0082321B">
        <w:rPr>
          <w:rFonts w:ascii="Arial" w:hAnsi="Arial" w:cs="Arial"/>
          <w:lang w:val="en"/>
        </w:rPr>
        <w:t>For both sexes, mortality rates for all causes of death registered in 2012 were significantly higher when calculated using the 2013 ESP compared with the 1976 ESP, as deaths predominantly occur at older ages</w:t>
      </w:r>
    </w:p>
    <w:p w14:paraId="378FEF02" w14:textId="77777777" w:rsidR="0033457E" w:rsidRPr="0082321B" w:rsidRDefault="0033457E" w:rsidP="0033457E">
      <w:pPr>
        <w:pStyle w:val="ListParagraph"/>
        <w:numPr>
          <w:ilvl w:val="0"/>
          <w:numId w:val="31"/>
        </w:numPr>
        <w:spacing w:before="240" w:after="180" w:line="240" w:lineRule="auto"/>
        <w:contextualSpacing w:val="0"/>
        <w:textboxTightWrap w:val="lastLineOnly"/>
        <w:rPr>
          <w:rFonts w:ascii="Arial" w:hAnsi="Arial" w:cs="Arial"/>
          <w:lang w:val="en"/>
        </w:rPr>
      </w:pPr>
      <w:r w:rsidRPr="0082321B">
        <w:rPr>
          <w:rFonts w:ascii="Arial" w:hAnsi="Arial" w:cs="Arial"/>
          <w:lang w:val="en"/>
        </w:rPr>
        <w:t>the 2013 ESP had a slightly greater effect on females than males in terms of the percentage increase in ASRs</w:t>
      </w:r>
    </w:p>
    <w:p w14:paraId="27D0F200" w14:textId="77777777" w:rsidR="0033457E" w:rsidRPr="0082321B" w:rsidRDefault="0033457E" w:rsidP="0033457E">
      <w:pPr>
        <w:pStyle w:val="ListParagraph"/>
        <w:numPr>
          <w:ilvl w:val="0"/>
          <w:numId w:val="31"/>
        </w:numPr>
        <w:spacing w:before="240" w:after="180" w:line="240" w:lineRule="auto"/>
        <w:contextualSpacing w:val="0"/>
        <w:textboxTightWrap w:val="lastLineOnly"/>
        <w:rPr>
          <w:rFonts w:ascii="Arial" w:hAnsi="Arial" w:cs="Arial"/>
          <w:lang w:val="en"/>
        </w:rPr>
      </w:pPr>
      <w:r w:rsidRPr="0082321B">
        <w:rPr>
          <w:rFonts w:ascii="Arial" w:hAnsi="Arial" w:cs="Arial"/>
          <w:lang w:val="en"/>
        </w:rPr>
        <w:t xml:space="preserve">Rates for ICD-10 chapters containing conditions such as dementia, Alzheimer’s, pneumonia and </w:t>
      </w:r>
      <w:r w:rsidRPr="0082321B">
        <w:rPr>
          <w:rFonts w:ascii="Arial" w:hAnsi="Arial" w:cs="Arial"/>
          <w:b/>
          <w:lang w:val="en"/>
        </w:rPr>
        <w:t>cerebrovascular and heart diseases</w:t>
      </w:r>
      <w:r w:rsidRPr="0082321B">
        <w:rPr>
          <w:rFonts w:ascii="Arial" w:hAnsi="Arial" w:cs="Arial"/>
          <w:lang w:val="en"/>
        </w:rPr>
        <w:t>, for example, were approximately twice as high under the new ESP compared with the old ESP.</w:t>
      </w:r>
    </w:p>
    <w:p w14:paraId="15E0AE6A" w14:textId="77777777" w:rsidR="0033457E" w:rsidRDefault="0033457E" w:rsidP="0033457E">
      <w:pPr>
        <w:spacing w:before="240"/>
        <w:rPr>
          <w:rStyle w:val="Hyperlink"/>
          <w:lang w:val="en"/>
        </w:rPr>
      </w:pPr>
      <w:r w:rsidRPr="0082321B">
        <w:rPr>
          <w:lang w:val="en"/>
        </w:rPr>
        <w:t xml:space="preserve">For more information on the ESP can be found at: </w:t>
      </w:r>
      <w:hyperlink r:id="rId17" w:history="1">
        <w:r w:rsidRPr="0082321B">
          <w:rPr>
            <w:rStyle w:val="Hyperlink"/>
            <w:lang w:val="en"/>
          </w:rPr>
          <w:t>http://www.ons.gov.uk/ons/rel/subnational-health2/european-standard-population/effect-on-uk-official-statistics/sty-revision-of-esp.html</w:t>
        </w:r>
      </w:hyperlink>
    </w:p>
    <w:p w14:paraId="678FC5C3" w14:textId="77777777" w:rsidR="0033457E" w:rsidRDefault="0033457E" w:rsidP="0033457E">
      <w:pPr>
        <w:spacing w:before="240"/>
        <w:rPr>
          <w:rStyle w:val="Hyperlink"/>
          <w:lang w:val="en"/>
        </w:rPr>
      </w:pPr>
    </w:p>
    <w:tbl>
      <w:tblPr>
        <w:tblStyle w:val="TableGrid"/>
        <w:tblW w:w="0" w:type="auto"/>
        <w:tblLook w:val="04A0" w:firstRow="1" w:lastRow="0" w:firstColumn="1" w:lastColumn="0" w:noHBand="0" w:noVBand="1"/>
      </w:tblPr>
      <w:tblGrid>
        <w:gridCol w:w="3256"/>
        <w:gridCol w:w="10692"/>
      </w:tblGrid>
      <w:tr w:rsidR="0033457E" w:rsidRPr="0082321B" w14:paraId="124F16B2" w14:textId="77777777" w:rsidTr="00F21F23">
        <w:tc>
          <w:tcPr>
            <w:tcW w:w="3256" w:type="dxa"/>
          </w:tcPr>
          <w:p w14:paraId="11A2BEF5" w14:textId="77777777" w:rsidR="0033457E" w:rsidRPr="0082321B" w:rsidRDefault="0033457E" w:rsidP="00F21F23">
            <w:pPr>
              <w:spacing w:before="240"/>
              <w:rPr>
                <w:b/>
              </w:rPr>
            </w:pPr>
            <w:r>
              <w:rPr>
                <w:b/>
              </w:rPr>
              <w:t>Data (continued)</w:t>
            </w:r>
          </w:p>
        </w:tc>
        <w:tc>
          <w:tcPr>
            <w:tcW w:w="10692" w:type="dxa"/>
          </w:tcPr>
          <w:p w14:paraId="2B846CCF" w14:textId="77777777" w:rsidR="0033457E" w:rsidRPr="0082321B" w:rsidRDefault="0033457E" w:rsidP="00F21F23">
            <w:pPr>
              <w:spacing w:before="240"/>
            </w:pPr>
          </w:p>
        </w:tc>
      </w:tr>
      <w:tr w:rsidR="0033457E" w:rsidRPr="0082321B" w14:paraId="5A5D7673" w14:textId="77777777" w:rsidTr="00F21F23">
        <w:tc>
          <w:tcPr>
            <w:tcW w:w="3256" w:type="dxa"/>
          </w:tcPr>
          <w:p w14:paraId="7F2667CD" w14:textId="77777777" w:rsidR="0033457E" w:rsidRPr="0082321B" w:rsidRDefault="0033457E" w:rsidP="00F21F23">
            <w:pPr>
              <w:spacing w:before="240"/>
              <w:rPr>
                <w:b/>
              </w:rPr>
            </w:pPr>
            <w:r w:rsidRPr="0082321B">
              <w:rPr>
                <w:b/>
              </w:rPr>
              <w:t>Quality assurance</w:t>
            </w:r>
          </w:p>
        </w:tc>
        <w:tc>
          <w:tcPr>
            <w:tcW w:w="10692" w:type="dxa"/>
          </w:tcPr>
          <w:p w14:paraId="7F692C10" w14:textId="77777777" w:rsidR="0033457E" w:rsidRPr="0082321B" w:rsidRDefault="0033457E" w:rsidP="00F21F23">
            <w:pPr>
              <w:spacing w:before="240"/>
            </w:pPr>
            <w:r w:rsidRPr="0082321B">
              <w:t xml:space="preserve">Mortality data passes through </w:t>
            </w:r>
            <w:proofErr w:type="gramStart"/>
            <w:r w:rsidRPr="0082321B">
              <w:t>a number of</w:t>
            </w:r>
            <w:proofErr w:type="gramEnd"/>
            <w:r w:rsidRPr="0082321B">
              <w:t xml:space="preserve"> processes before becoming usable for analysis. Simple validations include examination of dates to ensure that they are likely. More complicated validations include checks for consistency between dates of birth, death and registration, or between age and marital status.</w:t>
            </w:r>
          </w:p>
          <w:p w14:paraId="00CC671D" w14:textId="77777777" w:rsidR="0033457E" w:rsidRPr="0082321B" w:rsidRDefault="0033457E" w:rsidP="00F21F23">
            <w:pPr>
              <w:spacing w:before="240"/>
              <w:rPr>
                <w:u w:val="single"/>
              </w:rPr>
            </w:pPr>
            <w:r w:rsidRPr="0082321B">
              <w:t xml:space="preserve">More information on the data validation processes and routine checks carried out by ONS is available here: </w:t>
            </w:r>
            <w:hyperlink r:id="rId18" w:history="1">
              <w:r w:rsidRPr="0082321B">
                <w:rPr>
                  <w:u w:val="single"/>
                </w:rPr>
                <w:t>http://www.ons.gov.uk/ons/guide-method/user-guidance/health-and-life-events/mortality-metadata.pdf</w:t>
              </w:r>
            </w:hyperlink>
          </w:p>
          <w:p w14:paraId="3C9C7C68" w14:textId="77777777" w:rsidR="0033457E" w:rsidRPr="0082321B" w:rsidRDefault="0033457E" w:rsidP="00F21F23">
            <w:pPr>
              <w:spacing w:before="240"/>
            </w:pPr>
            <w:r w:rsidRPr="0082321B">
              <w:t xml:space="preserve">As part of the production process for this indicator, the national figures reported are checked against published figures from ONS. In addition, as further years of data are </w:t>
            </w:r>
            <w:proofErr w:type="gramStart"/>
            <w:r w:rsidRPr="0082321B">
              <w:t>published</w:t>
            </w:r>
            <w:proofErr w:type="gramEnd"/>
            <w:r w:rsidRPr="0082321B">
              <w:t xml:space="preserve"> they will be checked to determine whether the change is in line with changes seen previously. Investigation into the source of any issues will be conducted where necessary.</w:t>
            </w:r>
          </w:p>
        </w:tc>
      </w:tr>
      <w:tr w:rsidR="0033457E" w:rsidRPr="0082321B" w14:paraId="5E051711" w14:textId="77777777" w:rsidTr="00F21F23">
        <w:tc>
          <w:tcPr>
            <w:tcW w:w="3256" w:type="dxa"/>
          </w:tcPr>
          <w:p w14:paraId="4E9608D2" w14:textId="77777777" w:rsidR="0033457E" w:rsidRPr="0082321B" w:rsidRDefault="0033457E" w:rsidP="00F21F23">
            <w:pPr>
              <w:spacing w:before="240"/>
              <w:ind w:left="34"/>
              <w:rPr>
                <w:b/>
              </w:rPr>
            </w:pPr>
            <w:r w:rsidRPr="0082321B">
              <w:rPr>
                <w:b/>
              </w:rPr>
              <w:t xml:space="preserve">Quality improvement plan </w:t>
            </w:r>
          </w:p>
          <w:p w14:paraId="6CDD4178" w14:textId="77777777" w:rsidR="0033457E" w:rsidRPr="0082321B" w:rsidRDefault="0033457E" w:rsidP="00F21F23">
            <w:pPr>
              <w:spacing w:before="240"/>
              <w:rPr>
                <w:b/>
              </w:rPr>
            </w:pPr>
            <w:r w:rsidRPr="0082321B">
              <w:t>If appropriate</w:t>
            </w:r>
          </w:p>
        </w:tc>
        <w:tc>
          <w:tcPr>
            <w:tcW w:w="10692" w:type="dxa"/>
          </w:tcPr>
          <w:p w14:paraId="7F2588FC" w14:textId="77777777" w:rsidR="0033457E" w:rsidRPr="0082321B" w:rsidRDefault="0033457E" w:rsidP="00F21F23">
            <w:pPr>
              <w:spacing w:before="240"/>
            </w:pPr>
            <w:r w:rsidRPr="0082321B">
              <w:t>N/A</w:t>
            </w:r>
          </w:p>
        </w:tc>
      </w:tr>
      <w:tr w:rsidR="0033457E" w:rsidRPr="0082321B" w14:paraId="25B50847" w14:textId="77777777" w:rsidTr="00F21F23">
        <w:tc>
          <w:tcPr>
            <w:tcW w:w="3256" w:type="dxa"/>
          </w:tcPr>
          <w:p w14:paraId="0452DA32" w14:textId="77777777" w:rsidR="0033457E" w:rsidRPr="0082321B" w:rsidRDefault="0033457E" w:rsidP="00F21F23">
            <w:pPr>
              <w:spacing w:before="240"/>
              <w:ind w:left="34"/>
              <w:rPr>
                <w:b/>
              </w:rPr>
            </w:pPr>
            <w:r w:rsidRPr="0082321B">
              <w:rPr>
                <w:b/>
              </w:rPr>
              <w:lastRenderedPageBreak/>
              <w:t>Data linkage</w:t>
            </w:r>
          </w:p>
        </w:tc>
        <w:tc>
          <w:tcPr>
            <w:tcW w:w="10692" w:type="dxa"/>
          </w:tcPr>
          <w:p w14:paraId="79895CAB" w14:textId="77777777" w:rsidR="0033457E" w:rsidRPr="0082321B" w:rsidRDefault="0033457E" w:rsidP="00F21F23">
            <w:pPr>
              <w:spacing w:before="240"/>
            </w:pPr>
            <w:r w:rsidRPr="0082321B">
              <w:t>No data linkage is carried out.</w:t>
            </w:r>
          </w:p>
        </w:tc>
      </w:tr>
      <w:tr w:rsidR="0033457E" w:rsidRPr="0082321B" w14:paraId="4CEDD029" w14:textId="77777777" w:rsidTr="00F21F23">
        <w:tc>
          <w:tcPr>
            <w:tcW w:w="3256" w:type="dxa"/>
          </w:tcPr>
          <w:p w14:paraId="2D0B64E2" w14:textId="77777777" w:rsidR="0033457E" w:rsidRPr="0082321B" w:rsidRDefault="0033457E" w:rsidP="00F21F23">
            <w:pPr>
              <w:spacing w:before="240"/>
              <w:ind w:left="34"/>
              <w:rPr>
                <w:b/>
              </w:rPr>
            </w:pPr>
            <w:r w:rsidRPr="0082321B">
              <w:rPr>
                <w:b/>
              </w:rPr>
              <w:t>Quality of data linkage</w:t>
            </w:r>
          </w:p>
        </w:tc>
        <w:tc>
          <w:tcPr>
            <w:tcW w:w="10692" w:type="dxa"/>
          </w:tcPr>
          <w:p w14:paraId="292A0AD2" w14:textId="77777777" w:rsidR="0033457E" w:rsidRPr="0082321B" w:rsidRDefault="0033457E" w:rsidP="00F21F23">
            <w:pPr>
              <w:spacing w:before="240"/>
            </w:pPr>
            <w:r w:rsidRPr="0082321B">
              <w:t>N/A</w:t>
            </w:r>
          </w:p>
        </w:tc>
      </w:tr>
      <w:tr w:rsidR="0033457E" w:rsidRPr="0082321B" w14:paraId="40E65CFF" w14:textId="77777777" w:rsidTr="00F21F23">
        <w:tc>
          <w:tcPr>
            <w:tcW w:w="3256" w:type="dxa"/>
          </w:tcPr>
          <w:p w14:paraId="5A57A5BC" w14:textId="77777777" w:rsidR="0033457E" w:rsidRPr="0082321B" w:rsidRDefault="0033457E" w:rsidP="00F21F23">
            <w:pPr>
              <w:spacing w:before="240"/>
              <w:ind w:left="34"/>
              <w:rPr>
                <w:b/>
              </w:rPr>
            </w:pPr>
            <w:r w:rsidRPr="0082321B">
              <w:rPr>
                <w:b/>
              </w:rPr>
              <w:t>Data fields</w:t>
            </w:r>
          </w:p>
        </w:tc>
        <w:tc>
          <w:tcPr>
            <w:tcW w:w="10692" w:type="dxa"/>
          </w:tcPr>
          <w:p w14:paraId="6F7E0C43" w14:textId="77777777" w:rsidR="0033457E" w:rsidRPr="0082321B" w:rsidRDefault="0033457E" w:rsidP="00F21F23">
            <w:pPr>
              <w:rPr>
                <w:lang w:eastAsia="en-GB"/>
              </w:rPr>
            </w:pPr>
            <w:r w:rsidRPr="0082321B">
              <w:rPr>
                <w:lang w:eastAsia="en-GB"/>
              </w:rPr>
              <w:t>The data fields used within the ONS mortality data are as follows:</w:t>
            </w:r>
          </w:p>
          <w:p w14:paraId="51A966EB" w14:textId="77777777" w:rsidR="0033457E" w:rsidRPr="0082321B" w:rsidRDefault="0033457E" w:rsidP="00F21F23">
            <w:r w:rsidRPr="0082321B">
              <w:tab/>
              <w:t>CALCULATED_AGE_UNIT</w:t>
            </w:r>
          </w:p>
          <w:p w14:paraId="6ADE1385" w14:textId="77777777" w:rsidR="0033457E" w:rsidRPr="0082321B" w:rsidRDefault="0033457E" w:rsidP="00F21F23">
            <w:r w:rsidRPr="0082321B">
              <w:tab/>
              <w:t>CALCULATED_AGE</w:t>
            </w:r>
            <w:r w:rsidRPr="0082321B">
              <w:tab/>
            </w:r>
          </w:p>
          <w:p w14:paraId="649FC076" w14:textId="77777777" w:rsidR="0033457E" w:rsidRPr="0082321B" w:rsidRDefault="0033457E" w:rsidP="00F21F23">
            <w:r w:rsidRPr="0082321B">
              <w:tab/>
              <w:t>SEX</w:t>
            </w:r>
          </w:p>
          <w:p w14:paraId="5FA7657A" w14:textId="77777777" w:rsidR="0033457E" w:rsidRPr="0082321B" w:rsidRDefault="0033457E" w:rsidP="00F21F23">
            <w:r w:rsidRPr="0082321B">
              <w:tab/>
              <w:t>DATE_OF_REGISTRATION</w:t>
            </w:r>
          </w:p>
          <w:p w14:paraId="33ECE7C4" w14:textId="77777777" w:rsidR="0033457E" w:rsidRPr="0082321B" w:rsidRDefault="0033457E" w:rsidP="00F21F23">
            <w:r w:rsidRPr="0082321B">
              <w:tab/>
              <w:t>LSOA_OF_RESIDENCE_CODE</w:t>
            </w:r>
          </w:p>
          <w:p w14:paraId="22841A01" w14:textId="77777777" w:rsidR="0033457E" w:rsidRPr="0082321B" w:rsidRDefault="0033457E" w:rsidP="00F21F23">
            <w:pPr>
              <w:spacing w:before="240"/>
            </w:pPr>
            <w:r w:rsidRPr="0082321B">
              <w:tab/>
              <w:t>UNDERLYING_CAUSE_OF_DEATH</w:t>
            </w:r>
          </w:p>
        </w:tc>
      </w:tr>
    </w:tbl>
    <w:p w14:paraId="608A8B29" w14:textId="77777777" w:rsidR="0033457E" w:rsidRDefault="0033457E" w:rsidP="0033457E">
      <w:pPr>
        <w:spacing w:before="240"/>
        <w:rPr>
          <w:b/>
        </w:rPr>
      </w:pPr>
      <w:r w:rsidRPr="0082321B">
        <w:rPr>
          <w:b/>
        </w:rPr>
        <w:t>Data filters</w:t>
      </w:r>
    </w:p>
    <w:tbl>
      <w:tblPr>
        <w:tblStyle w:val="TableGrid"/>
        <w:tblW w:w="12753" w:type="dxa"/>
        <w:tblLook w:val="01E0" w:firstRow="1" w:lastRow="1" w:firstColumn="1" w:lastColumn="1" w:noHBand="0" w:noVBand="0"/>
      </w:tblPr>
      <w:tblGrid>
        <w:gridCol w:w="3780"/>
        <w:gridCol w:w="8973"/>
      </w:tblGrid>
      <w:tr w:rsidR="0033457E" w:rsidRPr="0082321B" w14:paraId="411C61BA" w14:textId="77777777" w:rsidTr="00D45A20">
        <w:tc>
          <w:tcPr>
            <w:tcW w:w="3780" w:type="dxa"/>
            <w:hideMark/>
          </w:tcPr>
          <w:p w14:paraId="3E098CA5" w14:textId="77777777" w:rsidR="0033457E" w:rsidRPr="0082321B" w:rsidRDefault="0033457E" w:rsidP="00F21F23">
            <w:r w:rsidRPr="0082321B">
              <w:t>1.</w:t>
            </w:r>
            <w:r w:rsidRPr="0082321B">
              <w:tab/>
              <w:t>Field Name</w:t>
            </w:r>
          </w:p>
        </w:tc>
        <w:tc>
          <w:tcPr>
            <w:tcW w:w="8973" w:type="dxa"/>
            <w:hideMark/>
          </w:tcPr>
          <w:p w14:paraId="0F656D3C" w14:textId="77777777" w:rsidR="0033457E" w:rsidRPr="0082321B" w:rsidRDefault="0033457E" w:rsidP="00F21F23">
            <w:pPr>
              <w:rPr>
                <w:b/>
              </w:rPr>
            </w:pPr>
            <w:r w:rsidRPr="0082321B">
              <w:rPr>
                <w:b/>
              </w:rPr>
              <w:t>CALCULATED_AGE_UNIT</w:t>
            </w:r>
          </w:p>
        </w:tc>
      </w:tr>
      <w:tr w:rsidR="0033457E" w:rsidRPr="0082321B" w14:paraId="3DC16E95" w14:textId="77777777" w:rsidTr="00D45A20">
        <w:tc>
          <w:tcPr>
            <w:tcW w:w="3780" w:type="dxa"/>
            <w:hideMark/>
          </w:tcPr>
          <w:p w14:paraId="78DDE89F" w14:textId="77777777" w:rsidR="0033457E" w:rsidRPr="0082321B" w:rsidRDefault="0033457E" w:rsidP="00F21F23">
            <w:r w:rsidRPr="0082321B">
              <w:tab/>
              <w:t>Conditions</w:t>
            </w:r>
          </w:p>
        </w:tc>
        <w:tc>
          <w:tcPr>
            <w:tcW w:w="8973" w:type="dxa"/>
            <w:hideMark/>
          </w:tcPr>
          <w:p w14:paraId="7432039C" w14:textId="77777777" w:rsidR="0033457E" w:rsidRPr="0082321B" w:rsidRDefault="0033457E" w:rsidP="00F21F23">
            <w:r w:rsidRPr="0082321B">
              <w:t xml:space="preserve">When CALCULATED_AGE_UNIT equals 2, 3 or </w:t>
            </w:r>
            <w:r w:rsidRPr="0082321B">
              <w:br/>
              <w:t>4 recode age to zero years</w:t>
            </w:r>
          </w:p>
        </w:tc>
      </w:tr>
      <w:tr w:rsidR="0033457E" w:rsidRPr="0082321B" w14:paraId="1BE64B06" w14:textId="77777777" w:rsidTr="00D45A20">
        <w:tc>
          <w:tcPr>
            <w:tcW w:w="3780" w:type="dxa"/>
            <w:hideMark/>
          </w:tcPr>
          <w:p w14:paraId="40BC2E29" w14:textId="77777777" w:rsidR="0033457E" w:rsidRPr="0082321B" w:rsidRDefault="0033457E" w:rsidP="00F21F23">
            <w:r w:rsidRPr="0082321B">
              <w:tab/>
              <w:t xml:space="preserve">Rationale:  </w:t>
            </w:r>
          </w:p>
        </w:tc>
        <w:tc>
          <w:tcPr>
            <w:tcW w:w="8973" w:type="dxa"/>
            <w:hideMark/>
          </w:tcPr>
          <w:p w14:paraId="0E43A12E" w14:textId="77777777" w:rsidR="0033457E" w:rsidRPr="0082321B" w:rsidRDefault="0033457E" w:rsidP="00F21F23">
            <w:r w:rsidRPr="0082321B">
              <w:t xml:space="preserve">The calculated age unit is used to specify whether </w:t>
            </w:r>
            <w:r w:rsidRPr="0082321B">
              <w:br/>
              <w:t xml:space="preserve">the CALCULATED_AGE field refers to years (1), </w:t>
            </w:r>
            <w:r w:rsidRPr="0082321B">
              <w:br/>
              <w:t xml:space="preserve">months (2), weeks (3) or days (4) of life. </w:t>
            </w:r>
          </w:p>
          <w:p w14:paraId="538B23B9" w14:textId="77777777" w:rsidR="0033457E" w:rsidRPr="0082321B" w:rsidRDefault="0033457E" w:rsidP="00F21F23"/>
        </w:tc>
      </w:tr>
      <w:tr w:rsidR="0033457E" w:rsidRPr="0082321B" w14:paraId="0E4A20A0" w14:textId="77777777" w:rsidTr="00D45A20">
        <w:tc>
          <w:tcPr>
            <w:tcW w:w="3780" w:type="dxa"/>
            <w:hideMark/>
          </w:tcPr>
          <w:p w14:paraId="6CD8DE59" w14:textId="77777777" w:rsidR="0033457E" w:rsidRPr="0082321B" w:rsidRDefault="0033457E" w:rsidP="00F21F23">
            <w:r w:rsidRPr="0082321B">
              <w:t xml:space="preserve">2. </w:t>
            </w:r>
            <w:r w:rsidRPr="0082321B">
              <w:tab/>
              <w:t>Field Name</w:t>
            </w:r>
          </w:p>
        </w:tc>
        <w:tc>
          <w:tcPr>
            <w:tcW w:w="8973" w:type="dxa"/>
            <w:hideMark/>
          </w:tcPr>
          <w:p w14:paraId="56D6ECE0" w14:textId="77777777" w:rsidR="0033457E" w:rsidRPr="0082321B" w:rsidRDefault="0033457E" w:rsidP="00F21F23">
            <w:pPr>
              <w:rPr>
                <w:b/>
              </w:rPr>
            </w:pPr>
            <w:r w:rsidRPr="0082321B">
              <w:rPr>
                <w:b/>
              </w:rPr>
              <w:t>CALCULATED_AGE</w:t>
            </w:r>
          </w:p>
        </w:tc>
      </w:tr>
      <w:tr w:rsidR="0033457E" w:rsidRPr="0082321B" w14:paraId="505C65D5" w14:textId="77777777" w:rsidTr="00D45A20">
        <w:tc>
          <w:tcPr>
            <w:tcW w:w="3780" w:type="dxa"/>
            <w:hideMark/>
          </w:tcPr>
          <w:p w14:paraId="4CD24608" w14:textId="77777777" w:rsidR="0033457E" w:rsidRPr="0082321B" w:rsidRDefault="0033457E" w:rsidP="00F21F23">
            <w:r w:rsidRPr="0082321B">
              <w:tab/>
              <w:t>Conditions</w:t>
            </w:r>
          </w:p>
        </w:tc>
        <w:tc>
          <w:tcPr>
            <w:tcW w:w="8973" w:type="dxa"/>
            <w:hideMark/>
          </w:tcPr>
          <w:p w14:paraId="39D58BAE" w14:textId="77777777" w:rsidR="0033457E" w:rsidRPr="0082321B" w:rsidRDefault="0033457E" w:rsidP="00F21F23">
            <w:r w:rsidRPr="0082321B">
              <w:t>Is between (inclusive): 0 and 74</w:t>
            </w:r>
          </w:p>
        </w:tc>
      </w:tr>
      <w:tr w:rsidR="0033457E" w:rsidRPr="0082321B" w14:paraId="053BECB0" w14:textId="77777777" w:rsidTr="00D45A20">
        <w:tc>
          <w:tcPr>
            <w:tcW w:w="3780" w:type="dxa"/>
            <w:hideMark/>
          </w:tcPr>
          <w:p w14:paraId="03BB6B22" w14:textId="77777777" w:rsidR="0033457E" w:rsidRPr="0082321B" w:rsidRDefault="0033457E" w:rsidP="00F21F23">
            <w:r w:rsidRPr="0082321B">
              <w:tab/>
              <w:t>Rationale</w:t>
            </w:r>
          </w:p>
        </w:tc>
        <w:tc>
          <w:tcPr>
            <w:tcW w:w="8973" w:type="dxa"/>
            <w:hideMark/>
          </w:tcPr>
          <w:p w14:paraId="4809A728" w14:textId="77777777" w:rsidR="0033457E" w:rsidRPr="0082321B" w:rsidRDefault="0033457E" w:rsidP="00F21F23">
            <w:r w:rsidRPr="0082321B">
              <w:t xml:space="preserve">Combined with the recoded zero ages from CALCULATED_AGE_UNIT selects only those </w:t>
            </w:r>
            <w:r w:rsidRPr="0082321B">
              <w:br/>
              <w:t>aged under 75 years at the time of death</w:t>
            </w:r>
          </w:p>
          <w:p w14:paraId="355E7F07" w14:textId="77777777" w:rsidR="0033457E" w:rsidRPr="0082321B" w:rsidRDefault="0033457E" w:rsidP="00F21F23"/>
        </w:tc>
      </w:tr>
      <w:tr w:rsidR="0033457E" w:rsidRPr="0082321B" w14:paraId="3C47FCDB" w14:textId="77777777" w:rsidTr="00D45A20">
        <w:tc>
          <w:tcPr>
            <w:tcW w:w="3780" w:type="dxa"/>
            <w:hideMark/>
          </w:tcPr>
          <w:p w14:paraId="66F3D7CE" w14:textId="77777777" w:rsidR="0033457E" w:rsidRPr="0082321B" w:rsidRDefault="0033457E" w:rsidP="00F21F23">
            <w:r w:rsidRPr="0082321B">
              <w:t xml:space="preserve">3. </w:t>
            </w:r>
            <w:r w:rsidRPr="0082321B">
              <w:tab/>
              <w:t>Field Name</w:t>
            </w:r>
          </w:p>
        </w:tc>
        <w:tc>
          <w:tcPr>
            <w:tcW w:w="8973" w:type="dxa"/>
            <w:hideMark/>
          </w:tcPr>
          <w:p w14:paraId="33AAD8B2" w14:textId="77777777" w:rsidR="0033457E" w:rsidRPr="0082321B" w:rsidRDefault="0033457E" w:rsidP="00F21F23">
            <w:pPr>
              <w:rPr>
                <w:b/>
              </w:rPr>
            </w:pPr>
            <w:r w:rsidRPr="0082321B">
              <w:rPr>
                <w:b/>
              </w:rPr>
              <w:t>DATE_OF_REGISTRATION</w:t>
            </w:r>
          </w:p>
        </w:tc>
      </w:tr>
      <w:tr w:rsidR="0033457E" w:rsidRPr="0082321B" w14:paraId="4A2E17A9" w14:textId="77777777" w:rsidTr="00D45A20">
        <w:tc>
          <w:tcPr>
            <w:tcW w:w="3780" w:type="dxa"/>
            <w:hideMark/>
          </w:tcPr>
          <w:p w14:paraId="30BC2F62" w14:textId="77777777" w:rsidR="0033457E" w:rsidRPr="0082321B" w:rsidRDefault="0033457E" w:rsidP="00F21F23">
            <w:r w:rsidRPr="0082321B">
              <w:tab/>
              <w:t>Conditions</w:t>
            </w:r>
          </w:p>
        </w:tc>
        <w:tc>
          <w:tcPr>
            <w:tcW w:w="8973" w:type="dxa"/>
            <w:hideMark/>
          </w:tcPr>
          <w:p w14:paraId="3E728391" w14:textId="77777777" w:rsidR="0033457E" w:rsidRPr="0082321B" w:rsidRDefault="0033457E" w:rsidP="00F21F23">
            <w:r w:rsidRPr="0082321B">
              <w:t xml:space="preserve">Is between 1 January and 31 December of the </w:t>
            </w:r>
            <w:r w:rsidRPr="0082321B">
              <w:br/>
              <w:t>respective calendar year inclusive.</w:t>
            </w:r>
          </w:p>
        </w:tc>
      </w:tr>
      <w:tr w:rsidR="0033457E" w:rsidRPr="0082321B" w14:paraId="798900AD" w14:textId="77777777" w:rsidTr="00D45A20">
        <w:tc>
          <w:tcPr>
            <w:tcW w:w="3780" w:type="dxa"/>
            <w:hideMark/>
          </w:tcPr>
          <w:p w14:paraId="654E7AE5" w14:textId="77777777" w:rsidR="0033457E" w:rsidRPr="0082321B" w:rsidRDefault="0033457E" w:rsidP="00F21F23">
            <w:r w:rsidRPr="0082321B">
              <w:tab/>
              <w:t>Rationale</w:t>
            </w:r>
          </w:p>
        </w:tc>
        <w:tc>
          <w:tcPr>
            <w:tcW w:w="8973" w:type="dxa"/>
            <w:hideMark/>
          </w:tcPr>
          <w:p w14:paraId="0ECD8E7E" w14:textId="77777777" w:rsidR="0033457E" w:rsidRPr="0082321B" w:rsidRDefault="0033457E" w:rsidP="00F21F23">
            <w:r w:rsidRPr="0082321B">
              <w:t xml:space="preserve">Selects only those deaths registered during the </w:t>
            </w:r>
            <w:r w:rsidRPr="0082321B">
              <w:br/>
              <w:t>relevant calendar year.</w:t>
            </w:r>
          </w:p>
          <w:p w14:paraId="7EE02F71" w14:textId="77777777" w:rsidR="0033457E" w:rsidRPr="0082321B" w:rsidRDefault="0033457E" w:rsidP="00F21F23"/>
        </w:tc>
      </w:tr>
      <w:tr w:rsidR="0033457E" w:rsidRPr="0082321B" w14:paraId="3E7D2E44" w14:textId="77777777" w:rsidTr="00D45A20">
        <w:tc>
          <w:tcPr>
            <w:tcW w:w="3780" w:type="dxa"/>
            <w:hideMark/>
          </w:tcPr>
          <w:p w14:paraId="17EBEC27" w14:textId="77777777" w:rsidR="0033457E" w:rsidRPr="0082321B" w:rsidRDefault="0033457E" w:rsidP="00F21F23">
            <w:r w:rsidRPr="0082321B">
              <w:t>4.</w:t>
            </w:r>
            <w:r w:rsidRPr="0082321B">
              <w:tab/>
              <w:t>Field Name</w:t>
            </w:r>
          </w:p>
        </w:tc>
        <w:tc>
          <w:tcPr>
            <w:tcW w:w="8973" w:type="dxa"/>
            <w:hideMark/>
          </w:tcPr>
          <w:p w14:paraId="50CF5F05" w14:textId="77777777" w:rsidR="0033457E" w:rsidRPr="0082321B" w:rsidRDefault="0033457E" w:rsidP="00F21F23">
            <w:pPr>
              <w:rPr>
                <w:b/>
              </w:rPr>
            </w:pPr>
            <w:r w:rsidRPr="0082321B">
              <w:rPr>
                <w:b/>
              </w:rPr>
              <w:t>SEX</w:t>
            </w:r>
          </w:p>
        </w:tc>
      </w:tr>
      <w:tr w:rsidR="0033457E" w:rsidRPr="0082321B" w14:paraId="5287AA88" w14:textId="77777777" w:rsidTr="00D45A20">
        <w:tc>
          <w:tcPr>
            <w:tcW w:w="3780" w:type="dxa"/>
            <w:hideMark/>
          </w:tcPr>
          <w:p w14:paraId="6364AC4F" w14:textId="77777777" w:rsidR="0033457E" w:rsidRPr="0082321B" w:rsidRDefault="0033457E" w:rsidP="00F21F23">
            <w:r w:rsidRPr="0082321B">
              <w:tab/>
              <w:t>Conditions</w:t>
            </w:r>
          </w:p>
        </w:tc>
        <w:tc>
          <w:tcPr>
            <w:tcW w:w="8973" w:type="dxa"/>
            <w:hideMark/>
          </w:tcPr>
          <w:p w14:paraId="28334916" w14:textId="77777777" w:rsidR="0033457E" w:rsidRPr="0082321B" w:rsidRDefault="0033457E" w:rsidP="00F21F23">
            <w:r w:rsidRPr="0082321B">
              <w:t xml:space="preserve">Is equal to 1 or 2 </w:t>
            </w:r>
          </w:p>
        </w:tc>
      </w:tr>
      <w:tr w:rsidR="0033457E" w:rsidRPr="0082321B" w14:paraId="2CA7B8F3" w14:textId="77777777" w:rsidTr="00D45A20">
        <w:tc>
          <w:tcPr>
            <w:tcW w:w="3780" w:type="dxa"/>
            <w:hideMark/>
          </w:tcPr>
          <w:p w14:paraId="39A5FF92" w14:textId="77777777" w:rsidR="0033457E" w:rsidRPr="0082321B" w:rsidRDefault="0033457E" w:rsidP="00F21F23">
            <w:r w:rsidRPr="0082321B">
              <w:tab/>
              <w:t>Rationale</w:t>
            </w:r>
          </w:p>
        </w:tc>
        <w:tc>
          <w:tcPr>
            <w:tcW w:w="8973" w:type="dxa"/>
            <w:hideMark/>
          </w:tcPr>
          <w:p w14:paraId="304A478D" w14:textId="77777777" w:rsidR="0033457E" w:rsidRPr="0082321B" w:rsidRDefault="0033457E" w:rsidP="00F21F23">
            <w:r w:rsidRPr="0082321B">
              <w:t xml:space="preserve">A valid sex field is required when directly </w:t>
            </w:r>
            <w:r w:rsidRPr="0082321B">
              <w:br/>
              <w:t>standardising by age and sex.</w:t>
            </w:r>
          </w:p>
        </w:tc>
      </w:tr>
      <w:tr w:rsidR="0033457E" w:rsidRPr="0082321B" w14:paraId="0635C66F" w14:textId="77777777" w:rsidTr="00D45A20">
        <w:tc>
          <w:tcPr>
            <w:tcW w:w="3780" w:type="dxa"/>
          </w:tcPr>
          <w:p w14:paraId="396F1C1E" w14:textId="77777777" w:rsidR="0033457E" w:rsidRPr="0082321B" w:rsidRDefault="0033457E" w:rsidP="00F21F23"/>
        </w:tc>
        <w:tc>
          <w:tcPr>
            <w:tcW w:w="8973" w:type="dxa"/>
          </w:tcPr>
          <w:p w14:paraId="76967C91" w14:textId="77777777" w:rsidR="0033457E" w:rsidRPr="0082321B" w:rsidRDefault="0033457E" w:rsidP="00F21F23"/>
        </w:tc>
      </w:tr>
      <w:tr w:rsidR="0033457E" w:rsidRPr="0082321B" w14:paraId="4A896EAB" w14:textId="77777777" w:rsidTr="00D45A20">
        <w:tc>
          <w:tcPr>
            <w:tcW w:w="3780" w:type="dxa"/>
            <w:hideMark/>
          </w:tcPr>
          <w:p w14:paraId="580A3843" w14:textId="77777777" w:rsidR="0033457E" w:rsidRPr="0082321B" w:rsidRDefault="0033457E" w:rsidP="00F21F23">
            <w:r w:rsidRPr="0082321B">
              <w:t xml:space="preserve">5. </w:t>
            </w:r>
            <w:r w:rsidRPr="0082321B">
              <w:tab/>
              <w:t>Field Name</w:t>
            </w:r>
          </w:p>
        </w:tc>
        <w:tc>
          <w:tcPr>
            <w:tcW w:w="8973" w:type="dxa"/>
            <w:hideMark/>
          </w:tcPr>
          <w:p w14:paraId="1B1D3510" w14:textId="77777777" w:rsidR="0033457E" w:rsidRPr="0082321B" w:rsidRDefault="0033457E" w:rsidP="00F21F23">
            <w:pPr>
              <w:rPr>
                <w:b/>
              </w:rPr>
            </w:pPr>
            <w:r w:rsidRPr="0082321B">
              <w:rPr>
                <w:b/>
              </w:rPr>
              <w:t>LSOA_OF_RESIDENCE_CODE</w:t>
            </w:r>
          </w:p>
        </w:tc>
      </w:tr>
      <w:tr w:rsidR="0033457E" w:rsidRPr="0082321B" w14:paraId="7D790632" w14:textId="77777777" w:rsidTr="00D45A20">
        <w:tc>
          <w:tcPr>
            <w:tcW w:w="3780" w:type="dxa"/>
            <w:hideMark/>
          </w:tcPr>
          <w:p w14:paraId="15677762" w14:textId="77777777" w:rsidR="0033457E" w:rsidRPr="0082321B" w:rsidRDefault="0033457E" w:rsidP="00F21F23">
            <w:r w:rsidRPr="0082321B">
              <w:lastRenderedPageBreak/>
              <w:tab/>
              <w:t>Conditions</w:t>
            </w:r>
          </w:p>
        </w:tc>
        <w:tc>
          <w:tcPr>
            <w:tcW w:w="8973" w:type="dxa"/>
            <w:hideMark/>
          </w:tcPr>
          <w:p w14:paraId="3D5B953C" w14:textId="77777777" w:rsidR="0033457E" w:rsidRPr="0082321B" w:rsidRDefault="0033457E" w:rsidP="00F21F23">
            <w:r w:rsidRPr="0082321B">
              <w:t xml:space="preserve">Is equal to a valid English Lower Super Output </w:t>
            </w:r>
            <w:r w:rsidRPr="0082321B">
              <w:br/>
              <w:t>Area (LSOA).</w:t>
            </w:r>
          </w:p>
        </w:tc>
      </w:tr>
      <w:tr w:rsidR="0033457E" w:rsidRPr="0082321B" w14:paraId="331A035B" w14:textId="77777777" w:rsidTr="00D45A20">
        <w:trPr>
          <w:trHeight w:val="197"/>
        </w:trPr>
        <w:tc>
          <w:tcPr>
            <w:tcW w:w="3780" w:type="dxa"/>
            <w:hideMark/>
          </w:tcPr>
          <w:p w14:paraId="26EF9F7B" w14:textId="77777777" w:rsidR="0033457E" w:rsidRPr="0082321B" w:rsidRDefault="0033457E" w:rsidP="00F21F23">
            <w:r w:rsidRPr="0082321B">
              <w:tab/>
              <w:t>Rationale</w:t>
            </w:r>
          </w:p>
        </w:tc>
        <w:tc>
          <w:tcPr>
            <w:tcW w:w="8973" w:type="dxa"/>
            <w:hideMark/>
          </w:tcPr>
          <w:p w14:paraId="51C5FA23" w14:textId="77777777" w:rsidR="0033457E" w:rsidRPr="0082321B" w:rsidRDefault="0033457E" w:rsidP="00F21F23">
            <w:pPr>
              <w:ind w:left="49" w:hanging="49"/>
            </w:pPr>
            <w:r w:rsidRPr="0082321B">
              <w:t xml:space="preserve">This restricts data to patient’s resident in England. </w:t>
            </w:r>
            <w:r w:rsidRPr="0082321B">
              <w:br/>
              <w:t>A valid English LSOA starts with the letter ‘E’.</w:t>
            </w:r>
          </w:p>
        </w:tc>
      </w:tr>
      <w:tr w:rsidR="0033457E" w:rsidRPr="0082321B" w14:paraId="53A3737D" w14:textId="77777777" w:rsidTr="00D45A20">
        <w:tc>
          <w:tcPr>
            <w:tcW w:w="3780" w:type="dxa"/>
          </w:tcPr>
          <w:p w14:paraId="07FF9074" w14:textId="77777777" w:rsidR="0033457E" w:rsidRPr="0082321B" w:rsidRDefault="0033457E" w:rsidP="00F21F23"/>
        </w:tc>
        <w:tc>
          <w:tcPr>
            <w:tcW w:w="8973" w:type="dxa"/>
          </w:tcPr>
          <w:p w14:paraId="7255762C" w14:textId="77777777" w:rsidR="0033457E" w:rsidRPr="0082321B" w:rsidRDefault="0033457E" w:rsidP="00F21F23"/>
        </w:tc>
      </w:tr>
      <w:tr w:rsidR="0033457E" w:rsidRPr="0082321B" w14:paraId="4DCF2D21" w14:textId="77777777" w:rsidTr="00D45A20">
        <w:tc>
          <w:tcPr>
            <w:tcW w:w="3780" w:type="dxa"/>
            <w:hideMark/>
          </w:tcPr>
          <w:p w14:paraId="409265D7" w14:textId="77777777" w:rsidR="0033457E" w:rsidRPr="0082321B" w:rsidRDefault="0033457E" w:rsidP="00F21F23">
            <w:r w:rsidRPr="0082321B">
              <w:t xml:space="preserve">6. </w:t>
            </w:r>
            <w:r w:rsidRPr="0082321B">
              <w:tab/>
              <w:t>Field Name</w:t>
            </w:r>
          </w:p>
        </w:tc>
        <w:tc>
          <w:tcPr>
            <w:tcW w:w="8973" w:type="dxa"/>
            <w:hideMark/>
          </w:tcPr>
          <w:p w14:paraId="4B59C45E" w14:textId="77777777" w:rsidR="0033457E" w:rsidRPr="0082321B" w:rsidRDefault="0033457E" w:rsidP="00F21F23">
            <w:pPr>
              <w:rPr>
                <w:b/>
              </w:rPr>
            </w:pPr>
            <w:r w:rsidRPr="0082321B">
              <w:rPr>
                <w:b/>
              </w:rPr>
              <w:t>UNDERLYING_CAUSE_OF_DEATH</w:t>
            </w:r>
          </w:p>
        </w:tc>
      </w:tr>
      <w:tr w:rsidR="0033457E" w:rsidRPr="0082321B" w14:paraId="5CB21E44" w14:textId="77777777" w:rsidTr="00D45A20">
        <w:tc>
          <w:tcPr>
            <w:tcW w:w="3780" w:type="dxa"/>
            <w:hideMark/>
          </w:tcPr>
          <w:p w14:paraId="200322CE" w14:textId="77777777" w:rsidR="0033457E" w:rsidRPr="0082321B" w:rsidRDefault="0033457E" w:rsidP="00F21F23">
            <w:r w:rsidRPr="0082321B">
              <w:tab/>
              <w:t>Conditions</w:t>
            </w:r>
          </w:p>
        </w:tc>
        <w:tc>
          <w:tcPr>
            <w:tcW w:w="8973" w:type="dxa"/>
            <w:hideMark/>
          </w:tcPr>
          <w:p w14:paraId="335B0E2E" w14:textId="77777777" w:rsidR="0033457E" w:rsidRPr="0082321B" w:rsidRDefault="0033457E" w:rsidP="00F21F23">
            <w:r w:rsidRPr="0082321B">
              <w:t xml:space="preserve">ICD-10 codes I00-I99. </w:t>
            </w:r>
          </w:p>
          <w:p w14:paraId="473BD047" w14:textId="77777777" w:rsidR="0033457E" w:rsidRPr="0082321B" w:rsidRDefault="0033457E" w:rsidP="00F21F23">
            <w:pPr>
              <w:ind w:right="34"/>
            </w:pPr>
            <w:r w:rsidRPr="0082321B">
              <w:t>See specification document for domain 1 of the NHS Outcomes Framework</w:t>
            </w:r>
          </w:p>
        </w:tc>
      </w:tr>
      <w:tr w:rsidR="0033457E" w:rsidRPr="0082321B" w14:paraId="71019CC7" w14:textId="77777777" w:rsidTr="00D45A20">
        <w:tc>
          <w:tcPr>
            <w:tcW w:w="3780" w:type="dxa"/>
            <w:hideMark/>
          </w:tcPr>
          <w:p w14:paraId="383FF4D0" w14:textId="77777777" w:rsidR="0033457E" w:rsidRPr="0082321B" w:rsidRDefault="0033457E" w:rsidP="00F21F23">
            <w:r w:rsidRPr="0082321B">
              <w:tab/>
              <w:t>Rationale</w:t>
            </w:r>
          </w:p>
        </w:tc>
        <w:tc>
          <w:tcPr>
            <w:tcW w:w="8973" w:type="dxa"/>
            <w:hideMark/>
          </w:tcPr>
          <w:p w14:paraId="089FAECD" w14:textId="77777777" w:rsidR="0033457E" w:rsidRPr="0082321B" w:rsidRDefault="0033457E" w:rsidP="00F21F23">
            <w:r w:rsidRPr="0082321B">
              <w:t xml:space="preserve">Selects those whose underlying cause of death </w:t>
            </w:r>
            <w:r w:rsidRPr="0082321B">
              <w:br/>
              <w:t xml:space="preserve">was coded on the death certificate as </w:t>
            </w:r>
            <w:r w:rsidRPr="0082321B">
              <w:br/>
              <w:t xml:space="preserve">cardiovascular disease. </w:t>
            </w:r>
          </w:p>
        </w:tc>
      </w:tr>
      <w:tr w:rsidR="0033457E" w:rsidRPr="0082321B" w14:paraId="11B91AA1" w14:textId="77777777" w:rsidTr="00D45A20">
        <w:tblPrEx>
          <w:tblLook w:val="04A0" w:firstRow="1" w:lastRow="0" w:firstColumn="1" w:lastColumn="0" w:noHBand="0" w:noVBand="1"/>
        </w:tblPrEx>
        <w:tc>
          <w:tcPr>
            <w:tcW w:w="3780" w:type="dxa"/>
          </w:tcPr>
          <w:p w14:paraId="65E861DF" w14:textId="77777777" w:rsidR="0033457E" w:rsidRPr="0082321B" w:rsidRDefault="0033457E" w:rsidP="00F21F23">
            <w:pPr>
              <w:spacing w:before="240"/>
              <w:ind w:left="34"/>
              <w:rPr>
                <w:b/>
              </w:rPr>
            </w:pPr>
            <w:r w:rsidRPr="0082321B">
              <w:rPr>
                <w:b/>
              </w:rPr>
              <w:t xml:space="preserve">Justifications of inclusions and exclusions </w:t>
            </w:r>
          </w:p>
          <w:p w14:paraId="1EFF914A" w14:textId="77777777" w:rsidR="0033457E" w:rsidRPr="0082321B" w:rsidRDefault="0033457E" w:rsidP="00F21F23">
            <w:pPr>
              <w:spacing w:before="240"/>
              <w:ind w:left="34"/>
              <w:rPr>
                <w:b/>
              </w:rPr>
            </w:pPr>
            <w:r w:rsidRPr="0082321B">
              <w:t>and how these adhere to standard definitions</w:t>
            </w:r>
          </w:p>
        </w:tc>
        <w:tc>
          <w:tcPr>
            <w:tcW w:w="8973" w:type="dxa"/>
          </w:tcPr>
          <w:p w14:paraId="4D757F3A" w14:textId="77777777" w:rsidR="0033457E" w:rsidRPr="0082321B" w:rsidRDefault="0033457E" w:rsidP="00F21F23">
            <w:pPr>
              <w:spacing w:before="240"/>
            </w:pPr>
            <w:r w:rsidRPr="0082321B">
              <w:t>The standard definition of Cardiovascular disease with regards to reporting is all ICD10 – codes in chapter IX (I00 to I99) which include all diseases of the circulatory system. This is the definition used by this indicator.</w:t>
            </w:r>
          </w:p>
          <w:p w14:paraId="2F9EA884" w14:textId="77777777" w:rsidR="0033457E" w:rsidRPr="0082321B" w:rsidRDefault="0033457E" w:rsidP="00F21F23">
            <w:pPr>
              <w:spacing w:before="240"/>
            </w:pPr>
            <w:r w:rsidRPr="0082321B">
              <w:t xml:space="preserve">Cardiovascular disease (CVD) includes all the diseases of the heart and circulation including coronary heart disease, angina, heart attack, congenital heart disease and stroke (British Heart Foundation) </w:t>
            </w:r>
            <w:hyperlink r:id="rId19" w:history="1">
              <w:r w:rsidRPr="0082321B">
                <w:rPr>
                  <w:rStyle w:val="Hyperlink"/>
                </w:rPr>
                <w:t>https://www.bhf.org.uk/heart-health/conditions/cardiovascular-disease</w:t>
              </w:r>
            </w:hyperlink>
            <w:r w:rsidRPr="0082321B">
              <w:t xml:space="preserve"> </w:t>
            </w:r>
          </w:p>
          <w:p w14:paraId="74B39EA0" w14:textId="77777777" w:rsidR="0033457E" w:rsidRPr="0082321B" w:rsidRDefault="0033457E" w:rsidP="00F21F23">
            <w:pPr>
              <w:spacing w:before="240"/>
            </w:pPr>
            <w:r w:rsidRPr="0082321B">
              <w:t xml:space="preserve">Cardiovascular diseases are a group of disorders of the heart and blood vessels (WHO) </w:t>
            </w:r>
            <w:hyperlink r:id="rId20" w:history="1">
              <w:r w:rsidRPr="0082321B">
                <w:rPr>
                  <w:rStyle w:val="Hyperlink"/>
                </w:rPr>
                <w:t>http://www.euro.who.int/en/health-topics/noncommunicable-diseases/cardiovascular-diseases/cardiovascular-diseases2/definition-of-cardiovascular-diseases</w:t>
              </w:r>
            </w:hyperlink>
            <w:r w:rsidRPr="0082321B">
              <w:t xml:space="preserve"> </w:t>
            </w:r>
          </w:p>
          <w:p w14:paraId="29D955B0" w14:textId="77777777" w:rsidR="0033457E" w:rsidRPr="0082321B" w:rsidRDefault="0033457E" w:rsidP="00F21F23">
            <w:pPr>
              <w:spacing w:before="240"/>
            </w:pPr>
            <w:r w:rsidRPr="0082321B">
              <w:t>Persons 75 and over are excluded from the methodology to remove bias from causes of death associated with higher older age and the increasing older age population profile.</w:t>
            </w:r>
          </w:p>
        </w:tc>
      </w:tr>
      <w:tr w:rsidR="0033457E" w:rsidRPr="0082321B" w14:paraId="53E1D55F" w14:textId="77777777" w:rsidTr="00D45A20">
        <w:tblPrEx>
          <w:tblLook w:val="04A0" w:firstRow="1" w:lastRow="0" w:firstColumn="1" w:lastColumn="0" w:noHBand="0" w:noVBand="1"/>
        </w:tblPrEx>
        <w:tc>
          <w:tcPr>
            <w:tcW w:w="3780" w:type="dxa"/>
          </w:tcPr>
          <w:p w14:paraId="053F563A" w14:textId="77777777" w:rsidR="0033457E" w:rsidRPr="0082321B" w:rsidRDefault="0033457E" w:rsidP="00F21F23">
            <w:pPr>
              <w:spacing w:before="240"/>
              <w:ind w:left="34"/>
              <w:rPr>
                <w:b/>
              </w:rPr>
            </w:pPr>
            <w:r w:rsidRPr="0082321B">
              <w:rPr>
                <w:b/>
              </w:rPr>
              <w:t>Data processing</w:t>
            </w:r>
          </w:p>
        </w:tc>
        <w:tc>
          <w:tcPr>
            <w:tcW w:w="8973" w:type="dxa"/>
          </w:tcPr>
          <w:p w14:paraId="69DBAA56" w14:textId="77777777" w:rsidR="0033457E" w:rsidRPr="0082321B" w:rsidRDefault="0033457E" w:rsidP="00F21F23">
            <w:pPr>
              <w:spacing w:before="240"/>
            </w:pPr>
            <w:r w:rsidRPr="0082321B">
              <w:t>The numerator data (mortality extract) are provided to HSCIC by ONS at record level. This is aggregated by age, gender and local authority to populate the age-standardisation model.</w:t>
            </w:r>
          </w:p>
          <w:p w14:paraId="2B229915" w14:textId="77777777" w:rsidR="0033457E" w:rsidRPr="0082321B" w:rsidRDefault="0033457E" w:rsidP="00F21F23">
            <w:pPr>
              <w:spacing w:before="240"/>
            </w:pPr>
            <w:r w:rsidRPr="0082321B">
              <w:t>The denominator data (mid-year population estimates) are publicly available and published by ONS. Data are published at aggregate level by age, gender and local authority.</w:t>
            </w:r>
          </w:p>
          <w:p w14:paraId="69578D6C" w14:textId="77777777" w:rsidR="0033457E" w:rsidRPr="0082321B" w:rsidRDefault="0033457E" w:rsidP="00F21F23">
            <w:pPr>
              <w:spacing w:before="240"/>
            </w:pPr>
            <w:r w:rsidRPr="0082321B">
              <w:lastRenderedPageBreak/>
              <w:t xml:space="preserve">The European Standard Population data are publicly available and published by ONS. </w:t>
            </w:r>
          </w:p>
          <w:p w14:paraId="5ED95D6C" w14:textId="77777777" w:rsidR="0033457E" w:rsidRPr="0082321B" w:rsidRDefault="0033457E" w:rsidP="00F21F23">
            <w:pPr>
              <w:spacing w:before="240"/>
            </w:pPr>
            <w:r w:rsidRPr="0082321B">
              <w:t>The mortality rate at national, local authority and for all possible breakdowns is calculated by HSCIC using the calculation presented in section 4.3.</w:t>
            </w:r>
          </w:p>
        </w:tc>
      </w:tr>
      <w:tr w:rsidR="0033457E" w:rsidRPr="0082321B" w14:paraId="007BF6E6" w14:textId="77777777" w:rsidTr="00D45A20">
        <w:tblPrEx>
          <w:tblLook w:val="04A0" w:firstRow="1" w:lastRow="0" w:firstColumn="1" w:lastColumn="0" w:noHBand="0" w:noVBand="1"/>
        </w:tblPrEx>
        <w:tc>
          <w:tcPr>
            <w:tcW w:w="3780" w:type="dxa"/>
          </w:tcPr>
          <w:p w14:paraId="19C36EE3" w14:textId="77777777" w:rsidR="0033457E" w:rsidRPr="0082321B" w:rsidRDefault="0033457E" w:rsidP="00F21F23">
            <w:pPr>
              <w:spacing w:before="240"/>
              <w:ind w:left="34"/>
              <w:rPr>
                <w:b/>
              </w:rPr>
            </w:pPr>
            <w:r>
              <w:rPr>
                <w:b/>
              </w:rPr>
              <w:lastRenderedPageBreak/>
              <w:t>CONSTRUCTION</w:t>
            </w:r>
          </w:p>
        </w:tc>
        <w:tc>
          <w:tcPr>
            <w:tcW w:w="8973" w:type="dxa"/>
          </w:tcPr>
          <w:p w14:paraId="7981B7FA" w14:textId="77777777" w:rsidR="0033457E" w:rsidRPr="0082321B" w:rsidRDefault="0033457E" w:rsidP="00F21F23">
            <w:pPr>
              <w:spacing w:before="240"/>
            </w:pPr>
          </w:p>
        </w:tc>
      </w:tr>
      <w:tr w:rsidR="0033457E" w:rsidRPr="0082321B" w14:paraId="47000E66" w14:textId="77777777" w:rsidTr="00D45A20">
        <w:tblPrEx>
          <w:tblLook w:val="04A0" w:firstRow="1" w:lastRow="0" w:firstColumn="1" w:lastColumn="0" w:noHBand="0" w:noVBand="1"/>
        </w:tblPrEx>
        <w:tc>
          <w:tcPr>
            <w:tcW w:w="3780" w:type="dxa"/>
          </w:tcPr>
          <w:p w14:paraId="2EBB7972" w14:textId="77777777" w:rsidR="0033457E" w:rsidRPr="0082321B" w:rsidRDefault="0033457E" w:rsidP="00F21F23">
            <w:pPr>
              <w:spacing w:before="240"/>
              <w:ind w:left="34"/>
              <w:rPr>
                <w:b/>
              </w:rPr>
            </w:pPr>
            <w:r w:rsidRPr="0082321B">
              <w:rPr>
                <w:b/>
              </w:rPr>
              <w:t>Numerator</w:t>
            </w:r>
          </w:p>
        </w:tc>
        <w:tc>
          <w:tcPr>
            <w:tcW w:w="8973" w:type="dxa"/>
          </w:tcPr>
          <w:p w14:paraId="692EE47A" w14:textId="77777777" w:rsidR="0033457E" w:rsidRPr="0082321B" w:rsidRDefault="0033457E" w:rsidP="00F21F23">
            <w:pPr>
              <w:spacing w:before="240"/>
            </w:pPr>
            <w:r w:rsidRPr="0082321B">
              <w:t>Number of deaths for which cardiovascular disease is given as the underlying cause of death (ICD-10: I00 to I99), registered in the respective calendar year(s), published by ONS.</w:t>
            </w:r>
          </w:p>
        </w:tc>
      </w:tr>
      <w:tr w:rsidR="0033457E" w:rsidRPr="0082321B" w14:paraId="235AA0F1" w14:textId="77777777" w:rsidTr="00D45A20">
        <w:tblPrEx>
          <w:tblLook w:val="04A0" w:firstRow="1" w:lastRow="0" w:firstColumn="1" w:lastColumn="0" w:noHBand="0" w:noVBand="1"/>
        </w:tblPrEx>
        <w:tc>
          <w:tcPr>
            <w:tcW w:w="3780" w:type="dxa"/>
          </w:tcPr>
          <w:p w14:paraId="68353AC4" w14:textId="77777777" w:rsidR="0033457E" w:rsidRPr="0082321B" w:rsidRDefault="0033457E" w:rsidP="00F21F23">
            <w:pPr>
              <w:spacing w:before="240"/>
              <w:ind w:left="34"/>
              <w:rPr>
                <w:b/>
              </w:rPr>
            </w:pPr>
            <w:r w:rsidRPr="0082321B">
              <w:rPr>
                <w:b/>
              </w:rPr>
              <w:t>Denominator</w:t>
            </w:r>
          </w:p>
        </w:tc>
        <w:tc>
          <w:tcPr>
            <w:tcW w:w="8973" w:type="dxa"/>
          </w:tcPr>
          <w:p w14:paraId="5D1C57A1" w14:textId="77777777" w:rsidR="0033457E" w:rsidRPr="0082321B" w:rsidRDefault="0033457E" w:rsidP="00F21F23">
            <w:pPr>
              <w:spacing w:before="240"/>
            </w:pPr>
            <w:r w:rsidRPr="0082321B">
              <w:t>ONS mid-year population estimates of the population under 75 years of age.</w:t>
            </w:r>
          </w:p>
        </w:tc>
      </w:tr>
      <w:tr w:rsidR="0033457E" w:rsidRPr="0082321B" w14:paraId="44D6929F" w14:textId="77777777" w:rsidTr="00D45A20">
        <w:tblPrEx>
          <w:tblLook w:val="04A0" w:firstRow="1" w:lastRow="0" w:firstColumn="1" w:lastColumn="0" w:noHBand="0" w:noVBand="1"/>
        </w:tblPrEx>
        <w:tc>
          <w:tcPr>
            <w:tcW w:w="3780" w:type="dxa"/>
          </w:tcPr>
          <w:p w14:paraId="66DD1524" w14:textId="77777777" w:rsidR="0033457E" w:rsidRPr="0082321B" w:rsidRDefault="0033457E" w:rsidP="00F21F23">
            <w:pPr>
              <w:spacing w:before="240"/>
              <w:ind w:left="34"/>
              <w:rPr>
                <w:b/>
              </w:rPr>
            </w:pPr>
            <w:r w:rsidRPr="0082321B">
              <w:rPr>
                <w:b/>
              </w:rPr>
              <w:t>Computation</w:t>
            </w:r>
          </w:p>
        </w:tc>
        <w:tc>
          <w:tcPr>
            <w:tcW w:w="8973" w:type="dxa"/>
          </w:tcPr>
          <w:p w14:paraId="4A80ECE1" w14:textId="77777777" w:rsidR="0033457E" w:rsidRPr="0082321B" w:rsidRDefault="0033457E" w:rsidP="00F21F23">
            <w:pPr>
              <w:rPr>
                <w:u w:val="single"/>
              </w:rPr>
            </w:pPr>
            <w:r w:rsidRPr="0082321B">
              <w:rPr>
                <w:u w:val="single"/>
              </w:rPr>
              <w:t>Age-Standardised Rates (ASRs)</w:t>
            </w:r>
          </w:p>
          <w:p w14:paraId="4F0C55AB" w14:textId="77777777" w:rsidR="0033457E" w:rsidRPr="0082321B" w:rsidRDefault="0033457E" w:rsidP="00F21F23">
            <w:r w:rsidRPr="0082321B">
              <w:t>The directly age-standardised rate is the rate of events that would occur in a standard population if that population were to experience the age-specific rates of the subject population. Explicitly:</w:t>
            </w:r>
          </w:p>
          <w:p w14:paraId="273F6A79" w14:textId="3A4C52AB" w:rsidR="0033457E" w:rsidRPr="0082321B" w:rsidRDefault="0025330F" w:rsidP="0025330F">
            <m:oMath>
              <m:r>
                <w:rPr>
                  <w:rFonts w:ascii="Cambria Math" w:eastAsia="Times New Roman"/>
                </w:rPr>
                <m:t>DSR=</m:t>
              </m:r>
              <m:f>
                <m:fPr>
                  <m:ctrlPr>
                    <w:rPr>
                      <w:rFonts w:ascii="Cambria Math" w:eastAsia="Times New Roman" w:hAnsi="Cambria Math"/>
                      <w:i/>
                    </w:rPr>
                  </m:ctrlPr>
                </m:fPr>
                <m:num>
                  <m:nary>
                    <m:naryPr>
                      <m:chr m:val="∑"/>
                      <m:supHide m:val="1"/>
                      <m:ctrlPr>
                        <w:rPr>
                          <w:rFonts w:ascii="Cambria Math" w:eastAsia="Times New Roman" w:hAnsi="Cambria Math"/>
                          <w:i/>
                        </w:rPr>
                      </m:ctrlPr>
                    </m:naryPr>
                    <m:sub>
                      <m:r>
                        <w:rPr>
                          <w:rFonts w:ascii="Cambria Math" w:eastAsia="Times New Roman"/>
                        </w:rPr>
                        <m:t>i</m:t>
                      </m:r>
                    </m:sub>
                    <m:sup/>
                    <m:e>
                      <m:sSub>
                        <m:sSubPr>
                          <m:ctrlPr>
                            <w:rPr>
                              <w:rFonts w:ascii="Cambria Math" w:eastAsia="Times New Roman" w:hAnsi="Cambria Math"/>
                              <w:i/>
                            </w:rPr>
                          </m:ctrlPr>
                        </m:sSubPr>
                        <m:e>
                          <m:r>
                            <w:rPr>
                              <w:rFonts w:ascii="Cambria Math" w:eastAsia="Times New Roman"/>
                            </w:rPr>
                            <m:t>w</m:t>
                          </m:r>
                        </m:e>
                        <m:sub>
                          <m:r>
                            <w:rPr>
                              <w:rFonts w:ascii="Cambria Math" w:eastAsia="Times New Roman"/>
                            </w:rPr>
                            <m:t>i</m:t>
                          </m:r>
                        </m:sub>
                      </m:sSub>
                      <m:r>
                        <w:rPr>
                          <w:rFonts w:ascii="Cambria Math" w:eastAsia="Times New Roman"/>
                        </w:rPr>
                        <m:t>r</m:t>
                      </m:r>
                    </m:e>
                  </m:nary>
                </m:num>
                <m:den>
                  <m:nary>
                    <m:naryPr>
                      <m:chr m:val="∑"/>
                      <m:supHide m:val="1"/>
                      <m:ctrlPr>
                        <w:rPr>
                          <w:rFonts w:ascii="Cambria Math" w:eastAsia="Times New Roman" w:hAnsi="Cambria Math"/>
                          <w:i/>
                        </w:rPr>
                      </m:ctrlPr>
                    </m:naryPr>
                    <m:sub>
                      <m:r>
                        <w:rPr>
                          <w:rFonts w:ascii="Cambria Math" w:eastAsia="Times New Roman"/>
                        </w:rPr>
                        <m:t>i</m:t>
                      </m:r>
                    </m:sub>
                    <m:sup/>
                    <m:e>
                      <m:sSub>
                        <m:sSubPr>
                          <m:ctrlPr>
                            <w:rPr>
                              <w:rFonts w:ascii="Cambria Math" w:eastAsia="Times New Roman" w:hAnsi="Cambria Math"/>
                              <w:i/>
                            </w:rPr>
                          </m:ctrlPr>
                        </m:sSubPr>
                        <m:e>
                          <m:r>
                            <w:rPr>
                              <w:rFonts w:ascii="Cambria Math" w:eastAsia="Times New Roman"/>
                            </w:rPr>
                            <m:t>w</m:t>
                          </m:r>
                        </m:e>
                        <m:sub>
                          <m:r>
                            <w:rPr>
                              <w:rFonts w:ascii="Cambria Math" w:eastAsia="Times New Roman"/>
                            </w:rPr>
                            <m:t>i</m:t>
                          </m:r>
                        </m:sub>
                      </m:sSub>
                    </m:e>
                  </m:nary>
                </m:den>
              </m:f>
              <m:r>
                <w:rPr>
                  <w:rFonts w:ascii="Cambria Math" w:eastAsia="Times New Roman"/>
                </w:rPr>
                <m:t>×</m:t>
              </m:r>
              <m:r>
                <w:rPr>
                  <w:rFonts w:ascii="Cambria Math" w:eastAsia="Times New Roman"/>
                </w:rPr>
                <m:t>100,000</m:t>
              </m:r>
            </m:oMath>
            <w:r w:rsidR="0033457E" w:rsidRPr="0082321B">
              <w:t xml:space="preserve">  (expressed per 100,000 population)</w:t>
            </w:r>
          </w:p>
          <w:p w14:paraId="46E46645" w14:textId="77777777" w:rsidR="0033457E" w:rsidRPr="0082321B" w:rsidRDefault="0033457E" w:rsidP="00F21F23"/>
          <w:p w14:paraId="43343564" w14:textId="77777777" w:rsidR="0033457E" w:rsidRPr="0082321B" w:rsidRDefault="0033457E" w:rsidP="00F21F23">
            <w:r w:rsidRPr="0082321B">
              <w:t>where:</w:t>
            </w:r>
          </w:p>
          <w:p w14:paraId="44F10C61" w14:textId="77777777" w:rsidR="0033457E" w:rsidRPr="0082321B" w:rsidRDefault="0033457E" w:rsidP="00F21F23">
            <w:proofErr w:type="spellStart"/>
            <w:r w:rsidRPr="0082321B">
              <w:rPr>
                <w:b/>
                <w:i/>
              </w:rPr>
              <w:t>w</w:t>
            </w:r>
            <w:r w:rsidRPr="0082321B">
              <w:rPr>
                <w:b/>
                <w:i/>
                <w:vertAlign w:val="subscript"/>
              </w:rPr>
              <w:t>i</w:t>
            </w:r>
            <w:proofErr w:type="spellEnd"/>
            <w:r w:rsidRPr="0082321B">
              <w:t xml:space="preserve"> is the number, or proportion, of individuals in the standard population in age group </w:t>
            </w:r>
            <w:proofErr w:type="spellStart"/>
            <w:r w:rsidRPr="0082321B">
              <w:rPr>
                <w:i/>
              </w:rPr>
              <w:t>i</w:t>
            </w:r>
            <w:proofErr w:type="spellEnd"/>
            <w:r w:rsidRPr="0082321B">
              <w:t>; -</w:t>
            </w:r>
            <w:r w:rsidRPr="0082321B">
              <w:rPr>
                <w:b/>
              </w:rPr>
              <w:t xml:space="preserve"> The European Standard Population value by age group.</w:t>
            </w:r>
          </w:p>
          <w:p w14:paraId="6E74B0EA" w14:textId="77777777" w:rsidR="0033457E" w:rsidRPr="0082321B" w:rsidRDefault="0033457E" w:rsidP="00F21F23">
            <w:proofErr w:type="spellStart"/>
            <w:r w:rsidRPr="0082321B">
              <w:rPr>
                <w:b/>
                <w:i/>
              </w:rPr>
              <w:t>r</w:t>
            </w:r>
            <w:r w:rsidRPr="0082321B">
              <w:rPr>
                <w:b/>
                <w:i/>
                <w:vertAlign w:val="subscript"/>
              </w:rPr>
              <w:t>i</w:t>
            </w:r>
            <w:proofErr w:type="spellEnd"/>
            <w:r w:rsidRPr="0082321B">
              <w:t xml:space="preserve"> is the crude age-specific rate in the subject population in age group </w:t>
            </w:r>
            <w:proofErr w:type="spellStart"/>
            <w:r w:rsidRPr="0082321B">
              <w:rPr>
                <w:i/>
              </w:rPr>
              <w:t>i</w:t>
            </w:r>
            <w:proofErr w:type="spellEnd"/>
            <w:r w:rsidRPr="0082321B">
              <w:t>, given by:</w:t>
            </w:r>
          </w:p>
          <w:p w14:paraId="0DB3EC62" w14:textId="77777777" w:rsidR="0033457E" w:rsidRPr="0082321B" w:rsidRDefault="0033457E" w:rsidP="00F21F23"/>
          <w:p w14:paraId="4A802A51" w14:textId="39DE839D" w:rsidR="0033457E" w:rsidRPr="0082321B" w:rsidRDefault="003F72CF" w:rsidP="0025330F">
            <m:oMathPara>
              <m:oMath>
                <m:sSub>
                  <m:sSubPr>
                    <m:ctrlPr>
                      <w:rPr>
                        <w:rFonts w:ascii="Cambria Math" w:eastAsia="Times New Roman" w:hAnsi="Cambria Math"/>
                        <w:i/>
                      </w:rPr>
                    </m:ctrlPr>
                  </m:sSubPr>
                  <m:e>
                    <m:r>
                      <w:rPr>
                        <w:rFonts w:ascii="Cambria Math" w:eastAsia="Times New Roman"/>
                      </w:rPr>
                      <m:t>r</m:t>
                    </m:r>
                  </m:e>
                  <m:sub>
                    <m:r>
                      <w:rPr>
                        <w:rFonts w:ascii="Cambria Math" w:eastAsia="Times New Roman"/>
                      </w:rPr>
                      <m:t>i</m:t>
                    </m:r>
                  </m:sub>
                </m:sSub>
                <m:r>
                  <w:rPr>
                    <w:rFonts w:ascii="Cambria Math" w:eastAsia="Times New Roman"/>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rPr>
                          <m:t>O</m:t>
                        </m:r>
                      </m:e>
                      <m:sub>
                        <m:r>
                          <w:rPr>
                            <w:rFonts w:ascii="Cambria Math" w:eastAsia="Times New Roman"/>
                          </w:rPr>
                          <m:t>i</m:t>
                        </m:r>
                      </m:sub>
                    </m:sSub>
                  </m:num>
                  <m:den>
                    <m:sSub>
                      <m:sSubPr>
                        <m:ctrlPr>
                          <w:rPr>
                            <w:rFonts w:ascii="Cambria Math" w:eastAsia="Times New Roman" w:hAnsi="Cambria Math"/>
                            <w:i/>
                          </w:rPr>
                        </m:ctrlPr>
                      </m:sSubPr>
                      <m:e>
                        <m:r>
                          <w:rPr>
                            <w:rFonts w:ascii="Cambria Math" w:eastAsia="Times New Roman"/>
                          </w:rPr>
                          <m:t>n</m:t>
                        </m:r>
                      </m:e>
                      <m:sub>
                        <m:r>
                          <w:rPr>
                            <w:rFonts w:ascii="Cambria Math" w:eastAsia="Times New Roman"/>
                          </w:rPr>
                          <m:t>i</m:t>
                        </m:r>
                      </m:sub>
                    </m:sSub>
                  </m:den>
                </m:f>
              </m:oMath>
            </m:oMathPara>
          </w:p>
          <w:p w14:paraId="31E4408A" w14:textId="77777777" w:rsidR="0033457E" w:rsidRPr="0082321B" w:rsidRDefault="0033457E" w:rsidP="00F21F23"/>
          <w:p w14:paraId="1C8CC32E" w14:textId="77777777" w:rsidR="0033457E" w:rsidRPr="0082321B" w:rsidRDefault="0033457E" w:rsidP="00F21F23">
            <w:r w:rsidRPr="0082321B">
              <w:t>where:</w:t>
            </w:r>
          </w:p>
          <w:p w14:paraId="5F287567" w14:textId="77777777" w:rsidR="0033457E" w:rsidRPr="0082321B" w:rsidRDefault="0033457E" w:rsidP="00F21F23">
            <w:pPr>
              <w:rPr>
                <w:b/>
              </w:rPr>
            </w:pPr>
            <w:r w:rsidRPr="0082321B">
              <w:rPr>
                <w:b/>
                <w:i/>
              </w:rPr>
              <w:t>O</w:t>
            </w:r>
            <w:r w:rsidRPr="0082321B">
              <w:rPr>
                <w:b/>
                <w:i/>
                <w:vertAlign w:val="subscript"/>
              </w:rPr>
              <w:t>i</w:t>
            </w:r>
            <w:r w:rsidRPr="0082321B">
              <w:t xml:space="preserve"> is the observed number of events in the subject population in age group </w:t>
            </w:r>
            <w:proofErr w:type="spellStart"/>
            <w:r w:rsidRPr="0082321B">
              <w:rPr>
                <w:i/>
              </w:rPr>
              <w:t>i</w:t>
            </w:r>
            <w:proofErr w:type="spellEnd"/>
            <w:r w:rsidRPr="0082321B">
              <w:t xml:space="preserve">; - </w:t>
            </w:r>
            <w:r w:rsidRPr="0082321B">
              <w:rPr>
                <w:b/>
              </w:rPr>
              <w:t>Number of recorded deaths by CVD</w:t>
            </w:r>
          </w:p>
          <w:p w14:paraId="2E2CEB60" w14:textId="77777777" w:rsidR="0033457E" w:rsidRPr="0082321B" w:rsidRDefault="0033457E" w:rsidP="00F21F23">
            <w:pPr>
              <w:rPr>
                <w:b/>
              </w:rPr>
            </w:pPr>
            <w:proofErr w:type="spellStart"/>
            <w:r w:rsidRPr="0082321B">
              <w:rPr>
                <w:b/>
                <w:i/>
              </w:rPr>
              <w:t>n</w:t>
            </w:r>
            <w:r w:rsidRPr="0082321B">
              <w:rPr>
                <w:b/>
                <w:i/>
                <w:vertAlign w:val="subscript"/>
              </w:rPr>
              <w:t>i</w:t>
            </w:r>
            <w:proofErr w:type="spellEnd"/>
            <w:r w:rsidRPr="0082321B">
              <w:rPr>
                <w:b/>
                <w:i/>
              </w:rPr>
              <w:t xml:space="preserve"> </w:t>
            </w:r>
            <w:r w:rsidRPr="0082321B">
              <w:t xml:space="preserve">is the number of individuals in the subject population in age group </w:t>
            </w:r>
            <w:proofErr w:type="spellStart"/>
            <w:r w:rsidRPr="0082321B">
              <w:rPr>
                <w:i/>
              </w:rPr>
              <w:t>i</w:t>
            </w:r>
            <w:proofErr w:type="spellEnd"/>
            <w:r w:rsidRPr="0082321B">
              <w:t xml:space="preserve">. – </w:t>
            </w:r>
            <w:r w:rsidRPr="0082321B">
              <w:rPr>
                <w:b/>
              </w:rPr>
              <w:t>The ONS Mid-year population estimate values by age and sex.</w:t>
            </w:r>
          </w:p>
          <w:p w14:paraId="0C4E9E7D" w14:textId="77777777" w:rsidR="0033457E" w:rsidRPr="0082321B" w:rsidRDefault="0033457E" w:rsidP="00F21F23"/>
          <w:p w14:paraId="3F22E85E" w14:textId="77777777" w:rsidR="0033457E" w:rsidRPr="0082321B" w:rsidRDefault="0033457E" w:rsidP="00F21F23">
            <w:pPr>
              <w:rPr>
                <w:u w:val="single"/>
              </w:rPr>
            </w:pPr>
            <w:r w:rsidRPr="0082321B">
              <w:rPr>
                <w:u w:val="single"/>
              </w:rPr>
              <w:t>Deprivation breakdown</w:t>
            </w:r>
          </w:p>
          <w:p w14:paraId="39393883" w14:textId="77777777" w:rsidR="0033457E" w:rsidRPr="0082321B" w:rsidRDefault="0033457E" w:rsidP="00F21F23">
            <w:pPr>
              <w:shd w:val="clear" w:color="auto" w:fill="FFFFFF"/>
              <w:spacing w:after="100" w:afterAutospacing="1"/>
              <w:rPr>
                <w:lang w:eastAsia="en-GB"/>
              </w:rPr>
            </w:pPr>
            <w:r w:rsidRPr="0082321B">
              <w:lastRenderedPageBreak/>
              <w:t xml:space="preserve">The deprivation breakdown for this indicator has been derived using Public Health England (PHE) reference data which include adjusted Index of Multiple Deprivation (IMD) 2010 scores based on 2011 Lower Super Output Area (LSOA) boundaries. IMD 2010 scores, which were originally published by the Department for Communities and Local Government (DCLG) in 2011 for all LSOAs in England, are based on boundaries defined in 2001. In 2011, these LSOA boundaries were updated, meaning that the LSOAs no longer aligned with the IMD scores in some areas. </w:t>
            </w:r>
            <w:r w:rsidRPr="0082321B">
              <w:rPr>
                <w:lang w:eastAsia="en-GB"/>
              </w:rPr>
              <w:t>Adjustments have therefore been made to scores in affected areas to enable their continued use with the latest LSOA boundaries. The adjusted IMD scores for 2011 LSOAs and further information regarding the methodology for the adjustments can be found at:</w:t>
            </w:r>
          </w:p>
          <w:p w14:paraId="6339D5AD" w14:textId="77777777" w:rsidR="0033457E" w:rsidRPr="0082321B" w:rsidRDefault="003F72CF" w:rsidP="00F21F23">
            <w:pPr>
              <w:jc w:val="both"/>
            </w:pPr>
            <w:hyperlink r:id="rId21" w:history="1">
              <w:r w:rsidR="0033457E" w:rsidRPr="0082321B">
                <w:rPr>
                  <w:rStyle w:val="Hyperlink"/>
                </w:rPr>
                <w:t>http://www.apho.org.uk/resource/view.aspx?RID=125886</w:t>
              </w:r>
            </w:hyperlink>
          </w:p>
          <w:p w14:paraId="3CC730C1" w14:textId="77777777" w:rsidR="0033457E" w:rsidRPr="0082321B" w:rsidRDefault="0033457E" w:rsidP="00F21F23">
            <w:pPr>
              <w:shd w:val="clear" w:color="auto" w:fill="FFFFFF"/>
              <w:spacing w:before="240" w:after="100" w:afterAutospacing="1"/>
              <w:rPr>
                <w:lang w:eastAsia="en-GB"/>
              </w:rPr>
            </w:pPr>
            <w:r w:rsidRPr="0082321B">
              <w:rPr>
                <w:lang w:eastAsia="en-GB"/>
              </w:rPr>
              <w:t xml:space="preserve">The adjusted IMD scores have been used for this indicator as the mid-year population estimates used in the denominator have been re-based using data from the 2011 Census. These adjusted IMD 2010 scores do not replace DCLG's official 2010 English Indices of Deprivation, which are based on 2001 LSOA boundaries. The adjusted scores have also been used to directly assign 2011 LSOAs to deprivation deciles within England as a whole </w:t>
            </w:r>
            <w:proofErr w:type="gramStart"/>
            <w:r w:rsidRPr="0082321B">
              <w:rPr>
                <w:lang w:eastAsia="en-GB"/>
              </w:rPr>
              <w:t>and also</w:t>
            </w:r>
            <w:proofErr w:type="gramEnd"/>
            <w:r w:rsidRPr="0082321B">
              <w:rPr>
                <w:lang w:eastAsia="en-GB"/>
              </w:rPr>
              <w:t xml:space="preserve"> within English regions, counties and local authorities.</w:t>
            </w:r>
          </w:p>
          <w:p w14:paraId="40A62CF6" w14:textId="77777777" w:rsidR="0033457E" w:rsidRPr="0082321B" w:rsidRDefault="0033457E" w:rsidP="00F21F23">
            <w:pPr>
              <w:shd w:val="clear" w:color="auto" w:fill="FFFFFF"/>
              <w:spacing w:before="240" w:after="100" w:afterAutospacing="1"/>
              <w:rPr>
                <w:lang w:eastAsia="en-GB"/>
              </w:rPr>
            </w:pPr>
            <w:r w:rsidRPr="0082321B">
              <w:rPr>
                <w:lang w:eastAsia="en-GB"/>
              </w:rPr>
              <w:t xml:space="preserve">For the purpose of calculating this indicator, the reference table provided by PHE (see link above) has been used to calculate deprivation deciles in the numerator and denominator. </w:t>
            </w:r>
          </w:p>
          <w:p w14:paraId="4217B2D5" w14:textId="77777777" w:rsidR="0033457E" w:rsidRPr="0082321B" w:rsidRDefault="0033457E" w:rsidP="00F21F23">
            <w:pPr>
              <w:spacing w:before="240"/>
              <w:rPr>
                <w:lang w:eastAsia="en-GB"/>
              </w:rPr>
            </w:pPr>
            <w:r w:rsidRPr="0082321B">
              <w:rPr>
                <w:lang w:eastAsia="en-GB"/>
              </w:rPr>
              <w:t>The numerator data sourced from the ONS mortality extract were available at postcode level for calendar years 2003 to 2012. In order to assign the IMD score to the data, 2011 LSOAs have been assigned to each record using the postcode of residence. This has been done using a postcode-to-2011 LSOA look up table that was originally sourced from ONS’s open geography portal. The deprivation deciles have then been assigned to the 2011 LSOAs using the adjusted scores reference table provided by PHE. For the 2013 calendar year 2011 LSOAs have been included in the source data. Therefore, it was not necessary to derive these using the postcode of residence. Deprivation deciles for 2013 have been directly assigned to the 2011 LSOAs already included in the data.</w:t>
            </w:r>
          </w:p>
          <w:p w14:paraId="22346A93" w14:textId="77777777" w:rsidR="0033457E" w:rsidRPr="0082321B" w:rsidRDefault="0033457E" w:rsidP="00F21F23">
            <w:pPr>
              <w:spacing w:before="240"/>
              <w:rPr>
                <w:lang w:eastAsia="en-GB"/>
              </w:rPr>
            </w:pPr>
          </w:p>
          <w:p w14:paraId="4FE95108" w14:textId="77777777" w:rsidR="0033457E" w:rsidRPr="0082321B" w:rsidRDefault="0033457E" w:rsidP="00F21F23">
            <w:pPr>
              <w:spacing w:before="240"/>
            </w:pPr>
          </w:p>
        </w:tc>
      </w:tr>
      <w:tr w:rsidR="0033457E" w:rsidRPr="0082321B" w14:paraId="048F34EB" w14:textId="77777777" w:rsidTr="00D45A20">
        <w:tblPrEx>
          <w:tblLook w:val="04A0" w:firstRow="1" w:lastRow="0" w:firstColumn="1" w:lastColumn="0" w:noHBand="0" w:noVBand="1"/>
        </w:tblPrEx>
        <w:tc>
          <w:tcPr>
            <w:tcW w:w="3780" w:type="dxa"/>
          </w:tcPr>
          <w:p w14:paraId="76C3BB1F" w14:textId="77777777" w:rsidR="0033457E" w:rsidRPr="0082321B" w:rsidRDefault="0033457E" w:rsidP="00F21F23">
            <w:pPr>
              <w:spacing w:before="240"/>
              <w:ind w:left="34"/>
              <w:rPr>
                <w:b/>
              </w:rPr>
            </w:pPr>
            <w:r w:rsidRPr="0082321B">
              <w:rPr>
                <w:b/>
              </w:rPr>
              <w:lastRenderedPageBreak/>
              <w:t>Risk adjustment or standardisation type and methodology</w:t>
            </w:r>
          </w:p>
        </w:tc>
        <w:tc>
          <w:tcPr>
            <w:tcW w:w="8973" w:type="dxa"/>
          </w:tcPr>
          <w:sdt>
            <w:sdtPr>
              <w:rPr>
                <w:b/>
              </w:rPr>
              <w:alias w:val="Risk adjustment type"/>
              <w:tag w:val="Risk adjustment type"/>
              <w:id w:val="1214319314"/>
              <w:placeholder>
                <w:docPart w:val="4127AEA4DFAA4B708A84F5DCBAF29A4E"/>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4DEE7A8A" w14:textId="77777777" w:rsidR="0033457E" w:rsidRPr="0082321B" w:rsidRDefault="0033457E" w:rsidP="00F21F23">
                <w:pPr>
                  <w:spacing w:before="240"/>
                </w:pPr>
                <w:r w:rsidRPr="0082321B">
                  <w:rPr>
                    <w:b/>
                  </w:rPr>
                  <w:t>Direct Standardisation</w:t>
                </w:r>
              </w:p>
            </w:sdtContent>
          </w:sdt>
          <w:p w14:paraId="50DFD7B9" w14:textId="77777777" w:rsidR="0033457E" w:rsidRPr="0082321B" w:rsidRDefault="0033457E" w:rsidP="00F21F23">
            <w:pPr>
              <w:spacing w:before="240"/>
              <w:rPr>
                <w:u w:val="single"/>
              </w:rPr>
            </w:pPr>
            <w:r w:rsidRPr="0082321B">
              <w:rPr>
                <w:i/>
              </w:rPr>
              <w:t>Variables and methodology:</w:t>
            </w:r>
            <w:r w:rsidRPr="0082321B">
              <w:rPr>
                <w:u w:val="single"/>
              </w:rPr>
              <w:t xml:space="preserve"> Age</w:t>
            </w:r>
          </w:p>
          <w:p w14:paraId="3663BB02" w14:textId="77777777" w:rsidR="0033457E" w:rsidRPr="0082321B" w:rsidRDefault="0033457E" w:rsidP="00F21F23">
            <w:r w:rsidRPr="0082321B">
              <w:t>The standard population used for the direct standardisation method is the 2013 European Standard Population (ESP). The age groups (15 groups in total) used are: 0-4, 5-</w:t>
            </w:r>
            <w:proofErr w:type="gramStart"/>
            <w:r w:rsidRPr="0082321B">
              <w:t>9,…</w:t>
            </w:r>
            <w:proofErr w:type="gramEnd"/>
            <w:r w:rsidRPr="0082321B">
              <w:t>, 70-74 (for this indicator ages 75 and above are not needed).</w:t>
            </w:r>
          </w:p>
          <w:p w14:paraId="2B0A1DA9" w14:textId="77777777" w:rsidR="0033457E" w:rsidRPr="0082321B" w:rsidRDefault="0033457E" w:rsidP="00F21F23">
            <w:r w:rsidRPr="0082321B">
              <w:t>The same standard population is used for males, females and persons. This means that rates can be compared across gender but also that rates for persons are standardised for age only, and not for sex.</w:t>
            </w:r>
          </w:p>
          <w:p w14:paraId="3E209F62" w14:textId="77777777" w:rsidR="0033457E" w:rsidRPr="0082321B" w:rsidRDefault="0033457E" w:rsidP="00F21F23">
            <w:pPr>
              <w:spacing w:before="240"/>
            </w:pPr>
            <w:r w:rsidRPr="0082321B">
              <w:t>Age group indicator values are crude rates and not directly standardised. Direct standardisation to the European Standard Population is not possible at this disaggregation (age group).</w:t>
            </w:r>
          </w:p>
        </w:tc>
      </w:tr>
      <w:tr w:rsidR="0033457E" w:rsidRPr="0082321B" w14:paraId="572E9EC8" w14:textId="77777777" w:rsidTr="00D45A20">
        <w:tblPrEx>
          <w:tblLook w:val="04A0" w:firstRow="1" w:lastRow="0" w:firstColumn="1" w:lastColumn="0" w:noHBand="0" w:noVBand="1"/>
        </w:tblPrEx>
        <w:tc>
          <w:tcPr>
            <w:tcW w:w="3780" w:type="dxa"/>
          </w:tcPr>
          <w:p w14:paraId="04EDC556" w14:textId="77777777" w:rsidR="0033457E" w:rsidRPr="0082321B" w:rsidRDefault="0033457E" w:rsidP="00F21F23">
            <w:pPr>
              <w:spacing w:before="240"/>
              <w:ind w:left="34"/>
              <w:rPr>
                <w:b/>
              </w:rPr>
            </w:pPr>
            <w:r w:rsidRPr="0082321B">
              <w:rPr>
                <w:b/>
              </w:rPr>
              <w:t>Justification of risk adjustment type and variables</w:t>
            </w:r>
          </w:p>
          <w:p w14:paraId="30B81CEE" w14:textId="77777777" w:rsidR="0033457E" w:rsidRPr="0082321B" w:rsidRDefault="0033457E" w:rsidP="00F21F23">
            <w:pPr>
              <w:spacing w:before="240"/>
              <w:ind w:left="34"/>
              <w:rPr>
                <w:b/>
              </w:rPr>
            </w:pPr>
            <w:r w:rsidRPr="0082321B">
              <w:t>or why risk adjustment is not used</w:t>
            </w:r>
          </w:p>
        </w:tc>
        <w:tc>
          <w:tcPr>
            <w:tcW w:w="8973" w:type="dxa"/>
          </w:tcPr>
          <w:p w14:paraId="223AA224" w14:textId="77777777" w:rsidR="0033457E" w:rsidRPr="0082321B" w:rsidRDefault="0033457E" w:rsidP="00F21F23">
            <w:pPr>
              <w:spacing w:before="240"/>
            </w:pPr>
            <w:r w:rsidRPr="0082321B">
              <w:t>Where direct standardisation of an indicator is possible, when the populations involved are large enough, it is the preferred method of standardisation as it allows for comparison across breakdowns and time as differences in age have been accounted for.</w:t>
            </w:r>
          </w:p>
          <w:p w14:paraId="3E6B0416" w14:textId="77777777" w:rsidR="0033457E" w:rsidRPr="0082321B" w:rsidRDefault="0033457E" w:rsidP="00F21F23">
            <w:pPr>
              <w:spacing w:before="240"/>
            </w:pPr>
            <w:r w:rsidRPr="0082321B">
              <w:t>Age was chosen as risk adjustment variable to account for the differences in the population by age group to ensure that comparisons can be made across geographic areas with differing population distributions. Although other variables such as gender, deprivation and ethnicity could be used to standardise, there is no reliable data source at a European level.</w:t>
            </w:r>
          </w:p>
          <w:p w14:paraId="2A88A4FF" w14:textId="77777777" w:rsidR="0033457E" w:rsidRPr="0082321B" w:rsidRDefault="0033457E" w:rsidP="00F21F23">
            <w:pPr>
              <w:spacing w:before="240"/>
            </w:pPr>
            <w:r w:rsidRPr="0082321B">
              <w:t xml:space="preserve">The European Standard Population was chosen to enable international comparison of mortality rates with other European countries.  The ESP changed in 2013 from the 1976 model, to adjust for an ageing population distribution, see section 3.4. </w:t>
            </w:r>
          </w:p>
        </w:tc>
      </w:tr>
      <w:tr w:rsidR="0033457E" w:rsidRPr="0082321B" w14:paraId="5D847117" w14:textId="77777777" w:rsidTr="00D45A20">
        <w:tblPrEx>
          <w:tblLook w:val="04A0" w:firstRow="1" w:lastRow="0" w:firstColumn="1" w:lastColumn="0" w:noHBand="0" w:noVBand="1"/>
        </w:tblPrEx>
        <w:tc>
          <w:tcPr>
            <w:tcW w:w="3780" w:type="dxa"/>
          </w:tcPr>
          <w:p w14:paraId="328E37D2" w14:textId="77777777" w:rsidR="0033457E" w:rsidRPr="0082321B" w:rsidRDefault="0033457E" w:rsidP="00F21F23">
            <w:pPr>
              <w:spacing w:before="240"/>
              <w:ind w:left="34"/>
              <w:rPr>
                <w:b/>
              </w:rPr>
            </w:pPr>
            <w:r w:rsidRPr="0082321B">
              <w:rPr>
                <w:b/>
              </w:rPr>
              <w:t>Confidence interval / control limit use and methodology</w:t>
            </w:r>
          </w:p>
        </w:tc>
        <w:tc>
          <w:tcPr>
            <w:tcW w:w="8973" w:type="dxa"/>
          </w:tcPr>
          <w:sdt>
            <w:sdtPr>
              <w:alias w:val="Confidence Interval/control limit use"/>
              <w:tag w:val="Confidence Interval/control limit use"/>
              <w:id w:val="1287858884"/>
              <w:placeholder>
                <w:docPart w:val="CBA1DCFB26DE406FBABB69BCC27A0458"/>
              </w:placeholder>
              <w:dropDownList>
                <w:listItem w:value="Choose an item."/>
                <w:listItem w:displayText="Confidence Intervals" w:value="Confidence Intervals"/>
                <w:listItem w:displayText="Control Limits" w:value="Control Limits"/>
                <w:listItem w:displayText="None" w:value="None"/>
              </w:dropDownList>
            </w:sdtPr>
            <w:sdtEndPr/>
            <w:sdtContent>
              <w:p w14:paraId="150052FA" w14:textId="77777777" w:rsidR="0033457E" w:rsidRPr="0082321B" w:rsidRDefault="0033457E" w:rsidP="00F21F23">
                <w:pPr>
                  <w:spacing w:before="240"/>
                </w:pPr>
                <w:r w:rsidRPr="0082321B">
                  <w:t>Confidence Intervals</w:t>
                </w:r>
              </w:p>
            </w:sdtContent>
          </w:sdt>
          <w:p w14:paraId="487BF293" w14:textId="77777777" w:rsidR="0033457E" w:rsidRPr="0082321B" w:rsidRDefault="0033457E" w:rsidP="00F21F23">
            <w:r w:rsidRPr="0082321B">
              <w:rPr>
                <w:i/>
              </w:rPr>
              <w:t>Methodology:</w:t>
            </w:r>
            <w:r w:rsidRPr="0082321B">
              <w:t xml:space="preserve"> For indicator values with a disaggregation by England, geography and deprivation for total persons the confidence intervals (at a 95% limit) are calculated using </w:t>
            </w:r>
            <w:r w:rsidRPr="0082321B">
              <w:lastRenderedPageBreak/>
              <w:t>Dobson's</w:t>
            </w:r>
            <w:r w:rsidRPr="0082321B">
              <w:rPr>
                <w:vertAlign w:val="superscript"/>
              </w:rPr>
              <w:footnoteReference w:id="4"/>
            </w:r>
            <w:r w:rsidRPr="0082321B">
              <w:t xml:space="preserve"> and </w:t>
            </w:r>
            <w:proofErr w:type="spellStart"/>
            <w:r w:rsidRPr="0082321B">
              <w:t>Byar's</w:t>
            </w:r>
            <w:proofErr w:type="spellEnd"/>
            <w:r w:rsidRPr="0082321B">
              <w:rPr>
                <w:vertAlign w:val="superscript"/>
              </w:rPr>
              <w:footnoteReference w:id="5"/>
            </w:r>
            <w:r w:rsidRPr="0082321B">
              <w:t xml:space="preserve"> methods.  </w:t>
            </w:r>
            <w:proofErr w:type="spellStart"/>
            <w:r w:rsidRPr="0082321B">
              <w:t>Byar’s</w:t>
            </w:r>
            <w:proofErr w:type="spellEnd"/>
            <w:r w:rsidRPr="0082321B">
              <w:t xml:space="preserve"> method is recommended for larger counts, whereas for smaller numerators (less than 389) a more exact method based on Dobson’s Poisson distribution method is used.</w:t>
            </w:r>
          </w:p>
          <w:p w14:paraId="5615BC41" w14:textId="77777777" w:rsidR="0033457E" w:rsidRPr="0082321B" w:rsidRDefault="0033457E" w:rsidP="00F21F23"/>
          <w:p w14:paraId="1AE3F510" w14:textId="77777777" w:rsidR="0033457E" w:rsidRPr="0082321B" w:rsidRDefault="0033457E" w:rsidP="00F21F23">
            <w:r w:rsidRPr="0082321B">
              <w:rPr>
                <w:noProof/>
                <w:lang w:eastAsia="en-GB"/>
              </w:rPr>
              <mc:AlternateContent>
                <mc:Choice Requires="wps">
                  <w:drawing>
                    <wp:inline distT="0" distB="0" distL="0" distR="0" wp14:anchorId="2F6ABED6" wp14:editId="2D27DC87">
                      <wp:extent cx="3051810" cy="586740"/>
                      <wp:effectExtent l="0" t="0" r="0" b="3810"/>
                      <wp:docPr id="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586740"/>
                              </a:xfrm>
                              <a:prstGeom prst="rect">
                                <a:avLst/>
                              </a:prstGeom>
                              <a:noFill/>
                              <a:ln>
                                <a:noFill/>
                              </a:ln>
                              <a:effectLst/>
                            </wps:spPr>
                            <wps:txbx>
                              <w:txbxContent>
                                <w:permStart w:id="622535088" w:edGrp="everyone"/>
                                <w:p w14:paraId="2FA60BF6" w14:textId="77777777" w:rsidR="0033457E" w:rsidRPr="00976EE6" w:rsidRDefault="003F72CF" w:rsidP="0033457E">
                                  <w:pPr>
                                    <w:pStyle w:val="NormalWeb"/>
                                    <w:spacing w:after="0"/>
                                  </w:pPr>
                                  <m:oMathPara>
                                    <m:oMathParaPr>
                                      <m:jc m:val="center"/>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lower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eastAsia="Cambria Math" w:hAnsi="Cambria Math"/>
                                              <w:color w:val="000000"/>
                                              <w:sz w:val="22"/>
                                              <w:szCs w:val="22"/>
                                            </w:rPr>
                                            <m:t>-O</m:t>
                                          </m:r>
                                        </m:e>
                                      </m:d>
                                    </m:oMath>
                                  </m:oMathPara>
                                  <w:permEnd w:id="622535088"/>
                                </w:p>
                              </w:txbxContent>
                            </wps:txbx>
                            <wps:bodyPr vertOverflow="clip" horzOverflow="clip" wrap="square" rtlCol="0" anchor="t">
                              <a:spAutoFit/>
                            </wps:bodyPr>
                          </wps:wsp>
                        </a:graphicData>
                      </a:graphic>
                    </wp:inline>
                  </w:drawing>
                </mc:Choice>
                <mc:Fallback>
                  <w:pict>
                    <v:shapetype w14:anchorId="2F6ABED6" id="_x0000_t202" coordsize="21600,21600" o:spt="202" path="m,l,21600r21600,l21600,xe">
                      <v:stroke joinstyle="miter"/>
                      <v:path gradientshapeok="t" o:connecttype="rect"/>
                    </v:shapetype>
                    <v:shape id="TextBox 2" o:spid="_x0000_s1026" type="#_x0000_t202" style="width:240.3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" filled="f" stroked="f">
                      <v:textbox style="mso-fit-shape-to-text:t">
                        <w:txbxContent>
                          <w:permStart w:id="622535088" w:edGrp="everyone"/>
                          <w:p w14:paraId="2FA60BF6" w14:textId="77777777" w:rsidR="0033457E" w:rsidRPr="00976EE6" w:rsidRDefault="003F72CF" w:rsidP="0033457E">
                            <w:pPr>
                              <w:pStyle w:val="NormalWeb"/>
                              <w:spacing w:after="0"/>
                            </w:pPr>
                            <m:oMathPara>
                              <m:oMathParaPr>
                                <m:jc m:val="center"/>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lower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eastAsia="Cambria Math" w:hAnsi="Cambria Math"/>
                                        <w:color w:val="000000"/>
                                        <w:sz w:val="22"/>
                                        <w:szCs w:val="22"/>
                                      </w:rPr>
                                      <m:t>-O</m:t>
                                    </m:r>
                                  </m:e>
                                </m:d>
                              </m:oMath>
                            </m:oMathPara>
                            <w:permEnd w:id="622535088"/>
                          </w:p>
                        </w:txbxContent>
                      </v:textbox>
                      <w10:anchorlock/>
                    </v:shape>
                  </w:pict>
                </mc:Fallback>
              </mc:AlternateContent>
            </w:r>
          </w:p>
          <w:p w14:paraId="363D2C6C" w14:textId="77777777" w:rsidR="0033457E" w:rsidRPr="0082321B" w:rsidRDefault="0033457E" w:rsidP="00F21F23"/>
          <w:p w14:paraId="63DDFB42" w14:textId="77777777" w:rsidR="0033457E" w:rsidRPr="0082321B" w:rsidRDefault="0033457E" w:rsidP="00F21F23"/>
          <w:p w14:paraId="55FCEC84" w14:textId="77777777" w:rsidR="0033457E" w:rsidRPr="0082321B" w:rsidRDefault="0033457E" w:rsidP="00F21F23"/>
          <w:p w14:paraId="630A601D" w14:textId="77777777" w:rsidR="0033457E" w:rsidRPr="0082321B" w:rsidRDefault="0033457E" w:rsidP="00F21F23">
            <w:r w:rsidRPr="0082321B">
              <w:rPr>
                <w:noProof/>
                <w:lang w:eastAsia="en-GB"/>
              </w:rPr>
              <mc:AlternateContent>
                <mc:Choice Requires="wps">
                  <w:drawing>
                    <wp:inline distT="0" distB="0" distL="0" distR="0" wp14:anchorId="6D43F724" wp14:editId="53193350">
                      <wp:extent cx="2909455" cy="586740"/>
                      <wp:effectExtent l="0" t="0" r="0" b="3810"/>
                      <wp:docPr id="2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9455" cy="586740"/>
                              </a:xfrm>
                              <a:prstGeom prst="rect">
                                <a:avLst/>
                              </a:prstGeom>
                              <a:noFill/>
                              <a:ln>
                                <a:noFill/>
                              </a:ln>
                              <a:effectLst/>
                            </wps:spPr>
                            <wps:txbx>
                              <w:txbxContent>
                                <w:permStart w:id="1083444569" w:edGrp="everyone"/>
                                <w:p w14:paraId="2CE62257" w14:textId="77777777" w:rsidR="0033457E" w:rsidRPr="00976EE6" w:rsidRDefault="003F72CF" w:rsidP="0033457E">
                                  <w:pPr>
                                    <w:pStyle w:val="NormalWeb"/>
                                    <w:spacing w:after="0"/>
                                  </w:pPr>
                                  <m:oMathPara>
                                    <m:oMathParaPr>
                                      <m:jc m:val="center"/>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upper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eastAsia="Cambria Math" w:hAnsi="Cambria Math"/>
                                              <w:color w:val="000000"/>
                                              <w:sz w:val="22"/>
                                              <w:szCs w:val="22"/>
                                            </w:rPr>
                                            <m:t>-O</m:t>
                                          </m:r>
                                        </m:e>
                                      </m:d>
                                    </m:oMath>
                                  </m:oMathPara>
                                  <w:permEnd w:id="1083444569"/>
                                </w:p>
                              </w:txbxContent>
                            </wps:txbx>
                            <wps:bodyPr vertOverflow="clip" horzOverflow="clip" wrap="square" rtlCol="0" anchor="t">
                              <a:spAutoFit/>
                            </wps:bodyPr>
                          </wps:wsp>
                        </a:graphicData>
                      </a:graphic>
                    </wp:inline>
                  </w:drawing>
                </mc:Choice>
                <mc:Fallback>
                  <w:pict>
                    <v:shape w14:anchorId="6D43F724" id="TextBox 5" o:spid="_x0000_s1027" type="#_x0000_t202" style="width:229.1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" filled="f" stroked="f">
                      <v:textbox style="mso-fit-shape-to-text:t">
                        <w:txbxContent>
                          <w:permStart w:id="1083444569" w:edGrp="everyone"/>
                          <w:p w14:paraId="2CE62257" w14:textId="77777777" w:rsidR="0033457E" w:rsidRPr="00976EE6" w:rsidRDefault="003F72CF" w:rsidP="0033457E">
                            <w:pPr>
                              <w:pStyle w:val="NormalWeb"/>
                              <w:spacing w:after="0"/>
                            </w:pPr>
                            <m:oMathPara>
                              <m:oMathParaPr>
                                <m:jc m:val="center"/>
                              </m:oMathParaPr>
                              <m:oMath>
                                <m:sSub>
                                  <m:sSubPr>
                                    <m:ctrlPr>
                                      <w:rPr>
                                        <w:rFonts w:ascii="Cambria Math" w:hAnsi="Cambria Math"/>
                                        <w:i/>
                                        <w:iCs/>
                                        <w:color w:val="000000"/>
                                        <w:sz w:val="22"/>
                                        <w:szCs w:val="22"/>
                                      </w:rPr>
                                    </m:ctrlPr>
                                  </m:sSubPr>
                                  <m:e>
                                    <m:r>
                                      <w:rPr>
                                        <w:rFonts w:ascii="Cambria Math" w:hAnsi="Cambria Math"/>
                                        <w:color w:val="000000"/>
                                        <w:sz w:val="22"/>
                                        <w:szCs w:val="22"/>
                                      </w:rPr>
                                      <m:t>DSR</m:t>
                                    </m:r>
                                  </m:e>
                                  <m:sub>
                                    <m:r>
                                      <w:rPr>
                                        <w:rFonts w:ascii="Cambria Math" w:hAnsi="Cambria Math"/>
                                        <w:color w:val="000000"/>
                                        <w:sz w:val="22"/>
                                        <w:szCs w:val="22"/>
                                      </w:rPr>
                                      <m:t>upper</m:t>
                                    </m:r>
                                  </m:sub>
                                </m:sSub>
                                <m:r>
                                  <w:rPr>
                                    <w:rFonts w:ascii="Cambria Math" w:hAnsi="Cambria Math"/>
                                    <w:color w:val="000000"/>
                                    <w:sz w:val="22"/>
                                    <w:szCs w:val="22"/>
                                  </w:rPr>
                                  <m:t>=DSR+</m:t>
                                </m:r>
                                <m:rad>
                                  <m:radPr>
                                    <m:degHide m:val="1"/>
                                    <m:ctrlPr>
                                      <w:rPr>
                                        <w:rFonts w:ascii="Cambria Math" w:hAnsi="Cambria Math"/>
                                        <w:i/>
                                        <w:iCs/>
                                        <w:color w:val="000000"/>
                                        <w:sz w:val="22"/>
                                        <w:szCs w:val="22"/>
                                      </w:rPr>
                                    </m:ctrlPr>
                                  </m:radPr>
                                  <m:deg/>
                                  <m:e>
                                    <m:f>
                                      <m:fPr>
                                        <m:ctrlPr>
                                          <w:rPr>
                                            <w:rFonts w:ascii="Cambria Math" w:hAnsi="Cambria Math"/>
                                            <w:i/>
                                            <w:iCs/>
                                            <w:color w:val="000000"/>
                                            <w:sz w:val="22"/>
                                            <w:szCs w:val="22"/>
                                          </w:rPr>
                                        </m:ctrlPr>
                                      </m:fPr>
                                      <m:num>
                                        <m:r>
                                          <w:rPr>
                                            <w:rFonts w:ascii="Cambria Math" w:hAnsi="Cambria Math"/>
                                            <w:color w:val="000000"/>
                                            <w:sz w:val="22"/>
                                            <w:szCs w:val="22"/>
                                          </w:rPr>
                                          <m:t>Var(DSR)</m:t>
                                        </m:r>
                                      </m:num>
                                      <m:den>
                                        <m:r>
                                          <w:rPr>
                                            <w:rFonts w:ascii="Cambria Math" w:hAnsi="Cambria Math"/>
                                            <w:color w:val="000000"/>
                                            <w:sz w:val="22"/>
                                            <w:szCs w:val="22"/>
                                          </w:rPr>
                                          <m:t>Var(O)</m:t>
                                        </m:r>
                                      </m:den>
                                    </m:f>
                                  </m:e>
                                </m:rad>
                                <m:d>
                                  <m:dPr>
                                    <m:ctrlPr>
                                      <w:rPr>
                                        <w:rFonts w:ascii="Cambria Math" w:eastAsia="Cambria Math" w:hAnsi="Cambria Math"/>
                                        <w:i/>
                                        <w:iCs/>
                                        <w:color w:val="000000"/>
                                        <w:sz w:val="22"/>
                                        <w:szCs w:val="22"/>
                                      </w:rPr>
                                    </m:ctrlPr>
                                  </m:dPr>
                                  <m:e>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eastAsia="Cambria Math" w:hAnsi="Cambria Math"/>
                                        <w:color w:val="000000"/>
                                        <w:sz w:val="22"/>
                                        <w:szCs w:val="22"/>
                                      </w:rPr>
                                      <m:t>-O</m:t>
                                    </m:r>
                                  </m:e>
                                </m:d>
                              </m:oMath>
                            </m:oMathPara>
                            <w:permEnd w:id="1083444569"/>
                          </w:p>
                        </w:txbxContent>
                      </v:textbox>
                      <w10:anchorlock/>
                    </v:shape>
                  </w:pict>
                </mc:Fallback>
              </mc:AlternateContent>
            </w:r>
          </w:p>
          <w:p w14:paraId="20162269" w14:textId="77777777" w:rsidR="0033457E" w:rsidRPr="0082321B" w:rsidRDefault="0033457E" w:rsidP="00F21F23">
            <w:pPr>
              <w:tabs>
                <w:tab w:val="left" w:pos="8546"/>
              </w:tabs>
              <w:spacing w:before="240"/>
            </w:pPr>
            <w:r w:rsidRPr="0082321B">
              <w:tab/>
            </w:r>
          </w:p>
          <w:p w14:paraId="0C32E2E0" w14:textId="77777777" w:rsidR="0033457E" w:rsidRPr="0082321B" w:rsidRDefault="0033457E" w:rsidP="00F21F23">
            <w:pPr>
              <w:tabs>
                <w:tab w:val="left" w:pos="8546"/>
              </w:tabs>
              <w:spacing w:before="240"/>
            </w:pPr>
          </w:p>
          <w:p w14:paraId="17365EDB" w14:textId="77777777" w:rsidR="0033457E" w:rsidRPr="0082321B" w:rsidRDefault="0033457E" w:rsidP="00F21F23">
            <w:pPr>
              <w:spacing w:before="240"/>
            </w:pPr>
            <w:r w:rsidRPr="0082321B">
              <w:t>where:</w:t>
            </w:r>
          </w:p>
          <w:p w14:paraId="1BE1A2DF" w14:textId="77777777" w:rsidR="0033457E" w:rsidRPr="0082321B" w:rsidRDefault="0033457E" w:rsidP="00F21F23">
            <w:pPr>
              <w:spacing w:before="240"/>
            </w:pPr>
            <w:r w:rsidRPr="0082321B">
              <w:rPr>
                <w:b/>
                <w:i/>
              </w:rPr>
              <w:t>O</w:t>
            </w:r>
            <w:r w:rsidRPr="0082321B">
              <w:t xml:space="preserve"> is the total number of observed deaths in the subject population</w:t>
            </w:r>
          </w:p>
          <w:p w14:paraId="3A31F80A" w14:textId="77777777" w:rsidR="0033457E" w:rsidRPr="0082321B" w:rsidRDefault="0033457E" w:rsidP="00F21F23"/>
          <w:p w14:paraId="2A0565DC" w14:textId="77777777" w:rsidR="0033457E" w:rsidRPr="0082321B" w:rsidRDefault="0033457E" w:rsidP="00F21F23">
            <w:r w:rsidRPr="0082321B">
              <w:rPr>
                <w:noProof/>
                <w:lang w:eastAsia="en-GB"/>
              </w:rPr>
              <mc:AlternateContent>
                <mc:Choice Requires="wps">
                  <w:drawing>
                    <wp:inline distT="0" distB="0" distL="0" distR="0" wp14:anchorId="67BC5288" wp14:editId="03C18788">
                      <wp:extent cx="1984136" cy="605790"/>
                      <wp:effectExtent l="0" t="0" r="0" b="5080"/>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4136" cy="605790"/>
                              </a:xfrm>
                              <a:prstGeom prst="rect">
                                <a:avLst/>
                              </a:prstGeom>
                              <a:noFill/>
                              <a:ln>
                                <a:noFill/>
                              </a:ln>
                              <a:effectLst/>
                            </wps:spPr>
                            <wps:txbx>
                              <w:txbxContent>
                                <w:p w14:paraId="4B82FD34" w14:textId="77777777" w:rsidR="0033457E" w:rsidRPr="004B172B" w:rsidRDefault="0033457E" w:rsidP="0033457E">
                                  <w:pPr>
                                    <w:pStyle w:val="NormalWeb"/>
                                    <w:spacing w:after="0"/>
                                  </w:pPr>
                                  <w:permStart w:id="1694191850" w:edGrp="everyone"/>
                                  <m:oMathPara>
                                    <m:oMathParaPr>
                                      <m:jc m:val="centerGroup"/>
                                    </m:oMathParaPr>
                                    <m:oMath>
                                      <m:r>
                                        <w:rPr>
                                          <w:rFonts w:ascii="Cambria Math" w:hAnsi="Cambria Math"/>
                                          <w:color w:val="000000"/>
                                          <w:sz w:val="22"/>
                                          <w:szCs w:val="22"/>
                                        </w:rPr>
                                        <m:t>Var(DSR)=</m:t>
                                      </m:r>
                                      <m:f>
                                        <m:fPr>
                                          <m:ctrlPr>
                                            <w:rPr>
                                              <w:rFonts w:ascii="Cambria Math" w:hAnsi="Cambria Math"/>
                                              <w:i/>
                                              <w:iCs/>
                                              <w:color w:val="000000"/>
                                              <w:sz w:val="22"/>
                                              <w:szCs w:val="22"/>
                                            </w:rPr>
                                          </m:ctrlPr>
                                        </m:fPr>
                                        <m:num>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f>
                                                <m:fPr>
                                                  <m:ctrlPr>
                                                    <w:rPr>
                                                      <w:rFonts w:ascii="Cambria Math" w:hAnsi="Cambria Math"/>
                                                      <w:i/>
                                                      <w:iCs/>
                                                      <w:color w:val="000000"/>
                                                      <w:sz w:val="22"/>
                                                      <w:szCs w:val="22"/>
                                                    </w:rPr>
                                                  </m:ctrlPr>
                                                </m:fPr>
                                                <m:num>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sup>
                                                      <m:r>
                                                        <w:rPr>
                                                          <w:rFonts w:ascii="Cambria Math" w:hAnsi="Cambria Math"/>
                                                          <w:color w:val="000000"/>
                                                          <w:sz w:val="22"/>
                                                          <w:szCs w:val="22"/>
                                                        </w:rPr>
                                                        <m:t>2</m:t>
                                                      </m:r>
                                                    </m:sup>
                                                  </m:sSup>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num>
                                                <m:den>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m:t>
                                                          </m:r>
                                                        </m:sub>
                                                      </m:sSub>
                                                    </m:e>
                                                    <m:sup>
                                                      <m:r>
                                                        <w:rPr>
                                                          <w:rFonts w:ascii="Cambria Math" w:hAnsi="Cambria Math"/>
                                                          <w:color w:val="000000"/>
                                                          <w:sz w:val="22"/>
                                                          <w:szCs w:val="22"/>
                                                        </w:rPr>
                                                        <m:t>2</m:t>
                                                      </m:r>
                                                    </m:sup>
                                                  </m:sSup>
                                                </m:den>
                                              </m:f>
                                            </m:e>
                                          </m:nary>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nary>
                                                </m:e>
                                              </m:d>
                                            </m:e>
                                            <m:sup>
                                              <m:r>
                                                <w:rPr>
                                                  <w:rFonts w:ascii="Cambria Math" w:hAnsi="Cambria Math"/>
                                                  <w:color w:val="000000"/>
                                                  <w:sz w:val="22"/>
                                                  <w:szCs w:val="22"/>
                                                </w:rPr>
                                                <m:t>2</m:t>
                                              </m:r>
                                            </m:sup>
                                          </m:sSup>
                                        </m:den>
                                      </m:f>
                                    </m:oMath>
                                  </m:oMathPara>
                                  <w:permEnd w:id="1694191850"/>
                                </w:p>
                              </w:txbxContent>
                            </wps:txbx>
                            <wps:bodyPr vertOverflow="clip" horzOverflow="clip" wrap="square" rtlCol="0" anchor="t">
                              <a:spAutoFit/>
                            </wps:bodyPr>
                          </wps:wsp>
                        </a:graphicData>
                      </a:graphic>
                    </wp:inline>
                  </w:drawing>
                </mc:Choice>
                <mc:Fallback>
                  <w:pict>
                    <v:shape w14:anchorId="67BC5288" id="TextBox 6" o:spid="_x0000_s1028" type="#_x0000_t202" style="width:156.2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" filled="f" stroked="f">
                      <v:textbox style="mso-fit-shape-to-text:t">
                        <w:txbxContent>
                          <w:p w14:paraId="4B82FD34" w14:textId="77777777" w:rsidR="0033457E" w:rsidRPr="004B172B" w:rsidRDefault="0033457E" w:rsidP="0033457E">
                            <w:pPr>
                              <w:pStyle w:val="NormalWeb"/>
                              <w:spacing w:after="0"/>
                            </w:pPr>
                            <w:permStart w:id="1694191850" w:edGrp="everyone"/>
                            <m:oMathPara>
                              <m:oMathParaPr>
                                <m:jc m:val="centerGroup"/>
                              </m:oMathParaPr>
                              <m:oMath>
                                <m:r>
                                  <w:rPr>
                                    <w:rFonts w:ascii="Cambria Math" w:hAnsi="Cambria Math"/>
                                    <w:color w:val="000000"/>
                                    <w:sz w:val="22"/>
                                    <w:szCs w:val="22"/>
                                  </w:rPr>
                                  <m:t>Var(DSR)=</m:t>
                                </m:r>
                                <m:f>
                                  <m:fPr>
                                    <m:ctrlPr>
                                      <w:rPr>
                                        <w:rFonts w:ascii="Cambria Math" w:hAnsi="Cambria Math"/>
                                        <w:i/>
                                        <w:iCs/>
                                        <w:color w:val="000000"/>
                                        <w:sz w:val="22"/>
                                        <w:szCs w:val="22"/>
                                      </w:rPr>
                                    </m:ctrlPr>
                                  </m:fPr>
                                  <m:num>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f>
                                          <m:fPr>
                                            <m:ctrlPr>
                                              <w:rPr>
                                                <w:rFonts w:ascii="Cambria Math" w:hAnsi="Cambria Math"/>
                                                <w:i/>
                                                <w:iCs/>
                                                <w:color w:val="000000"/>
                                                <w:sz w:val="22"/>
                                                <w:szCs w:val="22"/>
                                              </w:rPr>
                                            </m:ctrlPr>
                                          </m:fPr>
                                          <m:num>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sup>
                                                <m:r>
                                                  <w:rPr>
                                                    <w:rFonts w:ascii="Cambria Math" w:hAnsi="Cambria Math"/>
                                                    <w:color w:val="000000"/>
                                                    <w:sz w:val="22"/>
                                                    <w:szCs w:val="22"/>
                                                  </w:rPr>
                                                  <m:t>2</m:t>
                                                </m:r>
                                              </m:sup>
                                            </m:sSup>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num>
                                          <m:den>
                                            <m:sSup>
                                              <m:sSupPr>
                                                <m:ctrlPr>
                                                  <w:rPr>
                                                    <w:rFonts w:ascii="Cambria Math" w:hAnsi="Cambria Math"/>
                                                    <w:i/>
                                                    <w:iCs/>
                                                    <w:color w:val="000000"/>
                                                    <w:sz w:val="22"/>
                                                    <w:szCs w:val="22"/>
                                                  </w:rPr>
                                                </m:ctrlPr>
                                              </m:sSupPr>
                                              <m:e>
                                                <m:sSub>
                                                  <m:sSubPr>
                                                    <m:ctrlPr>
                                                      <w:rPr>
                                                        <w:rFonts w:ascii="Cambria Math" w:hAnsi="Cambria Math"/>
                                                        <w:i/>
                                                        <w:iCs/>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i</m:t>
                                                    </m:r>
                                                  </m:sub>
                                                </m:sSub>
                                              </m:e>
                                              <m:sup>
                                                <m:r>
                                                  <w:rPr>
                                                    <w:rFonts w:ascii="Cambria Math" w:hAnsi="Cambria Math"/>
                                                    <w:color w:val="000000"/>
                                                    <w:sz w:val="22"/>
                                                    <w:szCs w:val="22"/>
                                                  </w:rPr>
                                                  <m:t>2</m:t>
                                                </m:r>
                                              </m:sup>
                                            </m:sSup>
                                          </m:den>
                                        </m:f>
                                      </m:e>
                                    </m:nary>
                                  </m:num>
                                  <m:den>
                                    <m:sSup>
                                      <m:sSupPr>
                                        <m:ctrlPr>
                                          <w:rPr>
                                            <w:rFonts w:ascii="Cambria Math" w:hAnsi="Cambria Math"/>
                                            <w:i/>
                                            <w:iCs/>
                                            <w:color w:val="000000"/>
                                            <w:sz w:val="22"/>
                                            <w:szCs w:val="22"/>
                                          </w:rPr>
                                        </m:ctrlPr>
                                      </m:sSupPr>
                                      <m:e>
                                        <m:d>
                                          <m:dPr>
                                            <m:ctrlPr>
                                              <w:rPr>
                                                <w:rFonts w:ascii="Cambria Math" w:hAnsi="Cambria Math"/>
                                                <w:i/>
                                                <w:iCs/>
                                                <w:color w:val="000000"/>
                                                <w:sz w:val="22"/>
                                                <w:szCs w:val="22"/>
                                              </w:rPr>
                                            </m:ctrlPr>
                                          </m:dPr>
                                          <m:e>
                                            <m:nary>
                                              <m:naryPr>
                                                <m:chr m:val="∑"/>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w</m:t>
                                                    </m:r>
                                                  </m:e>
                                                  <m:sub>
                                                    <m:r>
                                                      <w:rPr>
                                                        <w:rFonts w:ascii="Cambria Math" w:hAnsi="Cambria Math"/>
                                                        <w:color w:val="000000"/>
                                                        <w:sz w:val="22"/>
                                                        <w:szCs w:val="22"/>
                                                      </w:rPr>
                                                      <m:t>i</m:t>
                                                    </m:r>
                                                  </m:sub>
                                                </m:sSub>
                                              </m:e>
                                            </m:nary>
                                          </m:e>
                                        </m:d>
                                      </m:e>
                                      <m:sup>
                                        <m:r>
                                          <w:rPr>
                                            <w:rFonts w:ascii="Cambria Math" w:hAnsi="Cambria Math"/>
                                            <w:color w:val="000000"/>
                                            <w:sz w:val="22"/>
                                            <w:szCs w:val="22"/>
                                          </w:rPr>
                                          <m:t>2</m:t>
                                        </m:r>
                                      </m:sup>
                                    </m:sSup>
                                  </m:den>
                                </m:f>
                              </m:oMath>
                            </m:oMathPara>
                            <w:permEnd w:id="1694191850"/>
                          </w:p>
                        </w:txbxContent>
                      </v:textbox>
                      <w10:anchorlock/>
                    </v:shape>
                  </w:pict>
                </mc:Fallback>
              </mc:AlternateContent>
            </w:r>
          </w:p>
          <w:p w14:paraId="2C2174AD" w14:textId="77777777" w:rsidR="0033457E" w:rsidRPr="0082321B" w:rsidRDefault="0033457E" w:rsidP="00F21F23"/>
          <w:p w14:paraId="1A85DCD4" w14:textId="77777777" w:rsidR="0033457E" w:rsidRPr="0082321B" w:rsidRDefault="0033457E" w:rsidP="00F21F23"/>
          <w:p w14:paraId="1C756B8A" w14:textId="77777777" w:rsidR="0033457E" w:rsidRPr="0082321B" w:rsidRDefault="0033457E" w:rsidP="00F21F23">
            <w:r w:rsidRPr="0082321B">
              <w:rPr>
                <w:noProof/>
                <w:lang w:eastAsia="en-GB"/>
              </w:rPr>
              <mc:AlternateContent>
                <mc:Choice Requires="wps">
                  <w:drawing>
                    <wp:inline distT="0" distB="0" distL="0" distR="0" wp14:anchorId="10C6973D" wp14:editId="6FD57AF8">
                      <wp:extent cx="1339850" cy="405130"/>
                      <wp:effectExtent l="0" t="0" r="0" b="0"/>
                      <wp:docPr id="2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405130"/>
                              </a:xfrm>
                              <a:prstGeom prst="rect">
                                <a:avLst/>
                              </a:prstGeom>
                              <a:noFill/>
                              <a:ln>
                                <a:noFill/>
                              </a:ln>
                              <a:effectLst/>
                            </wps:spPr>
                            <wps:txbx>
                              <w:txbxContent>
                                <w:p w14:paraId="6E33BE1D" w14:textId="77777777" w:rsidR="0033457E" w:rsidRPr="004B172B" w:rsidRDefault="0033457E" w:rsidP="0033457E">
                                  <w:pPr>
                                    <w:pStyle w:val="NormalWeb"/>
                                    <w:spacing w:after="0"/>
                                  </w:pPr>
                                  <w:permStart w:id="924403133" w:edGrp="everyone"/>
                                  <m:oMathPara>
                                    <m:oMathParaPr>
                                      <m:jc m:val="center"/>
                                    </m:oMathParaPr>
                                    <m:oMath>
                                      <m:r>
                                        <w:rPr>
                                          <w:rFonts w:ascii="Cambria Math" w:hAnsi="Cambria Math"/>
                                          <w:color w:val="000000"/>
                                          <w:sz w:val="22"/>
                                          <w:szCs w:val="22"/>
                                        </w:rPr>
                                        <m:t>Var</m:t>
                                      </m:r>
                                      <m:d>
                                        <m:dPr>
                                          <m:ctrlPr>
                                            <w:rPr>
                                              <w:rFonts w:ascii="Cambria Math" w:hAnsi="Cambria Math"/>
                                              <w:i/>
                                              <w:iCs/>
                                              <w:color w:val="000000"/>
                                              <w:sz w:val="22"/>
                                              <w:szCs w:val="22"/>
                                            </w:rPr>
                                          </m:ctrlPr>
                                        </m:dPr>
                                        <m:e>
                                          <m:r>
                                            <w:rPr>
                                              <w:rFonts w:ascii="Cambria Math" w:hAnsi="Cambria Math"/>
                                              <w:color w:val="000000"/>
                                              <w:sz w:val="22"/>
                                              <w:szCs w:val="22"/>
                                            </w:rPr>
                                            <m:t>O</m:t>
                                          </m:r>
                                        </m:e>
                                      </m:d>
                                      <m:r>
                                        <w:rPr>
                                          <w:rFonts w:ascii="Cambria Math" w:hAnsi="Cambria Math"/>
                                          <w:color w:val="000000"/>
                                          <w:sz w:val="22"/>
                                          <w:szCs w:val="22"/>
                                        </w:rPr>
                                        <m:t>=</m:t>
                                      </m:r>
                                      <m:nary>
                                        <m:naryPr>
                                          <m:chr m:val="∑"/>
                                          <m:limLoc m:val="subSup"/>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e>
                                      </m:nary>
                                    </m:oMath>
                                  </m:oMathPara>
                                  <w:permEnd w:id="924403133"/>
                                </w:p>
                              </w:txbxContent>
                            </wps:txbx>
                            <wps:bodyPr vertOverflow="clip" horzOverflow="clip" wrap="square" rtlCol="0" anchor="t">
                              <a:noAutofit/>
                            </wps:bodyPr>
                          </wps:wsp>
                        </a:graphicData>
                      </a:graphic>
                    </wp:inline>
                  </w:drawing>
                </mc:Choice>
                <mc:Fallback>
                  <w:pict>
                    <v:shape w14:anchorId="10C6973D" id="TextBox 7" o:spid="_x0000_s1029" type="#_x0000_t202" style="width:105.5pt;height: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" filled="f" stroked="f">
                      <v:textbox>
                        <w:txbxContent>
                          <w:p w14:paraId="6E33BE1D" w14:textId="77777777" w:rsidR="0033457E" w:rsidRPr="004B172B" w:rsidRDefault="0033457E" w:rsidP="0033457E">
                            <w:pPr>
                              <w:pStyle w:val="NormalWeb"/>
                              <w:spacing w:after="0"/>
                            </w:pPr>
                            <w:permStart w:id="924403133" w:edGrp="everyone"/>
                            <m:oMathPara>
                              <m:oMathParaPr>
                                <m:jc m:val="center"/>
                              </m:oMathParaPr>
                              <m:oMath>
                                <m:r>
                                  <w:rPr>
                                    <w:rFonts w:ascii="Cambria Math" w:hAnsi="Cambria Math"/>
                                    <w:color w:val="000000"/>
                                    <w:sz w:val="22"/>
                                    <w:szCs w:val="22"/>
                                  </w:rPr>
                                  <m:t>Var</m:t>
                                </m:r>
                                <m:d>
                                  <m:dPr>
                                    <m:ctrlPr>
                                      <w:rPr>
                                        <w:rFonts w:ascii="Cambria Math" w:hAnsi="Cambria Math"/>
                                        <w:i/>
                                        <w:iCs/>
                                        <w:color w:val="000000"/>
                                        <w:sz w:val="22"/>
                                        <w:szCs w:val="22"/>
                                      </w:rPr>
                                    </m:ctrlPr>
                                  </m:dPr>
                                  <m:e>
                                    <m:r>
                                      <w:rPr>
                                        <w:rFonts w:ascii="Cambria Math" w:hAnsi="Cambria Math"/>
                                        <w:color w:val="000000"/>
                                        <w:sz w:val="22"/>
                                        <w:szCs w:val="22"/>
                                      </w:rPr>
                                      <m:t>O</m:t>
                                    </m:r>
                                  </m:e>
                                </m:d>
                                <m:r>
                                  <w:rPr>
                                    <w:rFonts w:ascii="Cambria Math" w:hAnsi="Cambria Math"/>
                                    <w:color w:val="000000"/>
                                    <w:sz w:val="22"/>
                                    <w:szCs w:val="22"/>
                                  </w:rPr>
                                  <m:t>=</m:t>
                                </m:r>
                                <m:nary>
                                  <m:naryPr>
                                    <m:chr m:val="∑"/>
                                    <m:limLoc m:val="subSup"/>
                                    <m:supHide m:val="1"/>
                                    <m:ctrlPr>
                                      <w:rPr>
                                        <w:rFonts w:ascii="Cambria Math" w:hAnsi="Cambria Math"/>
                                        <w:i/>
                                        <w:iCs/>
                                        <w:color w:val="000000"/>
                                        <w:sz w:val="22"/>
                                        <w:szCs w:val="22"/>
                                      </w:rPr>
                                    </m:ctrlPr>
                                  </m:naryPr>
                                  <m:sub>
                                    <m:r>
                                      <w:rPr>
                                        <w:rFonts w:ascii="Cambria Math" w:hAnsi="Cambria Math"/>
                                        <w:color w:val="000000"/>
                                        <w:sz w:val="22"/>
                                        <w:szCs w:val="22"/>
                                      </w:rPr>
                                      <m:t>i</m:t>
                                    </m:r>
                                  </m:sub>
                                  <m:sup/>
                                  <m:e>
                                    <m:sSub>
                                      <m:sSubPr>
                                        <m:ctrlPr>
                                          <w:rPr>
                                            <w:rFonts w:ascii="Cambria Math" w:hAnsi="Cambria Math"/>
                                            <w:i/>
                                            <w:iCs/>
                                            <w:color w:val="000000"/>
                                            <w:sz w:val="22"/>
                                            <w:szCs w:val="22"/>
                                          </w:rPr>
                                        </m:ctrlPr>
                                      </m:sSubPr>
                                      <m:e>
                                        <m:r>
                                          <w:rPr>
                                            <w:rFonts w:ascii="Cambria Math" w:hAnsi="Cambria Math"/>
                                            <w:color w:val="000000"/>
                                            <w:sz w:val="22"/>
                                            <w:szCs w:val="22"/>
                                          </w:rPr>
                                          <m:t>O</m:t>
                                        </m:r>
                                      </m:e>
                                      <m:sub>
                                        <m:r>
                                          <w:rPr>
                                            <w:rFonts w:ascii="Cambria Math" w:hAnsi="Cambria Math"/>
                                            <w:color w:val="000000"/>
                                            <w:sz w:val="22"/>
                                            <w:szCs w:val="22"/>
                                          </w:rPr>
                                          <m:t>i</m:t>
                                        </m:r>
                                      </m:sub>
                                    </m:sSub>
                                  </m:e>
                                </m:nary>
                              </m:oMath>
                            </m:oMathPara>
                            <w:permEnd w:id="924403133"/>
                          </w:p>
                        </w:txbxContent>
                      </v:textbox>
                      <w10:anchorlock/>
                    </v:shape>
                  </w:pict>
                </mc:Fallback>
              </mc:AlternateContent>
            </w:r>
          </w:p>
          <w:p w14:paraId="5FAB3B49" w14:textId="77777777" w:rsidR="0033457E" w:rsidRPr="0082321B" w:rsidRDefault="0033457E" w:rsidP="00F21F23">
            <w:pPr>
              <w:spacing w:before="240"/>
              <w:rPr>
                <w:i/>
              </w:rPr>
            </w:pPr>
          </w:p>
          <w:p w14:paraId="470E5B87" w14:textId="77777777" w:rsidR="0033457E" w:rsidRPr="0082321B" w:rsidRDefault="0033457E" w:rsidP="00F21F23">
            <w:pPr>
              <w:spacing w:before="240"/>
            </w:pPr>
            <w:proofErr w:type="spellStart"/>
            <w:r w:rsidRPr="0082321B">
              <w:rPr>
                <w:i/>
              </w:rPr>
              <w:t>O</w:t>
            </w:r>
            <w:r w:rsidRPr="0082321B">
              <w:rPr>
                <w:i/>
                <w:vertAlign w:val="subscript"/>
              </w:rPr>
              <w:t>lower</w:t>
            </w:r>
            <w:proofErr w:type="spellEnd"/>
            <w:r w:rsidRPr="0082321B">
              <w:t xml:space="preserve"> and </w:t>
            </w:r>
            <w:proofErr w:type="spellStart"/>
            <w:r w:rsidRPr="0082321B">
              <w:rPr>
                <w:i/>
              </w:rPr>
              <w:t>O</w:t>
            </w:r>
            <w:r w:rsidRPr="0082321B">
              <w:rPr>
                <w:i/>
                <w:vertAlign w:val="subscript"/>
              </w:rPr>
              <w:t>upper</w:t>
            </w:r>
            <w:proofErr w:type="spellEnd"/>
            <w:r w:rsidRPr="0082321B">
              <w:t xml:space="preserve"> are the lower and upper confidence limits for the observed number of </w:t>
            </w:r>
            <w:proofErr w:type="gramStart"/>
            <w:r w:rsidRPr="0082321B">
              <w:t>events;</w:t>
            </w:r>
            <w:proofErr w:type="gramEnd"/>
          </w:p>
          <w:p w14:paraId="0CDA1520" w14:textId="77777777" w:rsidR="0033457E" w:rsidRPr="0082321B" w:rsidRDefault="0033457E" w:rsidP="00F21F23">
            <w:pPr>
              <w:spacing w:before="240"/>
            </w:pPr>
            <w:r w:rsidRPr="0082321B">
              <w:t xml:space="preserve">When </w:t>
            </w:r>
            <w:r w:rsidRPr="0082321B">
              <w:rPr>
                <w:b/>
                <w:i/>
              </w:rPr>
              <w:t>O</w:t>
            </w:r>
            <w:r w:rsidRPr="0082321B">
              <w:t xml:space="preserve"> &lt; 389 then (Dobson),</w:t>
            </w:r>
          </w:p>
          <w:p w14:paraId="25692041" w14:textId="77777777" w:rsidR="0033457E" w:rsidRPr="0082321B" w:rsidRDefault="003F72CF" w:rsidP="00F21F23">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lower</m:t>
                        </m:r>
                      </m:sub>
                      <m:sup>
                        <m:r>
                          <w:rPr>
                            <w:rFonts w:ascii="Cambria Math" w:hAnsi="Cambria Math"/>
                          </w:rPr>
                          <m:t>2</m:t>
                        </m:r>
                      </m:sup>
                    </m:sSubSup>
                  </m:num>
                  <m:den>
                    <m:r>
                      <w:rPr>
                        <w:rFonts w:ascii="Cambria Math" w:hAnsi="Cambria Math"/>
                      </w:rPr>
                      <m:t>2</m:t>
                    </m:r>
                  </m:den>
                </m:f>
              </m:oMath>
            </m:oMathPara>
          </w:p>
          <w:p w14:paraId="4D0716DC" w14:textId="77777777" w:rsidR="0033457E" w:rsidRPr="0082321B" w:rsidRDefault="003F72CF" w:rsidP="00F21F23">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upper</m:t>
                        </m:r>
                      </m:sub>
                      <m:sup>
                        <m:r>
                          <w:rPr>
                            <w:rFonts w:ascii="Cambria Math" w:hAnsi="Cambria Math"/>
                          </w:rPr>
                          <m:t>2</m:t>
                        </m:r>
                      </m:sup>
                    </m:sSubSup>
                  </m:num>
                  <m:den>
                    <m:r>
                      <w:rPr>
                        <w:rFonts w:ascii="Cambria Math" w:hAnsi="Cambria Math"/>
                      </w:rPr>
                      <m:t>2</m:t>
                    </m:r>
                  </m:den>
                </m:f>
              </m:oMath>
            </m:oMathPara>
          </w:p>
          <w:p w14:paraId="2404C712" w14:textId="77777777" w:rsidR="0033457E" w:rsidRPr="0082321B" w:rsidRDefault="0033457E" w:rsidP="00F21F23">
            <w:r w:rsidRPr="0082321B">
              <w:t>where:</w:t>
            </w:r>
          </w:p>
          <w:p w14:paraId="6655CC83" w14:textId="77777777" w:rsidR="0033457E" w:rsidRPr="0082321B" w:rsidRDefault="0033457E" w:rsidP="00F21F23">
            <m:oMath>
              <m:r>
                <w:rPr>
                  <w:rFonts w:ascii="Cambria Math" w:hAnsi="Cambria Math"/>
                </w:rPr>
                <m:t>χ</m:t>
              </m:r>
            </m:oMath>
            <w:r w:rsidRPr="0082321B">
              <w:rPr>
                <w:i/>
                <w:vertAlign w:val="superscript"/>
              </w:rPr>
              <w:t>2</w:t>
            </w:r>
            <w:r w:rsidRPr="0082321B">
              <w:rPr>
                <w:i/>
                <w:vertAlign w:val="subscript"/>
              </w:rPr>
              <w:t>lower</w:t>
            </w:r>
            <w:r w:rsidRPr="0082321B">
              <w:t xml:space="preserve"> is the 97.5</w:t>
            </w:r>
            <w:r w:rsidRPr="0082321B">
              <w:rPr>
                <w:vertAlign w:val="superscript"/>
              </w:rPr>
              <w:t>th</w:t>
            </w:r>
            <w:r w:rsidRPr="0082321B">
              <w:t xml:space="preserve"> percentile value from the </w:t>
            </w:r>
            <m:oMath>
              <m:r>
                <w:rPr>
                  <w:rFonts w:ascii="Cambria Math" w:hAnsi="Cambria Math"/>
                </w:rPr>
                <m:t>χ</m:t>
              </m:r>
            </m:oMath>
            <w:r w:rsidRPr="0082321B">
              <w:rPr>
                <w:i/>
                <w:vertAlign w:val="superscript"/>
              </w:rPr>
              <w:t>2</w:t>
            </w:r>
            <w:r w:rsidRPr="0082321B">
              <w:t xml:space="preserve"> distribution with 2</w:t>
            </w:r>
            <w:r w:rsidRPr="0082321B">
              <w:rPr>
                <w:i/>
              </w:rPr>
              <w:t xml:space="preserve">O </w:t>
            </w:r>
            <w:r w:rsidRPr="0082321B">
              <w:t xml:space="preserve">degrees of </w:t>
            </w:r>
            <w:proofErr w:type="gramStart"/>
            <w:r w:rsidRPr="0082321B">
              <w:t>freedom;</w:t>
            </w:r>
            <w:proofErr w:type="gramEnd"/>
          </w:p>
          <w:p w14:paraId="0493A8AB" w14:textId="77777777" w:rsidR="0033457E" w:rsidRPr="0082321B" w:rsidRDefault="0033457E" w:rsidP="00F21F23">
            <m:oMath>
              <m:r>
                <w:rPr>
                  <w:rFonts w:ascii="Cambria Math" w:hAnsi="Cambria Math"/>
                </w:rPr>
                <m:t>χ</m:t>
              </m:r>
            </m:oMath>
            <w:r w:rsidRPr="0082321B">
              <w:rPr>
                <w:i/>
                <w:vertAlign w:val="superscript"/>
              </w:rPr>
              <w:t>2</w:t>
            </w:r>
            <w:r w:rsidRPr="0082321B">
              <w:rPr>
                <w:i/>
                <w:vertAlign w:val="subscript"/>
              </w:rPr>
              <w:t>upper</w:t>
            </w:r>
            <w:r w:rsidRPr="0082321B">
              <w:rPr>
                <w:i/>
              </w:rPr>
              <w:t xml:space="preserve"> </w:t>
            </w:r>
            <w:r w:rsidRPr="0082321B">
              <w:t>is the 2.5</w:t>
            </w:r>
            <w:r w:rsidRPr="0082321B">
              <w:rPr>
                <w:vertAlign w:val="superscript"/>
              </w:rPr>
              <w:t>th</w:t>
            </w:r>
            <w:r w:rsidRPr="0082321B">
              <w:t xml:space="preserve"> percentile value from the </w:t>
            </w:r>
            <m:oMath>
              <m:r>
                <w:rPr>
                  <w:rFonts w:ascii="Cambria Math" w:hAnsi="Cambria Math"/>
                </w:rPr>
                <m:t>χ</m:t>
              </m:r>
            </m:oMath>
            <w:r w:rsidRPr="0082321B">
              <w:rPr>
                <w:i/>
                <w:vertAlign w:val="superscript"/>
              </w:rPr>
              <w:t>2</w:t>
            </w:r>
            <w:r w:rsidRPr="0082321B">
              <w:t xml:space="preserve"> distribution with 2</w:t>
            </w:r>
            <w:r w:rsidRPr="0082321B">
              <w:rPr>
                <w:i/>
              </w:rPr>
              <w:t>O</w:t>
            </w:r>
            <w:r w:rsidRPr="0082321B">
              <w:t>+2 degrees of freedom.</w:t>
            </w:r>
          </w:p>
          <w:p w14:paraId="2FBA4AE4" w14:textId="77777777" w:rsidR="0033457E" w:rsidRPr="0082321B" w:rsidRDefault="0033457E" w:rsidP="00F21F23">
            <w:pPr>
              <w:spacing w:before="240"/>
            </w:pPr>
          </w:p>
          <w:p w14:paraId="18D7CB19" w14:textId="77777777" w:rsidR="0033457E" w:rsidRPr="0082321B" w:rsidRDefault="0033457E" w:rsidP="00F21F23">
            <w:pPr>
              <w:spacing w:before="240"/>
            </w:pPr>
            <w:r w:rsidRPr="0082321B">
              <w:t xml:space="preserve">When </w:t>
            </w:r>
            <w:r w:rsidRPr="0082321B">
              <w:rPr>
                <w:b/>
                <w:i/>
              </w:rPr>
              <w:t>O</w:t>
            </w:r>
            <w:r w:rsidRPr="0082321B">
              <w:t xml:space="preserve"> &gt;= 389 then (</w:t>
            </w:r>
            <w:proofErr w:type="spellStart"/>
            <w:r w:rsidRPr="0082321B">
              <w:t>Byar</w:t>
            </w:r>
            <w:proofErr w:type="spellEnd"/>
            <w:r w:rsidRPr="0082321B">
              <w:t>),</w:t>
            </w:r>
          </w:p>
          <w:p w14:paraId="29972F63" w14:textId="77777777" w:rsidR="0033457E" w:rsidRPr="0082321B" w:rsidRDefault="003F72CF" w:rsidP="00F21F23">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m:t>
                </m:r>
                <m:sSup>
                  <m:sSupPr>
                    <m:ctrlPr>
                      <w:rPr>
                        <w:rFonts w:ascii="Cambria Math" w:eastAsia="Cambria Math" w:hAnsi="Cambria Math"/>
                        <w:i/>
                        <w:iCs/>
                      </w:rPr>
                    </m:ctrlPr>
                  </m:sSupPr>
                  <m:e>
                    <m:r>
                      <w:rPr>
                        <w:rFonts w:ascii="Cambria Math" w:eastAsia="Cambria Math" w:hAnsi="Cambria Math"/>
                      </w:rPr>
                      <m:t>O</m:t>
                    </m:r>
                    <m:d>
                      <m:dPr>
                        <m:ctrlPr>
                          <w:rPr>
                            <w:rFonts w:ascii="Cambria Math" w:eastAsia="Cambria Math" w:hAnsi="Cambria Math"/>
                            <w:i/>
                            <w:iCs/>
                          </w:rPr>
                        </m:ctrlPr>
                      </m:dPr>
                      <m:e>
                        <m:r>
                          <w:rPr>
                            <w:rFonts w:ascii="Cambria Math" w:eastAsia="Cambria Math" w:hAnsi="Cambria Math"/>
                          </w:rPr>
                          <m:t>1-</m:t>
                        </m:r>
                        <m:f>
                          <m:fPr>
                            <m:ctrlPr>
                              <w:rPr>
                                <w:rFonts w:ascii="Cambria Math" w:eastAsia="Cambria Math" w:hAnsi="Cambria Math"/>
                                <w:i/>
                                <w:iCs/>
                              </w:rPr>
                            </m:ctrlPr>
                          </m:fPr>
                          <m:num>
                            <m:r>
                              <w:rPr>
                                <w:rFonts w:ascii="Cambria Math" w:eastAsia="Cambria Math" w:hAnsi="Cambria Math"/>
                              </w:rPr>
                              <m:t>1</m:t>
                            </m:r>
                          </m:num>
                          <m:den>
                            <m:r>
                              <w:rPr>
                                <w:rFonts w:ascii="Cambria Math" w:eastAsia="Cambria Math" w:hAnsi="Cambria Math"/>
                              </w:rPr>
                              <m:t>9O</m:t>
                            </m:r>
                          </m:den>
                        </m:f>
                        <m:r>
                          <w:rPr>
                            <w:rFonts w:ascii="Cambria Math" w:eastAsia="Cambria Math" w:hAnsi="Cambria Math"/>
                          </w:rPr>
                          <m:t>-</m:t>
                        </m:r>
                        <m:f>
                          <m:fPr>
                            <m:ctrlPr>
                              <w:rPr>
                                <w:rFonts w:ascii="Cambria Math" w:eastAsia="Cambria Math" w:hAnsi="Cambria Math"/>
                                <w:i/>
                                <w:iCs/>
                              </w:rPr>
                            </m:ctrlPr>
                          </m:fPr>
                          <m:num>
                            <m:r>
                              <w:rPr>
                                <w:rFonts w:ascii="Cambria Math" w:eastAsia="Cambria Math" w:hAnsi="Cambria Math"/>
                              </w:rPr>
                              <m:t>z</m:t>
                            </m:r>
                          </m:num>
                          <m:den>
                            <m:r>
                              <w:rPr>
                                <w:rFonts w:ascii="Cambria Math" w:eastAsia="Cambria Math" w:hAnsi="Cambria Math"/>
                              </w:rPr>
                              <m:t>3</m:t>
                            </m:r>
                            <m:rad>
                              <m:radPr>
                                <m:degHide m:val="1"/>
                                <m:ctrlPr>
                                  <w:rPr>
                                    <w:rFonts w:ascii="Cambria Math" w:eastAsia="Cambria Math" w:hAnsi="Cambria Math"/>
                                    <w:i/>
                                    <w:iCs/>
                                  </w:rPr>
                                </m:ctrlPr>
                              </m:radPr>
                              <m:deg/>
                              <m:e>
                                <m:r>
                                  <w:rPr>
                                    <w:rFonts w:ascii="Cambria Math" w:eastAsia="Cambria Math" w:hAnsi="Cambria Math"/>
                                  </w:rPr>
                                  <m:t>O</m:t>
                                </m:r>
                              </m:e>
                            </m:rad>
                          </m:den>
                        </m:f>
                      </m:e>
                    </m:d>
                  </m:e>
                  <m:sup>
                    <m:r>
                      <w:rPr>
                        <w:rFonts w:ascii="Cambria Math" w:eastAsia="Cambria Math" w:hAnsi="Cambria Math"/>
                      </w:rPr>
                      <m:t>3</m:t>
                    </m:r>
                  </m:sup>
                </m:sSup>
              </m:oMath>
            </m:oMathPara>
          </w:p>
          <w:p w14:paraId="2801B060" w14:textId="77777777" w:rsidR="0033457E" w:rsidRPr="0082321B" w:rsidRDefault="003F72CF" w:rsidP="00F21F23">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m:t>
                </m:r>
                <m:r>
                  <w:rPr>
                    <w:rFonts w:ascii="Cambria Math" w:eastAsia="Cambria Math" w:hAnsi="Cambria Math"/>
                  </w:rPr>
                  <m:t>(O+1)</m:t>
                </m:r>
                <m:sSup>
                  <m:sSupPr>
                    <m:ctrlPr>
                      <w:rPr>
                        <w:rFonts w:ascii="Cambria Math" w:eastAsia="Cambria Math" w:hAnsi="Cambria Math"/>
                        <w:i/>
                        <w:iCs/>
                      </w:rPr>
                    </m:ctrlPr>
                  </m:sSupPr>
                  <m:e>
                    <m:d>
                      <m:dPr>
                        <m:ctrlPr>
                          <w:rPr>
                            <w:rFonts w:ascii="Cambria Math" w:eastAsia="Cambria Math" w:hAnsi="Cambria Math"/>
                            <w:i/>
                            <w:iCs/>
                          </w:rPr>
                        </m:ctrlPr>
                      </m:dPr>
                      <m:e>
                        <m:r>
                          <w:rPr>
                            <w:rFonts w:ascii="Cambria Math" w:eastAsia="Cambria Math" w:hAnsi="Cambria Math"/>
                          </w:rPr>
                          <m:t>1-</m:t>
                        </m:r>
                        <m:f>
                          <m:fPr>
                            <m:ctrlPr>
                              <w:rPr>
                                <w:rFonts w:ascii="Cambria Math" w:eastAsia="Cambria Math" w:hAnsi="Cambria Math"/>
                                <w:i/>
                                <w:iCs/>
                              </w:rPr>
                            </m:ctrlPr>
                          </m:fPr>
                          <m:num>
                            <m:r>
                              <w:rPr>
                                <w:rFonts w:ascii="Cambria Math" w:eastAsia="Cambria Math" w:hAnsi="Cambria Math"/>
                              </w:rPr>
                              <m:t>1</m:t>
                            </m:r>
                          </m:num>
                          <m:den>
                            <m:r>
                              <w:rPr>
                                <w:rFonts w:ascii="Cambria Math" w:eastAsia="Cambria Math" w:hAnsi="Cambria Math"/>
                              </w:rPr>
                              <m:t>9</m:t>
                            </m:r>
                            <m:d>
                              <m:dPr>
                                <m:ctrlPr>
                                  <w:rPr>
                                    <w:rFonts w:ascii="Cambria Math" w:eastAsia="Cambria Math" w:hAnsi="Cambria Math"/>
                                    <w:i/>
                                    <w:iCs/>
                                  </w:rPr>
                                </m:ctrlPr>
                              </m:dPr>
                              <m:e>
                                <m:r>
                                  <w:rPr>
                                    <w:rFonts w:ascii="Cambria Math" w:eastAsia="Cambria Math" w:hAnsi="Cambria Math"/>
                                  </w:rPr>
                                  <m:t>O+1</m:t>
                                </m:r>
                              </m:e>
                            </m:d>
                          </m:den>
                        </m:f>
                        <m:r>
                          <w:rPr>
                            <w:rFonts w:ascii="Cambria Math" w:eastAsia="Cambria Math" w:hAnsi="Cambria Math"/>
                          </w:rPr>
                          <m:t>+</m:t>
                        </m:r>
                        <m:f>
                          <m:fPr>
                            <m:ctrlPr>
                              <w:rPr>
                                <w:rFonts w:ascii="Cambria Math" w:eastAsia="Cambria Math" w:hAnsi="Cambria Math"/>
                                <w:i/>
                                <w:iCs/>
                              </w:rPr>
                            </m:ctrlPr>
                          </m:fPr>
                          <m:num>
                            <m:r>
                              <w:rPr>
                                <w:rFonts w:ascii="Cambria Math" w:eastAsia="Cambria Math" w:hAnsi="Cambria Math"/>
                              </w:rPr>
                              <m:t>z</m:t>
                            </m:r>
                          </m:num>
                          <m:den>
                            <m:r>
                              <w:rPr>
                                <w:rFonts w:ascii="Cambria Math" w:eastAsia="Cambria Math" w:hAnsi="Cambria Math"/>
                              </w:rPr>
                              <m:t>3</m:t>
                            </m:r>
                            <m:rad>
                              <m:radPr>
                                <m:degHide m:val="1"/>
                                <m:ctrlPr>
                                  <w:rPr>
                                    <w:rFonts w:ascii="Cambria Math" w:eastAsia="Cambria Math" w:hAnsi="Cambria Math"/>
                                    <w:i/>
                                    <w:iCs/>
                                  </w:rPr>
                                </m:ctrlPr>
                              </m:radPr>
                              <m:deg/>
                              <m:e>
                                <m:r>
                                  <w:rPr>
                                    <w:rFonts w:ascii="Cambria Math" w:eastAsia="Cambria Math" w:hAnsi="Cambria Math"/>
                                  </w:rPr>
                                  <m:t>O+1</m:t>
                                </m:r>
                              </m:e>
                            </m:rad>
                          </m:den>
                        </m:f>
                      </m:e>
                    </m:d>
                  </m:e>
                  <m:sup>
                    <m:r>
                      <w:rPr>
                        <w:rFonts w:ascii="Cambria Math" w:eastAsia="Cambria Math" w:hAnsi="Cambria Math"/>
                      </w:rPr>
                      <m:t>3</m:t>
                    </m:r>
                  </m:sup>
                </m:sSup>
              </m:oMath>
            </m:oMathPara>
          </w:p>
          <w:p w14:paraId="63D80A52" w14:textId="77777777" w:rsidR="0033457E" w:rsidRPr="0082321B" w:rsidRDefault="0033457E" w:rsidP="00F21F23"/>
          <w:p w14:paraId="7210D583" w14:textId="77777777" w:rsidR="0033457E" w:rsidRPr="0082321B" w:rsidRDefault="0033457E" w:rsidP="00F21F23">
            <w:r w:rsidRPr="0082321B">
              <w:t>where:</w:t>
            </w:r>
          </w:p>
          <w:p w14:paraId="0ADBE7BF" w14:textId="77777777" w:rsidR="0033457E" w:rsidRPr="0082321B" w:rsidRDefault="0033457E" w:rsidP="00F21F23">
            <w:r w:rsidRPr="0082321B">
              <w:t xml:space="preserve"> </w:t>
            </w:r>
            <w:r w:rsidRPr="0082321B">
              <w:rPr>
                <w:b/>
                <w:i/>
              </w:rPr>
              <w:t>z</w:t>
            </w:r>
            <w:r w:rsidRPr="0082321B">
              <w:rPr>
                <w:b/>
              </w:rPr>
              <w:t xml:space="preserve"> </w:t>
            </w:r>
            <w:r w:rsidRPr="0082321B">
              <w:t>is the 97.5</w:t>
            </w:r>
            <w:r w:rsidRPr="0082321B">
              <w:rPr>
                <w:vertAlign w:val="superscript"/>
              </w:rPr>
              <w:t>th</w:t>
            </w:r>
            <w:r w:rsidRPr="0082321B">
              <w:t xml:space="preserve"> percentile value from the Standard Normal distribution.</w:t>
            </w:r>
          </w:p>
          <w:p w14:paraId="31564641" w14:textId="77777777" w:rsidR="0033457E" w:rsidRPr="0082321B" w:rsidRDefault="0033457E" w:rsidP="00F21F23"/>
          <w:p w14:paraId="55D20A79" w14:textId="77777777" w:rsidR="0033457E" w:rsidRPr="0082321B" w:rsidRDefault="0033457E" w:rsidP="00F21F23">
            <w:pPr>
              <w:rPr>
                <w:b/>
              </w:rPr>
            </w:pPr>
            <w:r w:rsidRPr="0082321B">
              <w:rPr>
                <w:b/>
              </w:rPr>
              <w:t>Confidence Intervals for Crude Rates</w:t>
            </w:r>
          </w:p>
          <w:p w14:paraId="75E89C25" w14:textId="77777777" w:rsidR="0033457E" w:rsidRPr="0082321B" w:rsidRDefault="0033457E" w:rsidP="00F21F23">
            <w:pPr>
              <w:autoSpaceDE w:val="0"/>
              <w:autoSpaceDN w:val="0"/>
            </w:pPr>
            <w:r w:rsidRPr="0082321B">
              <w:t xml:space="preserve">Where the indicator values are broken down by age and gender direct standardisation is not possible and crude rates are calculated instead. Although still based on the Dobson’s and </w:t>
            </w:r>
            <w:proofErr w:type="spellStart"/>
            <w:r w:rsidRPr="0082321B">
              <w:t>Byar’s</w:t>
            </w:r>
            <w:proofErr w:type="spellEnd"/>
            <w:r w:rsidRPr="0082321B">
              <w:t xml:space="preserve"> method, in these cases 95% confidence intervals are calculated using a different methodology:</w:t>
            </w:r>
          </w:p>
          <w:p w14:paraId="77BB2FA0" w14:textId="77777777" w:rsidR="0033457E" w:rsidRPr="0082321B" w:rsidRDefault="003F72CF" w:rsidP="00F21F23">
            <w:pPr>
              <w:autoSpaceDE w:val="0"/>
              <w:autoSpaceDN w:val="0"/>
              <w:adjustRightInd w:val="0"/>
            </w:pPr>
            <m:oMathPara>
              <m:oMath>
                <m:sSub>
                  <m:sSubPr>
                    <m:ctrlPr>
                      <w:rPr>
                        <w:rFonts w:ascii="Cambria Math" w:hAnsi="Cambria Math"/>
                        <w:i/>
                      </w:rPr>
                    </m:ctrlPr>
                  </m:sSubPr>
                  <m:e>
                    <m:r>
                      <w:rPr>
                        <w:rFonts w:ascii="Cambria Math" w:hAnsi="Cambria Math"/>
                      </w:rPr>
                      <m:t>r</m:t>
                    </m:r>
                  </m:e>
                  <m:sub>
                    <m:r>
                      <w:rPr>
                        <w:rFonts w:ascii="Cambria Math" w:hAnsi="Cambria Math"/>
                      </w:rPr>
                      <m:t>lower</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O</m:t>
                        </m:r>
                      </m:e>
                      <m:sub>
                        <m:r>
                          <w:rPr>
                            <w:rFonts w:ascii="Cambria Math" w:hAnsi="Cambria Math"/>
                          </w:rPr>
                          <m:t>lower</m:t>
                        </m:r>
                      </m:sub>
                    </m:sSub>
                  </m:num>
                  <m:den>
                    <m:r>
                      <m:rPr>
                        <m:sty m:val="p"/>
                      </m:rPr>
                      <w:rPr>
                        <w:rFonts w:ascii="Cambria Math" w:hAnsi="Cambria Math"/>
                      </w:rPr>
                      <m:t>n</m:t>
                    </m:r>
                  </m:den>
                </m:f>
              </m:oMath>
            </m:oMathPara>
          </w:p>
          <w:p w14:paraId="631EF473" w14:textId="77777777" w:rsidR="0033457E" w:rsidRPr="0082321B" w:rsidRDefault="0033457E" w:rsidP="00F21F23">
            <w:pPr>
              <w:autoSpaceDE w:val="0"/>
              <w:autoSpaceDN w:val="0"/>
              <w:adjustRightInd w:val="0"/>
            </w:pPr>
          </w:p>
          <w:p w14:paraId="3594CC33" w14:textId="77777777" w:rsidR="0033457E" w:rsidRPr="0082321B" w:rsidRDefault="003F72CF" w:rsidP="00F21F23">
            <w:pPr>
              <w:autoSpaceDE w:val="0"/>
              <w:autoSpaceDN w:val="0"/>
              <w:adjustRightInd w:val="0"/>
            </w:pPr>
            <m:oMathPara>
              <m:oMath>
                <m:sSub>
                  <m:sSubPr>
                    <m:ctrlPr>
                      <w:rPr>
                        <w:rFonts w:ascii="Cambria Math" w:hAnsi="Cambria Math"/>
                        <w:i/>
                      </w:rPr>
                    </m:ctrlPr>
                  </m:sSubPr>
                  <m:e>
                    <m:r>
                      <w:rPr>
                        <w:rFonts w:ascii="Cambria Math" w:hAnsi="Cambria Math"/>
                      </w:rPr>
                      <m:t>r</m:t>
                    </m:r>
                  </m:e>
                  <m:sub>
                    <m:r>
                      <w:rPr>
                        <w:rFonts w:ascii="Cambria Math" w:hAnsi="Cambria Math"/>
                      </w:rPr>
                      <m:t>upper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upper</m:t>
                        </m:r>
                      </m:sub>
                    </m:sSub>
                  </m:num>
                  <m:den>
                    <m:r>
                      <w:rPr>
                        <w:rFonts w:ascii="Cambria Math" w:hAnsi="Cambria Math"/>
                      </w:rPr>
                      <m:t>n</m:t>
                    </m:r>
                  </m:den>
                </m:f>
              </m:oMath>
            </m:oMathPara>
          </w:p>
          <w:p w14:paraId="286A9400" w14:textId="77777777" w:rsidR="0033457E" w:rsidRPr="0082321B" w:rsidRDefault="0033457E" w:rsidP="00F21F23">
            <w:r w:rsidRPr="0082321B">
              <w:t>where:</w:t>
            </w:r>
          </w:p>
          <w:p w14:paraId="1BBC84D1" w14:textId="77777777" w:rsidR="0033457E" w:rsidRPr="0082321B" w:rsidRDefault="0033457E" w:rsidP="00F21F23">
            <w:r w:rsidRPr="0082321B">
              <w:rPr>
                <w:b/>
                <w:i/>
              </w:rPr>
              <w:t>r</w:t>
            </w:r>
            <w:r w:rsidRPr="0082321B">
              <w:t xml:space="preserve"> is the crude rate and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lower</m:t>
                  </m:r>
                </m:sub>
              </m:sSub>
            </m:oMath>
            <w:r w:rsidRPr="0082321B">
              <w:t>and</w:t>
            </w:r>
            <m:oMath>
              <m:r>
                <m:rPr>
                  <m:sty m:val="p"/>
                </m:rPr>
                <w:rPr>
                  <w:rFonts w:ascii="Cambria Math" w:hAnsi="Cambria Math"/>
                </w:rPr>
                <m:t xml:space="preserve"> </m:t>
              </m:r>
            </m:oMath>
            <w:r w:rsidRPr="0082321B">
              <w:t xml:space="preserv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upper</m:t>
                  </m:r>
                </m:sub>
              </m:sSub>
            </m:oMath>
            <w:r w:rsidRPr="0082321B">
              <w:t xml:space="preserve"> are the lower and upper confidence limits for the crude </w:t>
            </w:r>
            <w:proofErr w:type="gramStart"/>
            <w:r w:rsidRPr="0082321B">
              <w:t>rate;</w:t>
            </w:r>
            <w:proofErr w:type="gramEnd"/>
          </w:p>
          <w:p w14:paraId="2A3FFDF9" w14:textId="77777777" w:rsidR="0033457E" w:rsidRPr="0082321B" w:rsidRDefault="0033457E" w:rsidP="00F21F23">
            <w:pPr>
              <w:spacing w:before="240"/>
            </w:pPr>
            <w:r w:rsidRPr="0082321B">
              <w:rPr>
                <w:b/>
                <w:i/>
              </w:rPr>
              <w:t>O</w:t>
            </w:r>
            <w:r w:rsidRPr="0082321B">
              <w:t xml:space="preserve"> is the total number of observed deaths in the subject population and </w:t>
            </w:r>
            <m:oMath>
              <m:sSub>
                <m:sSubPr>
                  <m:ctrlPr>
                    <w:rPr>
                      <w:rFonts w:ascii="Cambria Math" w:hAnsi="Cambria Math"/>
                      <w:i/>
                    </w:rPr>
                  </m:ctrlPr>
                </m:sSubPr>
                <m:e>
                  <m:r>
                    <w:rPr>
                      <w:rFonts w:ascii="Cambria Math" w:hAnsi="Cambria Math"/>
                    </w:rPr>
                    <m:t>O</m:t>
                  </m:r>
                </m:e>
                <m:sub>
                  <m:r>
                    <w:rPr>
                      <w:rFonts w:ascii="Cambria Math" w:hAnsi="Cambria Math"/>
                    </w:rPr>
                    <m:t>lower</m:t>
                  </m:r>
                </m:sub>
              </m:sSub>
            </m:oMath>
            <w:r w:rsidRPr="0082321B">
              <w:t xml:space="preserve">and </w:t>
            </w:r>
            <m:oMath>
              <m:sSub>
                <m:sSubPr>
                  <m:ctrlPr>
                    <w:rPr>
                      <w:rFonts w:ascii="Cambria Math" w:hAnsi="Cambria Math"/>
                      <w:i/>
                    </w:rPr>
                  </m:ctrlPr>
                </m:sSubPr>
                <m:e>
                  <m:r>
                    <w:rPr>
                      <w:rFonts w:ascii="Cambria Math" w:hAnsi="Cambria Math"/>
                    </w:rPr>
                    <m:t>O</m:t>
                  </m:r>
                </m:e>
                <m:sub>
                  <m:r>
                    <w:rPr>
                      <w:rFonts w:ascii="Cambria Math" w:hAnsi="Cambria Math"/>
                    </w:rPr>
                    <m:t>upper</m:t>
                  </m:r>
                </m:sub>
              </m:sSub>
            </m:oMath>
            <w:r w:rsidRPr="0082321B">
              <w:t xml:space="preserve"> are the lower and upper confidence limits for the total number of observed deaths;</w:t>
            </w:r>
          </w:p>
          <w:p w14:paraId="73FF0E33" w14:textId="77777777" w:rsidR="0033457E" w:rsidRPr="0082321B" w:rsidRDefault="0033457E" w:rsidP="00F21F23">
            <w:pPr>
              <w:spacing w:before="240"/>
            </w:pPr>
            <w:r w:rsidRPr="0082321B">
              <w:rPr>
                <w:b/>
                <w:i/>
              </w:rPr>
              <w:t>n</w:t>
            </w:r>
            <w:r w:rsidRPr="0082321B">
              <w:t xml:space="preserve"> is the number of individuals in the subject population.</w:t>
            </w:r>
          </w:p>
          <w:p w14:paraId="1AD0A514" w14:textId="77777777" w:rsidR="0033457E" w:rsidRPr="0082321B" w:rsidRDefault="0033457E" w:rsidP="00F21F23">
            <w:pPr>
              <w:spacing w:before="240"/>
            </w:pPr>
          </w:p>
          <w:p w14:paraId="5159AF21" w14:textId="77777777" w:rsidR="0033457E" w:rsidRPr="0082321B" w:rsidRDefault="0033457E" w:rsidP="00F21F23">
            <w:pPr>
              <w:spacing w:before="240"/>
            </w:pPr>
          </w:p>
          <w:p w14:paraId="78A06E09" w14:textId="77777777" w:rsidR="0033457E" w:rsidRPr="0082321B" w:rsidRDefault="0033457E" w:rsidP="00F21F23">
            <w:pPr>
              <w:spacing w:before="240"/>
            </w:pPr>
          </w:p>
          <w:p w14:paraId="3DAA426F" w14:textId="77777777" w:rsidR="0033457E" w:rsidRPr="0082321B" w:rsidRDefault="0033457E" w:rsidP="00F21F23">
            <w:pPr>
              <w:spacing w:before="240"/>
            </w:pPr>
            <w:r w:rsidRPr="0082321B">
              <w:t>The confidence intervals for the total number of observed deaths are given by the following formulae.</w:t>
            </w:r>
          </w:p>
          <w:p w14:paraId="47C37D35" w14:textId="77777777" w:rsidR="0033457E" w:rsidRPr="0082321B" w:rsidRDefault="0033457E" w:rsidP="00F21F23">
            <w:pPr>
              <w:spacing w:before="240"/>
            </w:pPr>
            <w:r w:rsidRPr="0082321B">
              <w:t xml:space="preserve">When </w:t>
            </w:r>
            <w:r w:rsidRPr="0082321B">
              <w:rPr>
                <w:b/>
                <w:i/>
              </w:rPr>
              <w:t>O</w:t>
            </w:r>
            <w:r w:rsidRPr="0082321B">
              <w:t xml:space="preserve"> &lt; 389 then,</w:t>
            </w:r>
          </w:p>
          <w:p w14:paraId="31A72EC6" w14:textId="77777777" w:rsidR="0033457E" w:rsidRPr="0082321B" w:rsidRDefault="003F72CF" w:rsidP="00F21F23">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lower</m:t>
                        </m:r>
                      </m:sub>
                      <m:sup>
                        <m:r>
                          <w:rPr>
                            <w:rFonts w:ascii="Cambria Math" w:hAnsi="Cambria Math"/>
                          </w:rPr>
                          <m:t>2</m:t>
                        </m:r>
                      </m:sup>
                    </m:sSubSup>
                  </m:num>
                  <m:den>
                    <m:r>
                      <w:rPr>
                        <w:rFonts w:ascii="Cambria Math" w:hAnsi="Cambria Math"/>
                      </w:rPr>
                      <m:t>2</m:t>
                    </m:r>
                  </m:den>
                </m:f>
              </m:oMath>
            </m:oMathPara>
          </w:p>
          <w:p w14:paraId="75BA3792" w14:textId="77777777" w:rsidR="0033457E" w:rsidRPr="0082321B" w:rsidRDefault="003F72CF" w:rsidP="00F21F23">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χ</m:t>
                        </m:r>
                      </m:e>
                      <m:sub>
                        <m:r>
                          <w:rPr>
                            <w:rFonts w:ascii="Cambria Math" w:hAnsi="Cambria Math"/>
                          </w:rPr>
                          <m:t>upper</m:t>
                        </m:r>
                      </m:sub>
                      <m:sup>
                        <m:r>
                          <w:rPr>
                            <w:rFonts w:ascii="Cambria Math" w:hAnsi="Cambria Math"/>
                          </w:rPr>
                          <m:t>2</m:t>
                        </m:r>
                      </m:sup>
                    </m:sSubSup>
                  </m:num>
                  <m:den>
                    <m:r>
                      <w:rPr>
                        <w:rFonts w:ascii="Cambria Math" w:hAnsi="Cambria Math"/>
                      </w:rPr>
                      <m:t>2</m:t>
                    </m:r>
                  </m:den>
                </m:f>
              </m:oMath>
            </m:oMathPara>
          </w:p>
          <w:p w14:paraId="03F2CD7C" w14:textId="77777777" w:rsidR="0033457E" w:rsidRPr="0082321B" w:rsidRDefault="0033457E" w:rsidP="00F21F23">
            <w:r w:rsidRPr="0082321B">
              <w:t>where:</w:t>
            </w:r>
          </w:p>
          <w:p w14:paraId="14C1C1D3" w14:textId="77777777" w:rsidR="0033457E" w:rsidRPr="0082321B" w:rsidRDefault="0033457E" w:rsidP="00F21F23">
            <m:oMath>
              <m:r>
                <m:rPr>
                  <m:sty m:val="bi"/>
                </m:rPr>
                <w:rPr>
                  <w:rFonts w:ascii="Cambria Math" w:hAnsi="Cambria Math"/>
                </w:rPr>
                <m:t>χ</m:t>
              </m:r>
            </m:oMath>
            <w:r w:rsidRPr="0082321B">
              <w:rPr>
                <w:b/>
                <w:i/>
                <w:vertAlign w:val="superscript"/>
              </w:rPr>
              <w:t>2</w:t>
            </w:r>
            <w:r w:rsidRPr="0082321B">
              <w:rPr>
                <w:b/>
                <w:i/>
                <w:vertAlign w:val="subscript"/>
              </w:rPr>
              <w:t>lower</w:t>
            </w:r>
            <w:r w:rsidRPr="0082321B">
              <w:t xml:space="preserve"> is the 97.5</w:t>
            </w:r>
            <w:r w:rsidRPr="0082321B">
              <w:rPr>
                <w:vertAlign w:val="superscript"/>
              </w:rPr>
              <w:t>th</w:t>
            </w:r>
            <w:r w:rsidRPr="0082321B">
              <w:t xml:space="preserve"> percentile value from the </w:t>
            </w:r>
            <m:oMath>
              <m:r>
                <w:rPr>
                  <w:rFonts w:ascii="Cambria Math" w:hAnsi="Cambria Math"/>
                </w:rPr>
                <m:t>χ</m:t>
              </m:r>
            </m:oMath>
            <w:r w:rsidRPr="0082321B">
              <w:rPr>
                <w:i/>
                <w:vertAlign w:val="superscript"/>
              </w:rPr>
              <w:t>2</w:t>
            </w:r>
            <w:r w:rsidRPr="0082321B">
              <w:t xml:space="preserve"> distribution with 2</w:t>
            </w:r>
            <w:r w:rsidRPr="0082321B">
              <w:rPr>
                <w:i/>
              </w:rPr>
              <w:t xml:space="preserve">O </w:t>
            </w:r>
            <w:r w:rsidRPr="0082321B">
              <w:t xml:space="preserve">degrees of </w:t>
            </w:r>
            <w:proofErr w:type="gramStart"/>
            <w:r w:rsidRPr="0082321B">
              <w:t>freedom;</w:t>
            </w:r>
            <w:proofErr w:type="gramEnd"/>
          </w:p>
          <w:p w14:paraId="683582D5" w14:textId="77777777" w:rsidR="0033457E" w:rsidRPr="0082321B" w:rsidRDefault="0033457E" w:rsidP="00F21F23">
            <m:oMath>
              <m:r>
                <w:rPr>
                  <w:rFonts w:ascii="Cambria Math" w:hAnsi="Cambria Math"/>
                </w:rPr>
                <m:t>χ</m:t>
              </m:r>
            </m:oMath>
            <w:r w:rsidRPr="0082321B">
              <w:rPr>
                <w:b/>
                <w:i/>
                <w:vertAlign w:val="superscript"/>
              </w:rPr>
              <w:t>2</w:t>
            </w:r>
            <w:r w:rsidRPr="0082321B">
              <w:rPr>
                <w:b/>
                <w:i/>
                <w:vertAlign w:val="subscript"/>
              </w:rPr>
              <w:t>upper</w:t>
            </w:r>
            <w:r w:rsidRPr="0082321B">
              <w:rPr>
                <w:i/>
              </w:rPr>
              <w:t xml:space="preserve"> </w:t>
            </w:r>
            <w:r w:rsidRPr="0082321B">
              <w:t>is the 2.5</w:t>
            </w:r>
            <w:r w:rsidRPr="0082321B">
              <w:rPr>
                <w:vertAlign w:val="superscript"/>
              </w:rPr>
              <w:t>th</w:t>
            </w:r>
            <w:r w:rsidRPr="0082321B">
              <w:t xml:space="preserve"> percentile value from the </w:t>
            </w:r>
            <m:oMath>
              <m:r>
                <w:rPr>
                  <w:rFonts w:ascii="Cambria Math" w:hAnsi="Cambria Math"/>
                </w:rPr>
                <m:t>χ</m:t>
              </m:r>
            </m:oMath>
            <w:r w:rsidRPr="0082321B">
              <w:rPr>
                <w:i/>
                <w:vertAlign w:val="superscript"/>
              </w:rPr>
              <w:t>2</w:t>
            </w:r>
            <w:r w:rsidRPr="0082321B">
              <w:t xml:space="preserve"> distribution with 2</w:t>
            </w:r>
            <w:r w:rsidRPr="0082321B">
              <w:rPr>
                <w:i/>
              </w:rPr>
              <w:t>O</w:t>
            </w:r>
            <w:r w:rsidRPr="0082321B">
              <w:t>+2 degrees of freedom.</w:t>
            </w:r>
          </w:p>
          <w:p w14:paraId="67E914A5" w14:textId="77777777" w:rsidR="0033457E" w:rsidRPr="0082321B" w:rsidRDefault="0033457E" w:rsidP="00F21F23">
            <w:pPr>
              <w:spacing w:before="240"/>
            </w:pPr>
            <w:r w:rsidRPr="0082321B">
              <w:t xml:space="preserve">When </w:t>
            </w:r>
            <w:r w:rsidRPr="0082321B">
              <w:rPr>
                <w:b/>
                <w:i/>
              </w:rPr>
              <w:t>O</w:t>
            </w:r>
            <w:r w:rsidRPr="0082321B">
              <w:t xml:space="preserve"> &gt;= 389 then,</w:t>
            </w:r>
          </w:p>
          <w:p w14:paraId="73C9F407" w14:textId="77777777" w:rsidR="0033457E" w:rsidRPr="0082321B" w:rsidRDefault="0033457E" w:rsidP="00F21F23">
            <w:pPr>
              <w:spacing w:before="240"/>
              <w:rPr>
                <w:i/>
              </w:rPr>
            </w:pPr>
            <w:r w:rsidRPr="0082321B">
              <w:tab/>
            </w:r>
            <w:r w:rsidRPr="0082321B">
              <w:tab/>
            </w:r>
            <w:r w:rsidRPr="0082321B">
              <w:tab/>
            </w:r>
            <w:r w:rsidRPr="0082321B">
              <w:tab/>
            </w:r>
            <w:r w:rsidRPr="0082321B">
              <w:tab/>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m:t>
                </m:r>
                <m:sSup>
                  <m:sSupPr>
                    <m:ctrlPr>
                      <w:rPr>
                        <w:rFonts w:ascii="Cambria Math" w:eastAsia="Cambria Math" w:hAnsi="Cambria Math"/>
                        <w:i/>
                        <w:iCs/>
                      </w:rPr>
                    </m:ctrlPr>
                  </m:sSupPr>
                  <m:e>
                    <m:r>
                      <w:rPr>
                        <w:rFonts w:ascii="Cambria Math" w:eastAsia="Cambria Math" w:hAnsi="Cambria Math"/>
                      </w:rPr>
                      <m:t>O</m:t>
                    </m:r>
                    <m:d>
                      <m:dPr>
                        <m:ctrlPr>
                          <w:rPr>
                            <w:rFonts w:ascii="Cambria Math" w:eastAsia="Cambria Math" w:hAnsi="Cambria Math"/>
                            <w:i/>
                            <w:iCs/>
                          </w:rPr>
                        </m:ctrlPr>
                      </m:dPr>
                      <m:e>
                        <m:r>
                          <w:rPr>
                            <w:rFonts w:ascii="Cambria Math" w:eastAsia="Cambria Math" w:hAnsi="Cambria Math"/>
                          </w:rPr>
                          <m:t>1-</m:t>
                        </m:r>
                        <m:f>
                          <m:fPr>
                            <m:ctrlPr>
                              <w:rPr>
                                <w:rFonts w:ascii="Cambria Math" w:eastAsia="Cambria Math" w:hAnsi="Cambria Math"/>
                                <w:i/>
                                <w:iCs/>
                              </w:rPr>
                            </m:ctrlPr>
                          </m:fPr>
                          <m:num>
                            <m:r>
                              <w:rPr>
                                <w:rFonts w:ascii="Cambria Math" w:eastAsia="Cambria Math" w:hAnsi="Cambria Math"/>
                              </w:rPr>
                              <m:t>1</m:t>
                            </m:r>
                          </m:num>
                          <m:den>
                            <m:r>
                              <w:rPr>
                                <w:rFonts w:ascii="Cambria Math" w:eastAsia="Cambria Math" w:hAnsi="Cambria Math"/>
                              </w:rPr>
                              <m:t>9O</m:t>
                            </m:r>
                          </m:den>
                        </m:f>
                        <m:r>
                          <w:rPr>
                            <w:rFonts w:ascii="Cambria Math" w:eastAsia="Cambria Math" w:hAnsi="Cambria Math"/>
                          </w:rPr>
                          <m:t>-</m:t>
                        </m:r>
                        <m:f>
                          <m:fPr>
                            <m:ctrlPr>
                              <w:rPr>
                                <w:rFonts w:ascii="Cambria Math" w:eastAsia="Cambria Math" w:hAnsi="Cambria Math"/>
                                <w:i/>
                                <w:iCs/>
                              </w:rPr>
                            </m:ctrlPr>
                          </m:fPr>
                          <m:num>
                            <m:r>
                              <w:rPr>
                                <w:rFonts w:ascii="Cambria Math" w:eastAsia="Cambria Math" w:hAnsi="Cambria Math"/>
                              </w:rPr>
                              <m:t>z</m:t>
                            </m:r>
                          </m:num>
                          <m:den>
                            <m:r>
                              <w:rPr>
                                <w:rFonts w:ascii="Cambria Math" w:eastAsia="Cambria Math" w:hAnsi="Cambria Math"/>
                              </w:rPr>
                              <m:t>3</m:t>
                            </m:r>
                            <m:rad>
                              <m:radPr>
                                <m:degHide m:val="1"/>
                                <m:ctrlPr>
                                  <w:rPr>
                                    <w:rFonts w:ascii="Cambria Math" w:eastAsia="Cambria Math" w:hAnsi="Cambria Math"/>
                                    <w:i/>
                                    <w:iCs/>
                                  </w:rPr>
                                </m:ctrlPr>
                              </m:radPr>
                              <m:deg/>
                              <m:e>
                                <m:r>
                                  <w:rPr>
                                    <w:rFonts w:ascii="Cambria Math" w:eastAsia="Cambria Math" w:hAnsi="Cambria Math"/>
                                  </w:rPr>
                                  <m:t>O</m:t>
                                </m:r>
                              </m:e>
                            </m:rad>
                          </m:den>
                        </m:f>
                      </m:e>
                    </m:d>
                  </m:e>
                  <m:sup>
                    <m:r>
                      <w:rPr>
                        <w:rFonts w:ascii="Cambria Math" w:eastAsia="Cambria Math" w:hAnsi="Cambria Math"/>
                      </w:rPr>
                      <m:t>3</m:t>
                    </m:r>
                  </m:sup>
                </m:sSup>
              </m:oMath>
            </m:oMathPara>
          </w:p>
          <w:p w14:paraId="25A39493" w14:textId="77777777" w:rsidR="0033457E" w:rsidRPr="0082321B" w:rsidRDefault="003F72CF" w:rsidP="00F21F23">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m:t>
                </m:r>
                <m:r>
                  <w:rPr>
                    <w:rFonts w:ascii="Cambria Math" w:eastAsia="Cambria Math" w:hAnsi="Cambria Math"/>
                  </w:rPr>
                  <m:t>(O+1)</m:t>
                </m:r>
                <m:sSup>
                  <m:sSupPr>
                    <m:ctrlPr>
                      <w:rPr>
                        <w:rFonts w:ascii="Cambria Math" w:eastAsia="Cambria Math" w:hAnsi="Cambria Math"/>
                        <w:i/>
                        <w:iCs/>
                      </w:rPr>
                    </m:ctrlPr>
                  </m:sSupPr>
                  <m:e>
                    <m:d>
                      <m:dPr>
                        <m:ctrlPr>
                          <w:rPr>
                            <w:rFonts w:ascii="Cambria Math" w:eastAsia="Cambria Math" w:hAnsi="Cambria Math"/>
                            <w:i/>
                            <w:iCs/>
                          </w:rPr>
                        </m:ctrlPr>
                      </m:dPr>
                      <m:e>
                        <m:r>
                          <w:rPr>
                            <w:rFonts w:ascii="Cambria Math" w:eastAsia="Cambria Math" w:hAnsi="Cambria Math"/>
                          </w:rPr>
                          <m:t>1-</m:t>
                        </m:r>
                        <m:f>
                          <m:fPr>
                            <m:ctrlPr>
                              <w:rPr>
                                <w:rFonts w:ascii="Cambria Math" w:eastAsia="Cambria Math" w:hAnsi="Cambria Math"/>
                                <w:i/>
                                <w:iCs/>
                              </w:rPr>
                            </m:ctrlPr>
                          </m:fPr>
                          <m:num>
                            <m:r>
                              <w:rPr>
                                <w:rFonts w:ascii="Cambria Math" w:eastAsia="Cambria Math" w:hAnsi="Cambria Math"/>
                              </w:rPr>
                              <m:t>1</m:t>
                            </m:r>
                          </m:num>
                          <m:den>
                            <m:r>
                              <w:rPr>
                                <w:rFonts w:ascii="Cambria Math" w:eastAsia="Cambria Math" w:hAnsi="Cambria Math"/>
                              </w:rPr>
                              <m:t>9</m:t>
                            </m:r>
                            <m:d>
                              <m:dPr>
                                <m:ctrlPr>
                                  <w:rPr>
                                    <w:rFonts w:ascii="Cambria Math" w:eastAsia="Cambria Math" w:hAnsi="Cambria Math"/>
                                    <w:i/>
                                    <w:iCs/>
                                  </w:rPr>
                                </m:ctrlPr>
                              </m:dPr>
                              <m:e>
                                <m:r>
                                  <w:rPr>
                                    <w:rFonts w:ascii="Cambria Math" w:eastAsia="Cambria Math" w:hAnsi="Cambria Math"/>
                                  </w:rPr>
                                  <m:t>O+1</m:t>
                                </m:r>
                              </m:e>
                            </m:d>
                          </m:den>
                        </m:f>
                        <m:r>
                          <w:rPr>
                            <w:rFonts w:ascii="Cambria Math" w:eastAsia="Cambria Math" w:hAnsi="Cambria Math"/>
                          </w:rPr>
                          <m:t>+</m:t>
                        </m:r>
                        <m:f>
                          <m:fPr>
                            <m:ctrlPr>
                              <w:rPr>
                                <w:rFonts w:ascii="Cambria Math" w:eastAsia="Cambria Math" w:hAnsi="Cambria Math"/>
                                <w:i/>
                                <w:iCs/>
                              </w:rPr>
                            </m:ctrlPr>
                          </m:fPr>
                          <m:num>
                            <m:r>
                              <w:rPr>
                                <w:rFonts w:ascii="Cambria Math" w:eastAsia="Cambria Math" w:hAnsi="Cambria Math"/>
                              </w:rPr>
                              <m:t>z</m:t>
                            </m:r>
                          </m:num>
                          <m:den>
                            <m:r>
                              <w:rPr>
                                <w:rFonts w:ascii="Cambria Math" w:eastAsia="Cambria Math" w:hAnsi="Cambria Math"/>
                              </w:rPr>
                              <m:t>3</m:t>
                            </m:r>
                            <m:rad>
                              <m:radPr>
                                <m:degHide m:val="1"/>
                                <m:ctrlPr>
                                  <w:rPr>
                                    <w:rFonts w:ascii="Cambria Math" w:eastAsia="Cambria Math" w:hAnsi="Cambria Math"/>
                                    <w:i/>
                                    <w:iCs/>
                                  </w:rPr>
                                </m:ctrlPr>
                              </m:radPr>
                              <m:deg/>
                              <m:e>
                                <m:r>
                                  <w:rPr>
                                    <w:rFonts w:ascii="Cambria Math" w:eastAsia="Cambria Math" w:hAnsi="Cambria Math"/>
                                  </w:rPr>
                                  <m:t>O+1</m:t>
                                </m:r>
                              </m:e>
                            </m:rad>
                          </m:den>
                        </m:f>
                      </m:e>
                    </m:d>
                  </m:e>
                  <m:sup>
                    <m:r>
                      <w:rPr>
                        <w:rFonts w:ascii="Cambria Math" w:eastAsia="Cambria Math" w:hAnsi="Cambria Math"/>
                      </w:rPr>
                      <m:t>3</m:t>
                    </m:r>
                  </m:sup>
                </m:sSup>
              </m:oMath>
            </m:oMathPara>
          </w:p>
          <w:p w14:paraId="0F8791C3" w14:textId="77777777" w:rsidR="0033457E" w:rsidRPr="0082321B" w:rsidRDefault="0033457E" w:rsidP="00F21F23">
            <w:pPr>
              <w:spacing w:before="240"/>
            </w:pPr>
            <w:r w:rsidRPr="0082321B">
              <w:t>where:</w:t>
            </w:r>
          </w:p>
          <w:p w14:paraId="5EEFAED2" w14:textId="77777777" w:rsidR="0033457E" w:rsidRPr="0082321B" w:rsidRDefault="0033457E" w:rsidP="00F21F23">
            <w:pPr>
              <w:spacing w:before="240"/>
              <w:rPr>
                <w:i/>
              </w:rPr>
            </w:pPr>
            <w:r w:rsidRPr="0082321B">
              <w:rPr>
                <w:b/>
                <w:i/>
              </w:rPr>
              <w:t>z</w:t>
            </w:r>
            <w:r w:rsidRPr="0082321B">
              <w:t xml:space="preserve"> is the 97.5</w:t>
            </w:r>
            <w:r w:rsidRPr="0082321B">
              <w:rPr>
                <w:vertAlign w:val="superscript"/>
              </w:rPr>
              <w:t>th</w:t>
            </w:r>
            <w:r w:rsidRPr="0082321B">
              <w:t xml:space="preserve"> percentile value from the Standard Normal distribution.</w:t>
            </w:r>
          </w:p>
          <w:p w14:paraId="2C1284FC" w14:textId="77777777" w:rsidR="0033457E" w:rsidRPr="0082321B" w:rsidRDefault="0033457E" w:rsidP="00F21F23">
            <w:pPr>
              <w:spacing w:before="240"/>
            </w:pPr>
          </w:p>
        </w:tc>
      </w:tr>
      <w:tr w:rsidR="0033457E" w:rsidRPr="0082321B" w14:paraId="26776325" w14:textId="77777777" w:rsidTr="00D45A20">
        <w:tblPrEx>
          <w:tblLook w:val="04A0" w:firstRow="1" w:lastRow="0" w:firstColumn="1" w:lastColumn="0" w:noHBand="0" w:noVBand="1"/>
        </w:tblPrEx>
        <w:tc>
          <w:tcPr>
            <w:tcW w:w="3780" w:type="dxa"/>
          </w:tcPr>
          <w:p w14:paraId="3CF36C60" w14:textId="77777777" w:rsidR="0033457E" w:rsidRPr="0082321B" w:rsidRDefault="0033457E" w:rsidP="00F21F23">
            <w:pPr>
              <w:spacing w:before="240"/>
              <w:ind w:left="34"/>
              <w:rPr>
                <w:b/>
              </w:rPr>
            </w:pPr>
            <w:r w:rsidRPr="0082321B">
              <w:rPr>
                <w:b/>
              </w:rPr>
              <w:lastRenderedPageBreak/>
              <w:t>Justification of confidence intervals / control limits used</w:t>
            </w:r>
          </w:p>
        </w:tc>
        <w:tc>
          <w:tcPr>
            <w:tcW w:w="8973" w:type="dxa"/>
          </w:tcPr>
          <w:p w14:paraId="619183BA" w14:textId="77777777" w:rsidR="0033457E" w:rsidRPr="0082321B" w:rsidRDefault="0033457E" w:rsidP="00F21F23">
            <w:pPr>
              <w:spacing w:before="240"/>
            </w:pPr>
          </w:p>
        </w:tc>
      </w:tr>
    </w:tbl>
    <w:p w14:paraId="4D233D7C" w14:textId="77777777" w:rsidR="0033457E" w:rsidRDefault="0033457E" w:rsidP="0033457E">
      <w:pPr>
        <w:rPr>
          <w:b/>
        </w:rPr>
      </w:pPr>
    </w:p>
    <w:p w14:paraId="5BFA9CFB" w14:textId="77777777" w:rsidR="0033457E" w:rsidRPr="004037AD" w:rsidRDefault="0033457E" w:rsidP="0033457E">
      <w:pPr>
        <w:rPr>
          <w:sz w:val="28"/>
          <w:szCs w:val="28"/>
        </w:rPr>
      </w:pPr>
      <w:r w:rsidRPr="004037AD">
        <w:rPr>
          <w:b/>
          <w:sz w:val="28"/>
          <w:szCs w:val="28"/>
        </w:rPr>
        <w:t>Presentation and Interpretation</w:t>
      </w:r>
    </w:p>
    <w:p w14:paraId="38652858" w14:textId="77777777" w:rsidR="0033457E" w:rsidRDefault="0033457E" w:rsidP="0033457E"/>
    <w:p w14:paraId="1BC985AC" w14:textId="77777777" w:rsidR="0033457E" w:rsidRDefault="0033457E" w:rsidP="0033457E">
      <w:r w:rsidRPr="0082321B">
        <w:t>The indicator is published on the HSCIC Indicator Portal (</w:t>
      </w:r>
      <w:hyperlink r:id="rId22" w:history="1">
        <w:r w:rsidRPr="0082321B">
          <w:rPr>
            <w:rStyle w:val="Hyperlink"/>
          </w:rPr>
          <w:t>https://indicators.ic.nhs.uk/webview/</w:t>
        </w:r>
      </w:hyperlink>
      <w:r w:rsidRPr="0082321B">
        <w:t>) and includes an Excel and CSV file, a domain specification document including information on this indicator and an indicator quality statement. Data output fields include:</w:t>
      </w:r>
    </w:p>
    <w:p w14:paraId="1D19D8D3" w14:textId="77777777" w:rsidR="0033457E" w:rsidRDefault="0033457E" w:rsidP="0033457E"/>
    <w:tbl>
      <w:tblPr>
        <w:tblStyle w:val="TableGrid"/>
        <w:tblW w:w="6380" w:type="dxa"/>
        <w:tblLook w:val="04A0" w:firstRow="1" w:lastRow="0" w:firstColumn="1" w:lastColumn="0" w:noHBand="0" w:noVBand="1"/>
      </w:tblPr>
      <w:tblGrid>
        <w:gridCol w:w="2120"/>
        <w:gridCol w:w="4260"/>
      </w:tblGrid>
      <w:tr w:rsidR="0033457E" w:rsidRPr="0082321B" w14:paraId="412657EB" w14:textId="77777777" w:rsidTr="00F21F23">
        <w:trPr>
          <w:trHeight w:val="276"/>
        </w:trPr>
        <w:tc>
          <w:tcPr>
            <w:tcW w:w="2120" w:type="dxa"/>
            <w:noWrap/>
            <w:hideMark/>
          </w:tcPr>
          <w:p w14:paraId="039FD91E" w14:textId="77777777" w:rsidR="0033457E" w:rsidRPr="0082321B" w:rsidRDefault="0033457E" w:rsidP="00F21F23">
            <w:pPr>
              <w:rPr>
                <w:lang w:eastAsia="en-GB"/>
              </w:rPr>
            </w:pPr>
            <w:r w:rsidRPr="0082321B">
              <w:rPr>
                <w:lang w:eastAsia="en-GB"/>
              </w:rPr>
              <w:t>Year</w:t>
            </w:r>
          </w:p>
        </w:tc>
        <w:tc>
          <w:tcPr>
            <w:tcW w:w="4260" w:type="dxa"/>
            <w:hideMark/>
          </w:tcPr>
          <w:p w14:paraId="26590BCC" w14:textId="77777777" w:rsidR="0033457E" w:rsidRPr="0082321B" w:rsidRDefault="0033457E" w:rsidP="00F21F23">
            <w:pPr>
              <w:rPr>
                <w:lang w:eastAsia="en-GB"/>
              </w:rPr>
            </w:pPr>
            <w:r w:rsidRPr="0082321B">
              <w:rPr>
                <w:lang w:eastAsia="en-GB"/>
              </w:rPr>
              <w:t>Calendar year</w:t>
            </w:r>
          </w:p>
        </w:tc>
      </w:tr>
      <w:tr w:rsidR="0033457E" w:rsidRPr="0082321B" w14:paraId="640C96EB" w14:textId="77777777" w:rsidTr="00F21F23">
        <w:trPr>
          <w:trHeight w:val="276"/>
        </w:trPr>
        <w:tc>
          <w:tcPr>
            <w:tcW w:w="2120" w:type="dxa"/>
            <w:noWrap/>
            <w:hideMark/>
          </w:tcPr>
          <w:p w14:paraId="77079ECB" w14:textId="77777777" w:rsidR="0033457E" w:rsidRPr="0082321B" w:rsidRDefault="0033457E" w:rsidP="00F21F23">
            <w:pPr>
              <w:rPr>
                <w:lang w:eastAsia="en-GB"/>
              </w:rPr>
            </w:pPr>
            <w:r w:rsidRPr="0082321B">
              <w:rPr>
                <w:lang w:eastAsia="en-GB"/>
              </w:rPr>
              <w:t>Period of coverage</w:t>
            </w:r>
          </w:p>
        </w:tc>
        <w:tc>
          <w:tcPr>
            <w:tcW w:w="4260" w:type="dxa"/>
            <w:hideMark/>
          </w:tcPr>
          <w:p w14:paraId="7A63DC6F" w14:textId="77777777" w:rsidR="0033457E" w:rsidRPr="0082321B" w:rsidRDefault="0033457E" w:rsidP="00F21F23">
            <w:pPr>
              <w:rPr>
                <w:lang w:eastAsia="en-GB"/>
              </w:rPr>
            </w:pPr>
            <w:r w:rsidRPr="0082321B">
              <w:rPr>
                <w:lang w:eastAsia="en-GB"/>
              </w:rPr>
              <w:t>1/1 to 31/12 of respective calendar year</w:t>
            </w:r>
          </w:p>
        </w:tc>
      </w:tr>
      <w:tr w:rsidR="0033457E" w:rsidRPr="0082321B" w14:paraId="46B3FCD6" w14:textId="77777777" w:rsidTr="00F21F23">
        <w:trPr>
          <w:trHeight w:val="552"/>
        </w:trPr>
        <w:tc>
          <w:tcPr>
            <w:tcW w:w="2120" w:type="dxa"/>
            <w:noWrap/>
            <w:hideMark/>
          </w:tcPr>
          <w:p w14:paraId="5206944E" w14:textId="77777777" w:rsidR="0033457E" w:rsidRPr="0082321B" w:rsidRDefault="0033457E" w:rsidP="00F21F23">
            <w:pPr>
              <w:rPr>
                <w:lang w:eastAsia="en-GB"/>
              </w:rPr>
            </w:pPr>
            <w:r w:rsidRPr="0082321B">
              <w:rPr>
                <w:lang w:eastAsia="en-GB"/>
              </w:rPr>
              <w:t>Breakdown</w:t>
            </w:r>
          </w:p>
        </w:tc>
        <w:tc>
          <w:tcPr>
            <w:tcW w:w="4260" w:type="dxa"/>
            <w:hideMark/>
          </w:tcPr>
          <w:p w14:paraId="6174537E" w14:textId="77777777" w:rsidR="0033457E" w:rsidRPr="0082321B" w:rsidRDefault="0033457E" w:rsidP="00F21F23">
            <w:pPr>
              <w:rPr>
                <w:lang w:eastAsia="en-GB"/>
              </w:rPr>
            </w:pPr>
            <w:r w:rsidRPr="0082321B">
              <w:rPr>
                <w:lang w:eastAsia="en-GB"/>
              </w:rPr>
              <w:t>England, lower tier local authority, region, deprivation decile</w:t>
            </w:r>
          </w:p>
        </w:tc>
      </w:tr>
      <w:tr w:rsidR="0033457E" w:rsidRPr="0082321B" w14:paraId="6677F7A3" w14:textId="77777777" w:rsidTr="00F21F23">
        <w:trPr>
          <w:trHeight w:val="276"/>
        </w:trPr>
        <w:tc>
          <w:tcPr>
            <w:tcW w:w="2120" w:type="dxa"/>
            <w:noWrap/>
            <w:hideMark/>
          </w:tcPr>
          <w:p w14:paraId="01F78572" w14:textId="77777777" w:rsidR="0033457E" w:rsidRPr="0082321B" w:rsidRDefault="0033457E" w:rsidP="00F21F23">
            <w:pPr>
              <w:rPr>
                <w:lang w:eastAsia="en-GB"/>
              </w:rPr>
            </w:pPr>
            <w:r w:rsidRPr="0082321B">
              <w:rPr>
                <w:lang w:eastAsia="en-GB"/>
              </w:rPr>
              <w:t>Level</w:t>
            </w:r>
          </w:p>
        </w:tc>
        <w:tc>
          <w:tcPr>
            <w:tcW w:w="4260" w:type="dxa"/>
            <w:hideMark/>
          </w:tcPr>
          <w:p w14:paraId="0FC728E1" w14:textId="77777777" w:rsidR="0033457E" w:rsidRPr="0082321B" w:rsidRDefault="0033457E" w:rsidP="00F21F23">
            <w:pPr>
              <w:rPr>
                <w:lang w:eastAsia="en-GB"/>
              </w:rPr>
            </w:pPr>
            <w:r w:rsidRPr="0082321B">
              <w:rPr>
                <w:lang w:eastAsia="en-GB"/>
              </w:rPr>
              <w:t>More detailed breakdown (e.g. LA code)</w:t>
            </w:r>
          </w:p>
        </w:tc>
      </w:tr>
      <w:tr w:rsidR="0033457E" w:rsidRPr="0082321B" w14:paraId="17E46C13" w14:textId="77777777" w:rsidTr="00F21F23">
        <w:trPr>
          <w:trHeight w:val="276"/>
        </w:trPr>
        <w:tc>
          <w:tcPr>
            <w:tcW w:w="2120" w:type="dxa"/>
            <w:noWrap/>
            <w:hideMark/>
          </w:tcPr>
          <w:p w14:paraId="23640607" w14:textId="77777777" w:rsidR="0033457E" w:rsidRPr="0082321B" w:rsidRDefault="0033457E" w:rsidP="00F21F23">
            <w:pPr>
              <w:rPr>
                <w:lang w:eastAsia="en-GB"/>
              </w:rPr>
            </w:pPr>
            <w:r w:rsidRPr="0082321B">
              <w:rPr>
                <w:lang w:eastAsia="en-GB"/>
              </w:rPr>
              <w:t>Level description</w:t>
            </w:r>
          </w:p>
        </w:tc>
        <w:tc>
          <w:tcPr>
            <w:tcW w:w="4260" w:type="dxa"/>
            <w:hideMark/>
          </w:tcPr>
          <w:p w14:paraId="4F47FDE7" w14:textId="77777777" w:rsidR="0033457E" w:rsidRPr="0082321B" w:rsidRDefault="0033457E" w:rsidP="00F21F23">
            <w:pPr>
              <w:rPr>
                <w:lang w:eastAsia="en-GB"/>
              </w:rPr>
            </w:pPr>
            <w:r w:rsidRPr="0082321B">
              <w:rPr>
                <w:lang w:eastAsia="en-GB"/>
              </w:rPr>
              <w:t>Description of more detailed breakdown</w:t>
            </w:r>
          </w:p>
        </w:tc>
      </w:tr>
      <w:tr w:rsidR="0033457E" w:rsidRPr="0082321B" w14:paraId="0323FE03" w14:textId="77777777" w:rsidTr="00F21F23">
        <w:trPr>
          <w:trHeight w:val="276"/>
        </w:trPr>
        <w:tc>
          <w:tcPr>
            <w:tcW w:w="2120" w:type="dxa"/>
            <w:noWrap/>
            <w:hideMark/>
          </w:tcPr>
          <w:p w14:paraId="3112D09F" w14:textId="77777777" w:rsidR="0033457E" w:rsidRPr="0082321B" w:rsidRDefault="0033457E" w:rsidP="00F21F23">
            <w:pPr>
              <w:rPr>
                <w:lang w:eastAsia="en-GB"/>
              </w:rPr>
            </w:pPr>
            <w:r w:rsidRPr="0082321B">
              <w:rPr>
                <w:lang w:eastAsia="en-GB"/>
              </w:rPr>
              <w:t>Gender</w:t>
            </w:r>
          </w:p>
        </w:tc>
        <w:tc>
          <w:tcPr>
            <w:tcW w:w="4260" w:type="dxa"/>
            <w:hideMark/>
          </w:tcPr>
          <w:p w14:paraId="39DA34AF" w14:textId="77777777" w:rsidR="0033457E" w:rsidRPr="0082321B" w:rsidRDefault="0033457E" w:rsidP="00F21F23">
            <w:pPr>
              <w:rPr>
                <w:lang w:eastAsia="en-GB"/>
              </w:rPr>
            </w:pPr>
            <w:r w:rsidRPr="0082321B">
              <w:rPr>
                <w:lang w:eastAsia="en-GB"/>
              </w:rPr>
              <w:t>Person, male, female</w:t>
            </w:r>
          </w:p>
        </w:tc>
      </w:tr>
      <w:tr w:rsidR="0033457E" w:rsidRPr="0082321B" w14:paraId="05C58985" w14:textId="77777777" w:rsidTr="00F21F23">
        <w:trPr>
          <w:trHeight w:val="276"/>
        </w:trPr>
        <w:tc>
          <w:tcPr>
            <w:tcW w:w="2120" w:type="dxa"/>
            <w:noWrap/>
            <w:hideMark/>
          </w:tcPr>
          <w:p w14:paraId="16D463CD" w14:textId="77777777" w:rsidR="0033457E" w:rsidRPr="0082321B" w:rsidRDefault="0033457E" w:rsidP="00F21F23">
            <w:pPr>
              <w:rPr>
                <w:lang w:eastAsia="en-GB"/>
              </w:rPr>
            </w:pPr>
            <w:r w:rsidRPr="0082321B">
              <w:rPr>
                <w:lang w:eastAsia="en-GB"/>
              </w:rPr>
              <w:t>Age</w:t>
            </w:r>
          </w:p>
        </w:tc>
        <w:tc>
          <w:tcPr>
            <w:tcW w:w="4260" w:type="dxa"/>
            <w:hideMark/>
          </w:tcPr>
          <w:p w14:paraId="6D05777B" w14:textId="77777777" w:rsidR="0033457E" w:rsidRPr="0082321B" w:rsidRDefault="0033457E" w:rsidP="00F21F23">
            <w:pPr>
              <w:rPr>
                <w:lang w:eastAsia="en-GB"/>
              </w:rPr>
            </w:pPr>
            <w:r w:rsidRPr="0082321B">
              <w:rPr>
                <w:lang w:eastAsia="en-GB"/>
              </w:rPr>
              <w:t>5-year age group (0-74 years)</w:t>
            </w:r>
          </w:p>
        </w:tc>
      </w:tr>
      <w:tr w:rsidR="0033457E" w:rsidRPr="0082321B" w14:paraId="675AF754" w14:textId="77777777" w:rsidTr="00F21F23">
        <w:trPr>
          <w:trHeight w:val="552"/>
        </w:trPr>
        <w:tc>
          <w:tcPr>
            <w:tcW w:w="2120" w:type="dxa"/>
            <w:noWrap/>
            <w:hideMark/>
          </w:tcPr>
          <w:p w14:paraId="06397316" w14:textId="77777777" w:rsidR="0033457E" w:rsidRPr="0082321B" w:rsidRDefault="0033457E" w:rsidP="00F21F23">
            <w:pPr>
              <w:rPr>
                <w:b/>
                <w:lang w:eastAsia="en-GB"/>
              </w:rPr>
            </w:pPr>
            <w:r w:rsidRPr="0082321B">
              <w:rPr>
                <w:b/>
                <w:lang w:eastAsia="en-GB"/>
              </w:rPr>
              <w:t>Indicator value</w:t>
            </w:r>
          </w:p>
        </w:tc>
        <w:tc>
          <w:tcPr>
            <w:tcW w:w="4260" w:type="dxa"/>
            <w:hideMark/>
          </w:tcPr>
          <w:p w14:paraId="6500B635" w14:textId="77777777" w:rsidR="0033457E" w:rsidRPr="0082321B" w:rsidRDefault="0033457E" w:rsidP="00F21F23">
            <w:pPr>
              <w:rPr>
                <w:b/>
                <w:lang w:eastAsia="en-GB"/>
              </w:rPr>
            </w:pPr>
            <w:r w:rsidRPr="0082321B">
              <w:rPr>
                <w:b/>
                <w:lang w:eastAsia="en-GB"/>
              </w:rPr>
              <w:t>Directly standardised rate as defined under ‘Direct standardisation’</w:t>
            </w:r>
          </w:p>
        </w:tc>
      </w:tr>
      <w:tr w:rsidR="0033457E" w:rsidRPr="0082321B" w14:paraId="127A0F99" w14:textId="77777777" w:rsidTr="00F21F23">
        <w:trPr>
          <w:trHeight w:val="276"/>
        </w:trPr>
        <w:tc>
          <w:tcPr>
            <w:tcW w:w="2120" w:type="dxa"/>
            <w:noWrap/>
            <w:hideMark/>
          </w:tcPr>
          <w:p w14:paraId="27CF36D2" w14:textId="77777777" w:rsidR="0033457E" w:rsidRPr="0082321B" w:rsidRDefault="0033457E" w:rsidP="00F21F23">
            <w:pPr>
              <w:rPr>
                <w:lang w:eastAsia="en-GB"/>
              </w:rPr>
            </w:pPr>
            <w:r w:rsidRPr="0082321B">
              <w:rPr>
                <w:lang w:eastAsia="en-GB"/>
              </w:rPr>
              <w:t>Lower CI</w:t>
            </w:r>
          </w:p>
        </w:tc>
        <w:tc>
          <w:tcPr>
            <w:tcW w:w="4260" w:type="dxa"/>
            <w:hideMark/>
          </w:tcPr>
          <w:p w14:paraId="5376DFF1" w14:textId="77777777" w:rsidR="0033457E" w:rsidRPr="0082321B" w:rsidRDefault="0033457E" w:rsidP="00F21F23">
            <w:pPr>
              <w:rPr>
                <w:lang w:eastAsia="en-GB"/>
              </w:rPr>
            </w:pPr>
            <w:r w:rsidRPr="0082321B">
              <w:rPr>
                <w:lang w:eastAsia="en-GB"/>
              </w:rPr>
              <w:t>Lower limit of 95% confidence interval</w:t>
            </w:r>
          </w:p>
        </w:tc>
      </w:tr>
      <w:tr w:rsidR="0033457E" w:rsidRPr="0082321B" w14:paraId="33F5E8F0" w14:textId="77777777" w:rsidTr="00F21F23">
        <w:trPr>
          <w:trHeight w:val="276"/>
        </w:trPr>
        <w:tc>
          <w:tcPr>
            <w:tcW w:w="2120" w:type="dxa"/>
            <w:noWrap/>
            <w:hideMark/>
          </w:tcPr>
          <w:p w14:paraId="6FB51B66" w14:textId="77777777" w:rsidR="0033457E" w:rsidRPr="0082321B" w:rsidRDefault="0033457E" w:rsidP="00F21F23">
            <w:pPr>
              <w:rPr>
                <w:lang w:eastAsia="en-GB"/>
              </w:rPr>
            </w:pPr>
            <w:r w:rsidRPr="0082321B">
              <w:rPr>
                <w:lang w:eastAsia="en-GB"/>
              </w:rPr>
              <w:t>Upper CI</w:t>
            </w:r>
          </w:p>
        </w:tc>
        <w:tc>
          <w:tcPr>
            <w:tcW w:w="4260" w:type="dxa"/>
            <w:hideMark/>
          </w:tcPr>
          <w:p w14:paraId="11E90873" w14:textId="77777777" w:rsidR="0033457E" w:rsidRPr="0082321B" w:rsidRDefault="0033457E" w:rsidP="00F21F23">
            <w:pPr>
              <w:rPr>
                <w:lang w:eastAsia="en-GB"/>
              </w:rPr>
            </w:pPr>
            <w:r w:rsidRPr="0082321B">
              <w:rPr>
                <w:lang w:eastAsia="en-GB"/>
              </w:rPr>
              <w:t>Upper limit of 95% confidence interval</w:t>
            </w:r>
          </w:p>
        </w:tc>
      </w:tr>
      <w:tr w:rsidR="0033457E" w:rsidRPr="0082321B" w14:paraId="6B1227CC" w14:textId="77777777" w:rsidTr="00F21F23">
        <w:trPr>
          <w:trHeight w:val="276"/>
        </w:trPr>
        <w:tc>
          <w:tcPr>
            <w:tcW w:w="2120" w:type="dxa"/>
            <w:noWrap/>
            <w:hideMark/>
          </w:tcPr>
          <w:p w14:paraId="7BF60BC3" w14:textId="77777777" w:rsidR="0033457E" w:rsidRPr="0082321B" w:rsidRDefault="0033457E" w:rsidP="00F21F23">
            <w:pPr>
              <w:rPr>
                <w:lang w:eastAsia="en-GB"/>
              </w:rPr>
            </w:pPr>
            <w:r w:rsidRPr="0082321B">
              <w:rPr>
                <w:lang w:eastAsia="en-GB"/>
              </w:rPr>
              <w:t>Numerator</w:t>
            </w:r>
          </w:p>
        </w:tc>
        <w:tc>
          <w:tcPr>
            <w:tcW w:w="4260" w:type="dxa"/>
            <w:hideMark/>
          </w:tcPr>
          <w:p w14:paraId="292E2A1B" w14:textId="77777777" w:rsidR="0033457E" w:rsidRPr="0082321B" w:rsidRDefault="0033457E" w:rsidP="00F21F23">
            <w:pPr>
              <w:rPr>
                <w:lang w:eastAsia="en-GB"/>
              </w:rPr>
            </w:pPr>
            <w:r w:rsidRPr="0082321B">
              <w:rPr>
                <w:lang w:eastAsia="en-GB"/>
              </w:rPr>
              <w:t>Numerator value</w:t>
            </w:r>
          </w:p>
        </w:tc>
      </w:tr>
      <w:tr w:rsidR="0033457E" w:rsidRPr="0082321B" w14:paraId="18EC5240" w14:textId="77777777" w:rsidTr="00F21F23">
        <w:trPr>
          <w:trHeight w:val="276"/>
        </w:trPr>
        <w:tc>
          <w:tcPr>
            <w:tcW w:w="2120" w:type="dxa"/>
            <w:noWrap/>
            <w:hideMark/>
          </w:tcPr>
          <w:p w14:paraId="328D9CB8" w14:textId="77777777" w:rsidR="0033457E" w:rsidRPr="0082321B" w:rsidRDefault="0033457E" w:rsidP="00F21F23">
            <w:pPr>
              <w:rPr>
                <w:lang w:eastAsia="en-GB"/>
              </w:rPr>
            </w:pPr>
            <w:r w:rsidRPr="0082321B">
              <w:rPr>
                <w:lang w:eastAsia="en-GB"/>
              </w:rPr>
              <w:t>Denominator</w:t>
            </w:r>
          </w:p>
        </w:tc>
        <w:tc>
          <w:tcPr>
            <w:tcW w:w="4260" w:type="dxa"/>
            <w:hideMark/>
          </w:tcPr>
          <w:p w14:paraId="7DC20FFD" w14:textId="77777777" w:rsidR="0033457E" w:rsidRPr="0082321B" w:rsidRDefault="0033457E" w:rsidP="00F21F23">
            <w:pPr>
              <w:rPr>
                <w:lang w:eastAsia="en-GB"/>
              </w:rPr>
            </w:pPr>
            <w:r w:rsidRPr="0082321B">
              <w:rPr>
                <w:lang w:eastAsia="en-GB"/>
              </w:rPr>
              <w:t>Denominator value</w:t>
            </w:r>
          </w:p>
        </w:tc>
      </w:tr>
    </w:tbl>
    <w:p w14:paraId="3D1C261C" w14:textId="77777777" w:rsidR="0033457E" w:rsidRDefault="0033457E" w:rsidP="0033457E"/>
    <w:tbl>
      <w:tblPr>
        <w:tblStyle w:val="TableGrid"/>
        <w:tblW w:w="0" w:type="auto"/>
        <w:tblLayout w:type="fixed"/>
        <w:tblLook w:val="04A0" w:firstRow="1" w:lastRow="0" w:firstColumn="1" w:lastColumn="0" w:noHBand="0" w:noVBand="1"/>
      </w:tblPr>
      <w:tblGrid>
        <w:gridCol w:w="2405"/>
        <w:gridCol w:w="11543"/>
      </w:tblGrid>
      <w:tr w:rsidR="0033457E" w:rsidRPr="0082321B" w14:paraId="3B78D458" w14:textId="77777777" w:rsidTr="00F21F23">
        <w:tc>
          <w:tcPr>
            <w:tcW w:w="2405" w:type="dxa"/>
          </w:tcPr>
          <w:p w14:paraId="7BEED73C" w14:textId="77777777" w:rsidR="0033457E" w:rsidRPr="0082321B" w:rsidRDefault="0033457E" w:rsidP="00F21F23">
            <w:pPr>
              <w:spacing w:before="240"/>
              <w:ind w:left="34"/>
              <w:rPr>
                <w:b/>
              </w:rPr>
            </w:pPr>
            <w:r w:rsidRPr="0082321B">
              <w:rPr>
                <w:b/>
              </w:rPr>
              <w:lastRenderedPageBreak/>
              <w:t>Presentation of indicator</w:t>
            </w:r>
          </w:p>
        </w:tc>
        <w:tc>
          <w:tcPr>
            <w:tcW w:w="11543" w:type="dxa"/>
          </w:tcPr>
          <w:p w14:paraId="14C41B8D" w14:textId="77777777" w:rsidR="0033457E" w:rsidRPr="0082321B" w:rsidRDefault="0033457E" w:rsidP="00F21F23">
            <w:pPr>
              <w:spacing w:before="240"/>
              <w:rPr>
                <w:rStyle w:val="Hyperlink"/>
              </w:rPr>
            </w:pPr>
          </w:p>
          <w:p w14:paraId="4261A25A" w14:textId="77777777" w:rsidR="0033457E" w:rsidRPr="0082321B" w:rsidRDefault="0033457E" w:rsidP="00F21F23">
            <w:pPr>
              <w:spacing w:before="240"/>
            </w:pPr>
            <w:r w:rsidRPr="0082321B">
              <w:t xml:space="preserve">Link to the indicator landing page on the indicator portal: </w:t>
            </w:r>
            <w:hyperlink r:id="rId23" w:history="1">
              <w:r w:rsidRPr="0082321B">
                <w:rPr>
                  <w:rStyle w:val="Hyperlink"/>
                </w:rPr>
                <w:t>http://indicators.ic.nhs.uk/webview/index.jsp?v=2&amp;submode=ddi&amp;study=http%3A%2F%2F172.16.9.26%3A80%2Fobj%2FfStudy%2FP01730&amp;mode=documentation&amp;top=yes</w:t>
              </w:r>
            </w:hyperlink>
          </w:p>
          <w:p w14:paraId="369E1E07" w14:textId="77777777" w:rsidR="0033457E" w:rsidRPr="0082321B" w:rsidRDefault="0033457E" w:rsidP="00F21F23">
            <w:pPr>
              <w:spacing w:before="240"/>
            </w:pPr>
            <w:r w:rsidRPr="0082321B">
              <w:t>Link to indicator data (</w:t>
            </w:r>
            <w:proofErr w:type="spellStart"/>
            <w:r w:rsidRPr="0082321B">
              <w:t>xls</w:t>
            </w:r>
            <w:proofErr w:type="spellEnd"/>
            <w:r w:rsidRPr="0082321B">
              <w:t xml:space="preserve">): </w:t>
            </w:r>
            <w:hyperlink r:id="rId24" w:history="1">
              <w:r w:rsidRPr="0082321B">
                <w:rPr>
                  <w:rStyle w:val="Hyperlink"/>
                </w:rPr>
                <w:t>https://indicators.ic.nhs.uk/download/Outcomes%20Framework/Data/NHSOF_1.1_I00656_D.xls</w:t>
              </w:r>
            </w:hyperlink>
          </w:p>
          <w:p w14:paraId="6AF2C962" w14:textId="77777777" w:rsidR="0033457E" w:rsidRPr="0082321B" w:rsidRDefault="0033457E" w:rsidP="00F21F23">
            <w:pPr>
              <w:spacing w:before="240"/>
            </w:pPr>
            <w:r w:rsidRPr="0082321B">
              <w:t xml:space="preserve">Link to domain 1 specification document: </w:t>
            </w:r>
            <w:hyperlink r:id="rId25" w:history="1">
              <w:r w:rsidRPr="0082321B">
                <w:rPr>
                  <w:rStyle w:val="Hyperlink"/>
                </w:rPr>
                <w:t>https://indicators.ic.nhs.uk/download/Outcomes%20Framework/Specification/NHSOF_Domain_1_S.pdf</w:t>
              </w:r>
            </w:hyperlink>
          </w:p>
          <w:p w14:paraId="7F24A271" w14:textId="77777777" w:rsidR="0033457E" w:rsidRPr="0082321B" w:rsidRDefault="0033457E" w:rsidP="00F21F23">
            <w:pPr>
              <w:spacing w:before="240"/>
            </w:pPr>
            <w:r w:rsidRPr="0082321B">
              <w:t xml:space="preserve">Link to the indicator quality statement: </w:t>
            </w:r>
            <w:hyperlink r:id="rId26" w:history="1">
              <w:r w:rsidRPr="0082321B">
                <w:rPr>
                  <w:rStyle w:val="Hyperlink"/>
                </w:rPr>
                <w:t>https://indicators.ic.nhs.uk/download/Outcomes%20Framework/Specification/NHSOF_1.1_I00656_Q.pdf</w:t>
              </w:r>
            </w:hyperlink>
          </w:p>
        </w:tc>
      </w:tr>
      <w:tr w:rsidR="0033457E" w:rsidRPr="0082321B" w14:paraId="7FD29693" w14:textId="77777777" w:rsidTr="00F21F23">
        <w:tc>
          <w:tcPr>
            <w:tcW w:w="2405" w:type="dxa"/>
          </w:tcPr>
          <w:p w14:paraId="25770139" w14:textId="77777777" w:rsidR="0033457E" w:rsidRPr="0082321B" w:rsidRDefault="0033457E" w:rsidP="00F21F23">
            <w:pPr>
              <w:spacing w:before="240"/>
              <w:ind w:left="34"/>
              <w:rPr>
                <w:b/>
              </w:rPr>
            </w:pPr>
            <w:r w:rsidRPr="0082321B">
              <w:rPr>
                <w:b/>
              </w:rPr>
              <w:t>Contextual information provided alongside indicator</w:t>
            </w:r>
          </w:p>
          <w:p w14:paraId="6176A599" w14:textId="77777777" w:rsidR="0033457E" w:rsidRPr="0082321B" w:rsidRDefault="0033457E" w:rsidP="00F21F23">
            <w:pPr>
              <w:spacing w:before="240"/>
              <w:ind w:left="34"/>
              <w:rPr>
                <w:b/>
              </w:rPr>
            </w:pPr>
            <w:r w:rsidRPr="0082321B">
              <w:t>with justification</w:t>
            </w:r>
          </w:p>
        </w:tc>
        <w:tc>
          <w:tcPr>
            <w:tcW w:w="11543" w:type="dxa"/>
          </w:tcPr>
          <w:p w14:paraId="1FBBB9C6" w14:textId="77777777" w:rsidR="0033457E" w:rsidRPr="0082321B" w:rsidRDefault="0033457E" w:rsidP="00F21F23">
            <w:pPr>
              <w:spacing w:before="240"/>
            </w:pPr>
            <w:r w:rsidRPr="0082321B">
              <w:t>No contextual information is provided alongside the indicator value. Only the lower and upper confidence limits, the numerator (number of deaths from CVD) and the denominator are shown in the data file.</w:t>
            </w:r>
          </w:p>
        </w:tc>
      </w:tr>
      <w:tr w:rsidR="0033457E" w:rsidRPr="0082321B" w14:paraId="6A9B5761" w14:textId="77777777" w:rsidTr="00F21F23">
        <w:tc>
          <w:tcPr>
            <w:tcW w:w="2405" w:type="dxa"/>
          </w:tcPr>
          <w:p w14:paraId="4CE787B4" w14:textId="77777777" w:rsidR="0033457E" w:rsidRPr="0082321B" w:rsidRDefault="0033457E" w:rsidP="00F21F23">
            <w:pPr>
              <w:spacing w:before="240"/>
              <w:ind w:left="34"/>
              <w:rPr>
                <w:b/>
              </w:rPr>
            </w:pPr>
            <w:r w:rsidRPr="0082321B">
              <w:rPr>
                <w:b/>
              </w:rPr>
              <w:t>Calculation and data source of contextual information</w:t>
            </w:r>
          </w:p>
        </w:tc>
        <w:tc>
          <w:tcPr>
            <w:tcW w:w="11543" w:type="dxa"/>
          </w:tcPr>
          <w:p w14:paraId="694DD96F" w14:textId="77777777" w:rsidR="0033457E" w:rsidRPr="0082321B" w:rsidRDefault="0033457E" w:rsidP="00F21F23">
            <w:pPr>
              <w:spacing w:before="240"/>
            </w:pPr>
            <w:r w:rsidRPr="0082321B">
              <w:t>N/A</w:t>
            </w:r>
          </w:p>
        </w:tc>
      </w:tr>
      <w:tr w:rsidR="0033457E" w:rsidRPr="0082321B" w14:paraId="772F4B9C" w14:textId="77777777" w:rsidTr="00F21F23">
        <w:tc>
          <w:tcPr>
            <w:tcW w:w="2405" w:type="dxa"/>
          </w:tcPr>
          <w:p w14:paraId="64741F32" w14:textId="77777777" w:rsidR="0033457E" w:rsidRPr="0082321B" w:rsidRDefault="0033457E" w:rsidP="00F21F23">
            <w:pPr>
              <w:spacing w:before="240"/>
              <w:ind w:left="34"/>
              <w:rPr>
                <w:b/>
              </w:rPr>
            </w:pPr>
            <w:r w:rsidRPr="0082321B">
              <w:rPr>
                <w:b/>
              </w:rPr>
              <w:t>Use of bandings, benchmarks or targets</w:t>
            </w:r>
          </w:p>
          <w:p w14:paraId="55DD9DC6" w14:textId="77777777" w:rsidR="0033457E" w:rsidRPr="0082321B" w:rsidRDefault="0033457E" w:rsidP="00F21F23">
            <w:pPr>
              <w:spacing w:before="240"/>
              <w:ind w:left="34"/>
              <w:rPr>
                <w:b/>
              </w:rPr>
            </w:pPr>
            <w:r w:rsidRPr="0082321B">
              <w:t>with justification</w:t>
            </w:r>
          </w:p>
        </w:tc>
        <w:tc>
          <w:tcPr>
            <w:tcW w:w="11543" w:type="dxa"/>
          </w:tcPr>
          <w:p w14:paraId="31FAA240" w14:textId="77777777" w:rsidR="0033457E" w:rsidRPr="0082321B" w:rsidRDefault="0033457E" w:rsidP="00F21F23">
            <w:pPr>
              <w:spacing w:before="240"/>
            </w:pPr>
            <w:r w:rsidRPr="0082321B">
              <w:t>None</w:t>
            </w:r>
          </w:p>
        </w:tc>
      </w:tr>
      <w:tr w:rsidR="0033457E" w:rsidRPr="0082321B" w14:paraId="3C49EBBD" w14:textId="77777777" w:rsidTr="00F21F23">
        <w:tc>
          <w:tcPr>
            <w:tcW w:w="2405" w:type="dxa"/>
          </w:tcPr>
          <w:p w14:paraId="6C74A21F" w14:textId="77777777" w:rsidR="0033457E" w:rsidRPr="0082321B" w:rsidRDefault="0033457E" w:rsidP="00F21F23">
            <w:pPr>
              <w:spacing w:before="240"/>
              <w:ind w:left="34"/>
              <w:rPr>
                <w:b/>
              </w:rPr>
            </w:pPr>
            <w:r w:rsidRPr="0082321B">
              <w:rPr>
                <w:b/>
              </w:rPr>
              <w:t>Banding, benchmark or target methodology</w:t>
            </w:r>
          </w:p>
          <w:p w14:paraId="517C623E" w14:textId="77777777" w:rsidR="0033457E" w:rsidRPr="0082321B" w:rsidRDefault="0033457E" w:rsidP="00F21F23">
            <w:pPr>
              <w:spacing w:before="240"/>
              <w:ind w:left="34"/>
              <w:rPr>
                <w:b/>
              </w:rPr>
            </w:pPr>
            <w:r w:rsidRPr="0082321B">
              <w:lastRenderedPageBreak/>
              <w:t>if appropriate</w:t>
            </w:r>
          </w:p>
        </w:tc>
        <w:tc>
          <w:tcPr>
            <w:tcW w:w="11543" w:type="dxa"/>
          </w:tcPr>
          <w:p w14:paraId="2BD1BC6A" w14:textId="77777777" w:rsidR="0033457E" w:rsidRPr="0082321B" w:rsidRDefault="0033457E" w:rsidP="00F21F23">
            <w:pPr>
              <w:spacing w:before="240"/>
            </w:pPr>
            <w:r w:rsidRPr="0082321B">
              <w:lastRenderedPageBreak/>
              <w:t>The NHS Outcomes Framework does not employ bandings or benchmarks as it is not part of the purpose of the framework.</w:t>
            </w:r>
          </w:p>
          <w:p w14:paraId="28360AD2" w14:textId="77777777" w:rsidR="0033457E" w:rsidRPr="0082321B" w:rsidRDefault="0033457E" w:rsidP="00F21F23">
            <w:pPr>
              <w:spacing w:before="240"/>
            </w:pPr>
            <w:r w:rsidRPr="0082321B">
              <w:lastRenderedPageBreak/>
              <w:t xml:space="preserve">Values can be compared over time and against the England rate to see how a Local Authority is performing against its region, nationally and its neighbours. Values can also be used to review performance over time. </w:t>
            </w:r>
          </w:p>
        </w:tc>
      </w:tr>
      <w:tr w:rsidR="0033457E" w:rsidRPr="0082321B" w14:paraId="6C99ADEA" w14:textId="77777777" w:rsidTr="00F21F23">
        <w:tc>
          <w:tcPr>
            <w:tcW w:w="2405" w:type="dxa"/>
          </w:tcPr>
          <w:p w14:paraId="7AE57624" w14:textId="77777777" w:rsidR="0033457E" w:rsidRPr="0082321B" w:rsidRDefault="0033457E" w:rsidP="00F21F23">
            <w:pPr>
              <w:spacing w:before="240"/>
              <w:ind w:left="34"/>
              <w:rPr>
                <w:b/>
              </w:rPr>
            </w:pPr>
            <w:r w:rsidRPr="0082321B">
              <w:rPr>
                <w:b/>
              </w:rPr>
              <w:lastRenderedPageBreak/>
              <w:t>Interpretation guidelines</w:t>
            </w:r>
          </w:p>
        </w:tc>
        <w:tc>
          <w:tcPr>
            <w:tcW w:w="11543" w:type="dxa"/>
          </w:tcPr>
          <w:p w14:paraId="4FF24407" w14:textId="77777777" w:rsidR="0033457E" w:rsidRPr="0082321B" w:rsidRDefault="0033457E" w:rsidP="00F21F23">
            <w:pPr>
              <w:spacing w:before="240"/>
            </w:pPr>
            <w:r w:rsidRPr="0082321B">
              <w:t xml:space="preserve">The “Indicator value” represents how many people per 100,000 have died for that </w:t>
            </w:r>
            <w:proofErr w:type="gramStart"/>
            <w:r w:rsidRPr="0082321B">
              <w:t>particular time</w:t>
            </w:r>
            <w:proofErr w:type="gramEnd"/>
            <w:r w:rsidRPr="0082321B">
              <w:t xml:space="preserve"> period and breakdown, standardised to provide a value as if the breakdown had the same age profile as the European Standard Population. This allows the value to be measured against other European countries, as well as against other breakdowns and over time.</w:t>
            </w:r>
          </w:p>
          <w:p w14:paraId="1C28B19D" w14:textId="77777777" w:rsidR="0033457E" w:rsidRPr="0082321B" w:rsidRDefault="0033457E" w:rsidP="00F21F23">
            <w:pPr>
              <w:spacing w:before="240"/>
            </w:pPr>
            <w:r w:rsidRPr="0082321B">
              <w:t xml:space="preserve">A high under 75 mortality </w:t>
            </w:r>
            <w:proofErr w:type="gramStart"/>
            <w:r w:rsidRPr="0082321B">
              <w:t>rate</w:t>
            </w:r>
            <w:proofErr w:type="gramEnd"/>
            <w:r w:rsidRPr="0082321B">
              <w:t xml:space="preserve"> from CVD indicates a larger proportion of people are dying from cardiovascular diseases. A low under 75 mortality </w:t>
            </w:r>
            <w:proofErr w:type="gramStart"/>
            <w:r w:rsidRPr="0082321B">
              <w:t>rate</w:t>
            </w:r>
            <w:proofErr w:type="gramEnd"/>
            <w:r w:rsidRPr="0082321B">
              <w:t xml:space="preserve"> from CVD indicates a smaller proportion of people are dying from cardiovascular diseases.</w:t>
            </w:r>
          </w:p>
          <w:p w14:paraId="60328B2E" w14:textId="77777777" w:rsidR="0033457E" w:rsidRPr="0082321B" w:rsidRDefault="0033457E" w:rsidP="00F21F23">
            <w:pPr>
              <w:spacing w:before="240"/>
            </w:pPr>
            <w:r w:rsidRPr="0082321B">
              <w:t xml:space="preserve">A desirable outcome would be a reduction of the under 75 mortality </w:t>
            </w:r>
            <w:proofErr w:type="gramStart"/>
            <w:r w:rsidRPr="0082321B">
              <w:t>rate</w:t>
            </w:r>
            <w:proofErr w:type="gramEnd"/>
            <w:r w:rsidRPr="0082321B">
              <w:t xml:space="preserve"> for cardiovascular disease over time.</w:t>
            </w:r>
          </w:p>
          <w:p w14:paraId="0E1257EE" w14:textId="77777777" w:rsidR="0033457E" w:rsidRPr="0082321B" w:rsidRDefault="0033457E" w:rsidP="00F21F23">
            <w:pPr>
              <w:spacing w:before="240"/>
            </w:pPr>
            <w:r w:rsidRPr="0082321B">
              <w:t xml:space="preserve">In terms of equality it would be desirable to reduce the gap in the under 75 mortality </w:t>
            </w:r>
            <w:proofErr w:type="gramStart"/>
            <w:r w:rsidRPr="0082321B">
              <w:t>rate</w:t>
            </w:r>
            <w:proofErr w:type="gramEnd"/>
            <w:r w:rsidRPr="0082321B">
              <w:t xml:space="preserve"> from cardiovascular disease between the most and least deprived areas.</w:t>
            </w:r>
          </w:p>
          <w:p w14:paraId="70C3EE5E" w14:textId="77777777" w:rsidR="0033457E" w:rsidRPr="0082321B" w:rsidRDefault="0033457E" w:rsidP="00F21F23">
            <w:pPr>
              <w:pStyle w:val="Default"/>
              <w:rPr>
                <w:color w:val="auto"/>
                <w:sz w:val="22"/>
                <w:szCs w:val="22"/>
                <w:u w:val="single"/>
              </w:rPr>
            </w:pPr>
            <w:r w:rsidRPr="0082321B">
              <w:rPr>
                <w:color w:val="auto"/>
                <w:sz w:val="22"/>
                <w:szCs w:val="22"/>
                <w:u w:val="single"/>
              </w:rPr>
              <w:t>Change in mortality rates</w:t>
            </w:r>
          </w:p>
          <w:p w14:paraId="279C9319" w14:textId="77777777" w:rsidR="0033457E" w:rsidRPr="0082321B" w:rsidRDefault="0033457E" w:rsidP="00F21F23"/>
          <w:p w14:paraId="3CC3DECE" w14:textId="77777777" w:rsidR="0033457E" w:rsidRPr="0082321B" w:rsidRDefault="0033457E" w:rsidP="00F21F23">
            <w:r w:rsidRPr="0082321B">
              <w:t xml:space="preserve">The numerator and denominator should be used in conjunction with the mortality rate when assessing rate changes to provide more contextual information, as the mortality rate should not be viewed in isolation. An increasing ‘younger’ population (denominator) can reduce morality rates or even out rate increases from the causes of death (numerator). </w:t>
            </w:r>
          </w:p>
          <w:p w14:paraId="41474B92" w14:textId="77777777" w:rsidR="0033457E" w:rsidRPr="0082321B" w:rsidRDefault="0033457E" w:rsidP="00F21F23"/>
          <w:p w14:paraId="672AE57F" w14:textId="77777777" w:rsidR="0033457E" w:rsidRPr="0082321B" w:rsidRDefault="0033457E" w:rsidP="00F21F23">
            <w:r w:rsidRPr="0082321B">
              <w:t>Changes in geographical boundaries can also have an impact on mortality rates, if for example two combining smaller geographies have different mortality rates for their underlying populations, when combined the rates become harmonised as an average for the larger area.</w:t>
            </w:r>
          </w:p>
          <w:p w14:paraId="73B32195" w14:textId="77777777" w:rsidR="0033457E" w:rsidRPr="0082321B" w:rsidRDefault="0033457E" w:rsidP="00F21F23">
            <w:pPr>
              <w:spacing w:before="240"/>
            </w:pPr>
            <w:r w:rsidRPr="0082321B">
              <w:t xml:space="preserve">Direct comparison with mortality rates for periods that cover 2011 and </w:t>
            </w:r>
            <w:proofErr w:type="gramStart"/>
            <w:r w:rsidRPr="0082321B">
              <w:t>2014  is</w:t>
            </w:r>
            <w:proofErr w:type="gramEnd"/>
            <w:r w:rsidRPr="0082321B">
              <w:t xml:space="preserve"> not advisable. There was a decrease in the number of deaths with an underlying cause coded to ‘Cardiovascular Disease’ in 2011. However, a large proportion of this decrease is caused by a correction to the coding of vascular dementia, which was coded as underlying cause CVD (I67.9) until 2010 and is now coded as underlying cause in ‘Mental Health’ deaths (F01). Further details can be found at: http://www.ons.gov.uk/ons/rel/subnational-health3/results-of-the-icd-10-v2010-bridge-coding-study--england-and-wales--2009/2009/index.html</w:t>
            </w:r>
          </w:p>
          <w:p w14:paraId="3A1C5946" w14:textId="77777777" w:rsidR="0033457E" w:rsidRPr="0082321B" w:rsidRDefault="0033457E" w:rsidP="00F21F23">
            <w:pPr>
              <w:spacing w:before="240"/>
            </w:pPr>
            <w:r w:rsidRPr="0082321B">
              <w:lastRenderedPageBreak/>
              <w:t xml:space="preserve">On 8 August 2014, the ONS published ‘Impact of the Implementation of IRIS Software for ICD-10 Cause of Death Coding on Mortality Statistics, England and Wales’: </w:t>
            </w:r>
            <w:hyperlink r:id="rId27" w:history="1">
              <w:r w:rsidRPr="0082321B">
                <w:rPr>
                  <w:rStyle w:val="Hyperlink"/>
                </w:rPr>
                <w:t>http://www.ons.gov.uk/ons/dcp171778_373602.pdf</w:t>
              </w:r>
            </w:hyperlink>
            <w:r w:rsidRPr="0082321B">
              <w:t xml:space="preserve">  This report details the impact of the change of coding brought about by the introduction of new coding software ICD-10 v2013 (IRIS) on the underlying causes of death condition groups or chapters.</w:t>
            </w:r>
          </w:p>
        </w:tc>
      </w:tr>
      <w:tr w:rsidR="0033457E" w:rsidRPr="0082321B" w14:paraId="30085E5A" w14:textId="77777777" w:rsidTr="00F21F23">
        <w:tc>
          <w:tcPr>
            <w:tcW w:w="2405" w:type="dxa"/>
          </w:tcPr>
          <w:p w14:paraId="5EB1E1E4" w14:textId="77777777" w:rsidR="0033457E" w:rsidRPr="0082321B" w:rsidRDefault="0033457E" w:rsidP="00F21F23">
            <w:pPr>
              <w:spacing w:before="240"/>
              <w:ind w:left="34"/>
              <w:rPr>
                <w:b/>
              </w:rPr>
            </w:pPr>
            <w:r w:rsidRPr="0082321B">
              <w:rPr>
                <w:b/>
              </w:rPr>
              <w:lastRenderedPageBreak/>
              <w:t>Limitations and potential bias</w:t>
            </w:r>
          </w:p>
        </w:tc>
        <w:tc>
          <w:tcPr>
            <w:tcW w:w="11543" w:type="dxa"/>
          </w:tcPr>
          <w:p w14:paraId="6933D9A4" w14:textId="77777777" w:rsidR="0033457E" w:rsidRPr="0082321B" w:rsidRDefault="0033457E" w:rsidP="00F21F23">
            <w:pPr>
              <w:ind w:left="42"/>
              <w:contextualSpacing/>
            </w:pPr>
            <w:r w:rsidRPr="0082321B">
              <w:t>Persons 75 and over are excluded from the methodology to remove bias from causes of death associated with higher older age and the increasing older age population profile.</w:t>
            </w:r>
          </w:p>
          <w:p w14:paraId="0531656A" w14:textId="77777777" w:rsidR="0033457E" w:rsidRPr="0082321B" w:rsidRDefault="0033457E" w:rsidP="00F21F23">
            <w:pPr>
              <w:pStyle w:val="Default"/>
              <w:rPr>
                <w:color w:val="auto"/>
                <w:sz w:val="22"/>
                <w:szCs w:val="22"/>
                <w:u w:val="single"/>
              </w:rPr>
            </w:pPr>
          </w:p>
          <w:p w14:paraId="530C3826" w14:textId="77777777" w:rsidR="0033457E" w:rsidRPr="0082321B" w:rsidRDefault="0033457E" w:rsidP="00F21F23">
            <w:pPr>
              <w:pStyle w:val="Default"/>
              <w:rPr>
                <w:color w:val="auto"/>
                <w:sz w:val="22"/>
                <w:szCs w:val="22"/>
                <w:u w:val="single"/>
              </w:rPr>
            </w:pPr>
            <w:r w:rsidRPr="0082321B">
              <w:rPr>
                <w:color w:val="auto"/>
                <w:sz w:val="22"/>
                <w:szCs w:val="22"/>
                <w:u w:val="single"/>
              </w:rPr>
              <w:t>Coding changes</w:t>
            </w:r>
          </w:p>
          <w:p w14:paraId="16D2DCD4" w14:textId="77777777" w:rsidR="0033457E" w:rsidRPr="0082321B" w:rsidRDefault="0033457E" w:rsidP="00F21F23">
            <w:pPr>
              <w:pStyle w:val="Default"/>
              <w:rPr>
                <w:color w:val="auto"/>
                <w:sz w:val="22"/>
                <w:szCs w:val="22"/>
              </w:rPr>
            </w:pPr>
            <w:r w:rsidRPr="0082321B">
              <w:rPr>
                <w:color w:val="auto"/>
                <w:sz w:val="22"/>
                <w:szCs w:val="22"/>
              </w:rPr>
              <w:t xml:space="preserve">Direct comparison with previous year’s mortality, prior to 2011, is not advisable. Along with the recalculation of the indicator values there have also been changes in death coding practices. Prior to 2011 vascular dementia was coded as cerebrovascular disease. (I67.9). From 2011 onwards vascular dementia is captured in mental health deaths (F01). There has been a decrease in the number of deaths with an underlying cause coded to cardiovascular disease, of which a large proportion is due to the correction to the coding of vascular dementia. </w:t>
            </w:r>
          </w:p>
          <w:p w14:paraId="326E6E62" w14:textId="77777777" w:rsidR="0033457E" w:rsidRPr="0082321B" w:rsidRDefault="0033457E" w:rsidP="00F21F23">
            <w:pPr>
              <w:pStyle w:val="Default"/>
              <w:rPr>
                <w:color w:val="auto"/>
                <w:sz w:val="22"/>
                <w:szCs w:val="22"/>
              </w:rPr>
            </w:pPr>
            <w:r w:rsidRPr="0082321B">
              <w:rPr>
                <w:color w:val="auto"/>
                <w:sz w:val="22"/>
                <w:szCs w:val="22"/>
              </w:rPr>
              <w:t xml:space="preserve">Further details can be found in the results of the ICD-10 v2010 bridge coding study from ONS at: </w:t>
            </w:r>
            <w:hyperlink r:id="rId28" w:history="1">
              <w:r w:rsidRPr="0082321B">
                <w:rPr>
                  <w:rStyle w:val="Hyperlink"/>
                  <w:color w:val="auto"/>
                  <w:sz w:val="22"/>
                  <w:szCs w:val="22"/>
                </w:rPr>
                <w:t>http://www.ons.gov.uk/ons/rel/subnational-health3/results-of-the-icd-10-v2010-bridge-coding-study--england-and-wales--2009/2009/index.html</w:t>
              </w:r>
            </w:hyperlink>
            <w:r w:rsidRPr="0082321B">
              <w:rPr>
                <w:color w:val="auto"/>
                <w:sz w:val="22"/>
                <w:szCs w:val="22"/>
              </w:rPr>
              <w:t xml:space="preserve"> </w:t>
            </w:r>
          </w:p>
          <w:p w14:paraId="518D7660" w14:textId="77777777" w:rsidR="0033457E" w:rsidRPr="0082321B" w:rsidRDefault="0033457E" w:rsidP="00F21F23">
            <w:pPr>
              <w:pStyle w:val="Default"/>
              <w:rPr>
                <w:color w:val="auto"/>
                <w:sz w:val="22"/>
                <w:szCs w:val="22"/>
                <w:u w:val="single"/>
              </w:rPr>
            </w:pPr>
          </w:p>
          <w:p w14:paraId="3B03135F" w14:textId="77777777" w:rsidR="0033457E" w:rsidRPr="0082321B" w:rsidRDefault="0033457E" w:rsidP="00F21F23">
            <w:pPr>
              <w:pStyle w:val="Default"/>
              <w:rPr>
                <w:color w:val="auto"/>
                <w:sz w:val="22"/>
                <w:szCs w:val="22"/>
                <w:u w:val="single"/>
              </w:rPr>
            </w:pPr>
            <w:r w:rsidRPr="0082321B">
              <w:rPr>
                <w:color w:val="auto"/>
                <w:sz w:val="22"/>
                <w:szCs w:val="22"/>
                <w:u w:val="single"/>
              </w:rPr>
              <w:t>European Standard Population</w:t>
            </w:r>
          </w:p>
          <w:p w14:paraId="000AFCD5" w14:textId="77777777" w:rsidR="0033457E" w:rsidRPr="0082321B" w:rsidRDefault="0033457E" w:rsidP="00F21F23">
            <w:pPr>
              <w:ind w:left="42"/>
              <w:contextualSpacing/>
            </w:pPr>
            <w:r w:rsidRPr="0082321B">
              <w:t xml:space="preserve">The European Standard Population (per 100,000) methodology changed in 2013 to reflect an ageing population distribution across Europe from the 1976 base used in previous methods.  This has significantly increased the mortality rates, typically doubling rates across many common causes of death including cardiovascular disease on the previous years.  Indicator values were revised across the whole </w:t>
            </w:r>
            <w:proofErr w:type="gramStart"/>
            <w:r w:rsidRPr="0082321B">
              <w:t>10 year</w:t>
            </w:r>
            <w:proofErr w:type="gramEnd"/>
            <w:r w:rsidRPr="0082321B">
              <w:t xml:space="preserve"> time series using the ESP 2013 distribution, to make previous years data comparable and to ensure consistency with other European nations.</w:t>
            </w:r>
          </w:p>
          <w:p w14:paraId="40921846" w14:textId="77777777" w:rsidR="0033457E" w:rsidRPr="0082321B" w:rsidRDefault="0033457E" w:rsidP="00F21F23">
            <w:pPr>
              <w:ind w:left="42"/>
              <w:contextualSpacing/>
            </w:pPr>
          </w:p>
          <w:p w14:paraId="3FBA054E" w14:textId="77777777" w:rsidR="0033457E" w:rsidRPr="0082321B" w:rsidRDefault="0033457E" w:rsidP="00F21F23">
            <w:pPr>
              <w:ind w:left="42"/>
              <w:contextualSpacing/>
            </w:pPr>
          </w:p>
          <w:p w14:paraId="5E6A5A93" w14:textId="77777777" w:rsidR="0033457E" w:rsidRPr="0082321B" w:rsidRDefault="0033457E" w:rsidP="00F21F23">
            <w:pPr>
              <w:ind w:left="42"/>
              <w:contextualSpacing/>
              <w:rPr>
                <w:u w:val="single"/>
              </w:rPr>
            </w:pPr>
            <w:r w:rsidRPr="0082321B">
              <w:rPr>
                <w:u w:val="single"/>
              </w:rPr>
              <w:t>Cause of death registration</w:t>
            </w:r>
          </w:p>
          <w:p w14:paraId="3121A00E" w14:textId="77777777" w:rsidR="0033457E" w:rsidRPr="0082321B" w:rsidRDefault="0033457E" w:rsidP="00F21F23">
            <w:pPr>
              <w:ind w:left="42"/>
              <w:contextualSpacing/>
            </w:pPr>
            <w:r w:rsidRPr="0082321B">
              <w:t xml:space="preserve">Mortality statistics are produced based on the deaths </w:t>
            </w:r>
            <w:r w:rsidRPr="0082321B">
              <w:rPr>
                <w:b/>
              </w:rPr>
              <w:t>registered</w:t>
            </w:r>
            <w:r w:rsidRPr="0082321B">
              <w:t xml:space="preserve"> in a </w:t>
            </w:r>
            <w:proofErr w:type="gramStart"/>
            <w:r w:rsidRPr="0082321B">
              <w:t>particular reference</w:t>
            </w:r>
            <w:proofErr w:type="gramEnd"/>
            <w:r w:rsidRPr="0082321B">
              <w:t xml:space="preserve"> period, rather than deaths occurring in a particular period. This allows for more timely publication of complete statistics (6 months after the end of the data year) and ensures full quality assurance has been conducted by ONS. But means that annual figures include some ‘late’ death registrations that occurred in years prior to the reference year (approximately 4.5%).</w:t>
            </w:r>
          </w:p>
          <w:p w14:paraId="72060D14" w14:textId="77777777" w:rsidR="0033457E" w:rsidRPr="0082321B" w:rsidRDefault="0033457E" w:rsidP="00F21F23">
            <w:pPr>
              <w:contextualSpacing/>
            </w:pPr>
          </w:p>
          <w:p w14:paraId="6D30A9DB" w14:textId="77777777" w:rsidR="0033457E" w:rsidRPr="0082321B" w:rsidRDefault="0033457E" w:rsidP="00F21F23">
            <w:pPr>
              <w:ind w:left="42"/>
              <w:contextualSpacing/>
            </w:pPr>
            <w:r w:rsidRPr="0082321B">
              <w:t xml:space="preserve">Mortality statistics based on the year of </w:t>
            </w:r>
            <w:r w:rsidRPr="0082321B">
              <w:rPr>
                <w:b/>
              </w:rPr>
              <w:t>occurrence</w:t>
            </w:r>
            <w:r w:rsidRPr="0082321B">
              <w:t xml:space="preserve"> would be much less timely, as they are not available until later (autumn). There will always be </w:t>
            </w:r>
            <w:proofErr w:type="gramStart"/>
            <w:r w:rsidRPr="0082321B">
              <w:t>a number of</w:t>
            </w:r>
            <w:proofErr w:type="gramEnd"/>
            <w:r w:rsidRPr="0082321B">
              <w:t xml:space="preserve"> late death registrations for previous years that will be included in the annual extract of death registrations.</w:t>
            </w:r>
          </w:p>
          <w:p w14:paraId="7EF11E7B" w14:textId="77777777" w:rsidR="0033457E" w:rsidRPr="0082321B" w:rsidRDefault="0033457E" w:rsidP="00F21F23">
            <w:pPr>
              <w:ind w:left="42"/>
              <w:contextualSpacing/>
            </w:pPr>
          </w:p>
          <w:p w14:paraId="032B527E" w14:textId="77777777" w:rsidR="0033457E" w:rsidRPr="0082321B" w:rsidRDefault="0033457E" w:rsidP="00F21F23">
            <w:pPr>
              <w:spacing w:before="240"/>
            </w:pPr>
            <w:r w:rsidRPr="0082321B">
              <w:t xml:space="preserve">Registrations are not entirely comparable to occurrences; </w:t>
            </w:r>
            <w:proofErr w:type="gramStart"/>
            <w:r w:rsidRPr="0082321B">
              <w:t>however</w:t>
            </w:r>
            <w:proofErr w:type="gramEnd"/>
            <w:r w:rsidRPr="0082321B">
              <w:t xml:space="preserve"> the differences are relatively minor and figures are broadly comparable for most causes.  Death registrations continue to be used as the primary source for mortality rates in health statistics.</w:t>
            </w:r>
          </w:p>
        </w:tc>
      </w:tr>
      <w:tr w:rsidR="0033457E" w:rsidRPr="0082321B" w14:paraId="0DEADEDC" w14:textId="77777777" w:rsidTr="00F21F23">
        <w:tc>
          <w:tcPr>
            <w:tcW w:w="2405" w:type="dxa"/>
          </w:tcPr>
          <w:p w14:paraId="4C186D7A" w14:textId="77777777" w:rsidR="0033457E" w:rsidRPr="0082321B" w:rsidRDefault="0033457E" w:rsidP="00F21F23">
            <w:pPr>
              <w:spacing w:before="240"/>
              <w:ind w:left="34"/>
              <w:rPr>
                <w:b/>
              </w:rPr>
            </w:pPr>
            <w:r w:rsidRPr="0082321B">
              <w:rPr>
                <w:b/>
              </w:rPr>
              <w:lastRenderedPageBreak/>
              <w:t>Improvement actions</w:t>
            </w:r>
          </w:p>
        </w:tc>
        <w:tc>
          <w:tcPr>
            <w:tcW w:w="11543" w:type="dxa"/>
          </w:tcPr>
          <w:p w14:paraId="602CB670" w14:textId="77777777" w:rsidR="0033457E" w:rsidRPr="0082321B" w:rsidRDefault="0033457E" w:rsidP="00F21F23">
            <w:pPr>
              <w:spacing w:before="240"/>
              <w:rPr>
                <w:highlight w:val="yellow"/>
              </w:rPr>
            </w:pPr>
            <w:r w:rsidRPr="0082321B">
              <w:t>This indicator requires careful interpretation and should not be viewed in isolation, but instead be considered alongside information from other indicators and alternative sources.</w:t>
            </w:r>
          </w:p>
          <w:p w14:paraId="2E5FCDB7" w14:textId="77777777" w:rsidR="0033457E" w:rsidRPr="0082321B" w:rsidRDefault="0033457E" w:rsidP="00F21F23">
            <w:pPr>
              <w:spacing w:before="240"/>
            </w:pPr>
            <w:r w:rsidRPr="0082321B">
              <w:t xml:space="preserve">It is expected that the Department of Health and NHS England will use this indicator to identify how improvements in care are being delivered, including the desire to reduce mortality rates in cardiovascular disease. Improving the health of the population would lead to fewer deaths from cardiovascular disease. </w:t>
            </w:r>
          </w:p>
          <w:p w14:paraId="2C63B5F4" w14:textId="77777777" w:rsidR="0033457E" w:rsidRPr="0082321B" w:rsidRDefault="0033457E" w:rsidP="00F21F23">
            <w:pPr>
              <w:spacing w:before="240"/>
            </w:pPr>
            <w:r w:rsidRPr="0082321B">
              <w:t xml:space="preserve">Department of Health would like to reduce the amount of cardiovascular disease and may consider policy responses that are in accordance with NICE Quality Standards 2, 9, 10, 28, 29, 68, 93, 99, 100 (stroke, heart failure, COPD, VTE, Hypertension, coronary syndromes, myocardial infarction, cardiovascular risk assessment). </w:t>
            </w:r>
          </w:p>
          <w:p w14:paraId="08482EA1" w14:textId="77777777" w:rsidR="0033457E" w:rsidRPr="0082321B" w:rsidRDefault="0033457E" w:rsidP="00F21F23">
            <w:pPr>
              <w:spacing w:before="240"/>
            </w:pPr>
            <w:r w:rsidRPr="0082321B">
              <w:t>More people could live longer and with a better quality of life if they were supported to adopt healthy lifestyles – particularly quitting smoking, eating more healthily and being more physically active. Evidence shows that these risks factors are clustered in the more disadvantaged groups of the population. Making progress in tackling these issues and reducing health inequalities will be part of local authorities’ (LAs) public health responsibilities from April 2013.</w:t>
            </w:r>
            <w:bookmarkStart w:id="2" w:name="_Ref433018508"/>
            <w:r w:rsidRPr="0082321B">
              <w:rPr>
                <w:rStyle w:val="FootnoteReference"/>
              </w:rPr>
              <w:footnoteReference w:id="6"/>
            </w:r>
            <w:bookmarkEnd w:id="2"/>
            <w:r w:rsidRPr="0082321B">
              <w:t xml:space="preserve"> The NHS Health Check Programme</w:t>
            </w:r>
            <w:r w:rsidRPr="0082321B">
              <w:rPr>
                <w:rStyle w:val="FootnoteReference"/>
              </w:rPr>
              <w:footnoteReference w:id="7"/>
            </w:r>
            <w:r w:rsidRPr="0082321B">
              <w:t xml:space="preserve"> has the potential to identify those at risk of CVD based on lifestyle factors, and this indicator could be used alongside statistics on the number of NHS Health Checks performed to identify poor performing areas requiring a more targeted approach to improve health outcomes with regards to CVD.</w:t>
            </w:r>
          </w:p>
          <w:p w14:paraId="543199EC" w14:textId="77777777" w:rsidR="0033457E" w:rsidRPr="0082321B" w:rsidRDefault="0033457E" w:rsidP="00F21F23">
            <w:pPr>
              <w:ind w:left="42"/>
              <w:contextualSpacing/>
            </w:pPr>
            <w:r w:rsidRPr="0082321B">
              <w:t>The Department of Health report: “Cardiovascular Disease Outcomes Strategy, Improving outcomes for people with or at risk of cardiovascular disease”</w:t>
            </w:r>
            <w:r w:rsidRPr="0082321B">
              <w:rPr>
                <w:vertAlign w:val="superscript"/>
              </w:rPr>
              <w:fldChar w:fldCharType="begin"/>
            </w:r>
            <w:r w:rsidRPr="0082321B">
              <w:rPr>
                <w:vertAlign w:val="superscript"/>
              </w:rPr>
              <w:instrText xml:space="preserve"> NOTEREF _Ref433018508 \h  \* MERGEFORMAT </w:instrText>
            </w:r>
            <w:r w:rsidRPr="0082321B">
              <w:rPr>
                <w:vertAlign w:val="superscript"/>
              </w:rPr>
            </w:r>
            <w:r w:rsidRPr="0082321B">
              <w:rPr>
                <w:vertAlign w:val="superscript"/>
              </w:rPr>
              <w:fldChar w:fldCharType="separate"/>
            </w:r>
            <w:r w:rsidRPr="0082321B">
              <w:rPr>
                <w:vertAlign w:val="superscript"/>
              </w:rPr>
              <w:t>6</w:t>
            </w:r>
            <w:r w:rsidRPr="0082321B">
              <w:rPr>
                <w:vertAlign w:val="superscript"/>
              </w:rPr>
              <w:fldChar w:fldCharType="end"/>
            </w:r>
            <w:r w:rsidRPr="0082321B">
              <w:t xml:space="preserve"> includes a list of ambitions and suggested improvement actions that can use the values in this indicator to better target resources.</w:t>
            </w:r>
          </w:p>
        </w:tc>
      </w:tr>
      <w:tr w:rsidR="0033457E" w:rsidRPr="0082321B" w14:paraId="0E591245" w14:textId="77777777" w:rsidTr="00F21F23">
        <w:tc>
          <w:tcPr>
            <w:tcW w:w="2405" w:type="dxa"/>
          </w:tcPr>
          <w:p w14:paraId="06745586" w14:textId="77777777" w:rsidR="0033457E" w:rsidRPr="0082321B" w:rsidRDefault="0033457E" w:rsidP="00F21F23">
            <w:pPr>
              <w:spacing w:before="240"/>
              <w:ind w:left="34"/>
              <w:rPr>
                <w:b/>
              </w:rPr>
            </w:pPr>
            <w:r w:rsidRPr="0082321B">
              <w:rPr>
                <w:b/>
              </w:rPr>
              <w:t>Evidence of variability</w:t>
            </w:r>
          </w:p>
        </w:tc>
        <w:tc>
          <w:tcPr>
            <w:tcW w:w="11543" w:type="dxa"/>
          </w:tcPr>
          <w:p w14:paraId="3801A09D" w14:textId="77777777" w:rsidR="0033457E" w:rsidRPr="0082321B" w:rsidRDefault="0033457E" w:rsidP="00F21F23">
            <w:pPr>
              <w:spacing w:before="240"/>
            </w:pPr>
            <w:r w:rsidRPr="0082321B">
              <w:t xml:space="preserve">At the national level, the under 75 mortality </w:t>
            </w:r>
            <w:proofErr w:type="gramStart"/>
            <w:r w:rsidRPr="0082321B">
              <w:t>rate</w:t>
            </w:r>
            <w:proofErr w:type="gramEnd"/>
            <w:r w:rsidRPr="0082321B">
              <w:t xml:space="preserve"> for CVD for all ages at person level was 76.6 per 100,000 population in 2013. When broken down by gender the rates were 47.3 and 107.5 for females and males respectively.</w:t>
            </w:r>
          </w:p>
          <w:p w14:paraId="317B83F3" w14:textId="77777777" w:rsidR="0033457E" w:rsidRPr="0082321B" w:rsidRDefault="0033457E" w:rsidP="00F21F23">
            <w:pPr>
              <w:spacing w:before="240"/>
            </w:pPr>
            <w:r w:rsidRPr="0082321B">
              <w:lastRenderedPageBreak/>
              <w:t>When the mortality rate is broken down by 324 lower tier local authorities of residence (Isles of Scilly local authority has been merged with Cornwall and City of London local authority has been merged with Hackney due to small numbers), the mortality rates at person-level range from 32.7 in North Dorset to 133.6 in Manchester.</w:t>
            </w:r>
          </w:p>
          <w:p w14:paraId="6A81BDBE" w14:textId="77777777" w:rsidR="0033457E" w:rsidRPr="0082321B" w:rsidRDefault="0033457E" w:rsidP="00F21F23">
            <w:pPr>
              <w:spacing w:before="240"/>
            </w:pPr>
            <w:r w:rsidRPr="0082321B">
              <w:t>When the mortality rate was disaggregated by IMD deprivation decile, the least deprived decile (10) rate was 44.2 and the most deprived decile (1) rate was 147.0.</w:t>
            </w:r>
          </w:p>
        </w:tc>
      </w:tr>
      <w:tr w:rsidR="0033457E" w:rsidRPr="0082321B" w14:paraId="6FF77B8B" w14:textId="77777777" w:rsidTr="00F21F23">
        <w:tc>
          <w:tcPr>
            <w:tcW w:w="2405" w:type="dxa"/>
          </w:tcPr>
          <w:p w14:paraId="0A1E984B" w14:textId="77777777" w:rsidR="0033457E" w:rsidRPr="0082321B" w:rsidRDefault="0033457E" w:rsidP="00F21F23">
            <w:pPr>
              <w:spacing w:before="240"/>
              <w:ind w:left="34"/>
              <w:rPr>
                <w:b/>
              </w:rPr>
            </w:pPr>
            <w:r>
              <w:rPr>
                <w:b/>
              </w:rPr>
              <w:lastRenderedPageBreak/>
              <w:t>RISKS</w:t>
            </w:r>
          </w:p>
        </w:tc>
        <w:tc>
          <w:tcPr>
            <w:tcW w:w="11543" w:type="dxa"/>
          </w:tcPr>
          <w:p w14:paraId="52C523B3" w14:textId="77777777" w:rsidR="0033457E" w:rsidRPr="0082321B" w:rsidRDefault="0033457E" w:rsidP="00F21F23">
            <w:pPr>
              <w:spacing w:before="240"/>
            </w:pPr>
          </w:p>
        </w:tc>
      </w:tr>
      <w:tr w:rsidR="0033457E" w:rsidRPr="0082321B" w14:paraId="735C5BCC" w14:textId="77777777" w:rsidTr="00F21F23">
        <w:tc>
          <w:tcPr>
            <w:tcW w:w="2405" w:type="dxa"/>
          </w:tcPr>
          <w:p w14:paraId="044B6475" w14:textId="77777777" w:rsidR="0033457E" w:rsidRPr="0082321B" w:rsidRDefault="0033457E" w:rsidP="00F21F23">
            <w:pPr>
              <w:spacing w:before="240"/>
              <w:ind w:left="34"/>
              <w:rPr>
                <w:b/>
              </w:rPr>
            </w:pPr>
            <w:r w:rsidRPr="0082321B">
              <w:rPr>
                <w:b/>
              </w:rPr>
              <w:t>Similar existing indicators</w:t>
            </w:r>
          </w:p>
        </w:tc>
        <w:tc>
          <w:tcPr>
            <w:tcW w:w="11543" w:type="dxa"/>
          </w:tcPr>
          <w:p w14:paraId="5B5991C7" w14:textId="77777777" w:rsidR="0033457E" w:rsidRPr="0082321B" w:rsidRDefault="0033457E" w:rsidP="00F21F23">
            <w:pPr>
              <w:spacing w:before="240"/>
              <w:rPr>
                <w:u w:val="single"/>
              </w:rPr>
            </w:pPr>
            <w:r w:rsidRPr="0082321B">
              <w:rPr>
                <w:u w:val="single"/>
              </w:rPr>
              <w:t>NHS OF:</w:t>
            </w:r>
          </w:p>
          <w:p w14:paraId="163A5EC1" w14:textId="77777777" w:rsidR="0033457E" w:rsidRPr="0082321B" w:rsidRDefault="0033457E" w:rsidP="00F21F23">
            <w:pPr>
              <w:spacing w:before="240"/>
              <w:rPr>
                <w:lang w:val="en"/>
              </w:rPr>
            </w:pPr>
            <w:r w:rsidRPr="0082321B">
              <w:t xml:space="preserve">1.2 Under 75 mortality rate from respiratory disease </w:t>
            </w:r>
          </w:p>
          <w:p w14:paraId="5851D553" w14:textId="77777777" w:rsidR="0033457E" w:rsidRPr="0082321B" w:rsidRDefault="0033457E" w:rsidP="00F21F23">
            <w:pPr>
              <w:spacing w:before="240"/>
            </w:pPr>
            <w:r w:rsidRPr="0082321B">
              <w:rPr>
                <w:lang w:val="en"/>
              </w:rPr>
              <w:t xml:space="preserve">1.3 </w:t>
            </w:r>
            <w:r w:rsidRPr="0082321B">
              <w:t>Under 75 mortality rate from liver disease</w:t>
            </w:r>
          </w:p>
          <w:p w14:paraId="5671A85E" w14:textId="77777777" w:rsidR="0033457E" w:rsidRPr="0082321B" w:rsidRDefault="0033457E" w:rsidP="00F21F23">
            <w:pPr>
              <w:spacing w:before="240"/>
              <w:rPr>
                <w:lang w:val="en"/>
              </w:rPr>
            </w:pPr>
            <w:r w:rsidRPr="0082321B">
              <w:t>1.4 Under 75 mortality rate from cancer</w:t>
            </w:r>
          </w:p>
          <w:p w14:paraId="61550878" w14:textId="77777777" w:rsidR="0033457E" w:rsidRPr="0082321B" w:rsidRDefault="0033457E" w:rsidP="00F21F23">
            <w:pPr>
              <w:spacing w:before="240"/>
              <w:rPr>
                <w:u w:val="single"/>
                <w:lang w:val="en"/>
              </w:rPr>
            </w:pPr>
            <w:r w:rsidRPr="0082321B">
              <w:rPr>
                <w:u w:val="single"/>
                <w:lang w:val="en"/>
              </w:rPr>
              <w:t>PHOF:</w:t>
            </w:r>
          </w:p>
          <w:p w14:paraId="1632DA22" w14:textId="77777777" w:rsidR="0033457E" w:rsidRPr="0082321B" w:rsidRDefault="0033457E" w:rsidP="00F21F23">
            <w:pPr>
              <w:spacing w:before="240"/>
            </w:pPr>
            <w:r w:rsidRPr="0082321B">
              <w:t xml:space="preserve">4.4i - Under 75 mortality </w:t>
            </w:r>
            <w:proofErr w:type="gramStart"/>
            <w:r w:rsidRPr="0082321B">
              <w:t>rate</w:t>
            </w:r>
            <w:proofErr w:type="gramEnd"/>
            <w:r w:rsidRPr="0082321B">
              <w:t xml:space="preserve"> from all cardiovascular diseases</w:t>
            </w:r>
          </w:p>
          <w:p w14:paraId="37E70B77" w14:textId="77777777" w:rsidR="0033457E" w:rsidRPr="0082321B" w:rsidRDefault="0033457E" w:rsidP="00F21F23">
            <w:pPr>
              <w:spacing w:before="240"/>
            </w:pPr>
            <w:r w:rsidRPr="0082321B">
              <w:t xml:space="preserve">4.4ii - Under 75 mortality </w:t>
            </w:r>
            <w:proofErr w:type="gramStart"/>
            <w:r w:rsidRPr="0082321B">
              <w:t>rate</w:t>
            </w:r>
            <w:proofErr w:type="gramEnd"/>
            <w:r w:rsidRPr="0082321B">
              <w:t xml:space="preserve"> from cardiovascular diseases considered preventable</w:t>
            </w:r>
          </w:p>
          <w:p w14:paraId="35AFA827" w14:textId="77777777" w:rsidR="0033457E" w:rsidRPr="0082321B" w:rsidRDefault="0033457E" w:rsidP="00F21F23">
            <w:pPr>
              <w:spacing w:before="240"/>
            </w:pPr>
            <w:r w:rsidRPr="0082321B">
              <w:t xml:space="preserve">The Public Health Outcomes Framework (PHOF) uses a different age-standardisation model to the NHSOF, based on pooled data from </w:t>
            </w:r>
            <w:proofErr w:type="gramStart"/>
            <w:r w:rsidRPr="0082321B">
              <w:t>3 year</w:t>
            </w:r>
            <w:proofErr w:type="gramEnd"/>
            <w:r w:rsidRPr="0082321B">
              <w:t xml:space="preserve"> periods, as opposed to single calendar year data for the indicator.</w:t>
            </w:r>
          </w:p>
          <w:p w14:paraId="2ED2A46E" w14:textId="77777777" w:rsidR="0033457E" w:rsidRPr="0082321B" w:rsidRDefault="0033457E" w:rsidP="00F21F23">
            <w:pPr>
              <w:spacing w:before="240"/>
              <w:rPr>
                <w:u w:val="single"/>
              </w:rPr>
            </w:pPr>
            <w:r w:rsidRPr="0082321B">
              <w:rPr>
                <w:u w:val="single"/>
              </w:rPr>
              <w:t>CCG OIS Indicator:</w:t>
            </w:r>
          </w:p>
          <w:p w14:paraId="61FAD5A4" w14:textId="77777777" w:rsidR="0033457E" w:rsidRPr="0082321B" w:rsidRDefault="0033457E" w:rsidP="00F21F23">
            <w:pPr>
              <w:spacing w:before="240"/>
              <w:rPr>
                <w:lang w:val="en"/>
              </w:rPr>
            </w:pPr>
            <w:r w:rsidRPr="0082321B">
              <w:rPr>
                <w:lang w:val="en"/>
              </w:rPr>
              <w:t>1.2 Under 75 mortality rate from cardiovascular disease</w:t>
            </w:r>
          </w:p>
          <w:p w14:paraId="6EE2F1EE" w14:textId="77777777" w:rsidR="0033457E" w:rsidRPr="0082321B" w:rsidRDefault="0033457E" w:rsidP="00F21F23">
            <w:pPr>
              <w:spacing w:before="240"/>
              <w:rPr>
                <w:u w:val="single"/>
                <w:lang w:val="en"/>
              </w:rPr>
            </w:pPr>
            <w:r w:rsidRPr="0082321B">
              <w:rPr>
                <w:u w:val="single"/>
                <w:lang w:val="en"/>
              </w:rPr>
              <w:t>Compendium of Population Health Indicators:</w:t>
            </w:r>
          </w:p>
          <w:p w14:paraId="1368333F" w14:textId="77777777" w:rsidR="0033457E" w:rsidRPr="0082321B" w:rsidRDefault="0033457E" w:rsidP="00F21F23">
            <w:pPr>
              <w:spacing w:before="240"/>
              <w:rPr>
                <w:lang w:val="en"/>
              </w:rPr>
            </w:pPr>
            <w:r w:rsidRPr="0082321B">
              <w:rPr>
                <w:lang w:val="en"/>
              </w:rPr>
              <w:t xml:space="preserve">Mortality from all circulatory diseases, directly age </w:t>
            </w:r>
            <w:proofErr w:type="spellStart"/>
            <w:r w:rsidRPr="0082321B">
              <w:rPr>
                <w:lang w:val="en"/>
              </w:rPr>
              <w:t>standardised</w:t>
            </w:r>
            <w:proofErr w:type="spellEnd"/>
            <w:r w:rsidRPr="0082321B">
              <w:rPr>
                <w:lang w:val="en"/>
              </w:rPr>
              <w:t xml:space="preserve"> rate by deprivation quintile, persons under 75 years (pooled 3 years)</w:t>
            </w:r>
          </w:p>
          <w:p w14:paraId="1F82AE10" w14:textId="77777777" w:rsidR="0033457E" w:rsidRPr="0082321B" w:rsidRDefault="0033457E" w:rsidP="00F21F23">
            <w:pPr>
              <w:spacing w:before="240"/>
            </w:pPr>
          </w:p>
        </w:tc>
      </w:tr>
    </w:tbl>
    <w:p w14:paraId="393AA5F5" w14:textId="77777777" w:rsidR="0033457E" w:rsidRDefault="0033457E" w:rsidP="0033457E"/>
    <w:p w14:paraId="19FD83CB" w14:textId="77777777" w:rsidR="0033457E" w:rsidRPr="004037AD" w:rsidRDefault="0033457E" w:rsidP="0033457E">
      <w:pPr>
        <w:rPr>
          <w:b/>
          <w:bCs/>
          <w:sz w:val="28"/>
          <w:szCs w:val="28"/>
        </w:rPr>
      </w:pPr>
      <w:r w:rsidRPr="004037AD">
        <w:rPr>
          <w:b/>
          <w:bCs/>
          <w:sz w:val="28"/>
          <w:szCs w:val="28"/>
        </w:rPr>
        <w:t>Risks (continued)</w:t>
      </w:r>
    </w:p>
    <w:p w14:paraId="2DB5C9C8" w14:textId="77777777" w:rsidR="0033457E" w:rsidRDefault="0033457E" w:rsidP="0033457E"/>
    <w:p w14:paraId="320AB8A0" w14:textId="77777777" w:rsidR="0033457E" w:rsidRDefault="0033457E" w:rsidP="0033457E">
      <w:r w:rsidRPr="0082321B">
        <w:rPr>
          <w:b/>
        </w:rPr>
        <w:t>Coherence and comparability</w:t>
      </w:r>
    </w:p>
    <w:p w14:paraId="6059AA17" w14:textId="77777777" w:rsidR="0033457E" w:rsidRPr="0082321B" w:rsidRDefault="0033457E" w:rsidP="0033457E">
      <w:pPr>
        <w:spacing w:before="240"/>
      </w:pPr>
      <w:r w:rsidRPr="0082321B">
        <w:t xml:space="preserve">The methodology of all four under 75 mortality indicators in the NHS Outcomes Framework is consistent and all indicators are calculated using the same source data. </w:t>
      </w:r>
    </w:p>
    <w:p w14:paraId="6ADF17A2" w14:textId="77777777" w:rsidR="0033457E" w:rsidRPr="0082321B" w:rsidRDefault="0033457E" w:rsidP="0033457E">
      <w:pPr>
        <w:spacing w:before="240"/>
      </w:pPr>
      <w:r w:rsidRPr="0082321B">
        <w:t>The difference between the NHS OF indicator 1.1 and the CCG OIS indicator 1.2 is the level of reporting as well as the difference in populations. The NHS OF indicator has geographic breakdowns for lower tier local authority, region, and national, whereas the CCG OIS indicator is only presented at CCG of responsibility level.</w:t>
      </w:r>
    </w:p>
    <w:p w14:paraId="0B9A958B" w14:textId="77777777" w:rsidR="0033457E" w:rsidRPr="0082321B" w:rsidRDefault="0033457E" w:rsidP="0033457E">
      <w:pPr>
        <w:spacing w:before="240"/>
      </w:pPr>
      <w:r w:rsidRPr="0082321B">
        <w:t xml:space="preserve">The NHS Outcomes Framework includes four under 75 mortality indicators for the four major causes of death. While 1.1 looks at the under 75 mortality from cardiovascular disease, 1.2 to 1.4 look at the under 75 mortality from respiratory disease, liver disease and cancer respectively. </w:t>
      </w:r>
    </w:p>
    <w:p w14:paraId="4467BA5B" w14:textId="77777777" w:rsidR="0033457E" w:rsidRPr="0082321B" w:rsidRDefault="0033457E" w:rsidP="0033457E">
      <w:pPr>
        <w:spacing w:before="240"/>
      </w:pPr>
      <w:r w:rsidRPr="0082321B">
        <w:t xml:space="preserve">Therefore, the only difference between these four indicators is the underlying cause of death. The methodology, denominator and population remain the same. </w:t>
      </w:r>
    </w:p>
    <w:p w14:paraId="5A650C20" w14:textId="77777777" w:rsidR="0033457E" w:rsidRPr="0082321B" w:rsidRDefault="0033457E" w:rsidP="0033457E">
      <w:pPr>
        <w:contextualSpacing/>
      </w:pPr>
      <w:r w:rsidRPr="0082321B">
        <w:t xml:space="preserve">PHOF indicator 4.4i shares the same methodology as NHS OF 1.1 with the exception that the rates are based on pooled data for </w:t>
      </w:r>
      <w:proofErr w:type="gramStart"/>
      <w:r w:rsidRPr="0082321B">
        <w:t>three year</w:t>
      </w:r>
      <w:proofErr w:type="gramEnd"/>
      <w:r w:rsidRPr="0082321B">
        <w:t xml:space="preserve"> periods as opposed to single years.  PHOF indicator 4.4ii is not comparable as the selection of ICD-10 codes set is different (preventable forms of cardiovascular disease only).</w:t>
      </w:r>
    </w:p>
    <w:p w14:paraId="718F0402" w14:textId="77777777" w:rsidR="0033457E" w:rsidRPr="0082321B" w:rsidRDefault="0033457E" w:rsidP="0033457E">
      <w:pPr>
        <w:contextualSpacing/>
      </w:pPr>
    </w:p>
    <w:p w14:paraId="1699BF82" w14:textId="77777777" w:rsidR="0033457E" w:rsidRPr="0082321B" w:rsidRDefault="0033457E" w:rsidP="0033457E">
      <w:pPr>
        <w:contextualSpacing/>
      </w:pPr>
      <w:r w:rsidRPr="0082321B">
        <w:t>The CCG OIS indicator 1.2 is the equivalent to NHS OF indicator 1.1. The only differences between these indicators are:</w:t>
      </w:r>
    </w:p>
    <w:p w14:paraId="23549E98" w14:textId="77777777" w:rsidR="0033457E" w:rsidRPr="0082321B" w:rsidRDefault="0033457E" w:rsidP="0033457E">
      <w:pPr>
        <w:pStyle w:val="ListParagraph"/>
        <w:numPr>
          <w:ilvl w:val="0"/>
          <w:numId w:val="32"/>
        </w:numPr>
        <w:spacing w:after="0" w:line="240" w:lineRule="auto"/>
        <w:rPr>
          <w:rFonts w:ascii="Arial" w:hAnsi="Arial" w:cs="Arial"/>
        </w:rPr>
      </w:pPr>
      <w:r w:rsidRPr="0082321B">
        <w:rPr>
          <w:rFonts w:ascii="Arial" w:hAnsi="Arial" w:cs="Arial"/>
        </w:rPr>
        <w:t>CCG OIS 1.2 is published at CCG level</w:t>
      </w:r>
    </w:p>
    <w:p w14:paraId="0054E1D3" w14:textId="77777777" w:rsidR="0033457E" w:rsidRPr="0082321B" w:rsidRDefault="0033457E" w:rsidP="0033457E">
      <w:pPr>
        <w:pStyle w:val="ListParagraph"/>
        <w:numPr>
          <w:ilvl w:val="0"/>
          <w:numId w:val="32"/>
        </w:numPr>
        <w:spacing w:after="0" w:line="240" w:lineRule="auto"/>
        <w:rPr>
          <w:rFonts w:ascii="Arial" w:hAnsi="Arial" w:cs="Arial"/>
        </w:rPr>
      </w:pPr>
      <w:r w:rsidRPr="0082321B">
        <w:rPr>
          <w:rFonts w:ascii="Arial" w:hAnsi="Arial" w:cs="Arial"/>
        </w:rPr>
        <w:t>CCG OIS 1.2 using registered list sizes and not resident populations</w:t>
      </w:r>
    </w:p>
    <w:p w14:paraId="5367FC65" w14:textId="77777777" w:rsidR="0033457E" w:rsidRPr="0082321B" w:rsidRDefault="0033457E" w:rsidP="0033457E">
      <w:pPr>
        <w:pStyle w:val="ListParagraph"/>
        <w:numPr>
          <w:ilvl w:val="0"/>
          <w:numId w:val="32"/>
        </w:numPr>
        <w:spacing w:after="0" w:line="240" w:lineRule="auto"/>
        <w:rPr>
          <w:rFonts w:ascii="Arial" w:hAnsi="Arial" w:cs="Arial"/>
        </w:rPr>
      </w:pPr>
      <w:r w:rsidRPr="0082321B">
        <w:rPr>
          <w:rFonts w:ascii="Arial" w:hAnsi="Arial" w:cs="Arial"/>
        </w:rPr>
        <w:t>CCG OIS 1.2 uses the England mid-year population estimates as the standard population whereas NOF 1.1 using the European Standard Population</w:t>
      </w:r>
    </w:p>
    <w:p w14:paraId="574A96FE" w14:textId="77777777" w:rsidR="0033457E" w:rsidRPr="0082321B" w:rsidRDefault="0033457E" w:rsidP="0033457E">
      <w:pPr>
        <w:contextualSpacing/>
      </w:pPr>
    </w:p>
    <w:p w14:paraId="638F7081" w14:textId="77777777" w:rsidR="0033457E" w:rsidRPr="0082321B" w:rsidRDefault="0033457E" w:rsidP="0033457E">
      <w:pPr>
        <w:spacing w:before="240"/>
      </w:pPr>
      <w:r w:rsidRPr="0082321B">
        <w:t xml:space="preserve">The Compendium </w:t>
      </w:r>
      <w:r w:rsidRPr="004037AD">
        <w:t>Indicator ‘</w:t>
      </w:r>
      <w:r>
        <w:rPr>
          <w:lang w:val="en"/>
        </w:rPr>
        <w:t xml:space="preserve">Mortality from </w:t>
      </w:r>
      <w:r w:rsidRPr="004037AD">
        <w:rPr>
          <w:lang w:val="en"/>
        </w:rPr>
        <w:t>all circulatory diseases’</w:t>
      </w:r>
      <w:r w:rsidRPr="0082321B">
        <w:rPr>
          <w:lang w:val="en"/>
        </w:rPr>
        <w:t xml:space="preserve"> </w:t>
      </w:r>
      <w:r w:rsidRPr="0082321B">
        <w:t>uses a different standardisation variable.</w:t>
      </w:r>
    </w:p>
    <w:p w14:paraId="10DBE3BA" w14:textId="77777777" w:rsidR="0033457E" w:rsidRPr="0082321B" w:rsidRDefault="0033457E" w:rsidP="0033457E">
      <w:r w:rsidRPr="0082321B">
        <w:t>Various Circulatory System Disease indicators exist within the Compendium:</w:t>
      </w:r>
    </w:p>
    <w:p w14:paraId="5EBC0865" w14:textId="77777777" w:rsidR="0033457E" w:rsidRDefault="0033457E" w:rsidP="0033457E"/>
    <w:tbl>
      <w:tblPr>
        <w:tblStyle w:val="TableGrid"/>
        <w:tblW w:w="12328" w:type="dxa"/>
        <w:tblLook w:val="04A0" w:firstRow="1" w:lastRow="0" w:firstColumn="1" w:lastColumn="0" w:noHBand="0" w:noVBand="1"/>
      </w:tblPr>
      <w:tblGrid>
        <w:gridCol w:w="12328"/>
      </w:tblGrid>
      <w:tr w:rsidR="0033457E" w:rsidRPr="0082321B" w14:paraId="4BCA32B3" w14:textId="77777777" w:rsidTr="00F21F23">
        <w:trPr>
          <w:trHeight w:val="510"/>
        </w:trPr>
        <w:tc>
          <w:tcPr>
            <w:tcW w:w="12328" w:type="dxa"/>
            <w:hideMark/>
          </w:tcPr>
          <w:p w14:paraId="6E9B02E0" w14:textId="77777777" w:rsidR="0033457E" w:rsidRPr="0082321B" w:rsidRDefault="0033457E" w:rsidP="00F21F23">
            <w:pPr>
              <w:rPr>
                <w:lang w:eastAsia="en-GB"/>
              </w:rPr>
            </w:pPr>
            <w:r w:rsidRPr="0082321B">
              <w:rPr>
                <w:lang w:eastAsia="en-GB"/>
              </w:rPr>
              <w:t>Mortality from coronary heart disease: crude death rate, by age group, 3-year average, MFP</w:t>
            </w:r>
          </w:p>
        </w:tc>
      </w:tr>
      <w:tr w:rsidR="0033457E" w:rsidRPr="0082321B" w14:paraId="7593B43F" w14:textId="77777777" w:rsidTr="00F21F23">
        <w:trPr>
          <w:trHeight w:val="510"/>
        </w:trPr>
        <w:tc>
          <w:tcPr>
            <w:tcW w:w="12328" w:type="dxa"/>
            <w:hideMark/>
          </w:tcPr>
          <w:p w14:paraId="2707E973" w14:textId="77777777" w:rsidR="0033457E" w:rsidRPr="0082321B" w:rsidRDefault="0033457E" w:rsidP="00F21F23">
            <w:pPr>
              <w:rPr>
                <w:lang w:eastAsia="en-GB"/>
              </w:rPr>
            </w:pPr>
            <w:r w:rsidRPr="0082321B">
              <w:rPr>
                <w:lang w:eastAsia="en-GB"/>
              </w:rPr>
              <w:lastRenderedPageBreak/>
              <w:t>Mortality from coronary heart disease: directly standardised rate, all ages, 3-year average, MFP</w:t>
            </w:r>
          </w:p>
        </w:tc>
      </w:tr>
      <w:tr w:rsidR="0033457E" w:rsidRPr="0082321B" w14:paraId="6C19904B" w14:textId="77777777" w:rsidTr="00F21F23">
        <w:trPr>
          <w:trHeight w:val="510"/>
        </w:trPr>
        <w:tc>
          <w:tcPr>
            <w:tcW w:w="12328" w:type="dxa"/>
            <w:hideMark/>
          </w:tcPr>
          <w:p w14:paraId="3E76BC10" w14:textId="77777777" w:rsidR="0033457E" w:rsidRPr="0082321B" w:rsidRDefault="0033457E" w:rsidP="00F21F23">
            <w:pPr>
              <w:rPr>
                <w:lang w:eastAsia="en-GB"/>
              </w:rPr>
            </w:pPr>
            <w:r w:rsidRPr="0082321B">
              <w:rPr>
                <w:lang w:eastAsia="en-GB"/>
              </w:rPr>
              <w:t>Mortality from coronary heart disease: directly standardised rate, &lt;65 years, 3-year average, MFP</w:t>
            </w:r>
          </w:p>
        </w:tc>
      </w:tr>
      <w:tr w:rsidR="0033457E" w:rsidRPr="0082321B" w14:paraId="3BA42337" w14:textId="77777777" w:rsidTr="00F21F23">
        <w:trPr>
          <w:trHeight w:val="510"/>
        </w:trPr>
        <w:tc>
          <w:tcPr>
            <w:tcW w:w="12328" w:type="dxa"/>
            <w:hideMark/>
          </w:tcPr>
          <w:p w14:paraId="2BC18F53" w14:textId="77777777" w:rsidR="0033457E" w:rsidRPr="0082321B" w:rsidRDefault="0033457E" w:rsidP="00F21F23">
            <w:pPr>
              <w:rPr>
                <w:lang w:eastAsia="en-GB"/>
              </w:rPr>
            </w:pPr>
            <w:r w:rsidRPr="0082321B">
              <w:rPr>
                <w:lang w:eastAsia="en-GB"/>
              </w:rPr>
              <w:t>Mortality from coronary heart disease: directly standardised rate, &lt;75 years, 3-year average, MFP</w:t>
            </w:r>
          </w:p>
        </w:tc>
      </w:tr>
      <w:tr w:rsidR="0033457E" w:rsidRPr="0082321B" w14:paraId="33B3ABEB" w14:textId="77777777" w:rsidTr="00F21F23">
        <w:trPr>
          <w:trHeight w:val="510"/>
        </w:trPr>
        <w:tc>
          <w:tcPr>
            <w:tcW w:w="12328" w:type="dxa"/>
            <w:hideMark/>
          </w:tcPr>
          <w:p w14:paraId="22E7DA6F" w14:textId="77777777" w:rsidR="0033457E" w:rsidRPr="0082321B" w:rsidRDefault="0033457E" w:rsidP="00F21F23">
            <w:pPr>
              <w:rPr>
                <w:lang w:eastAsia="en-GB"/>
              </w:rPr>
            </w:pPr>
            <w:r w:rsidRPr="0082321B">
              <w:rPr>
                <w:lang w:eastAsia="en-GB"/>
              </w:rPr>
              <w:t>Mortality from coronary heart disease: directly standardised rate, 65-74 years, 3-year average, MFP</w:t>
            </w:r>
          </w:p>
        </w:tc>
      </w:tr>
      <w:tr w:rsidR="0033457E" w:rsidRPr="0082321B" w14:paraId="6C92E521" w14:textId="77777777" w:rsidTr="00F21F23">
        <w:trPr>
          <w:trHeight w:val="510"/>
        </w:trPr>
        <w:tc>
          <w:tcPr>
            <w:tcW w:w="12328" w:type="dxa"/>
            <w:hideMark/>
          </w:tcPr>
          <w:p w14:paraId="0ED716D0" w14:textId="77777777" w:rsidR="0033457E" w:rsidRPr="0082321B" w:rsidRDefault="0033457E" w:rsidP="00F21F23">
            <w:pPr>
              <w:rPr>
                <w:lang w:eastAsia="en-GB"/>
              </w:rPr>
            </w:pPr>
            <w:r w:rsidRPr="0082321B">
              <w:rPr>
                <w:lang w:eastAsia="en-GB"/>
              </w:rPr>
              <w:t>Mortality from coronary heart disease: directly standardised rate, all ages, annual trend, MFP</w:t>
            </w:r>
          </w:p>
        </w:tc>
      </w:tr>
      <w:tr w:rsidR="0033457E" w:rsidRPr="0082321B" w14:paraId="247F2812" w14:textId="77777777" w:rsidTr="00F21F23">
        <w:trPr>
          <w:trHeight w:val="510"/>
        </w:trPr>
        <w:tc>
          <w:tcPr>
            <w:tcW w:w="12328" w:type="dxa"/>
            <w:hideMark/>
          </w:tcPr>
          <w:p w14:paraId="5A6D0C56" w14:textId="77777777" w:rsidR="0033457E" w:rsidRPr="0082321B" w:rsidRDefault="0033457E" w:rsidP="00F21F23">
            <w:pPr>
              <w:rPr>
                <w:lang w:eastAsia="en-GB"/>
              </w:rPr>
            </w:pPr>
            <w:r w:rsidRPr="0082321B">
              <w:rPr>
                <w:lang w:eastAsia="en-GB"/>
              </w:rPr>
              <w:t>Mortality from coronary heart disease: directly standardised rate, &lt;65 years, annual trend, MFP</w:t>
            </w:r>
          </w:p>
        </w:tc>
      </w:tr>
      <w:tr w:rsidR="0033457E" w:rsidRPr="0082321B" w14:paraId="19D1797F" w14:textId="77777777" w:rsidTr="00F21F23">
        <w:trPr>
          <w:trHeight w:val="510"/>
        </w:trPr>
        <w:tc>
          <w:tcPr>
            <w:tcW w:w="12328" w:type="dxa"/>
            <w:hideMark/>
          </w:tcPr>
          <w:p w14:paraId="3D30F270" w14:textId="77777777" w:rsidR="0033457E" w:rsidRPr="0082321B" w:rsidRDefault="0033457E" w:rsidP="00F21F23">
            <w:pPr>
              <w:rPr>
                <w:lang w:eastAsia="en-GB"/>
              </w:rPr>
            </w:pPr>
            <w:r w:rsidRPr="0082321B">
              <w:rPr>
                <w:lang w:eastAsia="en-GB"/>
              </w:rPr>
              <w:t>Mortality from coronary heart disease: directly standardised rate, &lt;75 years, annual trend, MFP</w:t>
            </w:r>
          </w:p>
        </w:tc>
      </w:tr>
      <w:tr w:rsidR="0033457E" w:rsidRPr="0082321B" w14:paraId="61F77DA4" w14:textId="77777777" w:rsidTr="00F21F23">
        <w:trPr>
          <w:trHeight w:val="510"/>
        </w:trPr>
        <w:tc>
          <w:tcPr>
            <w:tcW w:w="12328" w:type="dxa"/>
            <w:hideMark/>
          </w:tcPr>
          <w:p w14:paraId="142EC991" w14:textId="77777777" w:rsidR="0033457E" w:rsidRPr="0082321B" w:rsidRDefault="0033457E" w:rsidP="00F21F23">
            <w:pPr>
              <w:rPr>
                <w:lang w:eastAsia="en-GB"/>
              </w:rPr>
            </w:pPr>
            <w:r w:rsidRPr="0082321B">
              <w:rPr>
                <w:lang w:eastAsia="en-GB"/>
              </w:rPr>
              <w:t>Mortality from coronary heart disease: directly standardised rate, 65-74 years, annual trend, MFP</w:t>
            </w:r>
          </w:p>
        </w:tc>
      </w:tr>
      <w:tr w:rsidR="0033457E" w:rsidRPr="0082321B" w14:paraId="6CBCAA2F" w14:textId="77777777" w:rsidTr="00F21F23">
        <w:trPr>
          <w:trHeight w:val="510"/>
        </w:trPr>
        <w:tc>
          <w:tcPr>
            <w:tcW w:w="12328" w:type="dxa"/>
            <w:hideMark/>
          </w:tcPr>
          <w:p w14:paraId="6E9BDEBB" w14:textId="77777777" w:rsidR="0033457E" w:rsidRPr="0082321B" w:rsidRDefault="0033457E" w:rsidP="00F21F23">
            <w:pPr>
              <w:rPr>
                <w:lang w:eastAsia="en-GB"/>
              </w:rPr>
            </w:pPr>
            <w:r w:rsidRPr="0082321B">
              <w:rPr>
                <w:lang w:eastAsia="en-GB"/>
              </w:rPr>
              <w:t>Mortality from coronary heart disease: number, by age group, annual, MFP</w:t>
            </w:r>
          </w:p>
        </w:tc>
      </w:tr>
      <w:tr w:rsidR="0033457E" w:rsidRPr="0082321B" w14:paraId="6B06AA24" w14:textId="77777777" w:rsidTr="00F21F23">
        <w:trPr>
          <w:trHeight w:val="510"/>
        </w:trPr>
        <w:tc>
          <w:tcPr>
            <w:tcW w:w="12328" w:type="dxa"/>
            <w:hideMark/>
          </w:tcPr>
          <w:p w14:paraId="1CD9CFD4" w14:textId="77777777" w:rsidR="0033457E" w:rsidRPr="0082321B" w:rsidRDefault="0033457E" w:rsidP="00F21F23">
            <w:pPr>
              <w:rPr>
                <w:lang w:eastAsia="en-GB"/>
              </w:rPr>
            </w:pPr>
            <w:r w:rsidRPr="0082321B">
              <w:rPr>
                <w:lang w:eastAsia="en-GB"/>
              </w:rPr>
              <w:t>Mortality from coronary heart disease: indirectly standardised ratio (SMR), all ages, 3-year average, MFP</w:t>
            </w:r>
          </w:p>
        </w:tc>
      </w:tr>
      <w:tr w:rsidR="0033457E" w:rsidRPr="0082321B" w14:paraId="72BBC6C5" w14:textId="77777777" w:rsidTr="00F21F23">
        <w:trPr>
          <w:trHeight w:val="510"/>
        </w:trPr>
        <w:tc>
          <w:tcPr>
            <w:tcW w:w="12328" w:type="dxa"/>
            <w:hideMark/>
          </w:tcPr>
          <w:p w14:paraId="79BA14C5" w14:textId="77777777" w:rsidR="0033457E" w:rsidRPr="0082321B" w:rsidRDefault="0033457E" w:rsidP="00F21F23">
            <w:pPr>
              <w:rPr>
                <w:lang w:eastAsia="en-GB"/>
              </w:rPr>
            </w:pPr>
            <w:r w:rsidRPr="0082321B">
              <w:rPr>
                <w:lang w:eastAsia="en-GB"/>
              </w:rPr>
              <w:t>Mortality from coronary heart disease: indirectly standardised ratio (SMR), &lt;65 years, 3-year average, MFP</w:t>
            </w:r>
          </w:p>
        </w:tc>
      </w:tr>
      <w:tr w:rsidR="0033457E" w:rsidRPr="0082321B" w14:paraId="3739BDDF" w14:textId="77777777" w:rsidTr="00F21F23">
        <w:trPr>
          <w:trHeight w:val="510"/>
        </w:trPr>
        <w:tc>
          <w:tcPr>
            <w:tcW w:w="12328" w:type="dxa"/>
            <w:hideMark/>
          </w:tcPr>
          <w:p w14:paraId="28C5617D" w14:textId="77777777" w:rsidR="0033457E" w:rsidRPr="0082321B" w:rsidRDefault="0033457E" w:rsidP="00F21F23">
            <w:pPr>
              <w:rPr>
                <w:lang w:eastAsia="en-GB"/>
              </w:rPr>
            </w:pPr>
            <w:r w:rsidRPr="0082321B">
              <w:rPr>
                <w:lang w:eastAsia="en-GB"/>
              </w:rPr>
              <w:t>Mortality from coronary heart disease: indirectly standardised ratio (SMR), &lt;75 years, 3-year average, MFP</w:t>
            </w:r>
          </w:p>
        </w:tc>
      </w:tr>
      <w:tr w:rsidR="0033457E" w:rsidRPr="0082321B" w14:paraId="55635EDD" w14:textId="77777777" w:rsidTr="00F21F23">
        <w:trPr>
          <w:trHeight w:val="510"/>
        </w:trPr>
        <w:tc>
          <w:tcPr>
            <w:tcW w:w="12328" w:type="dxa"/>
            <w:hideMark/>
          </w:tcPr>
          <w:p w14:paraId="3D35D619" w14:textId="77777777" w:rsidR="0033457E" w:rsidRPr="0082321B" w:rsidRDefault="0033457E" w:rsidP="00F21F23">
            <w:pPr>
              <w:rPr>
                <w:lang w:eastAsia="en-GB"/>
              </w:rPr>
            </w:pPr>
            <w:r w:rsidRPr="0082321B">
              <w:rPr>
                <w:lang w:eastAsia="en-GB"/>
              </w:rPr>
              <w:t>Mortality from coronary heart disease: indirectly standardised ratio (SMR), 65-74 years, 3-year average, MFP</w:t>
            </w:r>
          </w:p>
        </w:tc>
      </w:tr>
      <w:tr w:rsidR="0033457E" w:rsidRPr="0082321B" w14:paraId="573BE094" w14:textId="77777777" w:rsidTr="00F21F23">
        <w:trPr>
          <w:trHeight w:val="510"/>
        </w:trPr>
        <w:tc>
          <w:tcPr>
            <w:tcW w:w="12328" w:type="dxa"/>
            <w:hideMark/>
          </w:tcPr>
          <w:p w14:paraId="603B1FB2" w14:textId="77777777" w:rsidR="0033457E" w:rsidRPr="0082321B" w:rsidRDefault="0033457E" w:rsidP="00F21F23">
            <w:pPr>
              <w:rPr>
                <w:lang w:eastAsia="en-GB"/>
              </w:rPr>
            </w:pPr>
            <w:r w:rsidRPr="0082321B">
              <w:rPr>
                <w:lang w:eastAsia="en-GB"/>
              </w:rPr>
              <w:t>Mortality from coronary heart disease: indirectly standardised ratio (SMR), all ages, annual trend, MFP</w:t>
            </w:r>
          </w:p>
        </w:tc>
      </w:tr>
      <w:tr w:rsidR="0033457E" w:rsidRPr="0082321B" w14:paraId="0080667D" w14:textId="77777777" w:rsidTr="00F21F23">
        <w:trPr>
          <w:trHeight w:val="510"/>
        </w:trPr>
        <w:tc>
          <w:tcPr>
            <w:tcW w:w="12328" w:type="dxa"/>
            <w:hideMark/>
          </w:tcPr>
          <w:p w14:paraId="2F2383B4" w14:textId="77777777" w:rsidR="0033457E" w:rsidRPr="0082321B" w:rsidRDefault="0033457E" w:rsidP="00F21F23">
            <w:pPr>
              <w:rPr>
                <w:lang w:eastAsia="en-GB"/>
              </w:rPr>
            </w:pPr>
            <w:r w:rsidRPr="0082321B">
              <w:rPr>
                <w:lang w:eastAsia="en-GB"/>
              </w:rPr>
              <w:t>Mortality from coronary heart disease: indirectly standardised ratio (SMR), &lt;65 years, annual trend, MFP</w:t>
            </w:r>
          </w:p>
        </w:tc>
      </w:tr>
      <w:tr w:rsidR="0033457E" w:rsidRPr="0082321B" w14:paraId="6859D5AA" w14:textId="77777777" w:rsidTr="00F21F23">
        <w:trPr>
          <w:trHeight w:val="510"/>
        </w:trPr>
        <w:tc>
          <w:tcPr>
            <w:tcW w:w="12328" w:type="dxa"/>
            <w:hideMark/>
          </w:tcPr>
          <w:p w14:paraId="58E87192" w14:textId="77777777" w:rsidR="0033457E" w:rsidRPr="0082321B" w:rsidRDefault="0033457E" w:rsidP="00F21F23">
            <w:pPr>
              <w:rPr>
                <w:lang w:eastAsia="en-GB"/>
              </w:rPr>
            </w:pPr>
            <w:r w:rsidRPr="0082321B">
              <w:rPr>
                <w:lang w:eastAsia="en-GB"/>
              </w:rPr>
              <w:t>Mortality from coronary heart disease: indirectly standardised ratio (SMR), &lt;75 years, annual trend, MFP</w:t>
            </w:r>
          </w:p>
        </w:tc>
      </w:tr>
      <w:tr w:rsidR="0033457E" w:rsidRPr="0082321B" w14:paraId="571681A1" w14:textId="77777777" w:rsidTr="00F21F23">
        <w:trPr>
          <w:trHeight w:val="510"/>
        </w:trPr>
        <w:tc>
          <w:tcPr>
            <w:tcW w:w="12328" w:type="dxa"/>
            <w:hideMark/>
          </w:tcPr>
          <w:p w14:paraId="5966C814" w14:textId="77777777" w:rsidR="0033457E" w:rsidRPr="0082321B" w:rsidRDefault="0033457E" w:rsidP="00F21F23">
            <w:pPr>
              <w:rPr>
                <w:lang w:eastAsia="en-GB"/>
              </w:rPr>
            </w:pPr>
            <w:r w:rsidRPr="0082321B">
              <w:rPr>
                <w:lang w:eastAsia="en-GB"/>
              </w:rPr>
              <w:t>Mortality from coronary heart disease: indirectly standardised ratio (SMR), 65-74 years, annual trend, MFP</w:t>
            </w:r>
          </w:p>
        </w:tc>
      </w:tr>
      <w:tr w:rsidR="0033457E" w:rsidRPr="0082321B" w14:paraId="31E2BF4F" w14:textId="77777777" w:rsidTr="00F21F23">
        <w:trPr>
          <w:trHeight w:val="510"/>
        </w:trPr>
        <w:tc>
          <w:tcPr>
            <w:tcW w:w="12328" w:type="dxa"/>
            <w:hideMark/>
          </w:tcPr>
          <w:p w14:paraId="1577D994" w14:textId="77777777" w:rsidR="0033457E" w:rsidRPr="0082321B" w:rsidRDefault="0033457E" w:rsidP="00F21F23">
            <w:pPr>
              <w:rPr>
                <w:lang w:eastAsia="en-GB"/>
              </w:rPr>
            </w:pPr>
            <w:r w:rsidRPr="0082321B">
              <w:rPr>
                <w:lang w:eastAsia="en-GB"/>
              </w:rPr>
              <w:lastRenderedPageBreak/>
              <w:t>Mortality from acute myocardial infarction: directly standardised rate, all ages, 3-year average, MFP</w:t>
            </w:r>
          </w:p>
        </w:tc>
      </w:tr>
      <w:tr w:rsidR="0033457E" w:rsidRPr="0082321B" w14:paraId="2EEB7653" w14:textId="77777777" w:rsidTr="00F21F23">
        <w:trPr>
          <w:trHeight w:val="510"/>
        </w:trPr>
        <w:tc>
          <w:tcPr>
            <w:tcW w:w="12328" w:type="dxa"/>
            <w:hideMark/>
          </w:tcPr>
          <w:p w14:paraId="62D20A8C" w14:textId="77777777" w:rsidR="0033457E" w:rsidRPr="0082321B" w:rsidRDefault="0033457E" w:rsidP="00F21F23">
            <w:pPr>
              <w:rPr>
                <w:lang w:eastAsia="en-GB"/>
              </w:rPr>
            </w:pPr>
            <w:r w:rsidRPr="0082321B">
              <w:rPr>
                <w:lang w:eastAsia="en-GB"/>
              </w:rPr>
              <w:t>Mortality from acute myocardial infarction: directly standardised rate, &lt;75 years, 3-year average, MFP</w:t>
            </w:r>
          </w:p>
        </w:tc>
      </w:tr>
      <w:tr w:rsidR="0033457E" w:rsidRPr="0082321B" w14:paraId="6A83D4F6" w14:textId="77777777" w:rsidTr="00F21F23">
        <w:trPr>
          <w:trHeight w:val="510"/>
        </w:trPr>
        <w:tc>
          <w:tcPr>
            <w:tcW w:w="12328" w:type="dxa"/>
            <w:hideMark/>
          </w:tcPr>
          <w:p w14:paraId="1A272359" w14:textId="77777777" w:rsidR="0033457E" w:rsidRPr="0082321B" w:rsidRDefault="0033457E" w:rsidP="00F21F23">
            <w:pPr>
              <w:rPr>
                <w:lang w:eastAsia="en-GB"/>
              </w:rPr>
            </w:pPr>
            <w:r w:rsidRPr="0082321B">
              <w:rPr>
                <w:lang w:eastAsia="en-GB"/>
              </w:rPr>
              <w:t>Mortality from acute myocardial infarction: directly standardised rate, 35-64 years, 3-year average, MFP</w:t>
            </w:r>
          </w:p>
        </w:tc>
      </w:tr>
      <w:tr w:rsidR="0033457E" w:rsidRPr="0082321B" w14:paraId="020E06FE" w14:textId="77777777" w:rsidTr="00F21F23">
        <w:trPr>
          <w:trHeight w:val="510"/>
        </w:trPr>
        <w:tc>
          <w:tcPr>
            <w:tcW w:w="12328" w:type="dxa"/>
            <w:hideMark/>
          </w:tcPr>
          <w:p w14:paraId="5E8DD415" w14:textId="77777777" w:rsidR="0033457E" w:rsidRPr="0082321B" w:rsidRDefault="0033457E" w:rsidP="00F21F23">
            <w:pPr>
              <w:rPr>
                <w:lang w:eastAsia="en-GB"/>
              </w:rPr>
            </w:pPr>
            <w:r w:rsidRPr="0082321B">
              <w:rPr>
                <w:lang w:eastAsia="en-GB"/>
              </w:rPr>
              <w:t>Mortality from acute myocardial infarction: directly standardised rate, all ages, annual trend, MFP</w:t>
            </w:r>
          </w:p>
        </w:tc>
      </w:tr>
      <w:tr w:rsidR="0033457E" w:rsidRPr="0082321B" w14:paraId="78DA4EF4" w14:textId="77777777" w:rsidTr="00F21F23">
        <w:trPr>
          <w:trHeight w:val="510"/>
        </w:trPr>
        <w:tc>
          <w:tcPr>
            <w:tcW w:w="12328" w:type="dxa"/>
            <w:hideMark/>
          </w:tcPr>
          <w:p w14:paraId="6F2EFE2F" w14:textId="77777777" w:rsidR="0033457E" w:rsidRPr="0082321B" w:rsidRDefault="0033457E" w:rsidP="00F21F23">
            <w:pPr>
              <w:rPr>
                <w:lang w:eastAsia="en-GB"/>
              </w:rPr>
            </w:pPr>
            <w:r w:rsidRPr="0082321B">
              <w:rPr>
                <w:lang w:eastAsia="en-GB"/>
              </w:rPr>
              <w:t>Mortality from acute myocardial infarction: indirectly standardised ratio (SMR), all ages, 3-year average, MFP</w:t>
            </w:r>
          </w:p>
        </w:tc>
      </w:tr>
      <w:tr w:rsidR="0033457E" w:rsidRPr="0082321B" w14:paraId="17274E41" w14:textId="77777777" w:rsidTr="00F21F23">
        <w:trPr>
          <w:trHeight w:val="510"/>
        </w:trPr>
        <w:tc>
          <w:tcPr>
            <w:tcW w:w="12328" w:type="dxa"/>
            <w:hideMark/>
          </w:tcPr>
          <w:p w14:paraId="6A13DD8D" w14:textId="77777777" w:rsidR="0033457E" w:rsidRPr="0082321B" w:rsidRDefault="0033457E" w:rsidP="00F21F23">
            <w:pPr>
              <w:rPr>
                <w:lang w:eastAsia="en-GB"/>
              </w:rPr>
            </w:pPr>
            <w:r w:rsidRPr="0082321B">
              <w:rPr>
                <w:lang w:eastAsia="en-GB"/>
              </w:rPr>
              <w:t>Mortality from acute myocardial infarction: indirectly standardised ratio (SMR), &lt;75 years, 3-year average, MFP</w:t>
            </w:r>
          </w:p>
        </w:tc>
      </w:tr>
      <w:tr w:rsidR="0033457E" w:rsidRPr="0082321B" w14:paraId="2E410E91" w14:textId="77777777" w:rsidTr="00F21F23">
        <w:trPr>
          <w:trHeight w:val="510"/>
        </w:trPr>
        <w:tc>
          <w:tcPr>
            <w:tcW w:w="12328" w:type="dxa"/>
            <w:hideMark/>
          </w:tcPr>
          <w:p w14:paraId="59F1D9E5" w14:textId="77777777" w:rsidR="0033457E" w:rsidRPr="0082321B" w:rsidRDefault="0033457E" w:rsidP="00F21F23">
            <w:pPr>
              <w:rPr>
                <w:lang w:eastAsia="en-GB"/>
              </w:rPr>
            </w:pPr>
            <w:r w:rsidRPr="0082321B">
              <w:rPr>
                <w:lang w:eastAsia="en-GB"/>
              </w:rPr>
              <w:t>Mortality from acute myocardial infarction: indirectly standardised ratio (SMR), 35-64 years, 3-year average, MFP</w:t>
            </w:r>
          </w:p>
        </w:tc>
      </w:tr>
      <w:tr w:rsidR="0033457E" w:rsidRPr="0082321B" w14:paraId="6337B9F1" w14:textId="77777777" w:rsidTr="00F21F23">
        <w:trPr>
          <w:trHeight w:val="510"/>
        </w:trPr>
        <w:tc>
          <w:tcPr>
            <w:tcW w:w="12328" w:type="dxa"/>
            <w:hideMark/>
          </w:tcPr>
          <w:p w14:paraId="10D8AB7E" w14:textId="77777777" w:rsidR="0033457E" w:rsidRPr="0082321B" w:rsidRDefault="0033457E" w:rsidP="00F21F23">
            <w:pPr>
              <w:rPr>
                <w:lang w:eastAsia="en-GB"/>
              </w:rPr>
            </w:pPr>
            <w:r w:rsidRPr="0082321B">
              <w:rPr>
                <w:lang w:eastAsia="en-GB"/>
              </w:rPr>
              <w:t>Mortality from acute myocardial infarction: indirectly standardised ratio (SMR), all ages, annual trend, MFP</w:t>
            </w:r>
          </w:p>
        </w:tc>
      </w:tr>
      <w:tr w:rsidR="0033457E" w:rsidRPr="0082321B" w14:paraId="554BC2D0" w14:textId="77777777" w:rsidTr="00F21F23">
        <w:trPr>
          <w:trHeight w:val="510"/>
        </w:trPr>
        <w:tc>
          <w:tcPr>
            <w:tcW w:w="12328" w:type="dxa"/>
            <w:hideMark/>
          </w:tcPr>
          <w:p w14:paraId="6BE54317" w14:textId="77777777" w:rsidR="0033457E" w:rsidRPr="0082321B" w:rsidRDefault="0033457E" w:rsidP="00F21F23">
            <w:pPr>
              <w:rPr>
                <w:lang w:eastAsia="en-GB"/>
              </w:rPr>
            </w:pPr>
            <w:r w:rsidRPr="0082321B">
              <w:rPr>
                <w:lang w:eastAsia="en-GB"/>
              </w:rPr>
              <w:t>Mortality from hypertensive disease: crude death rate, by age group, 3-year average, MFP</w:t>
            </w:r>
          </w:p>
        </w:tc>
      </w:tr>
      <w:tr w:rsidR="0033457E" w:rsidRPr="0082321B" w14:paraId="2A1706DD" w14:textId="77777777" w:rsidTr="00F21F23">
        <w:trPr>
          <w:trHeight w:val="510"/>
        </w:trPr>
        <w:tc>
          <w:tcPr>
            <w:tcW w:w="12328" w:type="dxa"/>
            <w:hideMark/>
          </w:tcPr>
          <w:p w14:paraId="567D9056" w14:textId="77777777" w:rsidR="0033457E" w:rsidRPr="0082321B" w:rsidRDefault="0033457E" w:rsidP="00F21F23">
            <w:pPr>
              <w:rPr>
                <w:lang w:eastAsia="en-GB"/>
              </w:rPr>
            </w:pPr>
            <w:r w:rsidRPr="0082321B">
              <w:rPr>
                <w:lang w:eastAsia="en-GB"/>
              </w:rPr>
              <w:t>Mortality from hypertensive disease: directly standardised rate, all ages, 3-year average, MFP</w:t>
            </w:r>
          </w:p>
        </w:tc>
      </w:tr>
      <w:tr w:rsidR="0033457E" w:rsidRPr="0082321B" w14:paraId="516CFE70" w14:textId="77777777" w:rsidTr="00F21F23">
        <w:trPr>
          <w:trHeight w:val="510"/>
        </w:trPr>
        <w:tc>
          <w:tcPr>
            <w:tcW w:w="12328" w:type="dxa"/>
            <w:hideMark/>
          </w:tcPr>
          <w:p w14:paraId="506F1B09" w14:textId="77777777" w:rsidR="0033457E" w:rsidRPr="0082321B" w:rsidRDefault="0033457E" w:rsidP="00F21F23">
            <w:pPr>
              <w:rPr>
                <w:lang w:eastAsia="en-GB"/>
              </w:rPr>
            </w:pPr>
            <w:r w:rsidRPr="0082321B">
              <w:rPr>
                <w:lang w:eastAsia="en-GB"/>
              </w:rPr>
              <w:t>Mortality from hypertensive disease: directly standardised rate, &lt;75 years, 3-year average, MFP</w:t>
            </w:r>
          </w:p>
        </w:tc>
      </w:tr>
      <w:tr w:rsidR="0033457E" w:rsidRPr="0082321B" w14:paraId="42639C37" w14:textId="77777777" w:rsidTr="00F21F23">
        <w:trPr>
          <w:trHeight w:val="510"/>
        </w:trPr>
        <w:tc>
          <w:tcPr>
            <w:tcW w:w="12328" w:type="dxa"/>
            <w:hideMark/>
          </w:tcPr>
          <w:p w14:paraId="5D69E42E" w14:textId="77777777" w:rsidR="0033457E" w:rsidRPr="0082321B" w:rsidRDefault="0033457E" w:rsidP="00F21F23">
            <w:pPr>
              <w:rPr>
                <w:lang w:eastAsia="en-GB"/>
              </w:rPr>
            </w:pPr>
            <w:r w:rsidRPr="0082321B">
              <w:rPr>
                <w:lang w:eastAsia="en-GB"/>
              </w:rPr>
              <w:t>Mortality from hypertensive disease: directly standardised rate, all ages, annual trend, MFP</w:t>
            </w:r>
          </w:p>
        </w:tc>
      </w:tr>
      <w:tr w:rsidR="0033457E" w:rsidRPr="0082321B" w14:paraId="22E3127A" w14:textId="77777777" w:rsidTr="00F21F23">
        <w:trPr>
          <w:trHeight w:val="510"/>
        </w:trPr>
        <w:tc>
          <w:tcPr>
            <w:tcW w:w="12328" w:type="dxa"/>
            <w:hideMark/>
          </w:tcPr>
          <w:p w14:paraId="026CCC37" w14:textId="77777777" w:rsidR="0033457E" w:rsidRPr="0082321B" w:rsidRDefault="0033457E" w:rsidP="00F21F23">
            <w:pPr>
              <w:rPr>
                <w:lang w:eastAsia="en-GB"/>
              </w:rPr>
            </w:pPr>
            <w:r w:rsidRPr="0082321B">
              <w:rPr>
                <w:lang w:eastAsia="en-GB"/>
              </w:rPr>
              <w:t>Mortality from hypertensive disease: directly standardised rate, &lt;75 years, annual trend, MFP</w:t>
            </w:r>
          </w:p>
        </w:tc>
      </w:tr>
      <w:tr w:rsidR="0033457E" w:rsidRPr="0082321B" w14:paraId="0AC24C6B" w14:textId="77777777" w:rsidTr="00F21F23">
        <w:trPr>
          <w:trHeight w:val="510"/>
        </w:trPr>
        <w:tc>
          <w:tcPr>
            <w:tcW w:w="12328" w:type="dxa"/>
            <w:hideMark/>
          </w:tcPr>
          <w:p w14:paraId="7C48AA83" w14:textId="77777777" w:rsidR="0033457E" w:rsidRPr="0082321B" w:rsidRDefault="0033457E" w:rsidP="00F21F23">
            <w:pPr>
              <w:rPr>
                <w:lang w:eastAsia="en-GB"/>
              </w:rPr>
            </w:pPr>
            <w:r w:rsidRPr="0082321B">
              <w:rPr>
                <w:lang w:eastAsia="en-GB"/>
              </w:rPr>
              <w:t>Mortality from hypertensive disease: number, by age group, annual, MFP</w:t>
            </w:r>
          </w:p>
        </w:tc>
      </w:tr>
      <w:tr w:rsidR="0033457E" w:rsidRPr="0082321B" w14:paraId="51C8983E" w14:textId="77777777" w:rsidTr="00F21F23">
        <w:trPr>
          <w:trHeight w:val="510"/>
        </w:trPr>
        <w:tc>
          <w:tcPr>
            <w:tcW w:w="12328" w:type="dxa"/>
            <w:hideMark/>
          </w:tcPr>
          <w:p w14:paraId="5AFA5CD7" w14:textId="77777777" w:rsidR="0033457E" w:rsidRPr="0082321B" w:rsidRDefault="0033457E" w:rsidP="00F21F23">
            <w:pPr>
              <w:rPr>
                <w:lang w:eastAsia="en-GB"/>
              </w:rPr>
            </w:pPr>
            <w:r w:rsidRPr="0082321B">
              <w:rPr>
                <w:lang w:eastAsia="en-GB"/>
              </w:rPr>
              <w:t>Mortality from hypertensive disease: indirectly standardised ratio (SMR), all ages, 3-year average, MFP</w:t>
            </w:r>
          </w:p>
        </w:tc>
      </w:tr>
      <w:tr w:rsidR="0033457E" w:rsidRPr="0082321B" w14:paraId="75544980" w14:textId="77777777" w:rsidTr="00F21F23">
        <w:trPr>
          <w:trHeight w:val="510"/>
        </w:trPr>
        <w:tc>
          <w:tcPr>
            <w:tcW w:w="12328" w:type="dxa"/>
            <w:hideMark/>
          </w:tcPr>
          <w:p w14:paraId="17857132" w14:textId="77777777" w:rsidR="0033457E" w:rsidRPr="0082321B" w:rsidRDefault="0033457E" w:rsidP="00F21F23">
            <w:pPr>
              <w:rPr>
                <w:lang w:eastAsia="en-GB"/>
              </w:rPr>
            </w:pPr>
            <w:r w:rsidRPr="0082321B">
              <w:rPr>
                <w:lang w:eastAsia="en-GB"/>
              </w:rPr>
              <w:t>Mortality from hypertensive disease: indirectly standardised ratio (SMR), &lt;75 years, 3-year average, MFP</w:t>
            </w:r>
          </w:p>
        </w:tc>
      </w:tr>
      <w:tr w:rsidR="0033457E" w:rsidRPr="0082321B" w14:paraId="0D76C9DD" w14:textId="77777777" w:rsidTr="00F21F23">
        <w:trPr>
          <w:trHeight w:val="510"/>
        </w:trPr>
        <w:tc>
          <w:tcPr>
            <w:tcW w:w="12328" w:type="dxa"/>
            <w:hideMark/>
          </w:tcPr>
          <w:p w14:paraId="3D94B880" w14:textId="77777777" w:rsidR="0033457E" w:rsidRPr="0082321B" w:rsidRDefault="0033457E" w:rsidP="00F21F23">
            <w:pPr>
              <w:rPr>
                <w:lang w:eastAsia="en-GB"/>
              </w:rPr>
            </w:pPr>
            <w:r w:rsidRPr="0082321B">
              <w:rPr>
                <w:lang w:eastAsia="en-GB"/>
              </w:rPr>
              <w:t>Mortality from hypertensive disease: indirectly standardised ratio (SMR), all ages, annual trend, MFP</w:t>
            </w:r>
          </w:p>
        </w:tc>
      </w:tr>
      <w:tr w:rsidR="0033457E" w:rsidRPr="0082321B" w14:paraId="052FD4FD" w14:textId="77777777" w:rsidTr="00F21F23">
        <w:trPr>
          <w:trHeight w:val="510"/>
        </w:trPr>
        <w:tc>
          <w:tcPr>
            <w:tcW w:w="12328" w:type="dxa"/>
            <w:hideMark/>
          </w:tcPr>
          <w:p w14:paraId="212AE214" w14:textId="77777777" w:rsidR="0033457E" w:rsidRPr="0082321B" w:rsidRDefault="0033457E" w:rsidP="00F21F23">
            <w:pPr>
              <w:rPr>
                <w:lang w:eastAsia="en-GB"/>
              </w:rPr>
            </w:pPr>
            <w:r w:rsidRPr="0082321B">
              <w:rPr>
                <w:lang w:eastAsia="en-GB"/>
              </w:rPr>
              <w:lastRenderedPageBreak/>
              <w:t>Mortality from hypertensive disease: indirectly standardised ratio (SMR), &lt;75 years, annual trend, MFP</w:t>
            </w:r>
          </w:p>
        </w:tc>
      </w:tr>
      <w:tr w:rsidR="0033457E" w:rsidRPr="0082321B" w14:paraId="0C881408" w14:textId="77777777" w:rsidTr="00F21F23">
        <w:trPr>
          <w:trHeight w:val="510"/>
        </w:trPr>
        <w:tc>
          <w:tcPr>
            <w:tcW w:w="12328" w:type="dxa"/>
            <w:hideMark/>
          </w:tcPr>
          <w:p w14:paraId="170A9879" w14:textId="77777777" w:rsidR="0033457E" w:rsidRPr="0082321B" w:rsidRDefault="0033457E" w:rsidP="00F21F23">
            <w:pPr>
              <w:rPr>
                <w:lang w:eastAsia="en-GB"/>
              </w:rPr>
            </w:pPr>
            <w:r w:rsidRPr="0082321B">
              <w:rPr>
                <w:lang w:eastAsia="en-GB"/>
              </w:rPr>
              <w:t>Years of life lost due to mortality from coronary heart disease: crude rate, &lt;75 years, 3-year average, MFP</w:t>
            </w:r>
          </w:p>
        </w:tc>
      </w:tr>
      <w:tr w:rsidR="0033457E" w:rsidRPr="0082321B" w14:paraId="37977268" w14:textId="77777777" w:rsidTr="00F21F23">
        <w:trPr>
          <w:trHeight w:val="510"/>
        </w:trPr>
        <w:tc>
          <w:tcPr>
            <w:tcW w:w="12328" w:type="dxa"/>
            <w:hideMark/>
          </w:tcPr>
          <w:p w14:paraId="5B75219D" w14:textId="77777777" w:rsidR="0033457E" w:rsidRPr="0082321B" w:rsidRDefault="0033457E" w:rsidP="00F21F23">
            <w:pPr>
              <w:rPr>
                <w:lang w:eastAsia="en-GB"/>
              </w:rPr>
            </w:pPr>
            <w:r w:rsidRPr="0082321B">
              <w:rPr>
                <w:lang w:eastAsia="en-GB"/>
              </w:rPr>
              <w:t>Years of life lost due to mortality from coronary heart disease: directly standardised rate, &lt;75 years, 3-year average, MFP</w:t>
            </w:r>
          </w:p>
        </w:tc>
      </w:tr>
      <w:tr w:rsidR="0033457E" w:rsidRPr="0082321B" w14:paraId="2D78F7CB" w14:textId="77777777" w:rsidTr="00F21F23">
        <w:trPr>
          <w:trHeight w:val="510"/>
        </w:trPr>
        <w:tc>
          <w:tcPr>
            <w:tcW w:w="12328" w:type="dxa"/>
            <w:hideMark/>
          </w:tcPr>
          <w:p w14:paraId="480CC89D" w14:textId="77777777" w:rsidR="0033457E" w:rsidRPr="0082321B" w:rsidRDefault="0033457E" w:rsidP="00F21F23">
            <w:pPr>
              <w:rPr>
                <w:lang w:eastAsia="en-GB"/>
              </w:rPr>
            </w:pPr>
            <w:r w:rsidRPr="0082321B">
              <w:rPr>
                <w:lang w:eastAsia="en-GB"/>
              </w:rPr>
              <w:t>Years of life lost due to mortality from hypertensive disease: crude rate, &lt;75 years, 3-year average, MFP</w:t>
            </w:r>
          </w:p>
        </w:tc>
      </w:tr>
      <w:tr w:rsidR="0033457E" w:rsidRPr="0082321B" w14:paraId="2DD395AE" w14:textId="77777777" w:rsidTr="00F21F23">
        <w:trPr>
          <w:trHeight w:val="510"/>
        </w:trPr>
        <w:tc>
          <w:tcPr>
            <w:tcW w:w="12328" w:type="dxa"/>
            <w:hideMark/>
          </w:tcPr>
          <w:p w14:paraId="14C6E889" w14:textId="77777777" w:rsidR="0033457E" w:rsidRPr="0082321B" w:rsidRDefault="0033457E" w:rsidP="00F21F23">
            <w:pPr>
              <w:rPr>
                <w:lang w:eastAsia="en-GB"/>
              </w:rPr>
            </w:pPr>
            <w:r w:rsidRPr="0082321B">
              <w:rPr>
                <w:lang w:eastAsia="en-GB"/>
              </w:rPr>
              <w:t>Years of life lost due to mortality from hypertensive disease: directly standardised rate, &lt;75 years, 3-year average, MFP</w:t>
            </w:r>
          </w:p>
        </w:tc>
      </w:tr>
      <w:tr w:rsidR="0033457E" w:rsidRPr="0082321B" w14:paraId="1776DD72" w14:textId="77777777" w:rsidTr="00F21F23">
        <w:trPr>
          <w:trHeight w:val="510"/>
        </w:trPr>
        <w:tc>
          <w:tcPr>
            <w:tcW w:w="12328" w:type="dxa"/>
            <w:hideMark/>
          </w:tcPr>
          <w:p w14:paraId="2921F9BF" w14:textId="77777777" w:rsidR="0033457E" w:rsidRPr="0082321B" w:rsidRDefault="0033457E" w:rsidP="00F21F23">
            <w:pPr>
              <w:rPr>
                <w:lang w:eastAsia="en-GB"/>
              </w:rPr>
            </w:pPr>
            <w:r w:rsidRPr="0082321B">
              <w:rPr>
                <w:lang w:eastAsia="en-GB"/>
              </w:rPr>
              <w:t>Years of life lost due to mortality from stroke: crude rate, &lt;75 years, 3-year average, MFP</w:t>
            </w:r>
          </w:p>
        </w:tc>
      </w:tr>
      <w:tr w:rsidR="0033457E" w:rsidRPr="0082321B" w14:paraId="71BFC2E7" w14:textId="77777777" w:rsidTr="00F21F23">
        <w:trPr>
          <w:trHeight w:val="510"/>
        </w:trPr>
        <w:tc>
          <w:tcPr>
            <w:tcW w:w="12328" w:type="dxa"/>
            <w:hideMark/>
          </w:tcPr>
          <w:p w14:paraId="461A15B6" w14:textId="77777777" w:rsidR="0033457E" w:rsidRPr="0082321B" w:rsidRDefault="0033457E" w:rsidP="00F21F23">
            <w:pPr>
              <w:rPr>
                <w:lang w:eastAsia="en-GB"/>
              </w:rPr>
            </w:pPr>
            <w:r w:rsidRPr="0082321B">
              <w:rPr>
                <w:lang w:eastAsia="en-GB"/>
              </w:rPr>
              <w:t>Years of life lost due to mortality from stroke: directly standardised rate, &lt;75 years, 3-year average, MFP</w:t>
            </w:r>
          </w:p>
        </w:tc>
      </w:tr>
      <w:tr w:rsidR="0033457E" w:rsidRPr="0082321B" w14:paraId="29C9AF65" w14:textId="77777777" w:rsidTr="00F21F23">
        <w:trPr>
          <w:trHeight w:val="510"/>
        </w:trPr>
        <w:tc>
          <w:tcPr>
            <w:tcW w:w="12328" w:type="dxa"/>
            <w:hideMark/>
          </w:tcPr>
          <w:p w14:paraId="64A50550" w14:textId="77777777" w:rsidR="0033457E" w:rsidRPr="0082321B" w:rsidRDefault="0033457E" w:rsidP="00F21F23">
            <w:pPr>
              <w:rPr>
                <w:lang w:eastAsia="en-GB"/>
              </w:rPr>
            </w:pPr>
            <w:r w:rsidRPr="0082321B">
              <w:rPr>
                <w:lang w:eastAsia="en-GB"/>
              </w:rPr>
              <w:t>Mortality from all circulatory diseases: crude death rate, by age group, 3-year average, MFP</w:t>
            </w:r>
          </w:p>
        </w:tc>
      </w:tr>
      <w:tr w:rsidR="0033457E" w:rsidRPr="0082321B" w14:paraId="61F9494F" w14:textId="77777777" w:rsidTr="00F21F23">
        <w:trPr>
          <w:trHeight w:val="510"/>
        </w:trPr>
        <w:tc>
          <w:tcPr>
            <w:tcW w:w="12328" w:type="dxa"/>
            <w:hideMark/>
          </w:tcPr>
          <w:p w14:paraId="395A8DA8" w14:textId="77777777" w:rsidR="0033457E" w:rsidRPr="0082321B" w:rsidRDefault="0033457E" w:rsidP="00F21F23">
            <w:pPr>
              <w:rPr>
                <w:lang w:eastAsia="en-GB"/>
              </w:rPr>
            </w:pPr>
            <w:r w:rsidRPr="0082321B">
              <w:rPr>
                <w:lang w:eastAsia="en-GB"/>
              </w:rPr>
              <w:t>Mortality from all circulatory diseases: directly standardised rate, all ages, 3-year average, MFP</w:t>
            </w:r>
          </w:p>
        </w:tc>
      </w:tr>
      <w:tr w:rsidR="0033457E" w:rsidRPr="0082321B" w14:paraId="0FB87431" w14:textId="77777777" w:rsidTr="00F21F23">
        <w:trPr>
          <w:trHeight w:val="510"/>
        </w:trPr>
        <w:tc>
          <w:tcPr>
            <w:tcW w:w="12328" w:type="dxa"/>
            <w:hideMark/>
          </w:tcPr>
          <w:p w14:paraId="337E4F64" w14:textId="77777777" w:rsidR="0033457E" w:rsidRPr="0082321B" w:rsidRDefault="0033457E" w:rsidP="00F21F23">
            <w:pPr>
              <w:rPr>
                <w:lang w:eastAsia="en-GB"/>
              </w:rPr>
            </w:pPr>
            <w:r w:rsidRPr="0082321B">
              <w:rPr>
                <w:lang w:eastAsia="en-GB"/>
              </w:rPr>
              <w:t>Mortality from all circulatory diseases: directly standardised rate, &lt;65 years, 3-year average, MFP</w:t>
            </w:r>
          </w:p>
        </w:tc>
      </w:tr>
      <w:tr w:rsidR="0033457E" w:rsidRPr="0082321B" w14:paraId="7C0E2D3F" w14:textId="77777777" w:rsidTr="00F21F23">
        <w:trPr>
          <w:trHeight w:val="510"/>
        </w:trPr>
        <w:tc>
          <w:tcPr>
            <w:tcW w:w="12328" w:type="dxa"/>
            <w:hideMark/>
          </w:tcPr>
          <w:p w14:paraId="324E2C81" w14:textId="77777777" w:rsidR="0033457E" w:rsidRPr="0082321B" w:rsidRDefault="0033457E" w:rsidP="00F21F23">
            <w:pPr>
              <w:rPr>
                <w:lang w:eastAsia="en-GB"/>
              </w:rPr>
            </w:pPr>
            <w:r w:rsidRPr="0082321B">
              <w:rPr>
                <w:lang w:eastAsia="en-GB"/>
              </w:rPr>
              <w:t>Mortality from all circulatory diseases: directly standardised rate, &lt;75 years, 3-year average, MFP</w:t>
            </w:r>
          </w:p>
        </w:tc>
      </w:tr>
      <w:tr w:rsidR="0033457E" w:rsidRPr="0082321B" w14:paraId="3821087C" w14:textId="77777777" w:rsidTr="00F21F23">
        <w:trPr>
          <w:trHeight w:val="510"/>
        </w:trPr>
        <w:tc>
          <w:tcPr>
            <w:tcW w:w="12328" w:type="dxa"/>
            <w:hideMark/>
          </w:tcPr>
          <w:p w14:paraId="46EAC8AA" w14:textId="77777777" w:rsidR="0033457E" w:rsidRPr="0082321B" w:rsidRDefault="0033457E" w:rsidP="00F21F23">
            <w:pPr>
              <w:rPr>
                <w:lang w:eastAsia="en-GB"/>
              </w:rPr>
            </w:pPr>
            <w:r w:rsidRPr="0082321B">
              <w:rPr>
                <w:lang w:eastAsia="en-GB"/>
              </w:rPr>
              <w:t>Mortality from all circulatory diseases: directly standardised rate, 65-74 years, 3-year average, MFP</w:t>
            </w:r>
          </w:p>
        </w:tc>
      </w:tr>
      <w:tr w:rsidR="0033457E" w:rsidRPr="0082321B" w14:paraId="0CF03233" w14:textId="77777777" w:rsidTr="00F21F23">
        <w:trPr>
          <w:trHeight w:val="510"/>
        </w:trPr>
        <w:tc>
          <w:tcPr>
            <w:tcW w:w="12328" w:type="dxa"/>
            <w:hideMark/>
          </w:tcPr>
          <w:p w14:paraId="664F5802" w14:textId="77777777" w:rsidR="0033457E" w:rsidRPr="0082321B" w:rsidRDefault="0033457E" w:rsidP="00F21F23">
            <w:pPr>
              <w:rPr>
                <w:lang w:eastAsia="en-GB"/>
              </w:rPr>
            </w:pPr>
            <w:r w:rsidRPr="0082321B">
              <w:rPr>
                <w:lang w:eastAsia="en-GB"/>
              </w:rPr>
              <w:t>Mortality from all circulatory diseases: directly standardised rate, all ages, annual trend, MFP</w:t>
            </w:r>
          </w:p>
        </w:tc>
      </w:tr>
      <w:tr w:rsidR="0033457E" w:rsidRPr="0082321B" w14:paraId="442CF913" w14:textId="77777777" w:rsidTr="00F21F23">
        <w:trPr>
          <w:trHeight w:val="510"/>
        </w:trPr>
        <w:tc>
          <w:tcPr>
            <w:tcW w:w="12328" w:type="dxa"/>
            <w:hideMark/>
          </w:tcPr>
          <w:p w14:paraId="75C29076" w14:textId="77777777" w:rsidR="0033457E" w:rsidRPr="0082321B" w:rsidRDefault="0033457E" w:rsidP="00F21F23">
            <w:pPr>
              <w:rPr>
                <w:lang w:eastAsia="en-GB"/>
              </w:rPr>
            </w:pPr>
            <w:r w:rsidRPr="0082321B">
              <w:rPr>
                <w:lang w:eastAsia="en-GB"/>
              </w:rPr>
              <w:t>Mortality from all circulatory diseases: directly standardised rate, &lt;65 years, annual trend, MFP</w:t>
            </w:r>
          </w:p>
        </w:tc>
      </w:tr>
      <w:tr w:rsidR="0033457E" w:rsidRPr="0082321B" w14:paraId="47E8E4A0" w14:textId="77777777" w:rsidTr="00F21F23">
        <w:trPr>
          <w:trHeight w:val="510"/>
        </w:trPr>
        <w:tc>
          <w:tcPr>
            <w:tcW w:w="12328" w:type="dxa"/>
            <w:hideMark/>
          </w:tcPr>
          <w:p w14:paraId="0C5C31A3" w14:textId="77777777" w:rsidR="0033457E" w:rsidRPr="0082321B" w:rsidRDefault="0033457E" w:rsidP="00F21F23">
            <w:pPr>
              <w:rPr>
                <w:lang w:eastAsia="en-GB"/>
              </w:rPr>
            </w:pPr>
            <w:r w:rsidRPr="0082321B">
              <w:rPr>
                <w:lang w:eastAsia="en-GB"/>
              </w:rPr>
              <w:t>Mortality from all circulatory diseases: directly standardised rate, &lt;75 years, annual trend, MFP</w:t>
            </w:r>
          </w:p>
        </w:tc>
      </w:tr>
      <w:tr w:rsidR="0033457E" w:rsidRPr="0082321B" w14:paraId="6FF9CD13" w14:textId="77777777" w:rsidTr="00F21F23">
        <w:trPr>
          <w:trHeight w:val="510"/>
        </w:trPr>
        <w:tc>
          <w:tcPr>
            <w:tcW w:w="12328" w:type="dxa"/>
            <w:hideMark/>
          </w:tcPr>
          <w:p w14:paraId="4C97A09F" w14:textId="77777777" w:rsidR="0033457E" w:rsidRPr="0082321B" w:rsidRDefault="0033457E" w:rsidP="00F21F23">
            <w:pPr>
              <w:rPr>
                <w:lang w:eastAsia="en-GB"/>
              </w:rPr>
            </w:pPr>
            <w:r w:rsidRPr="0082321B">
              <w:rPr>
                <w:lang w:eastAsia="en-GB"/>
              </w:rPr>
              <w:t>Mortality from all circulatory diseases: directly standardised rate, 65-74 years, annual trend, MFP</w:t>
            </w:r>
          </w:p>
        </w:tc>
      </w:tr>
      <w:tr w:rsidR="0033457E" w:rsidRPr="0082321B" w14:paraId="11BAC7A2" w14:textId="77777777" w:rsidTr="00F21F23">
        <w:trPr>
          <w:trHeight w:val="510"/>
        </w:trPr>
        <w:tc>
          <w:tcPr>
            <w:tcW w:w="12328" w:type="dxa"/>
            <w:hideMark/>
          </w:tcPr>
          <w:p w14:paraId="5D3D3F85" w14:textId="77777777" w:rsidR="0033457E" w:rsidRPr="0082321B" w:rsidRDefault="0033457E" w:rsidP="00F21F23">
            <w:pPr>
              <w:rPr>
                <w:lang w:eastAsia="en-GB"/>
              </w:rPr>
            </w:pPr>
            <w:r w:rsidRPr="0082321B">
              <w:rPr>
                <w:lang w:eastAsia="en-GB"/>
              </w:rPr>
              <w:t>Mortality from all circulatory diseases: number, by age group, annual, MFP</w:t>
            </w:r>
          </w:p>
        </w:tc>
      </w:tr>
      <w:tr w:rsidR="0033457E" w:rsidRPr="0082321B" w14:paraId="3D1EA5BC" w14:textId="77777777" w:rsidTr="00F21F23">
        <w:trPr>
          <w:trHeight w:val="510"/>
        </w:trPr>
        <w:tc>
          <w:tcPr>
            <w:tcW w:w="12328" w:type="dxa"/>
            <w:hideMark/>
          </w:tcPr>
          <w:p w14:paraId="45893E0F" w14:textId="77777777" w:rsidR="0033457E" w:rsidRPr="0082321B" w:rsidRDefault="0033457E" w:rsidP="00F21F23">
            <w:pPr>
              <w:rPr>
                <w:lang w:eastAsia="en-GB"/>
              </w:rPr>
            </w:pPr>
            <w:r w:rsidRPr="0082321B">
              <w:rPr>
                <w:lang w:eastAsia="en-GB"/>
              </w:rPr>
              <w:lastRenderedPageBreak/>
              <w:t>Mortality from all circulatory diseases: indirectly standardised ratio (SMR), all ages, 3-year average, MFP</w:t>
            </w:r>
          </w:p>
        </w:tc>
      </w:tr>
      <w:tr w:rsidR="0033457E" w:rsidRPr="0082321B" w14:paraId="4456D293" w14:textId="77777777" w:rsidTr="00F21F23">
        <w:trPr>
          <w:trHeight w:val="510"/>
        </w:trPr>
        <w:tc>
          <w:tcPr>
            <w:tcW w:w="12328" w:type="dxa"/>
            <w:hideMark/>
          </w:tcPr>
          <w:p w14:paraId="5BC8E06E" w14:textId="77777777" w:rsidR="0033457E" w:rsidRPr="0082321B" w:rsidRDefault="0033457E" w:rsidP="00F21F23">
            <w:pPr>
              <w:rPr>
                <w:lang w:eastAsia="en-GB"/>
              </w:rPr>
            </w:pPr>
            <w:r w:rsidRPr="0082321B">
              <w:rPr>
                <w:lang w:eastAsia="en-GB"/>
              </w:rPr>
              <w:t>Mortality from all circulatory diseases: indirectly standardised ratio (SMR), &lt;65 years, 3-year average, MFP</w:t>
            </w:r>
          </w:p>
        </w:tc>
      </w:tr>
      <w:tr w:rsidR="0033457E" w:rsidRPr="0082321B" w14:paraId="10B379D9" w14:textId="77777777" w:rsidTr="00F21F23">
        <w:trPr>
          <w:trHeight w:val="510"/>
        </w:trPr>
        <w:tc>
          <w:tcPr>
            <w:tcW w:w="12328" w:type="dxa"/>
            <w:hideMark/>
          </w:tcPr>
          <w:p w14:paraId="51D9197C" w14:textId="77777777" w:rsidR="0033457E" w:rsidRPr="0082321B" w:rsidRDefault="0033457E" w:rsidP="00F21F23">
            <w:pPr>
              <w:rPr>
                <w:lang w:eastAsia="en-GB"/>
              </w:rPr>
            </w:pPr>
            <w:r w:rsidRPr="0082321B">
              <w:rPr>
                <w:lang w:eastAsia="en-GB"/>
              </w:rPr>
              <w:t>Mortality from all circulatory diseases: indirectly standardised ratio (SMR), &lt;75 years, 3-year average, MFP</w:t>
            </w:r>
          </w:p>
        </w:tc>
      </w:tr>
      <w:tr w:rsidR="0033457E" w:rsidRPr="0082321B" w14:paraId="17A743C2" w14:textId="77777777" w:rsidTr="00F21F23">
        <w:trPr>
          <w:trHeight w:val="510"/>
        </w:trPr>
        <w:tc>
          <w:tcPr>
            <w:tcW w:w="12328" w:type="dxa"/>
            <w:hideMark/>
          </w:tcPr>
          <w:p w14:paraId="50563E77" w14:textId="77777777" w:rsidR="0033457E" w:rsidRPr="0082321B" w:rsidRDefault="0033457E" w:rsidP="00F21F23">
            <w:pPr>
              <w:rPr>
                <w:lang w:eastAsia="en-GB"/>
              </w:rPr>
            </w:pPr>
            <w:r w:rsidRPr="0082321B">
              <w:rPr>
                <w:lang w:eastAsia="en-GB"/>
              </w:rPr>
              <w:t>Mortality from all circulatory diseases: indirectly standardised ratio (SMR), 65-74 years, 3-year average, MFP</w:t>
            </w:r>
          </w:p>
        </w:tc>
      </w:tr>
      <w:tr w:rsidR="0033457E" w:rsidRPr="0082321B" w14:paraId="3AA29494" w14:textId="77777777" w:rsidTr="00F21F23">
        <w:trPr>
          <w:trHeight w:val="510"/>
        </w:trPr>
        <w:tc>
          <w:tcPr>
            <w:tcW w:w="12328" w:type="dxa"/>
            <w:hideMark/>
          </w:tcPr>
          <w:p w14:paraId="06DF2BDE" w14:textId="77777777" w:rsidR="0033457E" w:rsidRPr="0082321B" w:rsidRDefault="0033457E" w:rsidP="00F21F23">
            <w:pPr>
              <w:rPr>
                <w:lang w:eastAsia="en-GB"/>
              </w:rPr>
            </w:pPr>
            <w:r w:rsidRPr="0082321B">
              <w:rPr>
                <w:lang w:eastAsia="en-GB"/>
              </w:rPr>
              <w:t>Mortality from all circulatory diseases: indirectly standardised ratio (SMR), all ages, annual trend, MFP</w:t>
            </w:r>
          </w:p>
        </w:tc>
      </w:tr>
      <w:tr w:rsidR="0033457E" w:rsidRPr="0082321B" w14:paraId="2495C4B8" w14:textId="77777777" w:rsidTr="00F21F23">
        <w:trPr>
          <w:trHeight w:val="510"/>
        </w:trPr>
        <w:tc>
          <w:tcPr>
            <w:tcW w:w="12328" w:type="dxa"/>
            <w:hideMark/>
          </w:tcPr>
          <w:p w14:paraId="0A2ABCB3" w14:textId="77777777" w:rsidR="0033457E" w:rsidRPr="0082321B" w:rsidRDefault="0033457E" w:rsidP="00F21F23">
            <w:pPr>
              <w:rPr>
                <w:lang w:eastAsia="en-GB"/>
              </w:rPr>
            </w:pPr>
            <w:r w:rsidRPr="0082321B">
              <w:rPr>
                <w:lang w:eastAsia="en-GB"/>
              </w:rPr>
              <w:t>Mortality from all circulatory diseases: indirectly standardised ratio (SMR), &lt;65 years, annual trend, MFP</w:t>
            </w:r>
          </w:p>
        </w:tc>
      </w:tr>
      <w:tr w:rsidR="0033457E" w:rsidRPr="0082321B" w14:paraId="7C82F546" w14:textId="77777777" w:rsidTr="00F21F23">
        <w:trPr>
          <w:trHeight w:val="510"/>
        </w:trPr>
        <w:tc>
          <w:tcPr>
            <w:tcW w:w="12328" w:type="dxa"/>
            <w:hideMark/>
          </w:tcPr>
          <w:p w14:paraId="20A88855" w14:textId="77777777" w:rsidR="0033457E" w:rsidRPr="0082321B" w:rsidRDefault="0033457E" w:rsidP="00F21F23">
            <w:pPr>
              <w:rPr>
                <w:lang w:eastAsia="en-GB"/>
              </w:rPr>
            </w:pPr>
            <w:r w:rsidRPr="0082321B">
              <w:rPr>
                <w:lang w:eastAsia="en-GB"/>
              </w:rPr>
              <w:t>Mortality from all circulatory diseases: indirectly standardised ratio (SMR), &lt;75 years, annual trend, MFP</w:t>
            </w:r>
          </w:p>
        </w:tc>
      </w:tr>
      <w:tr w:rsidR="0033457E" w:rsidRPr="0082321B" w14:paraId="2B5C451F" w14:textId="77777777" w:rsidTr="00F21F23">
        <w:trPr>
          <w:trHeight w:val="510"/>
        </w:trPr>
        <w:tc>
          <w:tcPr>
            <w:tcW w:w="12328" w:type="dxa"/>
            <w:hideMark/>
          </w:tcPr>
          <w:p w14:paraId="47087ACF" w14:textId="77777777" w:rsidR="0033457E" w:rsidRPr="0082321B" w:rsidRDefault="0033457E" w:rsidP="00F21F23">
            <w:pPr>
              <w:rPr>
                <w:lang w:eastAsia="en-GB"/>
              </w:rPr>
            </w:pPr>
            <w:r w:rsidRPr="0082321B">
              <w:rPr>
                <w:lang w:eastAsia="en-GB"/>
              </w:rPr>
              <w:t>Mortality from all circulatory diseases: indirectly standardised ratio (SMR), 65-74 years, annual trend, MFP</w:t>
            </w:r>
          </w:p>
        </w:tc>
      </w:tr>
      <w:tr w:rsidR="0033457E" w:rsidRPr="0082321B" w14:paraId="2B984A6D" w14:textId="77777777" w:rsidTr="00F21F23">
        <w:trPr>
          <w:trHeight w:val="510"/>
        </w:trPr>
        <w:tc>
          <w:tcPr>
            <w:tcW w:w="12328" w:type="dxa"/>
            <w:hideMark/>
          </w:tcPr>
          <w:p w14:paraId="0DD47BA6" w14:textId="77777777" w:rsidR="0033457E" w:rsidRPr="0082321B" w:rsidRDefault="0033457E" w:rsidP="00F21F23">
            <w:pPr>
              <w:rPr>
                <w:lang w:eastAsia="en-GB"/>
              </w:rPr>
            </w:pPr>
            <w:r w:rsidRPr="0082321B">
              <w:rPr>
                <w:lang w:eastAsia="en-GB"/>
              </w:rPr>
              <w:t>Years of life lost due to mortality from all circulatory diseases: crude rate, &lt;75 years, 3-year average, MFP</w:t>
            </w:r>
          </w:p>
        </w:tc>
      </w:tr>
      <w:tr w:rsidR="0033457E" w:rsidRPr="0082321B" w14:paraId="24F4D4C1" w14:textId="77777777" w:rsidTr="00F21F23">
        <w:trPr>
          <w:trHeight w:val="510"/>
        </w:trPr>
        <w:tc>
          <w:tcPr>
            <w:tcW w:w="12328" w:type="dxa"/>
            <w:hideMark/>
          </w:tcPr>
          <w:p w14:paraId="0C6BF724" w14:textId="77777777" w:rsidR="0033457E" w:rsidRPr="0082321B" w:rsidRDefault="0033457E" w:rsidP="00F21F23">
            <w:pPr>
              <w:rPr>
                <w:lang w:eastAsia="en-GB"/>
              </w:rPr>
            </w:pPr>
            <w:r w:rsidRPr="0082321B">
              <w:rPr>
                <w:lang w:eastAsia="en-GB"/>
              </w:rPr>
              <w:t>Years of life lost due to mortality from all circulatory diseases: directly standardised rate, &lt;75 years, 3-year average, MFP</w:t>
            </w:r>
          </w:p>
        </w:tc>
      </w:tr>
      <w:tr w:rsidR="0033457E" w:rsidRPr="0082321B" w14:paraId="1B971B9F" w14:textId="77777777" w:rsidTr="00F21F23">
        <w:trPr>
          <w:trHeight w:val="510"/>
        </w:trPr>
        <w:tc>
          <w:tcPr>
            <w:tcW w:w="12328" w:type="dxa"/>
            <w:hideMark/>
          </w:tcPr>
          <w:p w14:paraId="5F92BE30" w14:textId="77777777" w:rsidR="0033457E" w:rsidRPr="0082321B" w:rsidRDefault="0033457E" w:rsidP="00F21F23">
            <w:pPr>
              <w:rPr>
                <w:lang w:eastAsia="en-GB"/>
              </w:rPr>
            </w:pPr>
            <w:r w:rsidRPr="0082321B">
              <w:rPr>
                <w:lang w:eastAsia="en-GB"/>
              </w:rPr>
              <w:t>Mortality from chronic rheumatic heart disease: directly standardised rate, all ages, 3-year average, MFP</w:t>
            </w:r>
          </w:p>
        </w:tc>
      </w:tr>
      <w:tr w:rsidR="0033457E" w:rsidRPr="0082321B" w14:paraId="40209D88" w14:textId="77777777" w:rsidTr="00F21F23">
        <w:trPr>
          <w:trHeight w:val="510"/>
        </w:trPr>
        <w:tc>
          <w:tcPr>
            <w:tcW w:w="12328" w:type="dxa"/>
            <w:hideMark/>
          </w:tcPr>
          <w:p w14:paraId="0F0B509F" w14:textId="77777777" w:rsidR="0033457E" w:rsidRPr="0082321B" w:rsidRDefault="0033457E" w:rsidP="00F21F23">
            <w:pPr>
              <w:rPr>
                <w:lang w:eastAsia="en-GB"/>
              </w:rPr>
            </w:pPr>
            <w:r w:rsidRPr="0082321B">
              <w:rPr>
                <w:lang w:eastAsia="en-GB"/>
              </w:rPr>
              <w:t>Mortality from chronic rheumatic heart disease: directly standardised rate, &lt;75 years, 3-year average, MFP</w:t>
            </w:r>
          </w:p>
        </w:tc>
      </w:tr>
      <w:tr w:rsidR="0033457E" w:rsidRPr="0082321B" w14:paraId="75B11395" w14:textId="77777777" w:rsidTr="00F21F23">
        <w:trPr>
          <w:trHeight w:val="510"/>
        </w:trPr>
        <w:tc>
          <w:tcPr>
            <w:tcW w:w="12328" w:type="dxa"/>
            <w:hideMark/>
          </w:tcPr>
          <w:p w14:paraId="3E4845F8" w14:textId="77777777" w:rsidR="0033457E" w:rsidRPr="0082321B" w:rsidRDefault="0033457E" w:rsidP="00F21F23">
            <w:pPr>
              <w:rPr>
                <w:lang w:eastAsia="en-GB"/>
              </w:rPr>
            </w:pPr>
            <w:r w:rsidRPr="0082321B">
              <w:rPr>
                <w:lang w:eastAsia="en-GB"/>
              </w:rPr>
              <w:t>Mortality from chronic rheumatic heart disease: directly standardised rate, 5-44 years, 3-year average, MFP</w:t>
            </w:r>
          </w:p>
        </w:tc>
      </w:tr>
      <w:tr w:rsidR="0033457E" w:rsidRPr="0082321B" w14:paraId="02AFFD80" w14:textId="77777777" w:rsidTr="00F21F23">
        <w:trPr>
          <w:trHeight w:val="510"/>
        </w:trPr>
        <w:tc>
          <w:tcPr>
            <w:tcW w:w="12328" w:type="dxa"/>
            <w:hideMark/>
          </w:tcPr>
          <w:p w14:paraId="254928D3" w14:textId="77777777" w:rsidR="0033457E" w:rsidRPr="0082321B" w:rsidRDefault="0033457E" w:rsidP="00F21F23">
            <w:pPr>
              <w:rPr>
                <w:lang w:eastAsia="en-GB"/>
              </w:rPr>
            </w:pPr>
            <w:r w:rsidRPr="0082321B">
              <w:rPr>
                <w:lang w:eastAsia="en-GB"/>
              </w:rPr>
              <w:t>Mortality from chronic rheumatic heart disease: indirectly standardised ratio (SMR), all ages, 3-year average, MFP</w:t>
            </w:r>
          </w:p>
        </w:tc>
      </w:tr>
      <w:tr w:rsidR="0033457E" w:rsidRPr="0082321B" w14:paraId="7B636A2D" w14:textId="77777777" w:rsidTr="00F21F23">
        <w:trPr>
          <w:trHeight w:val="510"/>
        </w:trPr>
        <w:tc>
          <w:tcPr>
            <w:tcW w:w="12328" w:type="dxa"/>
            <w:hideMark/>
          </w:tcPr>
          <w:p w14:paraId="349CB89F" w14:textId="77777777" w:rsidR="0033457E" w:rsidRPr="0082321B" w:rsidRDefault="0033457E" w:rsidP="00F21F23">
            <w:pPr>
              <w:rPr>
                <w:lang w:eastAsia="en-GB"/>
              </w:rPr>
            </w:pPr>
            <w:r w:rsidRPr="0082321B">
              <w:rPr>
                <w:lang w:eastAsia="en-GB"/>
              </w:rPr>
              <w:t>Mortality from chronic rheumatic heart disease: indirectly standardised ratio (SMR), &lt;75 years, 3-year average, MFP</w:t>
            </w:r>
          </w:p>
        </w:tc>
      </w:tr>
      <w:tr w:rsidR="0033457E" w:rsidRPr="0082321B" w14:paraId="3B48392D" w14:textId="77777777" w:rsidTr="00F21F23">
        <w:trPr>
          <w:trHeight w:val="510"/>
        </w:trPr>
        <w:tc>
          <w:tcPr>
            <w:tcW w:w="12328" w:type="dxa"/>
            <w:hideMark/>
          </w:tcPr>
          <w:p w14:paraId="2FED3CF4" w14:textId="77777777" w:rsidR="0033457E" w:rsidRPr="0082321B" w:rsidRDefault="0033457E" w:rsidP="00F21F23">
            <w:pPr>
              <w:rPr>
                <w:lang w:eastAsia="en-GB"/>
              </w:rPr>
            </w:pPr>
            <w:r w:rsidRPr="0082321B">
              <w:rPr>
                <w:lang w:eastAsia="en-GB"/>
              </w:rPr>
              <w:t>Mortality from chronic rheumatic heart disease: indirectly standardised ratio (SMR), 5-44 years, 3-year average, MFP</w:t>
            </w:r>
          </w:p>
        </w:tc>
      </w:tr>
      <w:tr w:rsidR="0033457E" w:rsidRPr="0082321B" w14:paraId="406C0683" w14:textId="77777777" w:rsidTr="00F21F23">
        <w:trPr>
          <w:trHeight w:val="510"/>
        </w:trPr>
        <w:tc>
          <w:tcPr>
            <w:tcW w:w="12328" w:type="dxa"/>
            <w:hideMark/>
          </w:tcPr>
          <w:p w14:paraId="5CC659B3" w14:textId="77777777" w:rsidR="0033457E" w:rsidRPr="0082321B" w:rsidRDefault="0033457E" w:rsidP="00F21F23">
            <w:pPr>
              <w:rPr>
                <w:lang w:eastAsia="en-GB"/>
              </w:rPr>
            </w:pPr>
            <w:r w:rsidRPr="0082321B">
              <w:rPr>
                <w:lang w:eastAsia="en-GB"/>
              </w:rPr>
              <w:t>Mortality from stroke: crude death rate, by age group, 3-year average, MFP</w:t>
            </w:r>
          </w:p>
        </w:tc>
      </w:tr>
      <w:tr w:rsidR="0033457E" w:rsidRPr="0082321B" w14:paraId="17B28F67" w14:textId="77777777" w:rsidTr="00F21F23">
        <w:trPr>
          <w:trHeight w:val="510"/>
        </w:trPr>
        <w:tc>
          <w:tcPr>
            <w:tcW w:w="12328" w:type="dxa"/>
            <w:hideMark/>
          </w:tcPr>
          <w:p w14:paraId="0B42AB4E" w14:textId="77777777" w:rsidR="0033457E" w:rsidRPr="0082321B" w:rsidRDefault="0033457E" w:rsidP="00F21F23">
            <w:pPr>
              <w:rPr>
                <w:lang w:eastAsia="en-GB"/>
              </w:rPr>
            </w:pPr>
            <w:r w:rsidRPr="0082321B">
              <w:rPr>
                <w:lang w:eastAsia="en-GB"/>
              </w:rPr>
              <w:lastRenderedPageBreak/>
              <w:t>Mortality from stroke: directly standardised rate, all ages, 3-year average, MFP</w:t>
            </w:r>
          </w:p>
        </w:tc>
      </w:tr>
      <w:tr w:rsidR="0033457E" w:rsidRPr="0082321B" w14:paraId="42F64FD1" w14:textId="77777777" w:rsidTr="00F21F23">
        <w:trPr>
          <w:trHeight w:val="510"/>
        </w:trPr>
        <w:tc>
          <w:tcPr>
            <w:tcW w:w="12328" w:type="dxa"/>
            <w:hideMark/>
          </w:tcPr>
          <w:p w14:paraId="38342182" w14:textId="77777777" w:rsidR="0033457E" w:rsidRPr="0082321B" w:rsidRDefault="0033457E" w:rsidP="00F21F23">
            <w:pPr>
              <w:rPr>
                <w:lang w:eastAsia="en-GB"/>
              </w:rPr>
            </w:pPr>
            <w:r w:rsidRPr="0082321B">
              <w:rPr>
                <w:lang w:eastAsia="en-GB"/>
              </w:rPr>
              <w:t>Mortality from stroke: directly standardised rate, &lt;65 years, 3-year average, MFP</w:t>
            </w:r>
          </w:p>
        </w:tc>
      </w:tr>
      <w:tr w:rsidR="0033457E" w:rsidRPr="0082321B" w14:paraId="67402080" w14:textId="77777777" w:rsidTr="00F21F23">
        <w:trPr>
          <w:trHeight w:val="510"/>
        </w:trPr>
        <w:tc>
          <w:tcPr>
            <w:tcW w:w="12328" w:type="dxa"/>
            <w:hideMark/>
          </w:tcPr>
          <w:p w14:paraId="7E60EBB9" w14:textId="77777777" w:rsidR="0033457E" w:rsidRPr="0082321B" w:rsidRDefault="0033457E" w:rsidP="00F21F23">
            <w:pPr>
              <w:rPr>
                <w:lang w:eastAsia="en-GB"/>
              </w:rPr>
            </w:pPr>
            <w:r w:rsidRPr="0082321B">
              <w:rPr>
                <w:lang w:eastAsia="en-GB"/>
              </w:rPr>
              <w:t>Mortality from stroke: directly standardised rate, &lt;75 years, 3-year average, MFP</w:t>
            </w:r>
          </w:p>
        </w:tc>
      </w:tr>
      <w:tr w:rsidR="0033457E" w:rsidRPr="0082321B" w14:paraId="023BC862" w14:textId="77777777" w:rsidTr="00F21F23">
        <w:trPr>
          <w:trHeight w:val="510"/>
        </w:trPr>
        <w:tc>
          <w:tcPr>
            <w:tcW w:w="12328" w:type="dxa"/>
            <w:hideMark/>
          </w:tcPr>
          <w:p w14:paraId="222BB7ED" w14:textId="77777777" w:rsidR="0033457E" w:rsidRPr="0082321B" w:rsidRDefault="0033457E" w:rsidP="00F21F23">
            <w:pPr>
              <w:rPr>
                <w:lang w:eastAsia="en-GB"/>
              </w:rPr>
            </w:pPr>
            <w:r w:rsidRPr="0082321B">
              <w:rPr>
                <w:lang w:eastAsia="en-GB"/>
              </w:rPr>
              <w:t>Mortality from stroke: directly standardised rate, 35-64 years, 3-year average, MFP</w:t>
            </w:r>
          </w:p>
        </w:tc>
      </w:tr>
      <w:tr w:rsidR="0033457E" w:rsidRPr="0082321B" w14:paraId="1E41A77B" w14:textId="77777777" w:rsidTr="00F21F23">
        <w:trPr>
          <w:trHeight w:val="510"/>
        </w:trPr>
        <w:tc>
          <w:tcPr>
            <w:tcW w:w="12328" w:type="dxa"/>
            <w:hideMark/>
          </w:tcPr>
          <w:p w14:paraId="4A82FD71" w14:textId="77777777" w:rsidR="0033457E" w:rsidRPr="0082321B" w:rsidRDefault="0033457E" w:rsidP="00F21F23">
            <w:pPr>
              <w:rPr>
                <w:lang w:eastAsia="en-GB"/>
              </w:rPr>
            </w:pPr>
            <w:r w:rsidRPr="0082321B">
              <w:rPr>
                <w:lang w:eastAsia="en-GB"/>
              </w:rPr>
              <w:t>Mortality from stroke: directly standardised rate, 65-74 years, 3-year average, MFP</w:t>
            </w:r>
          </w:p>
        </w:tc>
      </w:tr>
      <w:tr w:rsidR="0033457E" w:rsidRPr="0082321B" w14:paraId="68118662" w14:textId="77777777" w:rsidTr="00F21F23">
        <w:trPr>
          <w:trHeight w:val="510"/>
        </w:trPr>
        <w:tc>
          <w:tcPr>
            <w:tcW w:w="12328" w:type="dxa"/>
            <w:hideMark/>
          </w:tcPr>
          <w:p w14:paraId="57C2D27A" w14:textId="77777777" w:rsidR="0033457E" w:rsidRPr="0082321B" w:rsidRDefault="0033457E" w:rsidP="00F21F23">
            <w:pPr>
              <w:rPr>
                <w:lang w:eastAsia="en-GB"/>
              </w:rPr>
            </w:pPr>
            <w:r w:rsidRPr="0082321B">
              <w:rPr>
                <w:lang w:eastAsia="en-GB"/>
              </w:rPr>
              <w:t>Mortality from stroke: directly standardised rate, all ages, annual trend, MFP</w:t>
            </w:r>
          </w:p>
        </w:tc>
      </w:tr>
      <w:tr w:rsidR="0033457E" w:rsidRPr="0082321B" w14:paraId="2C3883CD" w14:textId="77777777" w:rsidTr="00F21F23">
        <w:trPr>
          <w:trHeight w:val="510"/>
        </w:trPr>
        <w:tc>
          <w:tcPr>
            <w:tcW w:w="12328" w:type="dxa"/>
            <w:hideMark/>
          </w:tcPr>
          <w:p w14:paraId="035D454E" w14:textId="77777777" w:rsidR="0033457E" w:rsidRPr="0082321B" w:rsidRDefault="0033457E" w:rsidP="00F21F23">
            <w:pPr>
              <w:rPr>
                <w:lang w:eastAsia="en-GB"/>
              </w:rPr>
            </w:pPr>
            <w:r w:rsidRPr="0082321B">
              <w:rPr>
                <w:lang w:eastAsia="en-GB"/>
              </w:rPr>
              <w:t>Mortality from stroke: directly standardised rate, &lt;65 years, annual trend, MFP</w:t>
            </w:r>
          </w:p>
        </w:tc>
      </w:tr>
      <w:tr w:rsidR="0033457E" w:rsidRPr="0082321B" w14:paraId="1A988E52" w14:textId="77777777" w:rsidTr="00F21F23">
        <w:trPr>
          <w:trHeight w:val="510"/>
        </w:trPr>
        <w:tc>
          <w:tcPr>
            <w:tcW w:w="12328" w:type="dxa"/>
            <w:hideMark/>
          </w:tcPr>
          <w:p w14:paraId="0F25075F" w14:textId="77777777" w:rsidR="0033457E" w:rsidRPr="0082321B" w:rsidRDefault="0033457E" w:rsidP="00F21F23">
            <w:pPr>
              <w:rPr>
                <w:lang w:eastAsia="en-GB"/>
              </w:rPr>
            </w:pPr>
            <w:r w:rsidRPr="0082321B">
              <w:rPr>
                <w:lang w:eastAsia="en-GB"/>
              </w:rPr>
              <w:t>Mortality from stroke: directly standardised rate, &lt;75 years, annual trend, MFP</w:t>
            </w:r>
          </w:p>
        </w:tc>
      </w:tr>
      <w:tr w:rsidR="0033457E" w:rsidRPr="0082321B" w14:paraId="21139E50" w14:textId="77777777" w:rsidTr="00F21F23">
        <w:trPr>
          <w:trHeight w:val="510"/>
        </w:trPr>
        <w:tc>
          <w:tcPr>
            <w:tcW w:w="12328" w:type="dxa"/>
            <w:hideMark/>
          </w:tcPr>
          <w:p w14:paraId="6998AC37" w14:textId="77777777" w:rsidR="0033457E" w:rsidRPr="0082321B" w:rsidRDefault="0033457E" w:rsidP="00F21F23">
            <w:pPr>
              <w:rPr>
                <w:lang w:eastAsia="en-GB"/>
              </w:rPr>
            </w:pPr>
            <w:r w:rsidRPr="0082321B">
              <w:rPr>
                <w:lang w:eastAsia="en-GB"/>
              </w:rPr>
              <w:t>Mortality from stroke: directly standardised rate, 65-74 years, annual trend, MFP</w:t>
            </w:r>
          </w:p>
        </w:tc>
      </w:tr>
      <w:tr w:rsidR="0033457E" w:rsidRPr="0082321B" w14:paraId="74858F72" w14:textId="77777777" w:rsidTr="00F21F23">
        <w:trPr>
          <w:trHeight w:val="510"/>
        </w:trPr>
        <w:tc>
          <w:tcPr>
            <w:tcW w:w="12328" w:type="dxa"/>
            <w:hideMark/>
          </w:tcPr>
          <w:p w14:paraId="08AD1EDC" w14:textId="77777777" w:rsidR="0033457E" w:rsidRPr="0082321B" w:rsidRDefault="0033457E" w:rsidP="00F21F23">
            <w:pPr>
              <w:rPr>
                <w:lang w:eastAsia="en-GB"/>
              </w:rPr>
            </w:pPr>
            <w:r w:rsidRPr="0082321B">
              <w:rPr>
                <w:lang w:eastAsia="en-GB"/>
              </w:rPr>
              <w:t>Mortality from stroke: number, by age group, annual, MFP</w:t>
            </w:r>
          </w:p>
        </w:tc>
      </w:tr>
      <w:tr w:rsidR="0033457E" w:rsidRPr="0082321B" w14:paraId="34FF42CE" w14:textId="77777777" w:rsidTr="00F21F23">
        <w:trPr>
          <w:trHeight w:val="510"/>
        </w:trPr>
        <w:tc>
          <w:tcPr>
            <w:tcW w:w="12328" w:type="dxa"/>
            <w:hideMark/>
          </w:tcPr>
          <w:p w14:paraId="42DD0B17" w14:textId="77777777" w:rsidR="0033457E" w:rsidRPr="0082321B" w:rsidRDefault="0033457E" w:rsidP="00F21F23">
            <w:pPr>
              <w:rPr>
                <w:lang w:eastAsia="en-GB"/>
              </w:rPr>
            </w:pPr>
            <w:r w:rsidRPr="0082321B">
              <w:rPr>
                <w:lang w:eastAsia="en-GB"/>
              </w:rPr>
              <w:t>Mortality from stroke: indirectly standardised ratio (SMR), all ages, 3-year average, MFP</w:t>
            </w:r>
          </w:p>
        </w:tc>
      </w:tr>
      <w:tr w:rsidR="0033457E" w:rsidRPr="0082321B" w14:paraId="424A2D61" w14:textId="77777777" w:rsidTr="00F21F23">
        <w:trPr>
          <w:trHeight w:val="510"/>
        </w:trPr>
        <w:tc>
          <w:tcPr>
            <w:tcW w:w="12328" w:type="dxa"/>
            <w:hideMark/>
          </w:tcPr>
          <w:p w14:paraId="3FB29D52" w14:textId="77777777" w:rsidR="0033457E" w:rsidRPr="0082321B" w:rsidRDefault="0033457E" w:rsidP="00F21F23">
            <w:pPr>
              <w:rPr>
                <w:lang w:eastAsia="en-GB"/>
              </w:rPr>
            </w:pPr>
            <w:r w:rsidRPr="0082321B">
              <w:rPr>
                <w:lang w:eastAsia="en-GB"/>
              </w:rPr>
              <w:t>Mortality from stroke: indirectly standardised ratio (SMR), &lt;65 years, 3-year average, MFP</w:t>
            </w:r>
          </w:p>
        </w:tc>
      </w:tr>
      <w:tr w:rsidR="0033457E" w:rsidRPr="0082321B" w14:paraId="64E39730" w14:textId="77777777" w:rsidTr="00F21F23">
        <w:trPr>
          <w:trHeight w:val="510"/>
        </w:trPr>
        <w:tc>
          <w:tcPr>
            <w:tcW w:w="12328" w:type="dxa"/>
            <w:hideMark/>
          </w:tcPr>
          <w:p w14:paraId="32BBACDE" w14:textId="77777777" w:rsidR="0033457E" w:rsidRPr="0082321B" w:rsidRDefault="0033457E" w:rsidP="00F21F23">
            <w:pPr>
              <w:rPr>
                <w:lang w:eastAsia="en-GB"/>
              </w:rPr>
            </w:pPr>
            <w:r w:rsidRPr="0082321B">
              <w:rPr>
                <w:lang w:eastAsia="en-GB"/>
              </w:rPr>
              <w:t>Mortality from stroke: indirectly standardised ratio (SMR), &lt;75 years, 3-year average, MFP</w:t>
            </w:r>
          </w:p>
        </w:tc>
      </w:tr>
      <w:tr w:rsidR="0033457E" w:rsidRPr="0082321B" w14:paraId="55BFEED4" w14:textId="77777777" w:rsidTr="00F21F23">
        <w:trPr>
          <w:trHeight w:val="510"/>
        </w:trPr>
        <w:tc>
          <w:tcPr>
            <w:tcW w:w="12328" w:type="dxa"/>
            <w:hideMark/>
          </w:tcPr>
          <w:p w14:paraId="0A2C04C7" w14:textId="77777777" w:rsidR="0033457E" w:rsidRPr="0082321B" w:rsidRDefault="0033457E" w:rsidP="00F21F23">
            <w:pPr>
              <w:rPr>
                <w:lang w:eastAsia="en-GB"/>
              </w:rPr>
            </w:pPr>
            <w:r w:rsidRPr="0082321B">
              <w:rPr>
                <w:lang w:eastAsia="en-GB"/>
              </w:rPr>
              <w:t>Mortality from stroke: indirectly standardised ratio (SMR), 35-64 years, 3-year average, MFP</w:t>
            </w:r>
          </w:p>
        </w:tc>
      </w:tr>
      <w:tr w:rsidR="0033457E" w:rsidRPr="0082321B" w14:paraId="33C8B584" w14:textId="77777777" w:rsidTr="00F21F23">
        <w:trPr>
          <w:trHeight w:val="510"/>
        </w:trPr>
        <w:tc>
          <w:tcPr>
            <w:tcW w:w="12328" w:type="dxa"/>
            <w:hideMark/>
          </w:tcPr>
          <w:p w14:paraId="3F3A1F1F" w14:textId="77777777" w:rsidR="0033457E" w:rsidRPr="0082321B" w:rsidRDefault="0033457E" w:rsidP="00F21F23">
            <w:pPr>
              <w:rPr>
                <w:lang w:eastAsia="en-GB"/>
              </w:rPr>
            </w:pPr>
            <w:r w:rsidRPr="0082321B">
              <w:rPr>
                <w:lang w:eastAsia="en-GB"/>
              </w:rPr>
              <w:t>Mortality from stroke: indirectly standardised ratio (SMR), 65-74 years, 3-year average, MFP</w:t>
            </w:r>
          </w:p>
        </w:tc>
      </w:tr>
      <w:tr w:rsidR="0033457E" w:rsidRPr="0082321B" w14:paraId="2AF2A7A8" w14:textId="77777777" w:rsidTr="00F21F23">
        <w:trPr>
          <w:trHeight w:val="510"/>
        </w:trPr>
        <w:tc>
          <w:tcPr>
            <w:tcW w:w="12328" w:type="dxa"/>
            <w:hideMark/>
          </w:tcPr>
          <w:p w14:paraId="35E846D8" w14:textId="77777777" w:rsidR="0033457E" w:rsidRPr="0082321B" w:rsidRDefault="0033457E" w:rsidP="00F21F23">
            <w:pPr>
              <w:rPr>
                <w:lang w:eastAsia="en-GB"/>
              </w:rPr>
            </w:pPr>
            <w:r w:rsidRPr="0082321B">
              <w:rPr>
                <w:lang w:eastAsia="en-GB"/>
              </w:rPr>
              <w:t>Mortality from stroke: indirectly standardised ratio (SMR), all ages, annual trend, MFP</w:t>
            </w:r>
          </w:p>
        </w:tc>
      </w:tr>
      <w:tr w:rsidR="0033457E" w:rsidRPr="0082321B" w14:paraId="1405E5F0" w14:textId="77777777" w:rsidTr="00F21F23">
        <w:trPr>
          <w:trHeight w:val="510"/>
        </w:trPr>
        <w:tc>
          <w:tcPr>
            <w:tcW w:w="12328" w:type="dxa"/>
            <w:hideMark/>
          </w:tcPr>
          <w:p w14:paraId="3A16B40B" w14:textId="77777777" w:rsidR="0033457E" w:rsidRPr="0082321B" w:rsidRDefault="0033457E" w:rsidP="00F21F23">
            <w:pPr>
              <w:rPr>
                <w:lang w:eastAsia="en-GB"/>
              </w:rPr>
            </w:pPr>
            <w:r w:rsidRPr="0082321B">
              <w:rPr>
                <w:lang w:eastAsia="en-GB"/>
              </w:rPr>
              <w:t>Mortality from stroke: indirectly standardised ratio (SMR), &lt;65 years, annual trend, MFP</w:t>
            </w:r>
          </w:p>
        </w:tc>
      </w:tr>
      <w:tr w:rsidR="0033457E" w:rsidRPr="0082321B" w14:paraId="220702D7" w14:textId="77777777" w:rsidTr="00F21F23">
        <w:trPr>
          <w:trHeight w:val="510"/>
        </w:trPr>
        <w:tc>
          <w:tcPr>
            <w:tcW w:w="12328" w:type="dxa"/>
            <w:hideMark/>
          </w:tcPr>
          <w:p w14:paraId="4152D6CB" w14:textId="77777777" w:rsidR="0033457E" w:rsidRPr="0082321B" w:rsidRDefault="0033457E" w:rsidP="00F21F23">
            <w:pPr>
              <w:rPr>
                <w:lang w:eastAsia="en-GB"/>
              </w:rPr>
            </w:pPr>
            <w:r w:rsidRPr="0082321B">
              <w:rPr>
                <w:lang w:eastAsia="en-GB"/>
              </w:rPr>
              <w:lastRenderedPageBreak/>
              <w:t>Mortality from stroke: indirectly standardised ratio (SMR), &lt;75 years, annual trend, MFP</w:t>
            </w:r>
          </w:p>
        </w:tc>
      </w:tr>
      <w:tr w:rsidR="0033457E" w:rsidRPr="0082321B" w14:paraId="0725F8BF" w14:textId="77777777" w:rsidTr="00F21F23">
        <w:trPr>
          <w:trHeight w:val="510"/>
        </w:trPr>
        <w:tc>
          <w:tcPr>
            <w:tcW w:w="12328" w:type="dxa"/>
            <w:hideMark/>
          </w:tcPr>
          <w:p w14:paraId="0204A476" w14:textId="77777777" w:rsidR="0033457E" w:rsidRPr="0082321B" w:rsidRDefault="0033457E" w:rsidP="00F21F23">
            <w:pPr>
              <w:rPr>
                <w:lang w:eastAsia="en-GB"/>
              </w:rPr>
            </w:pPr>
            <w:r w:rsidRPr="0082321B">
              <w:rPr>
                <w:lang w:eastAsia="en-GB"/>
              </w:rPr>
              <w:t>Mortality from stroke: indirectly standardised ratio (SMR), 65-74 years, annual trend, MFP</w:t>
            </w:r>
          </w:p>
        </w:tc>
      </w:tr>
      <w:tr w:rsidR="0033457E" w:rsidRPr="0082321B" w14:paraId="45F74376" w14:textId="77777777" w:rsidTr="00F21F23">
        <w:trPr>
          <w:trHeight w:val="510"/>
        </w:trPr>
        <w:tc>
          <w:tcPr>
            <w:tcW w:w="12328" w:type="dxa"/>
            <w:hideMark/>
          </w:tcPr>
          <w:p w14:paraId="56C45B81" w14:textId="77777777" w:rsidR="0033457E" w:rsidRPr="0082321B" w:rsidRDefault="0033457E" w:rsidP="00F21F23">
            <w:pPr>
              <w:rPr>
                <w:lang w:eastAsia="en-GB"/>
              </w:rPr>
            </w:pPr>
            <w:r w:rsidRPr="0082321B">
              <w:rPr>
                <w:lang w:eastAsia="en-GB"/>
              </w:rPr>
              <w:t>Mortality from ischaemic heart disease other than acute myocardial infarction: directly standardised rate, all ages, 3-year average, MFP</w:t>
            </w:r>
          </w:p>
        </w:tc>
      </w:tr>
      <w:tr w:rsidR="0033457E" w:rsidRPr="0082321B" w14:paraId="7831DB98" w14:textId="77777777" w:rsidTr="00F21F23">
        <w:trPr>
          <w:trHeight w:val="510"/>
        </w:trPr>
        <w:tc>
          <w:tcPr>
            <w:tcW w:w="12328" w:type="dxa"/>
            <w:hideMark/>
          </w:tcPr>
          <w:p w14:paraId="39E3EE18" w14:textId="77777777" w:rsidR="0033457E" w:rsidRPr="0082321B" w:rsidRDefault="0033457E" w:rsidP="00F21F23">
            <w:pPr>
              <w:rPr>
                <w:lang w:eastAsia="en-GB"/>
              </w:rPr>
            </w:pPr>
            <w:r w:rsidRPr="0082321B">
              <w:rPr>
                <w:lang w:eastAsia="en-GB"/>
              </w:rPr>
              <w:t>Mortality from ischaemic heart disease other than acute myocardial infarction: directly standardised rate, 35-64 years, 3-year average, MFP</w:t>
            </w:r>
          </w:p>
        </w:tc>
      </w:tr>
      <w:tr w:rsidR="0033457E" w:rsidRPr="0082321B" w14:paraId="55D12924" w14:textId="77777777" w:rsidTr="00F21F23">
        <w:trPr>
          <w:trHeight w:val="510"/>
        </w:trPr>
        <w:tc>
          <w:tcPr>
            <w:tcW w:w="12328" w:type="dxa"/>
            <w:hideMark/>
          </w:tcPr>
          <w:p w14:paraId="2BC23DFF" w14:textId="77777777" w:rsidR="0033457E" w:rsidRPr="0082321B" w:rsidRDefault="0033457E" w:rsidP="00F21F23">
            <w:pPr>
              <w:rPr>
                <w:lang w:eastAsia="en-GB"/>
              </w:rPr>
            </w:pPr>
            <w:r w:rsidRPr="0082321B">
              <w:rPr>
                <w:lang w:eastAsia="en-GB"/>
              </w:rPr>
              <w:t>Mortality from ischaemic heart disease other than acute myocardial infarction: indirectly standardised ratio (SMR), all ages, 3-year average, MFP</w:t>
            </w:r>
          </w:p>
        </w:tc>
      </w:tr>
      <w:tr w:rsidR="0033457E" w:rsidRPr="0082321B" w14:paraId="0A999380" w14:textId="77777777" w:rsidTr="00F21F23">
        <w:trPr>
          <w:trHeight w:val="510"/>
        </w:trPr>
        <w:tc>
          <w:tcPr>
            <w:tcW w:w="12328" w:type="dxa"/>
            <w:hideMark/>
          </w:tcPr>
          <w:p w14:paraId="54242B2F" w14:textId="77777777" w:rsidR="0033457E" w:rsidRPr="0082321B" w:rsidRDefault="0033457E" w:rsidP="00F21F23">
            <w:pPr>
              <w:rPr>
                <w:lang w:eastAsia="en-GB"/>
              </w:rPr>
            </w:pPr>
            <w:r w:rsidRPr="0082321B">
              <w:rPr>
                <w:lang w:eastAsia="en-GB"/>
              </w:rPr>
              <w:t>Mortality from ischaemic heart disease other than acute myocardial infarction: indirectly standardised ratio (SMR), 35-64 years, 3-year average, MFP</w:t>
            </w:r>
          </w:p>
        </w:tc>
      </w:tr>
      <w:tr w:rsidR="0033457E" w:rsidRPr="0082321B" w14:paraId="158CEADC" w14:textId="77777777" w:rsidTr="00F21F23">
        <w:trPr>
          <w:trHeight w:val="510"/>
        </w:trPr>
        <w:tc>
          <w:tcPr>
            <w:tcW w:w="12328" w:type="dxa"/>
            <w:hideMark/>
          </w:tcPr>
          <w:p w14:paraId="40BC5EC8" w14:textId="77777777" w:rsidR="0033457E" w:rsidRPr="0082321B" w:rsidRDefault="0033457E" w:rsidP="00F21F23">
            <w:pPr>
              <w:rPr>
                <w:lang w:eastAsia="en-GB"/>
              </w:rPr>
            </w:pPr>
            <w:r w:rsidRPr="0082321B">
              <w:rPr>
                <w:lang w:eastAsia="en-GB"/>
              </w:rPr>
              <w:t>Emergency hospital admissions: stroke: indirectly standardised rate, all ages, annual trend, F</w:t>
            </w:r>
          </w:p>
        </w:tc>
      </w:tr>
      <w:tr w:rsidR="0033457E" w:rsidRPr="0082321B" w14:paraId="50AB237D" w14:textId="77777777" w:rsidTr="00F21F23">
        <w:trPr>
          <w:trHeight w:val="510"/>
        </w:trPr>
        <w:tc>
          <w:tcPr>
            <w:tcW w:w="12328" w:type="dxa"/>
            <w:hideMark/>
          </w:tcPr>
          <w:p w14:paraId="5A1AC958" w14:textId="77777777" w:rsidR="0033457E" w:rsidRPr="0082321B" w:rsidRDefault="0033457E" w:rsidP="00F21F23">
            <w:pPr>
              <w:rPr>
                <w:lang w:eastAsia="en-GB"/>
              </w:rPr>
            </w:pPr>
            <w:r w:rsidRPr="0082321B">
              <w:rPr>
                <w:lang w:eastAsia="en-GB"/>
              </w:rPr>
              <w:t>Emergency hospital admissions: stroke: indirectly standardised rate, all ages, annual trend, M</w:t>
            </w:r>
          </w:p>
        </w:tc>
      </w:tr>
      <w:tr w:rsidR="0033457E" w:rsidRPr="0082321B" w14:paraId="716D2A39" w14:textId="77777777" w:rsidTr="00F21F23">
        <w:trPr>
          <w:trHeight w:val="510"/>
        </w:trPr>
        <w:tc>
          <w:tcPr>
            <w:tcW w:w="12328" w:type="dxa"/>
            <w:hideMark/>
          </w:tcPr>
          <w:p w14:paraId="507D492D" w14:textId="77777777" w:rsidR="0033457E" w:rsidRPr="0082321B" w:rsidRDefault="0033457E" w:rsidP="00F21F23">
            <w:pPr>
              <w:rPr>
                <w:lang w:eastAsia="en-GB"/>
              </w:rPr>
            </w:pPr>
            <w:r w:rsidRPr="0082321B">
              <w:rPr>
                <w:lang w:eastAsia="en-GB"/>
              </w:rPr>
              <w:t>Emergency hospital admissions: stroke: indirectly standardised rate, all ages, annual trend, P</w:t>
            </w:r>
          </w:p>
        </w:tc>
      </w:tr>
      <w:tr w:rsidR="0033457E" w:rsidRPr="0082321B" w14:paraId="1DB8E08A" w14:textId="77777777" w:rsidTr="00F21F23">
        <w:trPr>
          <w:trHeight w:val="285"/>
        </w:trPr>
        <w:tc>
          <w:tcPr>
            <w:tcW w:w="12328" w:type="dxa"/>
            <w:hideMark/>
          </w:tcPr>
          <w:p w14:paraId="03F9B59C" w14:textId="77777777" w:rsidR="0033457E" w:rsidRPr="0082321B" w:rsidRDefault="0033457E" w:rsidP="00F21F23">
            <w:pPr>
              <w:rPr>
                <w:lang w:eastAsia="en-GB"/>
              </w:rPr>
            </w:pPr>
            <w:r w:rsidRPr="0082321B">
              <w:rPr>
                <w:lang w:eastAsia="en-GB"/>
              </w:rPr>
              <w:t>Prevalence: coronary heart disease: percent, all ages, annual, P</w:t>
            </w:r>
          </w:p>
        </w:tc>
      </w:tr>
      <w:tr w:rsidR="0033457E" w:rsidRPr="0082321B" w14:paraId="6079D517" w14:textId="77777777" w:rsidTr="00F21F23">
        <w:trPr>
          <w:trHeight w:val="510"/>
        </w:trPr>
        <w:tc>
          <w:tcPr>
            <w:tcW w:w="12328" w:type="dxa"/>
            <w:hideMark/>
          </w:tcPr>
          <w:p w14:paraId="588AD0D1" w14:textId="77777777" w:rsidR="0033457E" w:rsidRPr="0082321B" w:rsidRDefault="0033457E" w:rsidP="00F21F23">
            <w:pPr>
              <w:rPr>
                <w:lang w:eastAsia="en-GB"/>
              </w:rPr>
            </w:pPr>
            <w:r w:rsidRPr="0082321B">
              <w:rPr>
                <w:lang w:eastAsia="en-GB"/>
              </w:rPr>
              <w:t>Blood pressure in patients with coronary heart disease: percent, all ages, annual, P</w:t>
            </w:r>
          </w:p>
        </w:tc>
      </w:tr>
      <w:tr w:rsidR="0033457E" w:rsidRPr="0082321B" w14:paraId="793C7CCE" w14:textId="77777777" w:rsidTr="00F21F23">
        <w:trPr>
          <w:trHeight w:val="510"/>
        </w:trPr>
        <w:tc>
          <w:tcPr>
            <w:tcW w:w="12328" w:type="dxa"/>
            <w:hideMark/>
          </w:tcPr>
          <w:p w14:paraId="3CF0B42A" w14:textId="77777777" w:rsidR="0033457E" w:rsidRPr="0082321B" w:rsidRDefault="0033457E" w:rsidP="00F21F23">
            <w:pPr>
              <w:rPr>
                <w:lang w:eastAsia="en-GB"/>
              </w:rPr>
            </w:pPr>
            <w:r w:rsidRPr="0082321B">
              <w:rPr>
                <w:lang w:eastAsia="en-GB"/>
              </w:rPr>
              <w:t>Cholesterol levels in patients with coronary heart disease: percent, all ages, annual, P</w:t>
            </w:r>
          </w:p>
        </w:tc>
      </w:tr>
      <w:tr w:rsidR="0033457E" w:rsidRPr="0082321B" w14:paraId="591ED095" w14:textId="77777777" w:rsidTr="00F21F23">
        <w:trPr>
          <w:trHeight w:val="510"/>
        </w:trPr>
        <w:tc>
          <w:tcPr>
            <w:tcW w:w="12328" w:type="dxa"/>
            <w:hideMark/>
          </w:tcPr>
          <w:p w14:paraId="208CEAF7" w14:textId="77777777" w:rsidR="0033457E" w:rsidRPr="0082321B" w:rsidRDefault="0033457E" w:rsidP="00F21F23">
            <w:pPr>
              <w:rPr>
                <w:lang w:eastAsia="en-GB"/>
              </w:rPr>
            </w:pPr>
            <w:r w:rsidRPr="0082321B">
              <w:rPr>
                <w:lang w:eastAsia="en-GB"/>
              </w:rPr>
              <w:t>Antiplatelet / anti-coagulant therapy for patients with coronary heart disease: percent, all ages, annual, P</w:t>
            </w:r>
          </w:p>
        </w:tc>
      </w:tr>
      <w:tr w:rsidR="0033457E" w:rsidRPr="0082321B" w14:paraId="1B0C2660" w14:textId="77777777" w:rsidTr="00F21F23">
        <w:trPr>
          <w:trHeight w:val="510"/>
        </w:trPr>
        <w:tc>
          <w:tcPr>
            <w:tcW w:w="12328" w:type="dxa"/>
            <w:hideMark/>
          </w:tcPr>
          <w:p w14:paraId="0E34CF94" w14:textId="77777777" w:rsidR="0033457E" w:rsidRPr="0082321B" w:rsidRDefault="0033457E" w:rsidP="00F21F23">
            <w:pPr>
              <w:rPr>
                <w:lang w:eastAsia="en-GB"/>
              </w:rPr>
            </w:pPr>
            <w:r w:rsidRPr="0082321B">
              <w:rPr>
                <w:lang w:eastAsia="en-GB"/>
              </w:rPr>
              <w:t>ACE inhibitor therapy for patients with myocardial infarction: percent, all ages, annual, P</w:t>
            </w:r>
          </w:p>
        </w:tc>
      </w:tr>
      <w:tr w:rsidR="0033457E" w:rsidRPr="0082321B" w14:paraId="0C145119" w14:textId="77777777" w:rsidTr="00F21F23">
        <w:trPr>
          <w:trHeight w:val="285"/>
        </w:trPr>
        <w:tc>
          <w:tcPr>
            <w:tcW w:w="12328" w:type="dxa"/>
            <w:hideMark/>
          </w:tcPr>
          <w:p w14:paraId="3C2900E6" w14:textId="77777777" w:rsidR="0033457E" w:rsidRPr="0082321B" w:rsidRDefault="0033457E" w:rsidP="00F21F23">
            <w:pPr>
              <w:rPr>
                <w:lang w:eastAsia="en-GB"/>
              </w:rPr>
            </w:pPr>
            <w:r w:rsidRPr="0082321B">
              <w:rPr>
                <w:lang w:eastAsia="en-GB"/>
              </w:rPr>
              <w:t>Prevalence: stroke or transient ischaemic attack: percent, all ages, annual, P</w:t>
            </w:r>
          </w:p>
        </w:tc>
      </w:tr>
      <w:tr w:rsidR="0033457E" w:rsidRPr="0082321B" w14:paraId="4C215E9D" w14:textId="77777777" w:rsidTr="00F21F23">
        <w:trPr>
          <w:trHeight w:val="285"/>
        </w:trPr>
        <w:tc>
          <w:tcPr>
            <w:tcW w:w="12328" w:type="dxa"/>
            <w:hideMark/>
          </w:tcPr>
          <w:p w14:paraId="0277E1E2" w14:textId="77777777" w:rsidR="0033457E" w:rsidRPr="0082321B" w:rsidRDefault="0033457E" w:rsidP="00F21F23">
            <w:pPr>
              <w:rPr>
                <w:lang w:eastAsia="en-GB"/>
              </w:rPr>
            </w:pPr>
            <w:r w:rsidRPr="0082321B">
              <w:rPr>
                <w:lang w:eastAsia="en-GB"/>
              </w:rPr>
              <w:t>Referral of patients with stroke for further investigation: percent, all ages, annual, P</w:t>
            </w:r>
          </w:p>
        </w:tc>
      </w:tr>
      <w:tr w:rsidR="0033457E" w:rsidRPr="0082321B" w14:paraId="66471EAE" w14:textId="77777777" w:rsidTr="00F21F23">
        <w:trPr>
          <w:trHeight w:val="510"/>
        </w:trPr>
        <w:tc>
          <w:tcPr>
            <w:tcW w:w="12328" w:type="dxa"/>
            <w:hideMark/>
          </w:tcPr>
          <w:p w14:paraId="373779C4" w14:textId="77777777" w:rsidR="0033457E" w:rsidRPr="0082321B" w:rsidRDefault="0033457E" w:rsidP="00F21F23">
            <w:pPr>
              <w:rPr>
                <w:lang w:eastAsia="en-GB"/>
              </w:rPr>
            </w:pPr>
            <w:r w:rsidRPr="0082321B">
              <w:rPr>
                <w:lang w:eastAsia="en-GB"/>
              </w:rPr>
              <w:t>Blood pressure in patients with stroke or transient ischaemic attack: percent, all ages, annual, P</w:t>
            </w:r>
          </w:p>
        </w:tc>
      </w:tr>
      <w:tr w:rsidR="0033457E" w:rsidRPr="0082321B" w14:paraId="738806EC" w14:textId="77777777" w:rsidTr="00F21F23">
        <w:trPr>
          <w:trHeight w:val="510"/>
        </w:trPr>
        <w:tc>
          <w:tcPr>
            <w:tcW w:w="12328" w:type="dxa"/>
            <w:hideMark/>
          </w:tcPr>
          <w:p w14:paraId="5170E82E" w14:textId="77777777" w:rsidR="0033457E" w:rsidRPr="0082321B" w:rsidRDefault="0033457E" w:rsidP="00F21F23">
            <w:pPr>
              <w:rPr>
                <w:lang w:eastAsia="en-GB"/>
              </w:rPr>
            </w:pPr>
            <w:r w:rsidRPr="0082321B">
              <w:rPr>
                <w:lang w:eastAsia="en-GB"/>
              </w:rPr>
              <w:t>Cholesterol levels in patients with stroke or transient ischaemic attack: percent, all ages, annual, P</w:t>
            </w:r>
          </w:p>
        </w:tc>
      </w:tr>
      <w:tr w:rsidR="0033457E" w:rsidRPr="0082321B" w14:paraId="440ADC1C" w14:textId="77777777" w:rsidTr="00F21F23">
        <w:trPr>
          <w:trHeight w:val="510"/>
        </w:trPr>
        <w:tc>
          <w:tcPr>
            <w:tcW w:w="12328" w:type="dxa"/>
            <w:hideMark/>
          </w:tcPr>
          <w:p w14:paraId="447E803F" w14:textId="77777777" w:rsidR="0033457E" w:rsidRPr="0082321B" w:rsidRDefault="0033457E" w:rsidP="00F21F23">
            <w:pPr>
              <w:rPr>
                <w:lang w:eastAsia="en-GB"/>
              </w:rPr>
            </w:pPr>
            <w:r w:rsidRPr="0082321B">
              <w:rPr>
                <w:lang w:eastAsia="en-GB"/>
              </w:rPr>
              <w:lastRenderedPageBreak/>
              <w:t>Antiplatelet / anti-coagulant therapy for patients with stroke or transient ischaemic attack: percent, all ages, annual, P</w:t>
            </w:r>
          </w:p>
        </w:tc>
      </w:tr>
      <w:tr w:rsidR="0033457E" w:rsidRPr="0082321B" w14:paraId="0C8F018D" w14:textId="77777777" w:rsidTr="00F21F23">
        <w:trPr>
          <w:trHeight w:val="285"/>
        </w:trPr>
        <w:tc>
          <w:tcPr>
            <w:tcW w:w="12328" w:type="dxa"/>
            <w:hideMark/>
          </w:tcPr>
          <w:p w14:paraId="6FAAF53C" w14:textId="77777777" w:rsidR="0033457E" w:rsidRPr="0082321B" w:rsidRDefault="0033457E" w:rsidP="00F21F23">
            <w:pPr>
              <w:rPr>
                <w:lang w:eastAsia="en-GB"/>
              </w:rPr>
            </w:pPr>
            <w:r w:rsidRPr="0082321B">
              <w:rPr>
                <w:lang w:eastAsia="en-GB"/>
              </w:rPr>
              <w:t>Prevalence: hypertension: percent, all ages, annual, P</w:t>
            </w:r>
          </w:p>
        </w:tc>
      </w:tr>
      <w:tr w:rsidR="0033457E" w:rsidRPr="0082321B" w14:paraId="2ABAB407" w14:textId="77777777" w:rsidTr="00F21F23">
        <w:trPr>
          <w:trHeight w:val="510"/>
        </w:trPr>
        <w:tc>
          <w:tcPr>
            <w:tcW w:w="12328" w:type="dxa"/>
            <w:hideMark/>
          </w:tcPr>
          <w:p w14:paraId="653B3059" w14:textId="77777777" w:rsidR="0033457E" w:rsidRPr="0082321B" w:rsidRDefault="0033457E" w:rsidP="00F21F23">
            <w:pPr>
              <w:rPr>
                <w:lang w:eastAsia="en-GB"/>
              </w:rPr>
            </w:pPr>
            <w:r w:rsidRPr="0082321B">
              <w:rPr>
                <w:lang w:eastAsia="en-GB"/>
              </w:rPr>
              <w:t>Controlled high blood pressure in patients with hypertension: percent, all ages, annual, P</w:t>
            </w:r>
          </w:p>
        </w:tc>
      </w:tr>
      <w:tr w:rsidR="0033457E" w:rsidRPr="0082321B" w14:paraId="2E546873" w14:textId="77777777" w:rsidTr="00F21F23">
        <w:trPr>
          <w:trHeight w:val="285"/>
        </w:trPr>
        <w:tc>
          <w:tcPr>
            <w:tcW w:w="12328" w:type="dxa"/>
            <w:hideMark/>
          </w:tcPr>
          <w:p w14:paraId="57994762" w14:textId="77777777" w:rsidR="0033457E" w:rsidRPr="0082321B" w:rsidRDefault="0033457E" w:rsidP="00F21F23">
            <w:pPr>
              <w:rPr>
                <w:lang w:eastAsia="en-GB"/>
              </w:rPr>
            </w:pPr>
            <w:r w:rsidRPr="0082321B">
              <w:rPr>
                <w:lang w:eastAsia="en-GB"/>
              </w:rPr>
              <w:t>Prevalence: heart failure: percent, all ages, annual, P</w:t>
            </w:r>
          </w:p>
        </w:tc>
      </w:tr>
      <w:tr w:rsidR="0033457E" w:rsidRPr="0082321B" w14:paraId="3121B768" w14:textId="77777777" w:rsidTr="00F21F23">
        <w:trPr>
          <w:trHeight w:val="510"/>
        </w:trPr>
        <w:tc>
          <w:tcPr>
            <w:tcW w:w="12328" w:type="dxa"/>
            <w:hideMark/>
          </w:tcPr>
          <w:p w14:paraId="7737C231" w14:textId="77777777" w:rsidR="0033457E" w:rsidRPr="0082321B" w:rsidRDefault="0033457E" w:rsidP="00F21F23">
            <w:pPr>
              <w:rPr>
                <w:lang w:eastAsia="en-GB"/>
              </w:rPr>
            </w:pPr>
            <w:r w:rsidRPr="0082321B">
              <w:rPr>
                <w:lang w:eastAsia="en-GB"/>
              </w:rPr>
              <w:t>Prevalence: heart failure confirmed by echocardiogram or specialist assessment: percent, all ages, annual, P</w:t>
            </w:r>
          </w:p>
        </w:tc>
      </w:tr>
      <w:tr w:rsidR="0033457E" w:rsidRPr="0082321B" w14:paraId="2987557A" w14:textId="77777777" w:rsidTr="00F21F23">
        <w:trPr>
          <w:trHeight w:val="510"/>
        </w:trPr>
        <w:tc>
          <w:tcPr>
            <w:tcW w:w="12328" w:type="dxa"/>
            <w:hideMark/>
          </w:tcPr>
          <w:p w14:paraId="7585CFF1" w14:textId="77777777" w:rsidR="0033457E" w:rsidRPr="0082321B" w:rsidRDefault="0033457E" w:rsidP="00F21F23">
            <w:pPr>
              <w:rPr>
                <w:lang w:eastAsia="en-GB"/>
              </w:rPr>
            </w:pPr>
            <w:r w:rsidRPr="0082321B">
              <w:rPr>
                <w:lang w:eastAsia="en-GB"/>
              </w:rPr>
              <w:t xml:space="preserve">ACE inhibitor therapy for patients with heart failure due to left ventricular </w:t>
            </w:r>
            <w:proofErr w:type="gramStart"/>
            <w:r w:rsidRPr="0082321B">
              <w:rPr>
                <w:lang w:eastAsia="en-GB"/>
              </w:rPr>
              <w:t>dysfunction :</w:t>
            </w:r>
            <w:proofErr w:type="gramEnd"/>
            <w:r w:rsidRPr="0082321B">
              <w:rPr>
                <w:lang w:eastAsia="en-GB"/>
              </w:rPr>
              <w:t xml:space="preserve"> percent, all ages, annual, P</w:t>
            </w:r>
          </w:p>
        </w:tc>
      </w:tr>
      <w:tr w:rsidR="0033457E" w:rsidRPr="0082321B" w14:paraId="000A4044" w14:textId="77777777" w:rsidTr="00F21F23">
        <w:trPr>
          <w:trHeight w:val="285"/>
        </w:trPr>
        <w:tc>
          <w:tcPr>
            <w:tcW w:w="12328" w:type="dxa"/>
            <w:hideMark/>
          </w:tcPr>
          <w:p w14:paraId="47E6E5CA" w14:textId="77777777" w:rsidR="0033457E" w:rsidRPr="0082321B" w:rsidRDefault="0033457E" w:rsidP="00F21F23">
            <w:pPr>
              <w:rPr>
                <w:lang w:eastAsia="en-GB"/>
              </w:rPr>
            </w:pPr>
            <w:r w:rsidRPr="0082321B">
              <w:rPr>
                <w:lang w:eastAsia="en-GB"/>
              </w:rPr>
              <w:t>Prevalence: atrial fibrillation: percent, all ages, annual, P</w:t>
            </w:r>
          </w:p>
        </w:tc>
      </w:tr>
      <w:tr w:rsidR="0033457E" w:rsidRPr="0082321B" w14:paraId="321883EB" w14:textId="77777777" w:rsidTr="00F21F23">
        <w:trPr>
          <w:trHeight w:val="510"/>
        </w:trPr>
        <w:tc>
          <w:tcPr>
            <w:tcW w:w="12328" w:type="dxa"/>
            <w:hideMark/>
          </w:tcPr>
          <w:p w14:paraId="245027ED" w14:textId="77777777" w:rsidR="0033457E" w:rsidRPr="0082321B" w:rsidRDefault="0033457E" w:rsidP="00F21F23">
            <w:pPr>
              <w:rPr>
                <w:lang w:eastAsia="en-GB"/>
              </w:rPr>
            </w:pPr>
            <w:r w:rsidRPr="0082321B">
              <w:rPr>
                <w:lang w:eastAsia="en-GB"/>
              </w:rPr>
              <w:t xml:space="preserve">ACE inhibitor and beta blocker therapy for patients with heart failure due to left ventricular </w:t>
            </w:r>
            <w:proofErr w:type="gramStart"/>
            <w:r w:rsidRPr="0082321B">
              <w:rPr>
                <w:lang w:eastAsia="en-GB"/>
              </w:rPr>
              <w:t>dysfunction :</w:t>
            </w:r>
            <w:proofErr w:type="gramEnd"/>
            <w:r w:rsidRPr="0082321B">
              <w:rPr>
                <w:lang w:eastAsia="en-GB"/>
              </w:rPr>
              <w:t xml:space="preserve"> percent, all ages, annual, P</w:t>
            </w:r>
          </w:p>
        </w:tc>
      </w:tr>
      <w:tr w:rsidR="0033457E" w:rsidRPr="0082321B" w14:paraId="48DEB319" w14:textId="77777777" w:rsidTr="00F21F23">
        <w:trPr>
          <w:trHeight w:val="285"/>
        </w:trPr>
        <w:tc>
          <w:tcPr>
            <w:tcW w:w="12328" w:type="dxa"/>
            <w:hideMark/>
          </w:tcPr>
          <w:p w14:paraId="7189A729" w14:textId="77777777" w:rsidR="0033457E" w:rsidRPr="0082321B" w:rsidRDefault="0033457E" w:rsidP="00F21F23">
            <w:pPr>
              <w:rPr>
                <w:lang w:eastAsia="en-GB"/>
              </w:rPr>
            </w:pPr>
            <w:r w:rsidRPr="0082321B">
              <w:rPr>
                <w:lang w:eastAsia="en-GB"/>
              </w:rPr>
              <w:t>Lifestyle advice for patients with hypertension: percent, all ages, annual, P</w:t>
            </w:r>
          </w:p>
        </w:tc>
      </w:tr>
    </w:tbl>
    <w:p w14:paraId="2289B2CE" w14:textId="77777777" w:rsidR="0033457E" w:rsidRDefault="0033457E" w:rsidP="0033457E"/>
    <w:p w14:paraId="179D51D2" w14:textId="77777777" w:rsidR="0033457E" w:rsidRPr="0082321B" w:rsidRDefault="0033457E" w:rsidP="0033457E">
      <w:pPr>
        <w:spacing w:before="240"/>
      </w:pPr>
      <w:r w:rsidRPr="0082321B">
        <w:t>The Compendium Indicators are more specific than this indicator but are related to conditions that form part of Cardiovascular Disease.</w:t>
      </w:r>
    </w:p>
    <w:p w14:paraId="0958959F" w14:textId="77777777" w:rsidR="0033457E" w:rsidRDefault="0033457E" w:rsidP="0033457E">
      <w:r w:rsidRPr="0082321B">
        <w:t>Indicator 1.1 also includes some deaths that are not included in the ONS definition of amenable mortality (as used in PYLL indicators 1</w:t>
      </w:r>
      <w:proofErr w:type="gramStart"/>
      <w:r w:rsidRPr="0082321B">
        <w:t>a.i</w:t>
      </w:r>
      <w:proofErr w:type="gramEnd"/>
      <w:r w:rsidRPr="0082321B">
        <w:t xml:space="preserve"> and 1a.ii) but some of which are nonetheless amenable. Hence, the under 75 mortality indicators are to that extent complementary to 1a.i and 1</w:t>
      </w:r>
      <w:proofErr w:type="gramStart"/>
      <w:r w:rsidRPr="0082321B">
        <w:t>a.ii.</w:t>
      </w:r>
      <w:proofErr w:type="gramEnd"/>
      <w:r w:rsidRPr="0082321B">
        <w:t xml:space="preserve"> Specifically, not </w:t>
      </w:r>
      <w:proofErr w:type="gramStart"/>
      <w:r w:rsidRPr="0082321B">
        <w:t>all of</w:t>
      </w:r>
      <w:proofErr w:type="gramEnd"/>
      <w:r w:rsidRPr="0082321B">
        <w:t xml:space="preserve"> the deaths under 75 from the major diseases are counted as amenable – only 77% of CVD, 27% of respiratory disease, 23% of cancer and 2% of liver disease deaths are considered amenable. However, the NHS also contributes to reducing premature deaths from causes not considered amenable. The inclusion of the under-75 mortality indicators reflects the contribution that the NHS can make to outcomes in these areas. The NHS contribution will include encouraging healthy behaviours and uptake of screening, in addition to providing appropriate diagnosis, care planning and treatment.</w:t>
      </w:r>
    </w:p>
    <w:p w14:paraId="2670AE4F" w14:textId="77777777" w:rsidR="0033457E" w:rsidRDefault="0033457E" w:rsidP="0033457E"/>
    <w:tbl>
      <w:tblPr>
        <w:tblStyle w:val="TableGrid"/>
        <w:tblW w:w="0" w:type="auto"/>
        <w:tblLayout w:type="fixed"/>
        <w:tblLook w:val="04A0" w:firstRow="1" w:lastRow="0" w:firstColumn="1" w:lastColumn="0" w:noHBand="0" w:noVBand="1"/>
      </w:tblPr>
      <w:tblGrid>
        <w:gridCol w:w="2405"/>
        <w:gridCol w:w="11543"/>
      </w:tblGrid>
      <w:tr w:rsidR="0033457E" w:rsidRPr="0082321B" w14:paraId="2B3C8D38" w14:textId="77777777" w:rsidTr="00F21F23">
        <w:tc>
          <w:tcPr>
            <w:tcW w:w="2405" w:type="dxa"/>
          </w:tcPr>
          <w:p w14:paraId="4BDBD35B" w14:textId="77777777" w:rsidR="0033457E" w:rsidRPr="0082321B" w:rsidRDefault="0033457E" w:rsidP="00F21F23">
            <w:pPr>
              <w:spacing w:before="240"/>
              <w:ind w:left="34"/>
              <w:rPr>
                <w:b/>
              </w:rPr>
            </w:pPr>
            <w:r>
              <w:rPr>
                <w:b/>
              </w:rPr>
              <w:t>RISKS (continued)</w:t>
            </w:r>
          </w:p>
        </w:tc>
        <w:tc>
          <w:tcPr>
            <w:tcW w:w="11543" w:type="dxa"/>
          </w:tcPr>
          <w:p w14:paraId="4B482EE9" w14:textId="77777777" w:rsidR="0033457E" w:rsidRPr="0082321B" w:rsidRDefault="0033457E" w:rsidP="00F21F23">
            <w:pPr>
              <w:spacing w:before="240"/>
            </w:pPr>
          </w:p>
        </w:tc>
      </w:tr>
      <w:tr w:rsidR="0033457E" w:rsidRPr="0082321B" w14:paraId="6AC6D2B6" w14:textId="77777777" w:rsidTr="00F21F23">
        <w:tc>
          <w:tcPr>
            <w:tcW w:w="2405" w:type="dxa"/>
          </w:tcPr>
          <w:p w14:paraId="4D025863" w14:textId="77777777" w:rsidR="0033457E" w:rsidRDefault="0033457E" w:rsidP="00F21F23">
            <w:pPr>
              <w:spacing w:before="240"/>
              <w:ind w:left="34"/>
              <w:rPr>
                <w:b/>
              </w:rPr>
            </w:pPr>
            <w:r w:rsidRPr="0082321B">
              <w:rPr>
                <w:b/>
              </w:rPr>
              <w:t>Undesired behaviours and/or gaming</w:t>
            </w:r>
          </w:p>
        </w:tc>
        <w:tc>
          <w:tcPr>
            <w:tcW w:w="11543" w:type="dxa"/>
          </w:tcPr>
          <w:p w14:paraId="6E05ACE6" w14:textId="77777777" w:rsidR="0033457E" w:rsidRPr="0082321B" w:rsidRDefault="0033457E" w:rsidP="00F21F23">
            <w:pPr>
              <w:spacing w:before="240"/>
            </w:pPr>
            <w:r w:rsidRPr="0082321B">
              <w:t>None identified</w:t>
            </w:r>
          </w:p>
        </w:tc>
      </w:tr>
      <w:tr w:rsidR="0033457E" w:rsidRPr="0082321B" w14:paraId="6BE066A6" w14:textId="77777777" w:rsidTr="00F21F23">
        <w:tc>
          <w:tcPr>
            <w:tcW w:w="2405" w:type="dxa"/>
          </w:tcPr>
          <w:p w14:paraId="688E8454" w14:textId="77777777" w:rsidR="0033457E" w:rsidRDefault="0033457E" w:rsidP="00F21F23">
            <w:pPr>
              <w:spacing w:before="240"/>
              <w:ind w:left="34"/>
              <w:rPr>
                <w:b/>
              </w:rPr>
            </w:pPr>
            <w:r w:rsidRPr="0082321B">
              <w:rPr>
                <w:b/>
              </w:rPr>
              <w:t>Approach to indicator review</w:t>
            </w:r>
          </w:p>
        </w:tc>
        <w:tc>
          <w:tcPr>
            <w:tcW w:w="11543" w:type="dxa"/>
          </w:tcPr>
          <w:p w14:paraId="3E77803A" w14:textId="77777777" w:rsidR="0033457E" w:rsidRPr="0082321B" w:rsidRDefault="0033457E" w:rsidP="00F21F23">
            <w:pPr>
              <w:spacing w:before="240"/>
            </w:pPr>
            <w:r w:rsidRPr="0082321B">
              <w:t>The Department of Health perform an annual review of the NHS Outcomes Framework and release a summary of all indicators with any retirements, additions and changes.</w:t>
            </w:r>
          </w:p>
          <w:p w14:paraId="097F18A0" w14:textId="77777777" w:rsidR="0033457E" w:rsidRPr="0082321B" w:rsidRDefault="0033457E" w:rsidP="00F21F23">
            <w:pPr>
              <w:spacing w:before="240"/>
            </w:pPr>
            <w:r w:rsidRPr="0082321B">
              <w:lastRenderedPageBreak/>
              <w:t>https://www.gov.uk/government/publications/nhs-outcomes-framework-2015-to-2016</w:t>
            </w:r>
          </w:p>
        </w:tc>
      </w:tr>
      <w:tr w:rsidR="0033457E" w:rsidRPr="0082321B" w14:paraId="4873FE97" w14:textId="77777777" w:rsidTr="00F21F23">
        <w:tc>
          <w:tcPr>
            <w:tcW w:w="2405" w:type="dxa"/>
          </w:tcPr>
          <w:p w14:paraId="1ACED4CF" w14:textId="77777777" w:rsidR="0033457E" w:rsidRDefault="0033457E" w:rsidP="00F21F23">
            <w:pPr>
              <w:spacing w:before="240"/>
              <w:ind w:left="34"/>
              <w:rPr>
                <w:b/>
              </w:rPr>
            </w:pPr>
            <w:r w:rsidRPr="0082321B">
              <w:rPr>
                <w:b/>
              </w:rPr>
              <w:lastRenderedPageBreak/>
              <w:t>Disclosure control</w:t>
            </w:r>
          </w:p>
        </w:tc>
        <w:tc>
          <w:tcPr>
            <w:tcW w:w="11543" w:type="dxa"/>
          </w:tcPr>
          <w:p w14:paraId="0BC6CF43" w14:textId="77777777" w:rsidR="0033457E" w:rsidRPr="0082321B" w:rsidRDefault="0033457E" w:rsidP="00F21F23">
            <w:pPr>
              <w:spacing w:before="240"/>
              <w:rPr>
                <w:rFonts w:eastAsia="MS Mincho"/>
              </w:rPr>
            </w:pPr>
            <w:r w:rsidRPr="0082321B">
              <w:rPr>
                <w:rFonts w:eastAsia="MS Mincho"/>
              </w:rPr>
              <w:t>Denominator figures sourced from the relevant ONS mid-year population estimates are rounded to the nearest 100.</w:t>
            </w:r>
          </w:p>
          <w:p w14:paraId="6509EA72" w14:textId="77777777" w:rsidR="0033457E" w:rsidRPr="0082321B" w:rsidRDefault="0033457E" w:rsidP="00F21F23">
            <w:pPr>
              <w:spacing w:before="240"/>
            </w:pPr>
            <w:r w:rsidRPr="0082321B">
              <w:t>For 2013 and onwards combined indicator values have been calculated for Cornwall and Isles of Scilly and Hackney and City of London to avoid a base population of less than 5000, which allows all numerator figures to be published.</w:t>
            </w:r>
          </w:p>
        </w:tc>
      </w:tr>
      <w:tr w:rsidR="0033457E" w:rsidRPr="0082321B" w14:paraId="048E7DF7" w14:textId="77777777" w:rsidTr="00F21F23">
        <w:tc>
          <w:tcPr>
            <w:tcW w:w="2405" w:type="dxa"/>
          </w:tcPr>
          <w:p w14:paraId="24FAC544" w14:textId="77777777" w:rsidR="0033457E" w:rsidRDefault="0033457E" w:rsidP="00F21F23">
            <w:pPr>
              <w:spacing w:before="240"/>
              <w:ind w:left="34"/>
              <w:rPr>
                <w:b/>
              </w:rPr>
            </w:pPr>
            <w:r w:rsidRPr="0082321B">
              <w:rPr>
                <w:b/>
              </w:rPr>
              <w:t>Copyright</w:t>
            </w:r>
          </w:p>
        </w:tc>
        <w:tc>
          <w:tcPr>
            <w:tcW w:w="11543" w:type="dxa"/>
          </w:tcPr>
          <w:p w14:paraId="436E9672" w14:textId="77777777" w:rsidR="0033457E" w:rsidRPr="0082321B" w:rsidRDefault="0033457E" w:rsidP="00F21F23">
            <w:pPr>
              <w:spacing w:before="240"/>
            </w:pPr>
            <w:r w:rsidRPr="0082321B">
              <w:t>Copyright © 2015, Health and Social Care Information Centre. All Rights Reserved.</w:t>
            </w:r>
          </w:p>
        </w:tc>
      </w:tr>
    </w:tbl>
    <w:p w14:paraId="197DD498" w14:textId="77777777" w:rsidR="0033457E" w:rsidRPr="0082321B" w:rsidRDefault="0033457E" w:rsidP="0033457E"/>
    <w:p w14:paraId="0B51963A" w14:textId="77777777" w:rsidR="0033457E" w:rsidRPr="0082321B" w:rsidRDefault="0033457E" w:rsidP="0033457E"/>
    <w:p w14:paraId="53FCDBBA" w14:textId="77777777" w:rsidR="0033457E" w:rsidRPr="0082321B" w:rsidRDefault="0033457E" w:rsidP="0033457E">
      <w:pPr>
        <w:rPr>
          <w:b/>
        </w:rPr>
      </w:pPr>
      <w:r w:rsidRPr="0082321B">
        <w:rPr>
          <w:b/>
        </w:rPr>
        <w:br w:type="page"/>
      </w:r>
    </w:p>
    <w:sdt>
      <w:sdtPr>
        <w:id w:val="-28027844"/>
        <w:docPartObj>
          <w:docPartGallery w:val="Cover Pages"/>
          <w:docPartUnique/>
        </w:docPartObj>
      </w:sdtPr>
      <w:sdtEndPr>
        <w:rPr>
          <w:rFonts w:eastAsia="+mn-ea"/>
          <w:b/>
          <w:position w:val="1"/>
        </w:rPr>
      </w:sdtEndPr>
      <w:sdtContent>
        <w:p w14:paraId="2686524D" w14:textId="77777777" w:rsidR="0033457E" w:rsidRPr="0082321B" w:rsidRDefault="0033457E" w:rsidP="0033457E">
          <w:pPr>
            <w:jc w:val="center"/>
          </w:pPr>
        </w:p>
        <w:p w14:paraId="0A1024C0" w14:textId="77777777" w:rsidR="0033457E" w:rsidRPr="0082321B" w:rsidRDefault="0033457E" w:rsidP="0033457E"/>
        <w:p w14:paraId="285E85E2" w14:textId="77777777" w:rsidR="0033457E" w:rsidRPr="0082321B" w:rsidRDefault="0033457E" w:rsidP="0033457E"/>
        <w:p w14:paraId="7B9D1642" w14:textId="77777777" w:rsidR="00D45A20" w:rsidRDefault="0033457E" w:rsidP="0033457E">
          <w:pPr>
            <w:rPr>
              <w:rFonts w:eastAsia="+mn-ea"/>
              <w:b/>
              <w:position w:val="1"/>
            </w:rPr>
          </w:pPr>
          <w:r w:rsidRPr="0082321B">
            <w:rPr>
              <w:rFonts w:eastAsia="Times New Roman"/>
              <w:noProof/>
              <w:lang w:eastAsia="en-GB"/>
            </w:rPr>
            <w:drawing>
              <wp:inline distT="0" distB="0" distL="0" distR="0" wp14:anchorId="250F2A3D" wp14:editId="5E534052">
                <wp:extent cx="6452870" cy="1495425"/>
                <wp:effectExtent l="0" t="0" r="5080" b="9525"/>
                <wp:docPr id="6" name="Picture 6" descr="Logos of support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email">
                          <a:extLst>
                            <a:ext uri="{28A0092B-C50C-407E-A947-70E740481C1C}">
                              <a14:useLocalDpi xmlns:a14="http://schemas.microsoft.com/office/drawing/2010/main" val="0"/>
                            </a:ext>
                          </a:extLst>
                        </a:blip>
                        <a:srcRect/>
                        <a:stretch>
                          <a:fillRect/>
                        </a:stretch>
                      </pic:blipFill>
                      <pic:spPr bwMode="auto">
                        <a:xfrm>
                          <a:off x="0" y="0"/>
                          <a:ext cx="6452870" cy="1495425"/>
                        </a:xfrm>
                        <a:prstGeom prst="rect">
                          <a:avLst/>
                        </a:prstGeom>
                        <a:noFill/>
                      </pic:spPr>
                    </pic:pic>
                  </a:graphicData>
                </a:graphic>
              </wp:inline>
            </w:drawing>
          </w:r>
        </w:p>
        <w:p w14:paraId="590145A5" w14:textId="77777777" w:rsidR="00D45A20" w:rsidRDefault="0033457E" w:rsidP="0033457E">
          <w:pPr>
            <w:rPr>
              <w:rFonts w:eastAsia="+mn-ea"/>
              <w:b/>
              <w:position w:val="1"/>
              <w:lang w:eastAsia="en-GB"/>
            </w:rPr>
          </w:pPr>
          <w:r w:rsidRPr="0082321B">
            <w:rPr>
              <w:rFonts w:eastAsiaTheme="majorEastAsia"/>
              <w:caps/>
              <w:noProof/>
              <w:lang w:eastAsia="en-GB"/>
            </w:rPr>
            <w:drawing>
              <wp:inline distT="0" distB="0" distL="0" distR="0" wp14:anchorId="53F350D7" wp14:editId="75E1D477">
                <wp:extent cx="2705100" cy="1262380"/>
                <wp:effectExtent l="0" t="0" r="0" b="0"/>
                <wp:docPr id="7" name="Picture 7" descr="Information Governan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0">
                          <a:extLst>
                            <a:ext uri="{28A0092B-C50C-407E-A947-70E740481C1C}">
                              <a14:useLocalDpi xmlns:a14="http://schemas.microsoft.com/office/drawing/2010/main" val="0"/>
                            </a:ext>
                          </a:extLst>
                        </a:blip>
                        <a:stretch>
                          <a:fillRect/>
                        </a:stretch>
                      </pic:blipFill>
                      <pic:spPr>
                        <a:xfrm>
                          <a:off x="0" y="0"/>
                          <a:ext cx="2705100" cy="1262380"/>
                        </a:xfrm>
                        <a:prstGeom prst="rect">
                          <a:avLst/>
                        </a:prstGeom>
                      </pic:spPr>
                    </pic:pic>
                  </a:graphicData>
                </a:graphic>
              </wp:inline>
            </w:drawing>
          </w:r>
        </w:p>
        <w:p w14:paraId="59EC4ECF" w14:textId="77777777" w:rsidR="00D45A20" w:rsidRDefault="00D45A20">
          <w:pPr>
            <w:rPr>
              <w:rFonts w:eastAsia="+mn-ea"/>
              <w:b/>
              <w:position w:val="1"/>
              <w:lang w:eastAsia="en-GB"/>
            </w:rPr>
          </w:pPr>
          <w:r>
            <w:rPr>
              <w:rFonts w:eastAsia="+mn-ea"/>
              <w:b/>
              <w:position w:val="1"/>
              <w:lang w:eastAsia="en-GB"/>
            </w:rPr>
            <w:br w:type="page"/>
          </w:r>
        </w:p>
        <w:p w14:paraId="4D43086A" w14:textId="20D9ADC6" w:rsidR="0033457E" w:rsidRPr="0082321B" w:rsidRDefault="003F72CF" w:rsidP="0033457E">
          <w:pPr>
            <w:rPr>
              <w:rFonts w:eastAsia="+mn-ea"/>
              <w:b/>
              <w:position w:val="1"/>
              <w:lang w:eastAsia="en-GB"/>
            </w:rPr>
          </w:pPr>
        </w:p>
      </w:sdtContent>
    </w:sdt>
    <w:p w14:paraId="1FA6B821" w14:textId="77777777" w:rsidR="0033457E" w:rsidRPr="0082321B" w:rsidRDefault="0033457E" w:rsidP="0033457E">
      <w:pPr>
        <w:pStyle w:val="NormalWeb"/>
        <w:spacing w:after="0"/>
        <w:rPr>
          <w:rFonts w:ascii="Arial" w:eastAsia="+mn-ea" w:hAnsi="Arial" w:cs="Arial"/>
          <w:position w:val="1"/>
          <w:sz w:val="22"/>
          <w:szCs w:val="22"/>
        </w:rPr>
      </w:pPr>
    </w:p>
    <w:p w14:paraId="59F299DC" w14:textId="77777777" w:rsidR="0033457E" w:rsidRPr="0082321B" w:rsidRDefault="0033457E" w:rsidP="0033457E">
      <w:pPr>
        <w:pStyle w:val="NormalWeb"/>
        <w:spacing w:after="0"/>
        <w:rPr>
          <w:rFonts w:ascii="Arial" w:eastAsia="+mn-ea" w:hAnsi="Arial" w:cs="Arial"/>
          <w:b/>
          <w:position w:val="1"/>
          <w:sz w:val="22"/>
          <w:szCs w:val="22"/>
        </w:rPr>
      </w:pPr>
      <w:r w:rsidRPr="0082321B">
        <w:rPr>
          <w:rFonts w:ascii="Arial" w:eastAsia="+mn-ea" w:hAnsi="Arial" w:cs="Arial"/>
          <w:b/>
          <w:position w:val="1"/>
          <w:sz w:val="22"/>
          <w:szCs w:val="22"/>
        </w:rPr>
        <w:t>Final Assurance Rating from the Indicator Governance Board</w:t>
      </w:r>
    </w:p>
    <w:p w14:paraId="4B057EE3" w14:textId="77777777" w:rsidR="0033457E" w:rsidRPr="0082321B" w:rsidRDefault="0033457E" w:rsidP="0033457E">
      <w:pPr>
        <w:pStyle w:val="NormalWeb"/>
        <w:spacing w:after="0"/>
        <w:rPr>
          <w:rFonts w:ascii="Arial" w:eastAsia="+mn-ea" w:hAnsi="Arial" w:cs="Arial"/>
          <w:b/>
          <w:position w:val="1"/>
          <w:sz w:val="22"/>
          <w:szCs w:val="22"/>
        </w:rPr>
      </w:pPr>
    </w:p>
    <w:p w14:paraId="2CE1AEDF" w14:textId="77777777" w:rsidR="0033457E" w:rsidRPr="0082321B" w:rsidRDefault="0033457E" w:rsidP="0033457E"/>
    <w:p w14:paraId="68FE63C5" w14:textId="77777777" w:rsidR="0033457E" w:rsidRPr="0082321B" w:rsidRDefault="003F72CF" w:rsidP="0033457E">
      <w:pPr>
        <w:jc w:val="center"/>
        <w:rPr>
          <w:rFonts w:eastAsia="+mn-ea"/>
          <w:b/>
          <w:position w:val="1"/>
          <w:lang w:eastAsia="en-GB"/>
        </w:rPr>
      </w:pPr>
      <w:r>
        <w:rPr>
          <w:rFonts w:eastAsia="+mn-ea"/>
          <w:b/>
          <w:position w:val="1"/>
          <w:lang w:eastAsia="en-GB"/>
        </w:rPr>
        <w:pict w14:anchorId="58658EDD">
          <v:rect id="_x0000_i1025" style="width:503.2pt;height:1.5pt" o:hralign="center" o:hrstd="t" o:hr="t" fillcolor="#a0a0a0" stroked="f"/>
        </w:pict>
      </w:r>
    </w:p>
    <w:tbl>
      <w:tblPr>
        <w:tblStyle w:val="TableGridLight"/>
        <w:tblW w:w="0" w:type="auto"/>
        <w:tblLook w:val="04A0" w:firstRow="1" w:lastRow="0" w:firstColumn="1" w:lastColumn="0" w:noHBand="0" w:noVBand="1"/>
      </w:tblPr>
      <w:tblGrid>
        <w:gridCol w:w="4077"/>
        <w:gridCol w:w="2268"/>
        <w:gridCol w:w="3935"/>
      </w:tblGrid>
      <w:tr w:rsidR="0033457E" w:rsidRPr="0082321B" w14:paraId="7A414A06" w14:textId="77777777" w:rsidTr="00F21F23">
        <w:tc>
          <w:tcPr>
            <w:tcW w:w="4077" w:type="dxa"/>
            <w:hideMark/>
          </w:tcPr>
          <w:p w14:paraId="024676B4" w14:textId="77777777" w:rsidR="0033457E" w:rsidRPr="0082321B" w:rsidRDefault="0033457E" w:rsidP="00F21F23">
            <w:pPr>
              <w:spacing w:line="360" w:lineRule="auto"/>
              <w:rPr>
                <w:rFonts w:eastAsia="+mn-ea"/>
                <w:position w:val="1"/>
              </w:rPr>
            </w:pPr>
            <w:r w:rsidRPr="0082321B">
              <w:rPr>
                <w:rFonts w:eastAsia="+mn-ea"/>
                <w:position w:val="1"/>
              </w:rPr>
              <w:t>Clarity</w:t>
            </w:r>
          </w:p>
        </w:tc>
        <w:tc>
          <w:tcPr>
            <w:tcW w:w="2268" w:type="dxa"/>
            <w:hideMark/>
          </w:tcPr>
          <w:p w14:paraId="64448DB6" w14:textId="77777777" w:rsidR="0033457E" w:rsidRPr="0082321B" w:rsidRDefault="0033457E" w:rsidP="00F21F23">
            <w:pPr>
              <w:spacing w:line="360" w:lineRule="auto"/>
              <w:rPr>
                <w:rFonts w:eastAsia="+mn-ea"/>
                <w:b/>
                <w:position w:val="1"/>
              </w:rPr>
            </w:pPr>
          </w:p>
        </w:tc>
        <w:tc>
          <w:tcPr>
            <w:tcW w:w="3935" w:type="dxa"/>
            <w:hideMark/>
          </w:tcPr>
          <w:p w14:paraId="34FD7369" w14:textId="77777777" w:rsidR="0033457E" w:rsidRPr="0082321B" w:rsidRDefault="0033457E" w:rsidP="00F21F23">
            <w:pPr>
              <w:spacing w:before="100" w:beforeAutospacing="1" w:after="100" w:afterAutospacing="1" w:line="360" w:lineRule="auto"/>
              <w:jc w:val="center"/>
              <w:rPr>
                <w:rFonts w:eastAsia="+mn-ea"/>
                <w:b/>
                <w:position w:val="1"/>
              </w:rPr>
            </w:pPr>
          </w:p>
        </w:tc>
      </w:tr>
      <w:tr w:rsidR="0033457E" w:rsidRPr="0082321B" w14:paraId="5AEC2DF7" w14:textId="77777777" w:rsidTr="00F21F23">
        <w:tc>
          <w:tcPr>
            <w:tcW w:w="4077" w:type="dxa"/>
            <w:hideMark/>
          </w:tcPr>
          <w:p w14:paraId="35C1C1F0" w14:textId="77777777" w:rsidR="0033457E" w:rsidRPr="0082321B" w:rsidRDefault="0033457E" w:rsidP="00F21F23">
            <w:pPr>
              <w:spacing w:line="360" w:lineRule="auto"/>
              <w:rPr>
                <w:rFonts w:eastAsia="+mn-ea"/>
                <w:position w:val="1"/>
              </w:rPr>
            </w:pPr>
            <w:r w:rsidRPr="0082321B">
              <w:rPr>
                <w:rFonts w:eastAsia="+mn-ea"/>
                <w:position w:val="1"/>
              </w:rPr>
              <w:t>Rationale</w:t>
            </w:r>
          </w:p>
        </w:tc>
        <w:tc>
          <w:tcPr>
            <w:tcW w:w="2268" w:type="dxa"/>
            <w:hideMark/>
          </w:tcPr>
          <w:p w14:paraId="6539F478" w14:textId="77777777" w:rsidR="0033457E" w:rsidRPr="0082321B" w:rsidRDefault="0033457E" w:rsidP="00F21F23">
            <w:pPr>
              <w:spacing w:line="360" w:lineRule="auto"/>
              <w:rPr>
                <w:rFonts w:eastAsia="+mn-ea"/>
                <w:b/>
                <w:position w:val="1"/>
              </w:rPr>
            </w:pPr>
          </w:p>
        </w:tc>
        <w:tc>
          <w:tcPr>
            <w:tcW w:w="0" w:type="auto"/>
            <w:hideMark/>
          </w:tcPr>
          <w:p w14:paraId="7B648917" w14:textId="77777777" w:rsidR="0033457E" w:rsidRPr="0082321B" w:rsidRDefault="0033457E" w:rsidP="00F21F23">
            <w:pPr>
              <w:spacing w:line="360" w:lineRule="auto"/>
              <w:rPr>
                <w:rFonts w:eastAsia="+mn-ea"/>
                <w:b/>
                <w:position w:val="1"/>
              </w:rPr>
            </w:pPr>
          </w:p>
        </w:tc>
      </w:tr>
      <w:tr w:rsidR="0033457E" w:rsidRPr="0082321B" w14:paraId="39C8D46A" w14:textId="77777777" w:rsidTr="00F21F23">
        <w:tc>
          <w:tcPr>
            <w:tcW w:w="4077" w:type="dxa"/>
            <w:hideMark/>
          </w:tcPr>
          <w:p w14:paraId="31AC4B40" w14:textId="77777777" w:rsidR="0033457E" w:rsidRPr="0082321B" w:rsidRDefault="0033457E" w:rsidP="00F21F23">
            <w:pPr>
              <w:spacing w:line="360" w:lineRule="auto"/>
              <w:rPr>
                <w:rFonts w:eastAsia="+mn-ea"/>
                <w:position w:val="1"/>
              </w:rPr>
            </w:pPr>
            <w:r w:rsidRPr="0082321B">
              <w:rPr>
                <w:rFonts w:eastAsia="+mn-ea"/>
                <w:position w:val="1"/>
              </w:rPr>
              <w:t>Data</w:t>
            </w:r>
          </w:p>
        </w:tc>
        <w:tc>
          <w:tcPr>
            <w:tcW w:w="2268" w:type="dxa"/>
            <w:hideMark/>
          </w:tcPr>
          <w:p w14:paraId="39CFAD05" w14:textId="77777777" w:rsidR="0033457E" w:rsidRPr="0082321B" w:rsidRDefault="0033457E" w:rsidP="00F21F23">
            <w:pPr>
              <w:spacing w:line="360" w:lineRule="auto"/>
              <w:rPr>
                <w:rFonts w:eastAsia="+mn-ea"/>
                <w:b/>
                <w:position w:val="1"/>
              </w:rPr>
            </w:pPr>
          </w:p>
        </w:tc>
        <w:tc>
          <w:tcPr>
            <w:tcW w:w="0" w:type="auto"/>
            <w:hideMark/>
          </w:tcPr>
          <w:p w14:paraId="6F2D5954" w14:textId="77777777" w:rsidR="0033457E" w:rsidRPr="0082321B" w:rsidRDefault="0033457E" w:rsidP="00F21F23">
            <w:pPr>
              <w:spacing w:line="360" w:lineRule="auto"/>
              <w:rPr>
                <w:rFonts w:eastAsia="+mn-ea"/>
                <w:b/>
                <w:position w:val="1"/>
              </w:rPr>
            </w:pPr>
          </w:p>
        </w:tc>
      </w:tr>
      <w:tr w:rsidR="0033457E" w:rsidRPr="0082321B" w14:paraId="29CE2429" w14:textId="77777777" w:rsidTr="00F21F23">
        <w:tc>
          <w:tcPr>
            <w:tcW w:w="4077" w:type="dxa"/>
            <w:hideMark/>
          </w:tcPr>
          <w:p w14:paraId="6889CBBC" w14:textId="77777777" w:rsidR="0033457E" w:rsidRPr="0082321B" w:rsidRDefault="0033457E" w:rsidP="00F21F23">
            <w:pPr>
              <w:spacing w:line="360" w:lineRule="auto"/>
              <w:rPr>
                <w:rFonts w:eastAsia="+mn-ea"/>
                <w:position w:val="1"/>
              </w:rPr>
            </w:pPr>
            <w:r w:rsidRPr="0082321B">
              <w:rPr>
                <w:rFonts w:eastAsia="+mn-ea"/>
                <w:position w:val="1"/>
              </w:rPr>
              <w:t>Construction</w:t>
            </w:r>
          </w:p>
        </w:tc>
        <w:tc>
          <w:tcPr>
            <w:tcW w:w="2268" w:type="dxa"/>
            <w:hideMark/>
          </w:tcPr>
          <w:p w14:paraId="0959D45A" w14:textId="77777777" w:rsidR="0033457E" w:rsidRPr="0082321B" w:rsidRDefault="0033457E" w:rsidP="00F21F23">
            <w:pPr>
              <w:spacing w:line="360" w:lineRule="auto"/>
              <w:rPr>
                <w:rFonts w:eastAsia="+mn-ea"/>
                <w:b/>
                <w:position w:val="1"/>
              </w:rPr>
            </w:pPr>
          </w:p>
        </w:tc>
        <w:tc>
          <w:tcPr>
            <w:tcW w:w="0" w:type="auto"/>
            <w:hideMark/>
          </w:tcPr>
          <w:p w14:paraId="56342722" w14:textId="77777777" w:rsidR="0033457E" w:rsidRPr="0082321B" w:rsidRDefault="0033457E" w:rsidP="00F21F23">
            <w:pPr>
              <w:spacing w:line="360" w:lineRule="auto"/>
              <w:rPr>
                <w:rFonts w:eastAsia="+mn-ea"/>
                <w:b/>
                <w:position w:val="1"/>
              </w:rPr>
            </w:pPr>
          </w:p>
        </w:tc>
      </w:tr>
      <w:tr w:rsidR="0033457E" w:rsidRPr="0082321B" w14:paraId="6E671804" w14:textId="77777777" w:rsidTr="00F21F23">
        <w:tc>
          <w:tcPr>
            <w:tcW w:w="4077" w:type="dxa"/>
            <w:hideMark/>
          </w:tcPr>
          <w:p w14:paraId="644E0672" w14:textId="77777777" w:rsidR="0033457E" w:rsidRPr="0082321B" w:rsidRDefault="0033457E" w:rsidP="00F21F23">
            <w:pPr>
              <w:spacing w:line="360" w:lineRule="auto"/>
              <w:rPr>
                <w:rFonts w:eastAsia="+mn-ea"/>
                <w:position w:val="1"/>
              </w:rPr>
            </w:pPr>
            <w:r w:rsidRPr="0082321B">
              <w:rPr>
                <w:rFonts w:eastAsia="+mn-ea"/>
                <w:position w:val="1"/>
              </w:rPr>
              <w:t>Presentation and Interpretation</w:t>
            </w:r>
          </w:p>
        </w:tc>
        <w:tc>
          <w:tcPr>
            <w:tcW w:w="2268" w:type="dxa"/>
          </w:tcPr>
          <w:p w14:paraId="205A1D2E" w14:textId="77777777" w:rsidR="0033457E" w:rsidRPr="0082321B" w:rsidRDefault="0033457E" w:rsidP="00F21F23">
            <w:pPr>
              <w:spacing w:line="360" w:lineRule="auto"/>
              <w:rPr>
                <w:rFonts w:eastAsia="+mn-ea"/>
                <w:b/>
                <w:position w:val="1"/>
              </w:rPr>
            </w:pPr>
          </w:p>
        </w:tc>
        <w:tc>
          <w:tcPr>
            <w:tcW w:w="3935" w:type="dxa"/>
          </w:tcPr>
          <w:p w14:paraId="3C1E386A" w14:textId="77777777" w:rsidR="0033457E" w:rsidRPr="0082321B" w:rsidRDefault="0033457E" w:rsidP="00F21F23">
            <w:pPr>
              <w:spacing w:line="360" w:lineRule="auto"/>
              <w:jc w:val="center"/>
              <w:rPr>
                <w:rFonts w:eastAsia="+mn-ea"/>
                <w:b/>
                <w:position w:val="1"/>
              </w:rPr>
            </w:pPr>
          </w:p>
        </w:tc>
      </w:tr>
      <w:tr w:rsidR="0033457E" w:rsidRPr="0082321B" w14:paraId="7E5B5D53" w14:textId="77777777" w:rsidTr="00F21F23">
        <w:tc>
          <w:tcPr>
            <w:tcW w:w="4077" w:type="dxa"/>
            <w:hideMark/>
          </w:tcPr>
          <w:p w14:paraId="041145AC" w14:textId="77777777" w:rsidR="0033457E" w:rsidRPr="0082321B" w:rsidRDefault="0033457E" w:rsidP="00F21F23">
            <w:pPr>
              <w:spacing w:line="360" w:lineRule="auto"/>
              <w:rPr>
                <w:rFonts w:eastAsia="+mn-ea"/>
                <w:position w:val="1"/>
              </w:rPr>
            </w:pPr>
            <w:r w:rsidRPr="0082321B">
              <w:rPr>
                <w:rFonts w:eastAsia="+mn-ea"/>
                <w:position w:val="1"/>
              </w:rPr>
              <w:t>Risks and Usefulness</w:t>
            </w:r>
          </w:p>
        </w:tc>
        <w:tc>
          <w:tcPr>
            <w:tcW w:w="2268" w:type="dxa"/>
            <w:hideMark/>
          </w:tcPr>
          <w:p w14:paraId="25AA8079" w14:textId="77777777" w:rsidR="0033457E" w:rsidRPr="0082321B" w:rsidRDefault="0033457E" w:rsidP="00F21F23">
            <w:pPr>
              <w:spacing w:line="360" w:lineRule="auto"/>
              <w:rPr>
                <w:rFonts w:eastAsia="+mn-ea"/>
                <w:b/>
                <w:position w:val="1"/>
              </w:rPr>
            </w:pPr>
          </w:p>
        </w:tc>
        <w:tc>
          <w:tcPr>
            <w:tcW w:w="0" w:type="auto"/>
            <w:hideMark/>
          </w:tcPr>
          <w:p w14:paraId="190F6326" w14:textId="77777777" w:rsidR="0033457E" w:rsidRPr="0082321B" w:rsidRDefault="0033457E" w:rsidP="00F21F23">
            <w:pPr>
              <w:spacing w:line="360" w:lineRule="auto"/>
              <w:rPr>
                <w:rFonts w:eastAsia="+mn-ea"/>
                <w:b/>
                <w:position w:val="1"/>
              </w:rPr>
            </w:pPr>
          </w:p>
        </w:tc>
      </w:tr>
    </w:tbl>
    <w:p w14:paraId="12184605" w14:textId="77777777" w:rsidR="0033457E" w:rsidRPr="0082321B" w:rsidRDefault="0033457E" w:rsidP="0033457E">
      <w:pPr>
        <w:pStyle w:val="NormalWeb"/>
        <w:spacing w:after="0"/>
        <w:rPr>
          <w:rFonts w:ascii="Arial" w:eastAsia="+mn-ea" w:hAnsi="Arial" w:cs="Arial"/>
          <w:b/>
          <w:position w:val="1"/>
          <w:sz w:val="22"/>
          <w:szCs w:val="22"/>
        </w:rPr>
      </w:pPr>
    </w:p>
    <w:p w14:paraId="4842F3E0" w14:textId="77777777" w:rsidR="0033457E" w:rsidRPr="0082321B" w:rsidRDefault="0033457E" w:rsidP="0033457E">
      <w:pPr>
        <w:pStyle w:val="NormalWeb"/>
        <w:spacing w:after="0"/>
        <w:rPr>
          <w:rFonts w:ascii="Arial" w:eastAsia="+mn-ea" w:hAnsi="Arial" w:cs="Arial"/>
          <w:b/>
          <w:position w:val="1"/>
          <w:sz w:val="22"/>
          <w:szCs w:val="22"/>
        </w:rPr>
      </w:pPr>
    </w:p>
    <w:tbl>
      <w:tblPr>
        <w:tblStyle w:val="TableGridLight"/>
        <w:tblW w:w="0" w:type="auto"/>
        <w:tblLook w:val="04A0" w:firstRow="1" w:lastRow="0" w:firstColumn="1" w:lastColumn="0" w:noHBand="0" w:noVBand="1"/>
      </w:tblPr>
      <w:tblGrid>
        <w:gridCol w:w="3369"/>
        <w:gridCol w:w="6911"/>
      </w:tblGrid>
      <w:tr w:rsidR="0033457E" w:rsidRPr="0082321B" w14:paraId="663CEC59" w14:textId="77777777" w:rsidTr="00F21F23">
        <w:tc>
          <w:tcPr>
            <w:tcW w:w="3369" w:type="dxa"/>
          </w:tcPr>
          <w:p w14:paraId="4B92ABD8" w14:textId="6A1C86C3" w:rsidR="0033457E" w:rsidRPr="0082321B" w:rsidRDefault="00D45A20" w:rsidP="00F21F23">
            <w:pPr>
              <w:pStyle w:val="NormalWeb"/>
              <w:spacing w:after="0"/>
              <w:rPr>
                <w:rFonts w:ascii="Arial" w:eastAsia="+mn-ea" w:hAnsi="Arial" w:cs="Arial"/>
                <w:b/>
                <w:position w:val="1"/>
                <w:sz w:val="22"/>
                <w:szCs w:val="22"/>
              </w:rPr>
            </w:pPr>
            <w:r w:rsidRPr="0082321B">
              <w:rPr>
                <w:rFonts w:ascii="Arial" w:eastAsia="+mn-ea" w:hAnsi="Arial" w:cs="Arial"/>
                <w:b/>
                <w:position w:val="1"/>
                <w:sz w:val="22"/>
                <w:szCs w:val="22"/>
              </w:rPr>
              <w:t>Outcome</w:t>
            </w:r>
          </w:p>
        </w:tc>
        <w:tc>
          <w:tcPr>
            <w:tcW w:w="6911" w:type="dxa"/>
          </w:tcPr>
          <w:p w14:paraId="54D764A5" w14:textId="1398DB2A" w:rsidR="0033457E" w:rsidRPr="0082321B" w:rsidRDefault="0033457E" w:rsidP="00F21F23">
            <w:pPr>
              <w:pStyle w:val="NormalWeb"/>
              <w:spacing w:after="0"/>
              <w:rPr>
                <w:rFonts w:ascii="Arial" w:eastAsia="+mn-ea" w:hAnsi="Arial" w:cs="Arial"/>
                <w:b/>
                <w:position w:val="1"/>
                <w:sz w:val="22"/>
                <w:szCs w:val="22"/>
              </w:rPr>
            </w:pPr>
          </w:p>
        </w:tc>
      </w:tr>
    </w:tbl>
    <w:p w14:paraId="4A440D70" w14:textId="77777777" w:rsidR="0033457E" w:rsidRPr="0082321B" w:rsidRDefault="0033457E" w:rsidP="0033457E">
      <w:pPr>
        <w:pStyle w:val="NormalWeb"/>
        <w:spacing w:after="0"/>
        <w:rPr>
          <w:rFonts w:ascii="Arial" w:eastAsia="+mn-ea" w:hAnsi="Arial" w:cs="Arial"/>
          <w:b/>
          <w:position w:val="1"/>
          <w:sz w:val="22"/>
          <w:szCs w:val="22"/>
        </w:rPr>
      </w:pPr>
    </w:p>
    <w:p w14:paraId="2FC46C3D" w14:textId="77777777" w:rsidR="0033457E" w:rsidRPr="0082321B" w:rsidRDefault="0033457E" w:rsidP="0033457E">
      <w:pPr>
        <w:pStyle w:val="NormalWeb"/>
        <w:spacing w:after="0"/>
        <w:rPr>
          <w:rFonts w:ascii="Arial" w:eastAsia="+mn-ea" w:hAnsi="Arial" w:cs="Arial"/>
          <w:position w:val="1"/>
          <w:sz w:val="22"/>
          <w:szCs w:val="22"/>
        </w:rPr>
      </w:pPr>
    </w:p>
    <w:tbl>
      <w:tblPr>
        <w:tblStyle w:val="TableGridLight"/>
        <w:tblW w:w="0" w:type="auto"/>
        <w:tblLook w:val="04A0" w:firstRow="1" w:lastRow="0" w:firstColumn="1" w:lastColumn="0" w:noHBand="0" w:noVBand="1"/>
      </w:tblPr>
      <w:tblGrid>
        <w:gridCol w:w="10280"/>
      </w:tblGrid>
      <w:tr w:rsidR="0033457E" w:rsidRPr="0082321B" w14:paraId="4AA2527D" w14:textId="77777777" w:rsidTr="00F21F23">
        <w:tc>
          <w:tcPr>
            <w:tcW w:w="10280" w:type="dxa"/>
          </w:tcPr>
          <w:p w14:paraId="1D791EE1" w14:textId="77777777" w:rsidR="0033457E" w:rsidRPr="0082321B" w:rsidRDefault="0033457E" w:rsidP="00F21F23">
            <w:pPr>
              <w:pStyle w:val="NormalWeb"/>
              <w:spacing w:after="0"/>
              <w:rPr>
                <w:rFonts w:ascii="Arial" w:eastAsia="+mn-ea" w:hAnsi="Arial" w:cs="Arial"/>
                <w:b/>
                <w:position w:val="1"/>
                <w:sz w:val="22"/>
                <w:szCs w:val="22"/>
              </w:rPr>
            </w:pPr>
            <w:r w:rsidRPr="0082321B">
              <w:rPr>
                <w:rFonts w:ascii="Arial" w:eastAsia="+mn-ea" w:hAnsi="Arial" w:cs="Arial"/>
                <w:b/>
                <w:position w:val="1"/>
                <w:sz w:val="22"/>
                <w:szCs w:val="22"/>
              </w:rPr>
              <w:t>Key findings from Assurance</w:t>
            </w:r>
          </w:p>
        </w:tc>
      </w:tr>
      <w:tr w:rsidR="0033457E" w:rsidRPr="0082321B" w14:paraId="38940AE0" w14:textId="77777777" w:rsidTr="00F21F23">
        <w:tc>
          <w:tcPr>
            <w:tcW w:w="10280" w:type="dxa"/>
          </w:tcPr>
          <w:p w14:paraId="50435A74" w14:textId="77777777" w:rsidR="0033457E" w:rsidRPr="0082321B" w:rsidRDefault="0033457E" w:rsidP="0033457E">
            <w:pPr>
              <w:pStyle w:val="NormalWeb"/>
              <w:numPr>
                <w:ilvl w:val="0"/>
                <w:numId w:val="34"/>
              </w:numPr>
              <w:spacing w:before="240" w:after="0"/>
              <w:textboxTightWrap w:val="none"/>
              <w:rPr>
                <w:rFonts w:ascii="Arial" w:eastAsia="+mn-ea" w:hAnsi="Arial" w:cs="Arial"/>
                <w:position w:val="1"/>
                <w:sz w:val="22"/>
                <w:szCs w:val="22"/>
              </w:rPr>
            </w:pPr>
            <w:r w:rsidRPr="0082321B">
              <w:rPr>
                <w:rFonts w:ascii="Arial" w:eastAsia="+mn-ea" w:hAnsi="Arial" w:cs="Arial"/>
                <w:position w:val="1"/>
                <w:sz w:val="22"/>
                <w:szCs w:val="22"/>
              </w:rPr>
              <w:t>Key finding 1</w:t>
            </w:r>
          </w:p>
          <w:p w14:paraId="42F1F433" w14:textId="77777777" w:rsidR="0033457E" w:rsidRPr="0082321B" w:rsidRDefault="0033457E" w:rsidP="0033457E">
            <w:pPr>
              <w:pStyle w:val="NormalWeb"/>
              <w:numPr>
                <w:ilvl w:val="0"/>
                <w:numId w:val="34"/>
              </w:numPr>
              <w:spacing w:before="240" w:after="0"/>
              <w:textboxTightWrap w:val="none"/>
              <w:rPr>
                <w:rFonts w:ascii="Arial" w:eastAsia="+mn-ea" w:hAnsi="Arial" w:cs="Arial"/>
                <w:position w:val="1"/>
                <w:sz w:val="22"/>
                <w:szCs w:val="22"/>
              </w:rPr>
            </w:pPr>
            <w:r w:rsidRPr="0082321B">
              <w:rPr>
                <w:rFonts w:ascii="Arial" w:eastAsia="+mn-ea" w:hAnsi="Arial" w:cs="Arial"/>
                <w:position w:val="1"/>
                <w:sz w:val="22"/>
                <w:szCs w:val="22"/>
              </w:rPr>
              <w:t>Key finding 2</w:t>
            </w:r>
          </w:p>
          <w:p w14:paraId="57321D1F" w14:textId="77777777" w:rsidR="0033457E" w:rsidRPr="0082321B" w:rsidRDefault="0033457E" w:rsidP="0033457E">
            <w:pPr>
              <w:pStyle w:val="NormalWeb"/>
              <w:numPr>
                <w:ilvl w:val="0"/>
                <w:numId w:val="34"/>
              </w:numPr>
              <w:spacing w:before="240" w:after="0"/>
              <w:textboxTightWrap w:val="none"/>
              <w:rPr>
                <w:rFonts w:ascii="Arial" w:eastAsia="+mn-ea" w:hAnsi="Arial" w:cs="Arial"/>
                <w:position w:val="1"/>
                <w:sz w:val="22"/>
                <w:szCs w:val="22"/>
              </w:rPr>
            </w:pPr>
            <w:r w:rsidRPr="0082321B">
              <w:rPr>
                <w:rFonts w:ascii="Arial" w:eastAsia="+mn-ea" w:hAnsi="Arial" w:cs="Arial"/>
                <w:position w:val="1"/>
                <w:sz w:val="22"/>
                <w:szCs w:val="22"/>
              </w:rPr>
              <w:t>Key finding 3</w:t>
            </w:r>
          </w:p>
        </w:tc>
      </w:tr>
    </w:tbl>
    <w:p w14:paraId="2271FA56" w14:textId="77777777" w:rsidR="0033457E" w:rsidRPr="0082321B" w:rsidRDefault="0033457E" w:rsidP="0033457E">
      <w:pPr>
        <w:pStyle w:val="NormalWeb"/>
        <w:spacing w:after="0"/>
        <w:rPr>
          <w:rFonts w:ascii="Arial" w:eastAsia="+mn-ea" w:hAnsi="Arial" w:cs="Arial"/>
          <w:position w:val="1"/>
          <w:sz w:val="22"/>
          <w:szCs w:val="22"/>
        </w:rPr>
      </w:pPr>
    </w:p>
    <w:p w14:paraId="099D693F" w14:textId="77777777" w:rsidR="0033457E" w:rsidRPr="0082321B" w:rsidRDefault="0033457E" w:rsidP="0033457E">
      <w:pPr>
        <w:pStyle w:val="NormalWeb"/>
        <w:spacing w:after="0"/>
        <w:rPr>
          <w:rFonts w:ascii="Arial" w:eastAsia="+mn-ea" w:hAnsi="Arial" w:cs="Arial"/>
          <w:position w:val="1"/>
          <w:sz w:val="22"/>
          <w:szCs w:val="22"/>
        </w:rPr>
      </w:pPr>
    </w:p>
    <w:tbl>
      <w:tblPr>
        <w:tblStyle w:val="TableGridLight"/>
        <w:tblW w:w="10314" w:type="dxa"/>
        <w:tblLook w:val="04A0" w:firstRow="1" w:lastRow="0" w:firstColumn="1" w:lastColumn="0" w:noHBand="0" w:noVBand="1"/>
      </w:tblPr>
      <w:tblGrid>
        <w:gridCol w:w="3369"/>
        <w:gridCol w:w="6945"/>
      </w:tblGrid>
      <w:tr w:rsidR="0033457E" w:rsidRPr="0082321B" w14:paraId="06CE389E" w14:textId="77777777" w:rsidTr="00F21F23">
        <w:tc>
          <w:tcPr>
            <w:tcW w:w="3369" w:type="dxa"/>
          </w:tcPr>
          <w:p w14:paraId="76DB4B9B" w14:textId="77777777" w:rsidR="0033457E" w:rsidRPr="0082321B" w:rsidRDefault="0033457E" w:rsidP="00F21F23">
            <w:pPr>
              <w:pStyle w:val="NormalWeb"/>
              <w:spacing w:before="60" w:after="60"/>
              <w:rPr>
                <w:rFonts w:ascii="Arial" w:eastAsia="+mn-ea" w:hAnsi="Arial" w:cs="Arial"/>
                <w:b/>
                <w:position w:val="1"/>
                <w:sz w:val="22"/>
                <w:szCs w:val="22"/>
              </w:rPr>
            </w:pPr>
            <w:r w:rsidRPr="0082321B">
              <w:rPr>
                <w:rFonts w:ascii="Arial" w:eastAsia="+mn-ea" w:hAnsi="Arial" w:cs="Arial"/>
                <w:b/>
                <w:position w:val="1"/>
                <w:sz w:val="22"/>
                <w:szCs w:val="22"/>
              </w:rPr>
              <w:t>Approval date</w:t>
            </w:r>
          </w:p>
        </w:tc>
        <w:sdt>
          <w:sdtPr>
            <w:rPr>
              <w:rFonts w:ascii="Arial" w:eastAsia="+mn-ea" w:hAnsi="Arial" w:cs="Arial"/>
              <w:position w:val="1"/>
              <w:sz w:val="22"/>
              <w:szCs w:val="22"/>
            </w:rPr>
            <w:id w:val="1802733087"/>
            <w:showingPlcHdr/>
            <w:date>
              <w:dateFormat w:val="dd/MM/yyyy"/>
              <w:lid w:val="en-GB"/>
              <w:storeMappedDataAs w:val="dateTime"/>
              <w:calendar w:val="gregorian"/>
            </w:date>
          </w:sdtPr>
          <w:sdtEndPr/>
          <w:sdtContent>
            <w:tc>
              <w:tcPr>
                <w:tcW w:w="6945" w:type="dxa"/>
              </w:tcPr>
              <w:p w14:paraId="55F08294" w14:textId="77777777" w:rsidR="0033457E" w:rsidRPr="0082321B" w:rsidRDefault="0033457E" w:rsidP="00F21F23">
                <w:pPr>
                  <w:pStyle w:val="NormalWeb"/>
                  <w:spacing w:before="60" w:after="60"/>
                  <w:rPr>
                    <w:rFonts w:ascii="Arial" w:eastAsia="+mn-ea" w:hAnsi="Arial" w:cs="Arial"/>
                    <w:position w:val="1"/>
                    <w:sz w:val="22"/>
                    <w:szCs w:val="22"/>
                  </w:rPr>
                </w:pPr>
                <w:r w:rsidRPr="0082321B">
                  <w:rPr>
                    <w:rFonts w:ascii="Arial" w:eastAsia="+mn-ea" w:hAnsi="Arial" w:cs="Arial"/>
                    <w:position w:val="1"/>
                    <w:sz w:val="22"/>
                    <w:szCs w:val="22"/>
                  </w:rPr>
                  <w:t>Click here to enter a date.</w:t>
                </w:r>
              </w:p>
            </w:tc>
          </w:sdtContent>
        </w:sdt>
      </w:tr>
      <w:tr w:rsidR="0033457E" w:rsidRPr="0082321B" w14:paraId="6671034B" w14:textId="77777777" w:rsidTr="00F21F23">
        <w:tc>
          <w:tcPr>
            <w:tcW w:w="3369" w:type="dxa"/>
          </w:tcPr>
          <w:p w14:paraId="305EB880" w14:textId="77777777" w:rsidR="0033457E" w:rsidRPr="0082321B" w:rsidRDefault="0033457E" w:rsidP="00F21F23">
            <w:pPr>
              <w:pStyle w:val="NormalWeb"/>
              <w:spacing w:before="60" w:after="60"/>
              <w:rPr>
                <w:rFonts w:ascii="Arial" w:eastAsia="+mn-ea" w:hAnsi="Arial" w:cs="Arial"/>
                <w:b/>
                <w:position w:val="1"/>
                <w:sz w:val="22"/>
                <w:szCs w:val="22"/>
              </w:rPr>
            </w:pPr>
            <w:r w:rsidRPr="0082321B">
              <w:rPr>
                <w:rFonts w:ascii="Arial" w:eastAsia="+mn-ea" w:hAnsi="Arial" w:cs="Arial"/>
                <w:b/>
                <w:position w:val="1"/>
                <w:sz w:val="22"/>
                <w:szCs w:val="22"/>
              </w:rPr>
              <w:t>Review date</w:t>
            </w:r>
          </w:p>
        </w:tc>
        <w:sdt>
          <w:sdtPr>
            <w:rPr>
              <w:rFonts w:ascii="Arial" w:eastAsia="+mn-ea" w:hAnsi="Arial" w:cs="Arial"/>
              <w:position w:val="1"/>
              <w:sz w:val="22"/>
              <w:szCs w:val="22"/>
            </w:rPr>
            <w:id w:val="969868933"/>
            <w:showingPlcHdr/>
            <w:date>
              <w:dateFormat w:val="dd/MM/yyyy"/>
              <w:lid w:val="en-GB"/>
              <w:storeMappedDataAs w:val="dateTime"/>
              <w:calendar w:val="gregorian"/>
            </w:date>
          </w:sdtPr>
          <w:sdtEndPr/>
          <w:sdtContent>
            <w:tc>
              <w:tcPr>
                <w:tcW w:w="6945" w:type="dxa"/>
              </w:tcPr>
              <w:p w14:paraId="3CD8DBB2" w14:textId="77777777" w:rsidR="0033457E" w:rsidRPr="0082321B" w:rsidRDefault="0033457E" w:rsidP="00F21F23">
                <w:pPr>
                  <w:pStyle w:val="NormalWeb"/>
                  <w:spacing w:before="60" w:after="60"/>
                  <w:rPr>
                    <w:rFonts w:ascii="Arial" w:eastAsia="+mn-ea" w:hAnsi="Arial" w:cs="Arial"/>
                    <w:position w:val="1"/>
                    <w:sz w:val="22"/>
                    <w:szCs w:val="22"/>
                  </w:rPr>
                </w:pPr>
                <w:r w:rsidRPr="0082321B">
                  <w:rPr>
                    <w:rFonts w:ascii="Arial" w:eastAsia="+mn-ea" w:hAnsi="Arial" w:cs="Arial"/>
                    <w:position w:val="1"/>
                    <w:sz w:val="22"/>
                    <w:szCs w:val="22"/>
                  </w:rPr>
                  <w:t>Click here to enter a date.</w:t>
                </w:r>
              </w:p>
            </w:tc>
          </w:sdtContent>
        </w:sdt>
      </w:tr>
    </w:tbl>
    <w:p w14:paraId="189846F7" w14:textId="77777777" w:rsidR="0033457E" w:rsidRPr="0082321B" w:rsidRDefault="0033457E" w:rsidP="0033457E">
      <w:pPr>
        <w:pStyle w:val="NormalWeb"/>
        <w:spacing w:after="0"/>
        <w:rPr>
          <w:rFonts w:ascii="Arial" w:eastAsia="+mn-ea" w:hAnsi="Arial" w:cs="Arial"/>
          <w:position w:val="1"/>
          <w:sz w:val="22"/>
          <w:szCs w:val="22"/>
        </w:rPr>
      </w:pPr>
    </w:p>
    <w:p w14:paraId="24E728BB" w14:textId="77777777" w:rsidR="0033457E" w:rsidRPr="0082321B" w:rsidRDefault="0033457E" w:rsidP="0033457E">
      <w:pPr>
        <w:pStyle w:val="NormalWeb"/>
        <w:spacing w:after="0"/>
        <w:ind w:left="142" w:hanging="142"/>
        <w:rPr>
          <w:rFonts w:ascii="Arial" w:eastAsia="+mn-ea" w:hAnsi="Arial" w:cs="Arial"/>
          <w:position w:val="1"/>
          <w:sz w:val="22"/>
          <w:szCs w:val="22"/>
        </w:rPr>
      </w:pPr>
    </w:p>
    <w:p w14:paraId="53124DD9" w14:textId="77777777" w:rsidR="0033457E" w:rsidRPr="0082321B" w:rsidRDefault="0033457E" w:rsidP="0033457E">
      <w:r w:rsidRPr="0082321B">
        <w:br w:type="page"/>
      </w:r>
    </w:p>
    <w:p w14:paraId="0041555A" w14:textId="77777777" w:rsidR="0033457E" w:rsidRPr="0082321B" w:rsidRDefault="0033457E" w:rsidP="0033457E">
      <w:pPr>
        <w:pStyle w:val="NormalWeb"/>
        <w:spacing w:after="0"/>
        <w:rPr>
          <w:rFonts w:ascii="Arial" w:eastAsia="+mn-ea" w:hAnsi="Arial" w:cs="Arial"/>
          <w:b/>
          <w:position w:val="1"/>
          <w:sz w:val="22"/>
          <w:szCs w:val="22"/>
        </w:rPr>
      </w:pPr>
      <w:r w:rsidRPr="0082321B">
        <w:rPr>
          <w:rFonts w:ascii="Arial" w:eastAsia="+mn-ea" w:hAnsi="Arial" w:cs="Arial"/>
          <w:b/>
          <w:position w:val="1"/>
          <w:sz w:val="22"/>
          <w:szCs w:val="22"/>
        </w:rPr>
        <w:lastRenderedPageBreak/>
        <w:t xml:space="preserve">Details of Methodology Appraisal – </w:t>
      </w:r>
      <w:sdt>
        <w:sdtPr>
          <w:rPr>
            <w:rFonts w:ascii="Arial" w:eastAsia="+mn-ea" w:hAnsi="Arial" w:cs="Arial"/>
            <w:b/>
            <w:position w:val="1"/>
            <w:sz w:val="22"/>
            <w:szCs w:val="22"/>
          </w:rPr>
          <w:id w:val="1730420586"/>
          <w:date w:fullDate="2016-01-14T00:00:00Z">
            <w:dateFormat w:val="dd/MM/yyyy"/>
            <w:lid w:val="en-GB"/>
            <w:storeMappedDataAs w:val="dateTime"/>
            <w:calendar w:val="gregorian"/>
          </w:date>
        </w:sdtPr>
        <w:sdtEndPr/>
        <w:sdtContent>
          <w:r w:rsidRPr="0082321B">
            <w:rPr>
              <w:rFonts w:ascii="Arial" w:eastAsia="+mn-ea" w:hAnsi="Arial" w:cs="Arial"/>
              <w:b/>
              <w:position w:val="1"/>
              <w:sz w:val="22"/>
              <w:szCs w:val="22"/>
            </w:rPr>
            <w:t>14/01/2016</w:t>
          </w:r>
        </w:sdtContent>
      </w:sdt>
    </w:p>
    <w:p w14:paraId="6574172A" w14:textId="77777777" w:rsidR="0033457E" w:rsidRPr="0082321B" w:rsidRDefault="0033457E" w:rsidP="0033457E">
      <w:pPr>
        <w:pStyle w:val="NormalWeb"/>
        <w:spacing w:after="0"/>
        <w:rPr>
          <w:rFonts w:ascii="Arial" w:eastAsia="+mn-ea" w:hAnsi="Arial" w:cs="Arial"/>
          <w:b/>
          <w:position w:val="1"/>
          <w:sz w:val="22"/>
          <w:szCs w:val="22"/>
        </w:rPr>
      </w:pPr>
    </w:p>
    <w:tbl>
      <w:tblPr>
        <w:tblStyle w:val="TableGridLight"/>
        <w:tblW w:w="10314" w:type="dxa"/>
        <w:tblLook w:val="04A0" w:firstRow="1" w:lastRow="0" w:firstColumn="1" w:lastColumn="0" w:noHBand="0" w:noVBand="1"/>
      </w:tblPr>
      <w:tblGrid>
        <w:gridCol w:w="3369"/>
        <w:gridCol w:w="6945"/>
      </w:tblGrid>
      <w:tr w:rsidR="0033457E" w:rsidRPr="0082321B" w14:paraId="4020E8DA" w14:textId="77777777" w:rsidTr="00F21F23">
        <w:tc>
          <w:tcPr>
            <w:tcW w:w="3369" w:type="dxa"/>
          </w:tcPr>
          <w:p w14:paraId="31A98C50" w14:textId="77777777" w:rsidR="0033457E" w:rsidRPr="0082321B" w:rsidRDefault="0033457E" w:rsidP="00F21F23">
            <w:pPr>
              <w:pStyle w:val="NormalWeb"/>
              <w:spacing w:beforeLines="60" w:before="144" w:afterLines="60" w:after="144"/>
              <w:rPr>
                <w:rFonts w:ascii="Arial" w:eastAsia="+mn-ea" w:hAnsi="Arial" w:cs="Arial"/>
                <w:b/>
                <w:position w:val="1"/>
                <w:sz w:val="22"/>
                <w:szCs w:val="22"/>
              </w:rPr>
            </w:pPr>
            <w:r w:rsidRPr="0082321B">
              <w:rPr>
                <w:rFonts w:ascii="Arial" w:eastAsia="+mn-ea" w:hAnsi="Arial" w:cs="Arial"/>
                <w:b/>
                <w:position w:val="1"/>
                <w:sz w:val="22"/>
                <w:szCs w:val="22"/>
              </w:rPr>
              <w:t>Methodology appraisal body</w:t>
            </w:r>
          </w:p>
        </w:tc>
        <w:tc>
          <w:tcPr>
            <w:tcW w:w="6945" w:type="dxa"/>
          </w:tcPr>
          <w:p w14:paraId="5078AA0F" w14:textId="77777777" w:rsidR="0033457E" w:rsidRPr="0082321B" w:rsidRDefault="003F72CF" w:rsidP="00F21F23">
            <w:pPr>
              <w:pStyle w:val="NormalWeb"/>
              <w:spacing w:beforeLines="60" w:before="144" w:afterLines="60" w:after="144"/>
              <w:rPr>
                <w:rFonts w:ascii="Arial" w:eastAsia="+mn-ea" w:hAnsi="Arial" w:cs="Arial"/>
                <w:position w:val="1"/>
                <w:sz w:val="22"/>
                <w:szCs w:val="22"/>
              </w:rPr>
            </w:pPr>
            <w:sdt>
              <w:sdtPr>
                <w:rPr>
                  <w:rFonts w:ascii="Arial" w:eastAsia="+mn-ea" w:hAnsi="Arial" w:cs="Arial"/>
                  <w:position w:val="1"/>
                  <w:sz w:val="22"/>
                  <w:szCs w:val="22"/>
                </w:rPr>
                <w:alias w:val="Methodology appraisal body"/>
                <w:tag w:val="Methodology appraisal body"/>
                <w:id w:val="1713458190"/>
                <w:dropDownList>
                  <w:listItem w:value="Choose an item."/>
                  <w:listItem w:displayText="HSCIC's Indicator &amp; Methodology Assurance Service" w:value="HSCIC's Indicator &amp; Methodology Assurance Service"/>
                </w:dropDownList>
              </w:sdtPr>
              <w:sdtEndPr/>
              <w:sdtContent>
                <w:r w:rsidR="0033457E" w:rsidRPr="0082321B">
                  <w:rPr>
                    <w:rFonts w:ascii="Arial" w:eastAsia="+mn-ea" w:hAnsi="Arial" w:cs="Arial"/>
                    <w:position w:val="1"/>
                    <w:sz w:val="22"/>
                    <w:szCs w:val="22"/>
                  </w:rPr>
                  <w:t>HSCIC's Indicator &amp; Methodology Assurance Service</w:t>
                </w:r>
              </w:sdtContent>
            </w:sdt>
          </w:p>
        </w:tc>
      </w:tr>
      <w:tr w:rsidR="0033457E" w:rsidRPr="0082321B" w14:paraId="4D1608BF" w14:textId="77777777" w:rsidTr="00F21F23">
        <w:trPr>
          <w:trHeight w:val="359"/>
        </w:trPr>
        <w:tc>
          <w:tcPr>
            <w:tcW w:w="3369" w:type="dxa"/>
          </w:tcPr>
          <w:p w14:paraId="4991C025" w14:textId="77777777" w:rsidR="0033457E" w:rsidRPr="0082321B" w:rsidRDefault="0033457E" w:rsidP="00F21F23">
            <w:pPr>
              <w:pStyle w:val="NormalWeb"/>
              <w:spacing w:beforeLines="60" w:before="144" w:afterLines="60" w:after="144"/>
              <w:rPr>
                <w:rFonts w:ascii="Arial" w:eastAsia="+mn-ea" w:hAnsi="Arial" w:cs="Arial"/>
                <w:position w:val="1"/>
                <w:sz w:val="22"/>
                <w:szCs w:val="22"/>
              </w:rPr>
            </w:pPr>
            <w:r w:rsidRPr="0082321B">
              <w:rPr>
                <w:rFonts w:ascii="Arial" w:eastAsia="+mn-ea" w:hAnsi="Arial" w:cs="Arial"/>
                <w:b/>
                <w:position w:val="1"/>
                <w:sz w:val="22"/>
                <w:szCs w:val="22"/>
              </w:rPr>
              <w:t>Reason for assessment</w:t>
            </w:r>
          </w:p>
        </w:tc>
        <w:sdt>
          <w:sdtPr>
            <w:rPr>
              <w:rFonts w:ascii="Arial" w:eastAsia="+mn-ea" w:hAnsi="Arial" w:cs="Arial"/>
              <w:position w:val="1"/>
              <w:sz w:val="22"/>
              <w:szCs w:val="22"/>
            </w:rPr>
            <w:alias w:val="Reason for assessment"/>
            <w:tag w:val="Reason for assessment"/>
            <w:id w:val="379438268"/>
            <w:dropDownList>
              <w:listItem w:value="Choose an item."/>
              <w:listItem w:displayText="Initial assurance" w:value="Initial assurance"/>
              <w:listItem w:displayText="Scheduled review (review date reached)" w:value="Scheduled review (review date reached)"/>
              <w:listItem w:displayText="Unscheduled review (developer initiated)" w:value="Unscheduled review (developer initiated)"/>
              <w:listItem w:displayText="Unscheduled review (externally initiated)" w:value="Unscheduled review (externally initiated)"/>
              <w:listItem w:displayText="Unscheduled review (IGB initiated)" w:value="Unscheduled review (IGB initiated)"/>
              <w:listItem w:displayText="Unscheduled review (similar indicator submitted)" w:value="Unscheduled review (similar indicator submitted)"/>
            </w:dropDownList>
          </w:sdtPr>
          <w:sdtEndPr/>
          <w:sdtContent>
            <w:tc>
              <w:tcPr>
                <w:tcW w:w="6945" w:type="dxa"/>
              </w:tcPr>
              <w:p w14:paraId="77853A2F" w14:textId="77777777" w:rsidR="0033457E" w:rsidRPr="0082321B" w:rsidRDefault="0033457E" w:rsidP="00F21F23">
                <w:pPr>
                  <w:pStyle w:val="NormalWeb"/>
                  <w:spacing w:beforeLines="60" w:before="144" w:afterLines="60" w:after="144"/>
                  <w:rPr>
                    <w:rFonts w:ascii="Arial" w:eastAsia="+mn-ea" w:hAnsi="Arial" w:cs="Arial"/>
                    <w:position w:val="1"/>
                    <w:sz w:val="22"/>
                    <w:szCs w:val="22"/>
                  </w:rPr>
                </w:pPr>
                <w:r w:rsidRPr="0082321B">
                  <w:rPr>
                    <w:rFonts w:ascii="Arial" w:eastAsia="+mn-ea" w:hAnsi="Arial" w:cs="Arial"/>
                    <w:position w:val="1"/>
                    <w:sz w:val="22"/>
                    <w:szCs w:val="22"/>
                  </w:rPr>
                  <w:t>Scheduled review (review date reached)</w:t>
                </w:r>
              </w:p>
            </w:tc>
          </w:sdtContent>
        </w:sdt>
      </w:tr>
      <w:tr w:rsidR="0033457E" w:rsidRPr="0082321B" w14:paraId="7A98D851" w14:textId="77777777" w:rsidTr="00F21F23">
        <w:trPr>
          <w:trHeight w:val="557"/>
        </w:trPr>
        <w:tc>
          <w:tcPr>
            <w:tcW w:w="3369" w:type="dxa"/>
          </w:tcPr>
          <w:p w14:paraId="615A61F9" w14:textId="77777777" w:rsidR="0033457E" w:rsidRPr="0082321B" w:rsidRDefault="0033457E" w:rsidP="00F21F23">
            <w:pPr>
              <w:pStyle w:val="NormalWeb"/>
              <w:spacing w:beforeLines="60" w:before="144" w:afterLines="60" w:after="144"/>
              <w:rPr>
                <w:rFonts w:ascii="Arial" w:eastAsia="+mn-ea" w:hAnsi="Arial" w:cs="Arial"/>
                <w:position w:val="1"/>
                <w:sz w:val="22"/>
                <w:szCs w:val="22"/>
              </w:rPr>
            </w:pPr>
            <w:r w:rsidRPr="0082321B">
              <w:rPr>
                <w:rFonts w:ascii="Arial" w:eastAsia="+mn-ea" w:hAnsi="Arial" w:cs="Arial"/>
                <w:b/>
                <w:position w:val="1"/>
                <w:sz w:val="22"/>
                <w:szCs w:val="22"/>
              </w:rPr>
              <w:t>Iteration</w:t>
            </w:r>
          </w:p>
        </w:tc>
        <w:sdt>
          <w:sdtPr>
            <w:rPr>
              <w:rFonts w:ascii="Arial" w:eastAsia="+mn-ea" w:hAnsi="Arial" w:cs="Arial"/>
              <w:position w:val="1"/>
              <w:sz w:val="22"/>
              <w:szCs w:val="22"/>
            </w:rPr>
            <w:id w:val="-868284579"/>
            <w:dropDownList>
              <w:listItem w:value="Choose an item."/>
              <w:listItem w:displayText="1st MRG meeting" w:value="1st MRG meeting"/>
              <w:listItem w:displayText="2nd MRG meeting" w:value="2nd MRG meeting"/>
              <w:listItem w:displayText="3rd MRG meeting" w:value="3rd MRG meeting"/>
              <w:listItem w:displayText="4th MRG meeting" w:value="4th MRG meeting"/>
              <w:listItem w:displayText="Returned to MRG by IGB for further consideration" w:value="Returned to MRG by IGB for further consideration"/>
              <w:listItem w:displayText="Update from MRG Chair" w:value="Update from MRG Chair"/>
            </w:dropDownList>
          </w:sdtPr>
          <w:sdtEndPr/>
          <w:sdtContent>
            <w:tc>
              <w:tcPr>
                <w:tcW w:w="6945" w:type="dxa"/>
              </w:tcPr>
              <w:p w14:paraId="636D7E72" w14:textId="77777777" w:rsidR="0033457E" w:rsidRPr="0082321B" w:rsidRDefault="0033457E" w:rsidP="00F21F23">
                <w:pPr>
                  <w:pStyle w:val="NormalWeb"/>
                  <w:spacing w:beforeLines="60" w:before="144" w:afterLines="60" w:after="144"/>
                  <w:rPr>
                    <w:rFonts w:ascii="Arial" w:eastAsia="+mn-ea" w:hAnsi="Arial" w:cs="Arial"/>
                    <w:position w:val="1"/>
                    <w:sz w:val="22"/>
                    <w:szCs w:val="22"/>
                  </w:rPr>
                </w:pPr>
                <w:r w:rsidRPr="0082321B">
                  <w:rPr>
                    <w:rFonts w:ascii="Arial" w:eastAsia="+mn-ea" w:hAnsi="Arial" w:cs="Arial"/>
                    <w:position w:val="1"/>
                    <w:sz w:val="22"/>
                    <w:szCs w:val="22"/>
                  </w:rPr>
                  <w:t>1st MRG meeting</w:t>
                </w:r>
              </w:p>
            </w:tc>
          </w:sdtContent>
        </w:sdt>
      </w:tr>
    </w:tbl>
    <w:p w14:paraId="54AF93C2" w14:textId="77777777" w:rsidR="0033457E" w:rsidRPr="0082321B" w:rsidRDefault="0033457E" w:rsidP="0033457E"/>
    <w:p w14:paraId="6EC46EE3" w14:textId="77777777" w:rsidR="0033457E" w:rsidRPr="0082321B" w:rsidRDefault="0033457E" w:rsidP="0033457E">
      <w:pPr>
        <w:rPr>
          <w:rFonts w:eastAsia="+mn-ea"/>
          <w:b/>
          <w:i/>
          <w:position w:val="1"/>
          <w:lang w:eastAsia="en-GB"/>
        </w:rPr>
      </w:pPr>
      <w:r w:rsidRPr="0082321B">
        <w:rPr>
          <w:rFonts w:eastAsia="+mn-ea"/>
          <w:b/>
          <w:i/>
          <w:position w:val="1"/>
          <w:lang w:eastAsia="en-GB"/>
        </w:rPr>
        <w:t>Suggested Assurance Rating by Methodology Appraisal Body</w:t>
      </w:r>
    </w:p>
    <w:p w14:paraId="00DEEC83" w14:textId="77777777" w:rsidR="0033457E" w:rsidRPr="0082321B" w:rsidRDefault="003F72CF" w:rsidP="0033457E">
      <w:pPr>
        <w:jc w:val="center"/>
        <w:rPr>
          <w:rFonts w:eastAsia="+mn-ea"/>
          <w:b/>
          <w:position w:val="1"/>
          <w:lang w:eastAsia="en-GB"/>
        </w:rPr>
      </w:pPr>
      <w:r>
        <w:rPr>
          <w:rFonts w:eastAsia="+mn-ea"/>
          <w:b/>
          <w:position w:val="1"/>
          <w:lang w:eastAsia="en-GB"/>
        </w:rPr>
        <w:pict w14:anchorId="4B2691B8">
          <v:rect id="_x0000_i1026" style="width:503.2pt;height:1.5pt" o:hralign="center" o:hrstd="t" o:hr="t" fillcolor="#a0a0a0" stroked="f"/>
        </w:pict>
      </w:r>
    </w:p>
    <w:tbl>
      <w:tblPr>
        <w:tblStyle w:val="TableGridLight"/>
        <w:tblW w:w="0" w:type="auto"/>
        <w:tblLook w:val="04A0" w:firstRow="1" w:lastRow="0" w:firstColumn="1" w:lastColumn="0" w:noHBand="0" w:noVBand="1"/>
      </w:tblPr>
      <w:tblGrid>
        <w:gridCol w:w="4077"/>
        <w:gridCol w:w="2268"/>
        <w:gridCol w:w="3935"/>
      </w:tblGrid>
      <w:tr w:rsidR="0033457E" w:rsidRPr="0082321B" w14:paraId="6CA1E8A7" w14:textId="77777777" w:rsidTr="00F21F23">
        <w:tc>
          <w:tcPr>
            <w:tcW w:w="4077" w:type="dxa"/>
          </w:tcPr>
          <w:p w14:paraId="0323FC64" w14:textId="77777777" w:rsidR="0033457E" w:rsidRPr="005D54DD" w:rsidRDefault="0033457E" w:rsidP="00F21F23">
            <w:pPr>
              <w:spacing w:before="120"/>
              <w:rPr>
                <w:rFonts w:eastAsia="+mn-ea"/>
                <w:b/>
                <w:position w:val="1"/>
              </w:rPr>
            </w:pPr>
            <w:r w:rsidRPr="0082321B">
              <w:rPr>
                <w:rFonts w:eastAsia="+mn-ea"/>
                <w:b/>
                <w:position w:val="1"/>
              </w:rPr>
              <w:t>Ratings Against Assessment Criteria</w:t>
            </w:r>
          </w:p>
        </w:tc>
        <w:tc>
          <w:tcPr>
            <w:tcW w:w="2268" w:type="dxa"/>
          </w:tcPr>
          <w:p w14:paraId="16962E8C" w14:textId="77777777" w:rsidR="0033457E" w:rsidRPr="0082321B" w:rsidRDefault="0033457E" w:rsidP="00F21F23">
            <w:pPr>
              <w:spacing w:line="360" w:lineRule="auto"/>
              <w:rPr>
                <w:rFonts w:eastAsia="+mn-ea"/>
                <w:b/>
                <w:position w:val="1"/>
              </w:rPr>
            </w:pPr>
          </w:p>
        </w:tc>
        <w:tc>
          <w:tcPr>
            <w:tcW w:w="3935" w:type="dxa"/>
            <w:hideMark/>
          </w:tcPr>
          <w:p w14:paraId="1A8461E6" w14:textId="77777777" w:rsidR="0033457E" w:rsidRPr="0082321B" w:rsidRDefault="0033457E" w:rsidP="00F21F23">
            <w:pPr>
              <w:spacing w:before="120"/>
              <w:jc w:val="center"/>
              <w:rPr>
                <w:rFonts w:eastAsia="+mn-ea"/>
                <w:b/>
                <w:position w:val="1"/>
              </w:rPr>
            </w:pPr>
            <w:r w:rsidRPr="0082321B">
              <w:rPr>
                <w:rFonts w:eastAsia="+mn-ea"/>
                <w:b/>
                <w:position w:val="1"/>
              </w:rPr>
              <w:t>Overall Rating</w:t>
            </w:r>
          </w:p>
          <w:p w14:paraId="63AC861D" w14:textId="77777777" w:rsidR="0033457E" w:rsidRPr="0082321B" w:rsidRDefault="0033457E" w:rsidP="00F21F23">
            <w:pPr>
              <w:spacing w:line="360" w:lineRule="auto"/>
              <w:jc w:val="center"/>
              <w:rPr>
                <w:rFonts w:eastAsia="+mn-ea"/>
                <w:b/>
                <w:position w:val="1"/>
              </w:rPr>
            </w:pPr>
          </w:p>
        </w:tc>
      </w:tr>
      <w:tr w:rsidR="0033457E" w:rsidRPr="0082321B" w14:paraId="74AB43C2" w14:textId="77777777" w:rsidTr="00F21F23">
        <w:tc>
          <w:tcPr>
            <w:tcW w:w="4077" w:type="dxa"/>
          </w:tcPr>
          <w:p w14:paraId="1A673639" w14:textId="77777777" w:rsidR="0033457E" w:rsidRPr="0082321B" w:rsidRDefault="0033457E" w:rsidP="00F21F23">
            <w:pPr>
              <w:spacing w:line="360" w:lineRule="auto"/>
              <w:rPr>
                <w:rFonts w:eastAsia="+mn-ea"/>
                <w:position w:val="1"/>
              </w:rPr>
            </w:pPr>
            <w:r w:rsidRPr="0082321B">
              <w:rPr>
                <w:rFonts w:eastAsia="+mn-ea"/>
                <w:position w:val="1"/>
              </w:rPr>
              <w:t>Clarity</w:t>
            </w:r>
          </w:p>
        </w:tc>
        <w:tc>
          <w:tcPr>
            <w:tcW w:w="2268" w:type="dxa"/>
          </w:tcPr>
          <w:p w14:paraId="0497DD63"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3935" w:type="dxa"/>
          </w:tcPr>
          <w:sdt>
            <w:sdtPr>
              <w:rPr>
                <w:rFonts w:eastAsia="+mn-ea"/>
                <w:b/>
                <w:position w:val="1"/>
              </w:rPr>
              <w:alias w:val="MRG rating"/>
              <w:tag w:val="MRG rating"/>
              <w:id w:val="-768004364"/>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p w14:paraId="5114C6AD" w14:textId="77777777" w:rsidR="0033457E" w:rsidRDefault="0033457E" w:rsidP="00F21F23">
                <w:pPr>
                  <w:spacing w:line="360" w:lineRule="auto"/>
                  <w:jc w:val="center"/>
                  <w:rPr>
                    <w:rFonts w:eastAsia="+mn-ea"/>
                    <w:b/>
                    <w:position w:val="1"/>
                  </w:rPr>
                </w:pPr>
                <w:r w:rsidRPr="0082321B">
                  <w:rPr>
                    <w:rFonts w:eastAsia="+mn-ea"/>
                    <w:b/>
                    <w:position w:val="1"/>
                  </w:rPr>
                  <w:t>Pending</w:t>
                </w:r>
              </w:p>
            </w:sdtContent>
          </w:sdt>
          <w:p w14:paraId="2516BF07" w14:textId="77777777" w:rsidR="0033457E" w:rsidRPr="0082321B" w:rsidRDefault="0033457E" w:rsidP="00F21F23">
            <w:pPr>
              <w:spacing w:line="360" w:lineRule="auto"/>
              <w:jc w:val="center"/>
              <w:rPr>
                <w:rFonts w:eastAsia="+mn-ea"/>
                <w:b/>
                <w:position w:val="1"/>
              </w:rPr>
            </w:pPr>
          </w:p>
        </w:tc>
      </w:tr>
      <w:tr w:rsidR="0033457E" w:rsidRPr="0082321B" w14:paraId="5518F6EC" w14:textId="77777777" w:rsidTr="00F21F23">
        <w:tc>
          <w:tcPr>
            <w:tcW w:w="4077" w:type="dxa"/>
            <w:hideMark/>
          </w:tcPr>
          <w:p w14:paraId="69536FF8" w14:textId="77777777" w:rsidR="0033457E" w:rsidRPr="0082321B" w:rsidRDefault="0033457E" w:rsidP="00F21F23">
            <w:pPr>
              <w:spacing w:line="360" w:lineRule="auto"/>
              <w:rPr>
                <w:rFonts w:eastAsia="+mn-ea"/>
                <w:position w:val="1"/>
              </w:rPr>
            </w:pPr>
            <w:r w:rsidRPr="0082321B">
              <w:rPr>
                <w:rFonts w:eastAsia="+mn-ea"/>
                <w:position w:val="1"/>
              </w:rPr>
              <w:t>Rationale</w:t>
            </w:r>
          </w:p>
        </w:tc>
        <w:tc>
          <w:tcPr>
            <w:tcW w:w="2268" w:type="dxa"/>
            <w:hideMark/>
          </w:tcPr>
          <w:p w14:paraId="40FB7F18"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0" w:type="auto"/>
            <w:hideMark/>
          </w:tcPr>
          <w:p w14:paraId="0B479B2E" w14:textId="77777777" w:rsidR="0033457E" w:rsidRPr="0082321B" w:rsidRDefault="0033457E" w:rsidP="00F21F23">
            <w:pPr>
              <w:spacing w:line="360" w:lineRule="auto"/>
              <w:jc w:val="center"/>
              <w:rPr>
                <w:rFonts w:eastAsia="+mn-ea"/>
                <w:b/>
                <w:position w:val="1"/>
              </w:rPr>
            </w:pPr>
          </w:p>
        </w:tc>
      </w:tr>
      <w:tr w:rsidR="0033457E" w:rsidRPr="0082321B" w14:paraId="0C9E0887" w14:textId="77777777" w:rsidTr="00F21F23">
        <w:tc>
          <w:tcPr>
            <w:tcW w:w="4077" w:type="dxa"/>
            <w:hideMark/>
          </w:tcPr>
          <w:p w14:paraId="39C592F4" w14:textId="77777777" w:rsidR="0033457E" w:rsidRPr="0082321B" w:rsidRDefault="0033457E" w:rsidP="00F21F23">
            <w:pPr>
              <w:spacing w:line="360" w:lineRule="auto"/>
              <w:rPr>
                <w:rFonts w:eastAsia="+mn-ea"/>
                <w:position w:val="1"/>
              </w:rPr>
            </w:pPr>
            <w:r w:rsidRPr="0082321B">
              <w:rPr>
                <w:rFonts w:eastAsia="+mn-ea"/>
                <w:position w:val="1"/>
              </w:rPr>
              <w:t>Data</w:t>
            </w:r>
          </w:p>
        </w:tc>
        <w:tc>
          <w:tcPr>
            <w:tcW w:w="2268" w:type="dxa"/>
            <w:hideMark/>
          </w:tcPr>
          <w:p w14:paraId="6BA35E99"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0" w:type="auto"/>
            <w:hideMark/>
          </w:tcPr>
          <w:p w14:paraId="75710A1E" w14:textId="77777777" w:rsidR="0033457E" w:rsidRPr="0082321B" w:rsidRDefault="0033457E" w:rsidP="00F21F23">
            <w:pPr>
              <w:spacing w:line="360" w:lineRule="auto"/>
              <w:jc w:val="center"/>
              <w:rPr>
                <w:rFonts w:eastAsia="+mn-ea"/>
                <w:b/>
                <w:position w:val="1"/>
              </w:rPr>
            </w:pPr>
          </w:p>
        </w:tc>
      </w:tr>
      <w:tr w:rsidR="0033457E" w:rsidRPr="0082321B" w14:paraId="32372A19" w14:textId="77777777" w:rsidTr="00F21F23">
        <w:tc>
          <w:tcPr>
            <w:tcW w:w="4077" w:type="dxa"/>
            <w:hideMark/>
          </w:tcPr>
          <w:p w14:paraId="25B9DE9D" w14:textId="77777777" w:rsidR="0033457E" w:rsidRPr="0082321B" w:rsidRDefault="0033457E" w:rsidP="00F21F23">
            <w:pPr>
              <w:spacing w:line="360" w:lineRule="auto"/>
              <w:rPr>
                <w:rFonts w:eastAsia="+mn-ea"/>
                <w:position w:val="1"/>
              </w:rPr>
            </w:pPr>
            <w:r w:rsidRPr="0082321B">
              <w:rPr>
                <w:rFonts w:eastAsia="+mn-ea"/>
                <w:position w:val="1"/>
              </w:rPr>
              <w:t>Construction</w:t>
            </w:r>
          </w:p>
        </w:tc>
        <w:tc>
          <w:tcPr>
            <w:tcW w:w="2268" w:type="dxa"/>
            <w:hideMark/>
          </w:tcPr>
          <w:p w14:paraId="669DF005"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0" w:type="auto"/>
            <w:hideMark/>
          </w:tcPr>
          <w:p w14:paraId="540DD87E" w14:textId="77777777" w:rsidR="0033457E" w:rsidRPr="0082321B" w:rsidRDefault="0033457E" w:rsidP="00F21F23">
            <w:pPr>
              <w:spacing w:line="360" w:lineRule="auto"/>
              <w:jc w:val="center"/>
              <w:rPr>
                <w:rFonts w:eastAsia="+mn-ea"/>
                <w:b/>
                <w:position w:val="1"/>
              </w:rPr>
            </w:pPr>
          </w:p>
        </w:tc>
      </w:tr>
      <w:tr w:rsidR="0033457E" w:rsidRPr="0082321B" w14:paraId="057EC504" w14:textId="77777777" w:rsidTr="00F21F23">
        <w:tc>
          <w:tcPr>
            <w:tcW w:w="4077" w:type="dxa"/>
            <w:hideMark/>
          </w:tcPr>
          <w:p w14:paraId="0956D023" w14:textId="77777777" w:rsidR="0033457E" w:rsidRPr="0082321B" w:rsidRDefault="0033457E" w:rsidP="00F21F23">
            <w:pPr>
              <w:spacing w:line="360" w:lineRule="auto"/>
              <w:rPr>
                <w:rFonts w:eastAsia="+mn-ea"/>
                <w:position w:val="1"/>
              </w:rPr>
            </w:pPr>
            <w:r w:rsidRPr="0082321B">
              <w:rPr>
                <w:rFonts w:eastAsia="+mn-ea"/>
                <w:position w:val="1"/>
              </w:rPr>
              <w:t>Presentation and Interpretation</w:t>
            </w:r>
          </w:p>
        </w:tc>
        <w:tc>
          <w:tcPr>
            <w:tcW w:w="2268" w:type="dxa"/>
            <w:hideMark/>
          </w:tcPr>
          <w:p w14:paraId="627B7407"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3935" w:type="dxa"/>
            <w:hideMark/>
          </w:tcPr>
          <w:p w14:paraId="351F1BEB" w14:textId="77777777" w:rsidR="0033457E" w:rsidRPr="0082321B" w:rsidRDefault="0033457E" w:rsidP="00F21F23">
            <w:pPr>
              <w:spacing w:line="360" w:lineRule="auto"/>
              <w:jc w:val="center"/>
              <w:rPr>
                <w:rFonts w:eastAsia="+mn-ea"/>
                <w:b/>
                <w:position w:val="1"/>
              </w:rPr>
            </w:pPr>
          </w:p>
        </w:tc>
      </w:tr>
      <w:tr w:rsidR="0033457E" w:rsidRPr="0082321B" w14:paraId="74D37194" w14:textId="77777777" w:rsidTr="00F21F23">
        <w:tc>
          <w:tcPr>
            <w:tcW w:w="4077" w:type="dxa"/>
            <w:hideMark/>
          </w:tcPr>
          <w:p w14:paraId="6B58D83B" w14:textId="77777777" w:rsidR="0033457E" w:rsidRPr="0082321B" w:rsidRDefault="0033457E" w:rsidP="00F21F23">
            <w:pPr>
              <w:spacing w:line="360" w:lineRule="auto"/>
              <w:rPr>
                <w:rFonts w:eastAsia="+mn-ea"/>
                <w:position w:val="1"/>
              </w:rPr>
            </w:pPr>
            <w:r w:rsidRPr="0082321B">
              <w:rPr>
                <w:rFonts w:eastAsia="+mn-ea"/>
                <w:position w:val="1"/>
              </w:rPr>
              <w:t>Risks and Usefulness</w:t>
            </w:r>
          </w:p>
        </w:tc>
        <w:tc>
          <w:tcPr>
            <w:tcW w:w="2268" w:type="dxa"/>
            <w:hideMark/>
          </w:tcPr>
          <w:p w14:paraId="4A6C4EF6" w14:textId="77777777" w:rsidR="0033457E" w:rsidRPr="0082321B" w:rsidRDefault="0033457E" w:rsidP="00F21F23">
            <w:pPr>
              <w:spacing w:line="360" w:lineRule="auto"/>
              <w:rPr>
                <w:rFonts w:eastAsia="+mn-ea"/>
                <w:b/>
                <w:position w:val="1"/>
              </w:rPr>
            </w:pPr>
            <w:r w:rsidRPr="0082321B">
              <w:rPr>
                <w:rFonts w:eastAsia="+mn-ea"/>
                <w:b/>
                <w:position w:val="1"/>
              </w:rPr>
              <w:t>-</w:t>
            </w:r>
          </w:p>
        </w:tc>
        <w:tc>
          <w:tcPr>
            <w:tcW w:w="0" w:type="auto"/>
            <w:hideMark/>
          </w:tcPr>
          <w:p w14:paraId="381E1334" w14:textId="77777777" w:rsidR="0033457E" w:rsidRPr="0082321B" w:rsidRDefault="0033457E" w:rsidP="00F21F23">
            <w:pPr>
              <w:spacing w:line="360" w:lineRule="auto"/>
              <w:rPr>
                <w:rFonts w:eastAsia="+mn-ea"/>
                <w:b/>
                <w:position w:val="1"/>
              </w:rPr>
            </w:pPr>
          </w:p>
        </w:tc>
      </w:tr>
    </w:tbl>
    <w:p w14:paraId="6EB923BD" w14:textId="77777777" w:rsidR="0033457E" w:rsidRPr="0082321B" w:rsidRDefault="0033457E" w:rsidP="0033457E">
      <w:pPr>
        <w:spacing w:before="240"/>
        <w:rPr>
          <w:rFonts w:eastAsia="+mn-ea"/>
          <w:b/>
          <w:position w:val="1"/>
        </w:rPr>
      </w:pPr>
      <w:r w:rsidRPr="0082321B">
        <w:rPr>
          <w:rFonts w:eastAsia="+mn-ea"/>
          <w:b/>
          <w:position w:val="1"/>
        </w:rPr>
        <w:t>Summary Recommendation from MRG:</w:t>
      </w:r>
    </w:p>
    <w:sdt>
      <w:sdtPr>
        <w:rPr>
          <w:rFonts w:eastAsia="+mn-ea"/>
          <w:position w:val="1"/>
        </w:rPr>
        <w:id w:val="692660743"/>
        <w:text w:multiLine="1"/>
      </w:sdtPr>
      <w:sdtEndPr/>
      <w:sdtContent>
        <w:p w14:paraId="4F9CF5EE" w14:textId="77777777" w:rsidR="0033457E" w:rsidRPr="0082321B" w:rsidRDefault="0033457E" w:rsidP="0033457E">
          <w:pPr>
            <w:spacing w:before="240"/>
            <w:rPr>
              <w:rFonts w:eastAsia="+mn-ea"/>
              <w:position w:val="1"/>
            </w:rPr>
          </w:pPr>
          <w:r w:rsidRPr="0082321B">
            <w:rPr>
              <w:rFonts w:eastAsia="+mn-ea"/>
              <w:position w:val="1"/>
            </w:rPr>
            <w:t>MRG accepted the contents of the application form and did not identify any areas of improvement.  It was appreciated by the Group that this is a long-established indicator.</w:t>
          </w:r>
          <w:r w:rsidRPr="0082321B">
            <w:rPr>
              <w:rFonts w:eastAsia="+mn-ea"/>
              <w:position w:val="1"/>
            </w:rPr>
            <w:br/>
          </w:r>
          <w:r w:rsidRPr="0082321B">
            <w:rPr>
              <w:rFonts w:eastAsia="+mn-ea"/>
              <w:position w:val="1"/>
            </w:rPr>
            <w:br/>
            <w:t xml:space="preserve">However, the Group did raise concern that the indicator is being presented at Local Authority level as well as a National level as there are already existing cardiovascular mortality indicators reporting at this level within the Public Health Outcomes Framework (PHOF) and Compendium.  It was noted that this NHS OF indicator presents results based on 1 year of data, whereas the PHOF indicator uses 3-year rolling averages. In producing this indicator at Local Authority level, the user is presented with two figures reporting different figures, which the </w:t>
          </w:r>
          <w:r w:rsidRPr="0082321B">
            <w:rPr>
              <w:rFonts w:eastAsia="+mn-ea"/>
              <w:position w:val="1"/>
            </w:rPr>
            <w:lastRenderedPageBreak/>
            <w:t>group agreed posed a risk.</w:t>
          </w:r>
          <w:r w:rsidRPr="0082321B">
            <w:rPr>
              <w:rFonts w:eastAsia="+mn-ea"/>
              <w:position w:val="1"/>
            </w:rPr>
            <w:br/>
          </w:r>
          <w:r w:rsidRPr="0082321B">
            <w:rPr>
              <w:rFonts w:eastAsia="+mn-ea"/>
              <w:position w:val="1"/>
            </w:rPr>
            <w:br/>
            <w:t>It is MRG’s understanding that the purpose of the NHS Outcomes Framework is to provide a national overview reflecting the current landscape of the health and care system, and therefore to disaggregate the data into further component parts appears to diverge from this purpose. The Group identified that work needed to be undertaken to ensure that the frameworks align, and do not unnecessarily report the same measure. It is recommended that this issue of two outcome framework measure reporting the same measure should be taken to the Outcome Frameworks Technical Advisory Group (OFTAG).</w:t>
          </w:r>
          <w:r w:rsidRPr="0082321B">
            <w:rPr>
              <w:rFonts w:eastAsia="+mn-ea"/>
              <w:position w:val="1"/>
            </w:rPr>
            <w:br/>
          </w:r>
          <w:r w:rsidRPr="0082321B">
            <w:rPr>
              <w:rFonts w:eastAsia="+mn-ea"/>
              <w:position w:val="1"/>
            </w:rPr>
            <w:br/>
            <w:t>On this basis, the group have deferred their rating and do not recommend the indicator for inclusion in the Library of Quality Assured Indicators until this issue is resolved.</w:t>
          </w:r>
        </w:p>
      </w:sdtContent>
    </w:sdt>
    <w:p w14:paraId="5393976F" w14:textId="77777777" w:rsidR="0033457E" w:rsidRDefault="0033457E" w:rsidP="0033457E">
      <w:pPr>
        <w:pStyle w:val="NormalWeb"/>
        <w:spacing w:after="0"/>
        <w:rPr>
          <w:rFonts w:ascii="Arial" w:eastAsia="+mn-ea" w:hAnsi="Arial" w:cs="Arial"/>
          <w:b/>
          <w:position w:val="1"/>
          <w:sz w:val="22"/>
          <w:szCs w:val="22"/>
        </w:rPr>
      </w:pPr>
    </w:p>
    <w:p w14:paraId="60254D59" w14:textId="77777777" w:rsidR="0033457E" w:rsidRPr="0082321B" w:rsidRDefault="0033457E" w:rsidP="0033457E">
      <w:pPr>
        <w:pStyle w:val="NormalWeb"/>
        <w:spacing w:after="0"/>
        <w:rPr>
          <w:rFonts w:ascii="Arial" w:eastAsia="+mn-ea" w:hAnsi="Arial" w:cs="Arial"/>
          <w:b/>
          <w:position w:val="1"/>
          <w:sz w:val="22"/>
          <w:szCs w:val="22"/>
        </w:rPr>
      </w:pPr>
      <w:r w:rsidRPr="0082321B">
        <w:rPr>
          <w:rFonts w:ascii="Arial" w:eastAsia="+mn-ea" w:hAnsi="Arial" w:cs="Arial"/>
          <w:b/>
          <w:position w:val="1"/>
          <w:sz w:val="22"/>
          <w:szCs w:val="22"/>
        </w:rPr>
        <w:t>What do the Assurance Ratings mean?</w:t>
      </w:r>
    </w:p>
    <w:p w14:paraId="121528E0" w14:textId="77777777" w:rsidR="0033457E" w:rsidRPr="0082321B" w:rsidRDefault="0033457E" w:rsidP="0033457E"/>
    <w:tbl>
      <w:tblPr>
        <w:tblStyle w:val="TableGridLight"/>
        <w:tblW w:w="0" w:type="auto"/>
        <w:tblLook w:val="04A0" w:firstRow="1" w:lastRow="0" w:firstColumn="1" w:lastColumn="0" w:noHBand="0" w:noVBand="1"/>
      </w:tblPr>
      <w:tblGrid>
        <w:gridCol w:w="1101"/>
        <w:gridCol w:w="2693"/>
        <w:gridCol w:w="6095"/>
      </w:tblGrid>
      <w:tr w:rsidR="0033457E" w:rsidRPr="0082321B" w14:paraId="28284226" w14:textId="77777777" w:rsidTr="00F21F23">
        <w:tc>
          <w:tcPr>
            <w:tcW w:w="1101" w:type="dxa"/>
          </w:tcPr>
          <w:p w14:paraId="50CDCF2C" w14:textId="77777777" w:rsidR="0033457E" w:rsidRPr="0082321B" w:rsidRDefault="0033457E" w:rsidP="00F21F23">
            <w:pPr>
              <w:spacing w:before="120" w:after="120"/>
              <w:rPr>
                <w:b/>
              </w:rPr>
            </w:pPr>
          </w:p>
        </w:tc>
        <w:tc>
          <w:tcPr>
            <w:tcW w:w="2693" w:type="dxa"/>
          </w:tcPr>
          <w:p w14:paraId="0291B4DD" w14:textId="77777777" w:rsidR="0033457E" w:rsidRPr="0082321B" w:rsidRDefault="0033457E" w:rsidP="00F21F23">
            <w:pPr>
              <w:spacing w:before="120" w:after="120"/>
              <w:rPr>
                <w:b/>
              </w:rPr>
            </w:pPr>
            <w:r w:rsidRPr="0082321B">
              <w:rPr>
                <w:b/>
              </w:rPr>
              <w:t>Rating</w:t>
            </w:r>
          </w:p>
        </w:tc>
        <w:tc>
          <w:tcPr>
            <w:tcW w:w="6095" w:type="dxa"/>
          </w:tcPr>
          <w:p w14:paraId="2AD428A6" w14:textId="77777777" w:rsidR="0033457E" w:rsidRPr="0082321B" w:rsidRDefault="0033457E" w:rsidP="00F21F23">
            <w:pPr>
              <w:spacing w:before="120" w:after="120"/>
            </w:pPr>
            <w:r w:rsidRPr="0082321B">
              <w:rPr>
                <w:b/>
              </w:rPr>
              <w:t>Description</w:t>
            </w:r>
          </w:p>
        </w:tc>
      </w:tr>
      <w:tr w:rsidR="0033457E" w:rsidRPr="0082321B" w14:paraId="5F736027" w14:textId="77777777" w:rsidTr="00F21F23">
        <w:tc>
          <w:tcPr>
            <w:tcW w:w="1101" w:type="dxa"/>
          </w:tcPr>
          <w:p w14:paraId="2B7E6E1E" w14:textId="77777777" w:rsidR="0033457E" w:rsidRPr="0082321B" w:rsidRDefault="0033457E" w:rsidP="00F21F23">
            <w:pPr>
              <w:spacing w:before="120" w:after="120"/>
              <w:rPr>
                <w:b/>
              </w:rPr>
            </w:pPr>
          </w:p>
        </w:tc>
        <w:tc>
          <w:tcPr>
            <w:tcW w:w="2693" w:type="dxa"/>
          </w:tcPr>
          <w:p w14:paraId="2C534539" w14:textId="77777777" w:rsidR="0033457E" w:rsidRPr="0082321B" w:rsidRDefault="0033457E" w:rsidP="00F21F23">
            <w:pPr>
              <w:spacing w:before="120" w:after="120"/>
              <w:rPr>
                <w:b/>
              </w:rPr>
            </w:pPr>
            <w:r w:rsidRPr="0082321B">
              <w:rPr>
                <w:b/>
              </w:rPr>
              <w:t>Fit for use</w:t>
            </w:r>
          </w:p>
        </w:tc>
        <w:tc>
          <w:tcPr>
            <w:tcW w:w="6095" w:type="dxa"/>
          </w:tcPr>
          <w:p w14:paraId="11936AC2" w14:textId="77777777" w:rsidR="0033457E" w:rsidRPr="0082321B" w:rsidRDefault="0033457E" w:rsidP="00F21F23">
            <w:pPr>
              <w:spacing w:before="120" w:after="120"/>
            </w:pPr>
            <w:r w:rsidRPr="0082321B">
              <w:t>This indicator can be used with confidence that it is constructed in a sound manner that is fit for purpose.</w:t>
            </w:r>
          </w:p>
        </w:tc>
      </w:tr>
      <w:tr w:rsidR="0033457E" w:rsidRPr="0082321B" w14:paraId="24D4F52A" w14:textId="77777777" w:rsidTr="00F21F23">
        <w:tc>
          <w:tcPr>
            <w:tcW w:w="1101" w:type="dxa"/>
          </w:tcPr>
          <w:p w14:paraId="683CA38A" w14:textId="77777777" w:rsidR="0033457E" w:rsidRPr="0082321B" w:rsidRDefault="0033457E" w:rsidP="00F21F23">
            <w:pPr>
              <w:spacing w:before="120" w:after="120"/>
              <w:rPr>
                <w:b/>
              </w:rPr>
            </w:pPr>
          </w:p>
        </w:tc>
        <w:tc>
          <w:tcPr>
            <w:tcW w:w="2693" w:type="dxa"/>
          </w:tcPr>
          <w:p w14:paraId="795ACA22" w14:textId="77777777" w:rsidR="0033457E" w:rsidRPr="0082321B" w:rsidRDefault="0033457E" w:rsidP="00F21F23">
            <w:pPr>
              <w:spacing w:before="120" w:after="120"/>
              <w:rPr>
                <w:b/>
              </w:rPr>
            </w:pPr>
            <w:r w:rsidRPr="0082321B">
              <w:rPr>
                <w:b/>
              </w:rPr>
              <w:t>Fit for use with caveats</w:t>
            </w:r>
          </w:p>
        </w:tc>
        <w:tc>
          <w:tcPr>
            <w:tcW w:w="6095" w:type="dxa"/>
          </w:tcPr>
          <w:p w14:paraId="2B0974DC" w14:textId="77777777" w:rsidR="0033457E" w:rsidRPr="0082321B" w:rsidRDefault="0033457E" w:rsidP="00F21F23">
            <w:pPr>
              <w:spacing w:before="120" w:after="120"/>
            </w:pPr>
            <w:r w:rsidRPr="0082321B">
              <w:t>The indicator is fit for use; however, users should be aware of caveats and/or recommendations for improvement that have been identified during the assurance process.</w:t>
            </w:r>
          </w:p>
        </w:tc>
      </w:tr>
      <w:tr w:rsidR="0033457E" w:rsidRPr="0082321B" w14:paraId="0DEBACF3" w14:textId="77777777" w:rsidTr="00F21F23">
        <w:tc>
          <w:tcPr>
            <w:tcW w:w="1101" w:type="dxa"/>
          </w:tcPr>
          <w:p w14:paraId="18CE0C8D" w14:textId="77777777" w:rsidR="0033457E" w:rsidRPr="0082321B" w:rsidRDefault="0033457E" w:rsidP="00F21F23">
            <w:pPr>
              <w:spacing w:before="120" w:after="120"/>
              <w:rPr>
                <w:b/>
              </w:rPr>
            </w:pPr>
          </w:p>
        </w:tc>
        <w:tc>
          <w:tcPr>
            <w:tcW w:w="2693" w:type="dxa"/>
          </w:tcPr>
          <w:p w14:paraId="33C42ADB" w14:textId="77777777" w:rsidR="0033457E" w:rsidRPr="0082321B" w:rsidRDefault="0033457E" w:rsidP="00F21F23">
            <w:pPr>
              <w:spacing w:before="120" w:after="120"/>
              <w:rPr>
                <w:b/>
              </w:rPr>
            </w:pPr>
            <w:r w:rsidRPr="0082321B">
              <w:rPr>
                <w:b/>
              </w:rPr>
              <w:t>Use with caution – data quality issue</w:t>
            </w:r>
          </w:p>
        </w:tc>
        <w:tc>
          <w:tcPr>
            <w:tcW w:w="6095" w:type="dxa"/>
          </w:tcPr>
          <w:p w14:paraId="07ACDECA" w14:textId="77777777" w:rsidR="0033457E" w:rsidRPr="0082321B" w:rsidRDefault="0033457E" w:rsidP="00F21F23">
            <w:pPr>
              <w:spacing w:before="120" w:after="120"/>
            </w:pPr>
            <w:r w:rsidRPr="0082321B">
              <w:t xml:space="preserve">The indicator is based on a sound methodology for which the assurance process </w:t>
            </w:r>
            <w:proofErr w:type="gramStart"/>
            <w:r w:rsidRPr="0082321B">
              <w:t>endorse</w:t>
            </w:r>
            <w:proofErr w:type="gramEnd"/>
            <w:r w:rsidRPr="0082321B">
              <w:t xml:space="preserve"> the use, however issues have been identified with the national data source which have implications for its use as an indicator.</w:t>
            </w:r>
          </w:p>
        </w:tc>
      </w:tr>
      <w:tr w:rsidR="0033457E" w:rsidRPr="0082321B" w14:paraId="1239ADAE" w14:textId="77777777" w:rsidTr="00F21F23">
        <w:tc>
          <w:tcPr>
            <w:tcW w:w="1101" w:type="dxa"/>
          </w:tcPr>
          <w:p w14:paraId="25569748" w14:textId="77777777" w:rsidR="0033457E" w:rsidRPr="0082321B" w:rsidRDefault="0033457E" w:rsidP="00F21F23">
            <w:pPr>
              <w:spacing w:before="120" w:after="120"/>
              <w:rPr>
                <w:b/>
              </w:rPr>
            </w:pPr>
          </w:p>
        </w:tc>
        <w:tc>
          <w:tcPr>
            <w:tcW w:w="2693" w:type="dxa"/>
          </w:tcPr>
          <w:p w14:paraId="05F6770F" w14:textId="77777777" w:rsidR="0033457E" w:rsidRPr="0082321B" w:rsidRDefault="0033457E" w:rsidP="00F21F23">
            <w:pPr>
              <w:spacing w:before="120" w:after="120"/>
              <w:rPr>
                <w:b/>
              </w:rPr>
            </w:pPr>
            <w:r w:rsidRPr="0082321B">
              <w:rPr>
                <w:b/>
              </w:rPr>
              <w:t>Not fit for use</w:t>
            </w:r>
          </w:p>
        </w:tc>
        <w:tc>
          <w:tcPr>
            <w:tcW w:w="6095" w:type="dxa"/>
          </w:tcPr>
          <w:p w14:paraId="5B421C04" w14:textId="77777777" w:rsidR="0033457E" w:rsidRPr="0082321B" w:rsidRDefault="0033457E" w:rsidP="00F21F23">
            <w:pPr>
              <w:spacing w:before="120" w:after="120"/>
            </w:pPr>
            <w:r w:rsidRPr="0082321B">
              <w:t>Issues have been identified with the indicator which have resulted in the assurance process currently not endorsing its use as a quality indicator.</w:t>
            </w:r>
          </w:p>
        </w:tc>
      </w:tr>
      <w:tr w:rsidR="0033457E" w:rsidRPr="0082321B" w14:paraId="3FF80EC7" w14:textId="77777777" w:rsidTr="00F21F23">
        <w:tc>
          <w:tcPr>
            <w:tcW w:w="1101" w:type="dxa"/>
          </w:tcPr>
          <w:p w14:paraId="49C8B916" w14:textId="77777777" w:rsidR="0033457E" w:rsidRPr="0082321B" w:rsidRDefault="0033457E" w:rsidP="00F21F23">
            <w:pPr>
              <w:spacing w:before="120" w:after="120"/>
              <w:rPr>
                <w:b/>
              </w:rPr>
            </w:pPr>
          </w:p>
        </w:tc>
        <w:tc>
          <w:tcPr>
            <w:tcW w:w="2693" w:type="dxa"/>
          </w:tcPr>
          <w:p w14:paraId="347168C5" w14:textId="77777777" w:rsidR="0033457E" w:rsidRPr="0082321B" w:rsidRDefault="0033457E" w:rsidP="00F21F23">
            <w:pPr>
              <w:spacing w:before="120" w:after="120"/>
              <w:rPr>
                <w:b/>
              </w:rPr>
            </w:pPr>
            <w:r w:rsidRPr="0082321B">
              <w:rPr>
                <w:b/>
              </w:rPr>
              <w:t>Not enough information provided</w:t>
            </w:r>
          </w:p>
        </w:tc>
        <w:tc>
          <w:tcPr>
            <w:tcW w:w="6095" w:type="dxa"/>
          </w:tcPr>
          <w:p w14:paraId="7DCD16FE" w14:textId="77777777" w:rsidR="0033457E" w:rsidRPr="0082321B" w:rsidRDefault="0033457E" w:rsidP="00F21F23">
            <w:pPr>
              <w:spacing w:before="120" w:after="120"/>
            </w:pPr>
            <w:r w:rsidRPr="0082321B">
              <w:t>There has not been enough information supplied to the assurance process to be able to accurately give the indicator a level of assurance.</w:t>
            </w:r>
          </w:p>
        </w:tc>
      </w:tr>
    </w:tbl>
    <w:p w14:paraId="1A6A8419" w14:textId="77777777" w:rsidR="0033457E" w:rsidRPr="0082321B" w:rsidRDefault="0033457E" w:rsidP="0033457E">
      <w:pPr>
        <w:spacing w:before="240"/>
        <w:rPr>
          <w:rFonts w:eastAsia="+mn-ea"/>
          <w:b/>
          <w:position w:val="1"/>
          <w:lang w:eastAsia="en-GB"/>
        </w:rPr>
      </w:pPr>
      <w:r w:rsidRPr="0082321B">
        <w:br w:type="page"/>
      </w:r>
      <w:r w:rsidRPr="0082321B">
        <w:rPr>
          <w:rFonts w:eastAsia="+mn-ea"/>
          <w:b/>
          <w:position w:val="1"/>
        </w:rPr>
        <w:lastRenderedPageBreak/>
        <w:t xml:space="preserve">Appraisal Log </w:t>
      </w:r>
    </w:p>
    <w:p w14:paraId="41BAE3FA" w14:textId="77777777" w:rsidR="0033457E" w:rsidRPr="0082321B" w:rsidRDefault="0033457E" w:rsidP="0033457E">
      <w:pPr>
        <w:pStyle w:val="NormalWeb"/>
        <w:spacing w:after="0"/>
        <w:rPr>
          <w:rFonts w:ascii="Arial" w:eastAsia="+mn-ea" w:hAnsi="Arial" w:cs="Arial"/>
          <w:b/>
          <w:position w:val="1"/>
          <w:sz w:val="22"/>
          <w:szCs w:val="22"/>
        </w:rPr>
      </w:pPr>
    </w:p>
    <w:tbl>
      <w:tblPr>
        <w:tblStyle w:val="TableGridLight"/>
        <w:tblpPr w:leftFromText="180" w:rightFromText="180" w:vertAnchor="text" w:tblpX="-289" w:tblpY="1"/>
        <w:tblOverlap w:val="never"/>
        <w:tblW w:w="4912" w:type="pct"/>
        <w:tblLook w:val="04A0" w:firstRow="1" w:lastRow="0" w:firstColumn="1" w:lastColumn="0" w:noHBand="0" w:noVBand="1"/>
      </w:tblPr>
      <w:tblGrid>
        <w:gridCol w:w="1097"/>
        <w:gridCol w:w="3764"/>
        <w:gridCol w:w="1423"/>
        <w:gridCol w:w="3987"/>
        <w:gridCol w:w="1350"/>
        <w:gridCol w:w="1195"/>
        <w:gridCol w:w="887"/>
      </w:tblGrid>
      <w:tr w:rsidR="0033457E" w:rsidRPr="0082321B" w14:paraId="314CCB58" w14:textId="77777777" w:rsidTr="00F21F23">
        <w:tc>
          <w:tcPr>
            <w:tcW w:w="404" w:type="pct"/>
          </w:tcPr>
          <w:p w14:paraId="39C8D6F2" w14:textId="77777777" w:rsidR="0033457E" w:rsidRPr="0082321B" w:rsidRDefault="0033457E" w:rsidP="00F21F23">
            <w:pPr>
              <w:rPr>
                <w:b/>
                <w:i/>
              </w:rPr>
            </w:pPr>
          </w:p>
        </w:tc>
        <w:tc>
          <w:tcPr>
            <w:tcW w:w="1377" w:type="pct"/>
          </w:tcPr>
          <w:p w14:paraId="68EAD5AF" w14:textId="77777777" w:rsidR="0033457E" w:rsidRPr="0082321B" w:rsidRDefault="0033457E" w:rsidP="00F21F23">
            <w:pPr>
              <w:rPr>
                <w:b/>
                <w:i/>
              </w:rPr>
            </w:pPr>
            <w:r w:rsidRPr="0082321B">
              <w:rPr>
                <w:b/>
              </w:rPr>
              <w:t>Clarity</w:t>
            </w:r>
          </w:p>
        </w:tc>
        <w:tc>
          <w:tcPr>
            <w:tcW w:w="523" w:type="pct"/>
          </w:tcPr>
          <w:p w14:paraId="14147743" w14:textId="77777777" w:rsidR="0033457E" w:rsidRPr="0082321B" w:rsidRDefault="0033457E" w:rsidP="00F21F23">
            <w:pPr>
              <w:rPr>
                <w:b/>
                <w:i/>
              </w:rPr>
            </w:pPr>
          </w:p>
        </w:tc>
        <w:tc>
          <w:tcPr>
            <w:tcW w:w="1458" w:type="pct"/>
          </w:tcPr>
          <w:p w14:paraId="70301343" w14:textId="77777777" w:rsidR="0033457E" w:rsidRPr="0082321B" w:rsidRDefault="0033457E" w:rsidP="00F21F23">
            <w:pPr>
              <w:rPr>
                <w:b/>
                <w:i/>
              </w:rPr>
            </w:pPr>
          </w:p>
        </w:tc>
        <w:tc>
          <w:tcPr>
            <w:tcW w:w="496" w:type="pct"/>
          </w:tcPr>
          <w:p w14:paraId="7F5FEDF1" w14:textId="77777777" w:rsidR="0033457E" w:rsidRPr="0082321B" w:rsidRDefault="0033457E" w:rsidP="00F21F23">
            <w:pPr>
              <w:rPr>
                <w:b/>
                <w:i/>
              </w:rPr>
            </w:pPr>
          </w:p>
        </w:tc>
        <w:tc>
          <w:tcPr>
            <w:tcW w:w="415" w:type="pct"/>
          </w:tcPr>
          <w:p w14:paraId="1E383974" w14:textId="77777777" w:rsidR="0033457E" w:rsidRPr="0082321B" w:rsidRDefault="0033457E" w:rsidP="00F21F23">
            <w:pPr>
              <w:rPr>
                <w:b/>
                <w:i/>
              </w:rPr>
            </w:pPr>
          </w:p>
        </w:tc>
        <w:tc>
          <w:tcPr>
            <w:tcW w:w="327" w:type="pct"/>
          </w:tcPr>
          <w:p w14:paraId="6E00D734" w14:textId="77777777" w:rsidR="0033457E" w:rsidRPr="0082321B" w:rsidRDefault="0033457E" w:rsidP="00F21F23">
            <w:pPr>
              <w:rPr>
                <w:b/>
                <w:i/>
              </w:rPr>
            </w:pPr>
          </w:p>
        </w:tc>
      </w:tr>
      <w:tr w:rsidR="0033457E" w:rsidRPr="0082321B" w14:paraId="54769D8A" w14:textId="77777777" w:rsidTr="00F21F23">
        <w:tc>
          <w:tcPr>
            <w:tcW w:w="404" w:type="pct"/>
          </w:tcPr>
          <w:p w14:paraId="6A21C6B5" w14:textId="77777777" w:rsidR="0033457E" w:rsidRPr="0082321B" w:rsidRDefault="0033457E" w:rsidP="00F21F23">
            <w:pPr>
              <w:rPr>
                <w:b/>
                <w:i/>
              </w:rPr>
            </w:pPr>
            <w:r w:rsidRPr="0082321B">
              <w:rPr>
                <w:b/>
                <w:i/>
              </w:rPr>
              <w:t>Rec. no</w:t>
            </w:r>
          </w:p>
        </w:tc>
        <w:tc>
          <w:tcPr>
            <w:tcW w:w="1377" w:type="pct"/>
          </w:tcPr>
          <w:p w14:paraId="2CD1027E" w14:textId="77777777" w:rsidR="0033457E" w:rsidRPr="0082321B" w:rsidRDefault="0033457E" w:rsidP="00F21F23">
            <w:pPr>
              <w:rPr>
                <w:b/>
                <w:i/>
              </w:rPr>
            </w:pPr>
            <w:r w:rsidRPr="0082321B">
              <w:rPr>
                <w:b/>
                <w:i/>
              </w:rPr>
              <w:t>Issue or recommendation</w:t>
            </w:r>
          </w:p>
        </w:tc>
        <w:tc>
          <w:tcPr>
            <w:tcW w:w="523" w:type="pct"/>
          </w:tcPr>
          <w:p w14:paraId="69597576" w14:textId="77777777" w:rsidR="0033457E" w:rsidRPr="0082321B" w:rsidRDefault="0033457E" w:rsidP="00F21F23">
            <w:pPr>
              <w:rPr>
                <w:b/>
                <w:i/>
              </w:rPr>
            </w:pPr>
            <w:r w:rsidRPr="0082321B">
              <w:rPr>
                <w:b/>
                <w:i/>
              </w:rPr>
              <w:t>Raised by / Date</w:t>
            </w:r>
          </w:p>
        </w:tc>
        <w:tc>
          <w:tcPr>
            <w:tcW w:w="1458" w:type="pct"/>
          </w:tcPr>
          <w:p w14:paraId="27FC19F8" w14:textId="77777777" w:rsidR="0033457E" w:rsidRPr="0082321B" w:rsidRDefault="0033457E" w:rsidP="00F21F23">
            <w:pPr>
              <w:rPr>
                <w:b/>
                <w:i/>
              </w:rPr>
            </w:pPr>
            <w:r w:rsidRPr="0082321B">
              <w:rPr>
                <w:b/>
                <w:i/>
              </w:rPr>
              <w:t>Response or Action taken by applicant</w:t>
            </w:r>
          </w:p>
        </w:tc>
        <w:tc>
          <w:tcPr>
            <w:tcW w:w="496" w:type="pct"/>
          </w:tcPr>
          <w:p w14:paraId="0D7CFA5E" w14:textId="77777777" w:rsidR="0033457E" w:rsidRPr="0082321B" w:rsidRDefault="0033457E" w:rsidP="00F21F23">
            <w:pPr>
              <w:rPr>
                <w:b/>
                <w:i/>
              </w:rPr>
            </w:pPr>
            <w:r w:rsidRPr="0082321B">
              <w:rPr>
                <w:b/>
                <w:i/>
              </w:rPr>
              <w:t>Response date</w:t>
            </w:r>
          </w:p>
        </w:tc>
        <w:tc>
          <w:tcPr>
            <w:tcW w:w="415" w:type="pct"/>
          </w:tcPr>
          <w:p w14:paraId="0E9D8F44" w14:textId="77777777" w:rsidR="0033457E" w:rsidRPr="0082321B" w:rsidRDefault="0033457E" w:rsidP="00F21F23">
            <w:pPr>
              <w:rPr>
                <w:b/>
                <w:i/>
              </w:rPr>
            </w:pPr>
            <w:r w:rsidRPr="0082321B">
              <w:rPr>
                <w:b/>
                <w:i/>
              </w:rPr>
              <w:t>Resolved</w:t>
            </w:r>
          </w:p>
        </w:tc>
        <w:tc>
          <w:tcPr>
            <w:tcW w:w="327" w:type="pct"/>
          </w:tcPr>
          <w:p w14:paraId="4D8DD023" w14:textId="77777777" w:rsidR="0033457E" w:rsidRPr="0082321B" w:rsidRDefault="0033457E" w:rsidP="00F21F23">
            <w:pPr>
              <w:rPr>
                <w:b/>
                <w:i/>
              </w:rPr>
            </w:pPr>
            <w:r w:rsidRPr="0082321B">
              <w:rPr>
                <w:b/>
                <w:i/>
              </w:rPr>
              <w:t>Sign off by / Date</w:t>
            </w:r>
          </w:p>
        </w:tc>
      </w:tr>
      <w:tr w:rsidR="0033457E" w:rsidRPr="0082321B" w14:paraId="7F8978D0" w14:textId="77777777" w:rsidTr="00F21F23">
        <w:tc>
          <w:tcPr>
            <w:tcW w:w="404" w:type="pct"/>
          </w:tcPr>
          <w:p w14:paraId="65869444" w14:textId="77777777" w:rsidR="0033457E" w:rsidRPr="0082321B" w:rsidRDefault="0033457E" w:rsidP="00F21F23"/>
        </w:tc>
        <w:tc>
          <w:tcPr>
            <w:tcW w:w="1377" w:type="pct"/>
          </w:tcPr>
          <w:p w14:paraId="76F2EC6F" w14:textId="77777777" w:rsidR="0033457E" w:rsidRPr="0082321B" w:rsidRDefault="0033457E" w:rsidP="00F21F23"/>
        </w:tc>
        <w:tc>
          <w:tcPr>
            <w:tcW w:w="523" w:type="pct"/>
          </w:tcPr>
          <w:p w14:paraId="60656891" w14:textId="77777777" w:rsidR="0033457E" w:rsidRPr="0082321B" w:rsidRDefault="0033457E" w:rsidP="00F21F23"/>
        </w:tc>
        <w:tc>
          <w:tcPr>
            <w:tcW w:w="1458" w:type="pct"/>
          </w:tcPr>
          <w:p w14:paraId="2D696176" w14:textId="77777777" w:rsidR="0033457E" w:rsidRPr="0082321B" w:rsidRDefault="0033457E" w:rsidP="00F21F23"/>
        </w:tc>
        <w:tc>
          <w:tcPr>
            <w:tcW w:w="496" w:type="pct"/>
          </w:tcPr>
          <w:p w14:paraId="3ECCBD17" w14:textId="77777777" w:rsidR="0033457E" w:rsidRPr="0082321B" w:rsidRDefault="0033457E" w:rsidP="00F21F23"/>
        </w:tc>
        <w:sdt>
          <w:sdtPr>
            <w:id w:val="692496695"/>
            <w14:checkbox>
              <w14:checked w14:val="0"/>
              <w14:checkedState w14:val="2612" w14:font="MS Gothic"/>
              <w14:uncheckedState w14:val="2610" w14:font="MS Gothic"/>
            </w14:checkbox>
          </w:sdtPr>
          <w:sdtEndPr/>
          <w:sdtContent>
            <w:tc>
              <w:tcPr>
                <w:tcW w:w="415" w:type="pct"/>
              </w:tcPr>
              <w:p w14:paraId="4F7EF14C"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53FBD78F" w14:textId="77777777" w:rsidR="0033457E" w:rsidRPr="0082321B" w:rsidRDefault="0033457E" w:rsidP="00F21F23"/>
        </w:tc>
      </w:tr>
      <w:tr w:rsidR="0033457E" w:rsidRPr="0082321B" w14:paraId="57B63E06" w14:textId="77777777" w:rsidTr="00F21F23">
        <w:tc>
          <w:tcPr>
            <w:tcW w:w="404" w:type="pct"/>
          </w:tcPr>
          <w:p w14:paraId="57ECCB08" w14:textId="77777777" w:rsidR="0033457E" w:rsidRPr="0082321B" w:rsidRDefault="0033457E" w:rsidP="00F21F23">
            <w:pPr>
              <w:rPr>
                <w:b/>
                <w:i/>
              </w:rPr>
            </w:pPr>
          </w:p>
        </w:tc>
        <w:tc>
          <w:tcPr>
            <w:tcW w:w="1377" w:type="pct"/>
          </w:tcPr>
          <w:p w14:paraId="3235DB55" w14:textId="77777777" w:rsidR="0033457E" w:rsidRPr="0082321B" w:rsidRDefault="0033457E" w:rsidP="00F21F23">
            <w:pPr>
              <w:rPr>
                <w:b/>
                <w:i/>
              </w:rPr>
            </w:pPr>
            <w:r w:rsidRPr="0082321B">
              <w:rPr>
                <w:b/>
              </w:rPr>
              <w:t>Rationale</w:t>
            </w:r>
          </w:p>
        </w:tc>
        <w:tc>
          <w:tcPr>
            <w:tcW w:w="523" w:type="pct"/>
          </w:tcPr>
          <w:p w14:paraId="572C1528" w14:textId="77777777" w:rsidR="0033457E" w:rsidRPr="0082321B" w:rsidRDefault="0033457E" w:rsidP="00F21F23">
            <w:pPr>
              <w:rPr>
                <w:b/>
                <w:i/>
              </w:rPr>
            </w:pPr>
          </w:p>
        </w:tc>
        <w:tc>
          <w:tcPr>
            <w:tcW w:w="1458" w:type="pct"/>
          </w:tcPr>
          <w:p w14:paraId="51349219" w14:textId="77777777" w:rsidR="0033457E" w:rsidRPr="0082321B" w:rsidRDefault="0033457E" w:rsidP="00F21F23">
            <w:pPr>
              <w:rPr>
                <w:b/>
                <w:i/>
              </w:rPr>
            </w:pPr>
          </w:p>
        </w:tc>
        <w:tc>
          <w:tcPr>
            <w:tcW w:w="496" w:type="pct"/>
          </w:tcPr>
          <w:p w14:paraId="68D59881" w14:textId="77777777" w:rsidR="0033457E" w:rsidRPr="0082321B" w:rsidRDefault="0033457E" w:rsidP="00F21F23">
            <w:pPr>
              <w:rPr>
                <w:b/>
                <w:i/>
              </w:rPr>
            </w:pPr>
          </w:p>
        </w:tc>
        <w:tc>
          <w:tcPr>
            <w:tcW w:w="415" w:type="pct"/>
          </w:tcPr>
          <w:p w14:paraId="65487B61" w14:textId="77777777" w:rsidR="0033457E" w:rsidRPr="0082321B" w:rsidRDefault="0033457E" w:rsidP="00F21F23">
            <w:pPr>
              <w:rPr>
                <w:b/>
                <w:i/>
              </w:rPr>
            </w:pPr>
          </w:p>
        </w:tc>
        <w:tc>
          <w:tcPr>
            <w:tcW w:w="327" w:type="pct"/>
          </w:tcPr>
          <w:p w14:paraId="28B2355F" w14:textId="77777777" w:rsidR="0033457E" w:rsidRPr="0082321B" w:rsidRDefault="0033457E" w:rsidP="00F21F23">
            <w:pPr>
              <w:rPr>
                <w:b/>
                <w:i/>
              </w:rPr>
            </w:pPr>
          </w:p>
        </w:tc>
      </w:tr>
      <w:tr w:rsidR="0033457E" w:rsidRPr="0082321B" w14:paraId="0B0E3C83" w14:textId="77777777" w:rsidTr="00F21F23">
        <w:tc>
          <w:tcPr>
            <w:tcW w:w="404" w:type="pct"/>
          </w:tcPr>
          <w:p w14:paraId="05765515" w14:textId="77777777" w:rsidR="0033457E" w:rsidRPr="0082321B" w:rsidRDefault="0033457E" w:rsidP="00F21F23">
            <w:pPr>
              <w:rPr>
                <w:b/>
                <w:i/>
              </w:rPr>
            </w:pPr>
            <w:r w:rsidRPr="0082321B">
              <w:rPr>
                <w:b/>
                <w:i/>
              </w:rPr>
              <w:t>Rec. no</w:t>
            </w:r>
          </w:p>
        </w:tc>
        <w:tc>
          <w:tcPr>
            <w:tcW w:w="1377" w:type="pct"/>
          </w:tcPr>
          <w:p w14:paraId="27AAC57F" w14:textId="77777777" w:rsidR="0033457E" w:rsidRPr="0082321B" w:rsidRDefault="0033457E" w:rsidP="00F21F23">
            <w:pPr>
              <w:rPr>
                <w:b/>
                <w:i/>
              </w:rPr>
            </w:pPr>
            <w:r w:rsidRPr="0082321B">
              <w:rPr>
                <w:b/>
                <w:i/>
              </w:rPr>
              <w:t>Issue or recommendation</w:t>
            </w:r>
          </w:p>
        </w:tc>
        <w:tc>
          <w:tcPr>
            <w:tcW w:w="523" w:type="pct"/>
          </w:tcPr>
          <w:p w14:paraId="5D675BD2" w14:textId="77777777" w:rsidR="0033457E" w:rsidRPr="0082321B" w:rsidRDefault="0033457E" w:rsidP="00F21F23">
            <w:pPr>
              <w:rPr>
                <w:b/>
                <w:i/>
              </w:rPr>
            </w:pPr>
            <w:r w:rsidRPr="0082321B">
              <w:rPr>
                <w:b/>
                <w:i/>
              </w:rPr>
              <w:t>Raised by / Date</w:t>
            </w:r>
          </w:p>
        </w:tc>
        <w:tc>
          <w:tcPr>
            <w:tcW w:w="1458" w:type="pct"/>
          </w:tcPr>
          <w:p w14:paraId="613A7A74" w14:textId="77777777" w:rsidR="0033457E" w:rsidRPr="0082321B" w:rsidRDefault="0033457E" w:rsidP="00F21F23">
            <w:pPr>
              <w:rPr>
                <w:b/>
                <w:i/>
              </w:rPr>
            </w:pPr>
            <w:r w:rsidRPr="0082321B">
              <w:rPr>
                <w:b/>
                <w:i/>
              </w:rPr>
              <w:t>Response or Action taken by applicant</w:t>
            </w:r>
          </w:p>
        </w:tc>
        <w:tc>
          <w:tcPr>
            <w:tcW w:w="496" w:type="pct"/>
          </w:tcPr>
          <w:p w14:paraId="1B7894F3" w14:textId="77777777" w:rsidR="0033457E" w:rsidRPr="0082321B" w:rsidRDefault="0033457E" w:rsidP="00F21F23">
            <w:pPr>
              <w:rPr>
                <w:b/>
                <w:i/>
              </w:rPr>
            </w:pPr>
            <w:r w:rsidRPr="0082321B">
              <w:rPr>
                <w:b/>
                <w:i/>
              </w:rPr>
              <w:t>Response date</w:t>
            </w:r>
          </w:p>
        </w:tc>
        <w:tc>
          <w:tcPr>
            <w:tcW w:w="415" w:type="pct"/>
          </w:tcPr>
          <w:p w14:paraId="7BF6FBD3" w14:textId="77777777" w:rsidR="0033457E" w:rsidRPr="0082321B" w:rsidRDefault="0033457E" w:rsidP="00F21F23">
            <w:pPr>
              <w:rPr>
                <w:b/>
                <w:i/>
              </w:rPr>
            </w:pPr>
            <w:r w:rsidRPr="0082321B">
              <w:rPr>
                <w:b/>
                <w:i/>
              </w:rPr>
              <w:t>Resolved</w:t>
            </w:r>
          </w:p>
        </w:tc>
        <w:tc>
          <w:tcPr>
            <w:tcW w:w="327" w:type="pct"/>
          </w:tcPr>
          <w:p w14:paraId="4D27CDC7" w14:textId="77777777" w:rsidR="0033457E" w:rsidRPr="0082321B" w:rsidRDefault="0033457E" w:rsidP="00F21F23">
            <w:pPr>
              <w:rPr>
                <w:b/>
                <w:i/>
              </w:rPr>
            </w:pPr>
            <w:r w:rsidRPr="0082321B">
              <w:rPr>
                <w:b/>
                <w:i/>
              </w:rPr>
              <w:t>Sign off by / Date</w:t>
            </w:r>
          </w:p>
        </w:tc>
      </w:tr>
      <w:tr w:rsidR="0033457E" w:rsidRPr="0082321B" w14:paraId="094EDFBC" w14:textId="77777777" w:rsidTr="00F21F23">
        <w:tc>
          <w:tcPr>
            <w:tcW w:w="404" w:type="pct"/>
          </w:tcPr>
          <w:p w14:paraId="3C3432AD" w14:textId="77777777" w:rsidR="0033457E" w:rsidRPr="0082321B" w:rsidRDefault="0033457E" w:rsidP="00F21F23"/>
        </w:tc>
        <w:tc>
          <w:tcPr>
            <w:tcW w:w="1377" w:type="pct"/>
          </w:tcPr>
          <w:p w14:paraId="3988DC75" w14:textId="77777777" w:rsidR="0033457E" w:rsidRPr="0082321B" w:rsidRDefault="0033457E" w:rsidP="00F21F23"/>
        </w:tc>
        <w:tc>
          <w:tcPr>
            <w:tcW w:w="523" w:type="pct"/>
          </w:tcPr>
          <w:p w14:paraId="527E4487" w14:textId="77777777" w:rsidR="0033457E" w:rsidRPr="0082321B" w:rsidRDefault="0033457E" w:rsidP="00F21F23"/>
        </w:tc>
        <w:tc>
          <w:tcPr>
            <w:tcW w:w="1458" w:type="pct"/>
          </w:tcPr>
          <w:p w14:paraId="5117C895" w14:textId="77777777" w:rsidR="0033457E" w:rsidRPr="0082321B" w:rsidRDefault="0033457E" w:rsidP="00F21F23"/>
        </w:tc>
        <w:tc>
          <w:tcPr>
            <w:tcW w:w="496" w:type="pct"/>
          </w:tcPr>
          <w:p w14:paraId="1876D84B" w14:textId="77777777" w:rsidR="0033457E" w:rsidRPr="0082321B" w:rsidRDefault="0033457E" w:rsidP="00F21F23"/>
        </w:tc>
        <w:sdt>
          <w:sdtPr>
            <w:id w:val="1733420856"/>
            <w14:checkbox>
              <w14:checked w14:val="0"/>
              <w14:checkedState w14:val="2612" w14:font="MS Gothic"/>
              <w14:uncheckedState w14:val="2610" w14:font="MS Gothic"/>
            </w14:checkbox>
          </w:sdtPr>
          <w:sdtEndPr/>
          <w:sdtContent>
            <w:tc>
              <w:tcPr>
                <w:tcW w:w="415" w:type="pct"/>
              </w:tcPr>
              <w:p w14:paraId="225478C2"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1DA97735" w14:textId="77777777" w:rsidR="0033457E" w:rsidRPr="0082321B" w:rsidRDefault="0033457E" w:rsidP="00F21F23"/>
        </w:tc>
      </w:tr>
      <w:tr w:rsidR="0033457E" w:rsidRPr="0082321B" w14:paraId="427120E7" w14:textId="77777777" w:rsidTr="00F21F23">
        <w:tc>
          <w:tcPr>
            <w:tcW w:w="404" w:type="pct"/>
          </w:tcPr>
          <w:p w14:paraId="31E9DA9B" w14:textId="77777777" w:rsidR="0033457E" w:rsidRPr="0082321B" w:rsidRDefault="0033457E" w:rsidP="00F21F23">
            <w:pPr>
              <w:rPr>
                <w:b/>
                <w:i/>
              </w:rPr>
            </w:pPr>
          </w:p>
        </w:tc>
        <w:tc>
          <w:tcPr>
            <w:tcW w:w="1377" w:type="pct"/>
          </w:tcPr>
          <w:p w14:paraId="737445B2" w14:textId="77777777" w:rsidR="0033457E" w:rsidRPr="0082321B" w:rsidRDefault="0033457E" w:rsidP="00F21F23">
            <w:pPr>
              <w:rPr>
                <w:b/>
                <w:i/>
              </w:rPr>
            </w:pPr>
            <w:r w:rsidRPr="0082321B">
              <w:rPr>
                <w:b/>
              </w:rPr>
              <w:t>Data</w:t>
            </w:r>
          </w:p>
        </w:tc>
        <w:tc>
          <w:tcPr>
            <w:tcW w:w="523" w:type="pct"/>
          </w:tcPr>
          <w:p w14:paraId="4EA2B240" w14:textId="77777777" w:rsidR="0033457E" w:rsidRPr="0082321B" w:rsidRDefault="0033457E" w:rsidP="00F21F23">
            <w:pPr>
              <w:rPr>
                <w:b/>
                <w:i/>
              </w:rPr>
            </w:pPr>
          </w:p>
        </w:tc>
        <w:tc>
          <w:tcPr>
            <w:tcW w:w="1458" w:type="pct"/>
          </w:tcPr>
          <w:p w14:paraId="529D335D" w14:textId="77777777" w:rsidR="0033457E" w:rsidRPr="0082321B" w:rsidRDefault="0033457E" w:rsidP="00F21F23">
            <w:pPr>
              <w:rPr>
                <w:b/>
                <w:i/>
              </w:rPr>
            </w:pPr>
          </w:p>
        </w:tc>
        <w:tc>
          <w:tcPr>
            <w:tcW w:w="496" w:type="pct"/>
          </w:tcPr>
          <w:p w14:paraId="73C8691F" w14:textId="77777777" w:rsidR="0033457E" w:rsidRPr="0082321B" w:rsidRDefault="0033457E" w:rsidP="00F21F23">
            <w:pPr>
              <w:rPr>
                <w:b/>
                <w:i/>
              </w:rPr>
            </w:pPr>
          </w:p>
        </w:tc>
        <w:tc>
          <w:tcPr>
            <w:tcW w:w="415" w:type="pct"/>
          </w:tcPr>
          <w:p w14:paraId="6A75D181" w14:textId="77777777" w:rsidR="0033457E" w:rsidRPr="0082321B" w:rsidRDefault="0033457E" w:rsidP="00F21F23">
            <w:pPr>
              <w:rPr>
                <w:b/>
                <w:i/>
              </w:rPr>
            </w:pPr>
          </w:p>
        </w:tc>
        <w:tc>
          <w:tcPr>
            <w:tcW w:w="327" w:type="pct"/>
          </w:tcPr>
          <w:p w14:paraId="44F33CD2" w14:textId="77777777" w:rsidR="0033457E" w:rsidRPr="0082321B" w:rsidRDefault="0033457E" w:rsidP="00F21F23">
            <w:pPr>
              <w:rPr>
                <w:b/>
                <w:i/>
              </w:rPr>
            </w:pPr>
          </w:p>
        </w:tc>
      </w:tr>
      <w:tr w:rsidR="0033457E" w:rsidRPr="0082321B" w14:paraId="2680C5B3" w14:textId="77777777" w:rsidTr="00F21F23">
        <w:tc>
          <w:tcPr>
            <w:tcW w:w="404" w:type="pct"/>
          </w:tcPr>
          <w:p w14:paraId="090804E1" w14:textId="77777777" w:rsidR="0033457E" w:rsidRPr="0082321B" w:rsidRDefault="0033457E" w:rsidP="00F21F23">
            <w:pPr>
              <w:rPr>
                <w:b/>
                <w:i/>
              </w:rPr>
            </w:pPr>
            <w:r w:rsidRPr="0082321B">
              <w:rPr>
                <w:b/>
                <w:i/>
              </w:rPr>
              <w:t>Rec. no</w:t>
            </w:r>
          </w:p>
        </w:tc>
        <w:tc>
          <w:tcPr>
            <w:tcW w:w="1377" w:type="pct"/>
          </w:tcPr>
          <w:p w14:paraId="13AFDFBE" w14:textId="77777777" w:rsidR="0033457E" w:rsidRPr="0082321B" w:rsidRDefault="0033457E" w:rsidP="00F21F23">
            <w:pPr>
              <w:rPr>
                <w:b/>
                <w:i/>
              </w:rPr>
            </w:pPr>
            <w:r w:rsidRPr="0082321B">
              <w:rPr>
                <w:b/>
                <w:i/>
              </w:rPr>
              <w:t>Issue or recommendation</w:t>
            </w:r>
          </w:p>
        </w:tc>
        <w:tc>
          <w:tcPr>
            <w:tcW w:w="523" w:type="pct"/>
          </w:tcPr>
          <w:p w14:paraId="5D2731BF" w14:textId="77777777" w:rsidR="0033457E" w:rsidRPr="0082321B" w:rsidRDefault="0033457E" w:rsidP="00F21F23">
            <w:pPr>
              <w:rPr>
                <w:b/>
                <w:i/>
              </w:rPr>
            </w:pPr>
            <w:r w:rsidRPr="0082321B">
              <w:rPr>
                <w:b/>
                <w:i/>
              </w:rPr>
              <w:t>Raised by / Date</w:t>
            </w:r>
          </w:p>
        </w:tc>
        <w:tc>
          <w:tcPr>
            <w:tcW w:w="1458" w:type="pct"/>
          </w:tcPr>
          <w:p w14:paraId="43AC4F4B" w14:textId="77777777" w:rsidR="0033457E" w:rsidRPr="0082321B" w:rsidRDefault="0033457E" w:rsidP="00F21F23">
            <w:pPr>
              <w:rPr>
                <w:b/>
                <w:i/>
              </w:rPr>
            </w:pPr>
            <w:r w:rsidRPr="0082321B">
              <w:rPr>
                <w:b/>
                <w:i/>
              </w:rPr>
              <w:t>Response or Action taken by applicant</w:t>
            </w:r>
          </w:p>
        </w:tc>
        <w:tc>
          <w:tcPr>
            <w:tcW w:w="496" w:type="pct"/>
          </w:tcPr>
          <w:p w14:paraId="446AC118" w14:textId="77777777" w:rsidR="0033457E" w:rsidRPr="0082321B" w:rsidRDefault="0033457E" w:rsidP="00F21F23">
            <w:pPr>
              <w:rPr>
                <w:b/>
                <w:i/>
              </w:rPr>
            </w:pPr>
            <w:r w:rsidRPr="0082321B">
              <w:rPr>
                <w:b/>
                <w:i/>
              </w:rPr>
              <w:t>Response date</w:t>
            </w:r>
          </w:p>
        </w:tc>
        <w:tc>
          <w:tcPr>
            <w:tcW w:w="415" w:type="pct"/>
          </w:tcPr>
          <w:p w14:paraId="4E7E8F2F" w14:textId="77777777" w:rsidR="0033457E" w:rsidRPr="0082321B" w:rsidRDefault="0033457E" w:rsidP="00F21F23">
            <w:pPr>
              <w:rPr>
                <w:b/>
                <w:i/>
              </w:rPr>
            </w:pPr>
            <w:r w:rsidRPr="0082321B">
              <w:rPr>
                <w:b/>
                <w:i/>
              </w:rPr>
              <w:t>Resolved</w:t>
            </w:r>
          </w:p>
        </w:tc>
        <w:tc>
          <w:tcPr>
            <w:tcW w:w="327" w:type="pct"/>
          </w:tcPr>
          <w:p w14:paraId="6847D344" w14:textId="77777777" w:rsidR="0033457E" w:rsidRPr="0082321B" w:rsidRDefault="0033457E" w:rsidP="00F21F23">
            <w:pPr>
              <w:rPr>
                <w:b/>
                <w:i/>
              </w:rPr>
            </w:pPr>
            <w:r w:rsidRPr="0082321B">
              <w:rPr>
                <w:b/>
                <w:i/>
              </w:rPr>
              <w:t>Sign off by / Date</w:t>
            </w:r>
          </w:p>
        </w:tc>
      </w:tr>
      <w:tr w:rsidR="0033457E" w:rsidRPr="0082321B" w14:paraId="62B82C75" w14:textId="77777777" w:rsidTr="00F21F23">
        <w:tc>
          <w:tcPr>
            <w:tcW w:w="404" w:type="pct"/>
          </w:tcPr>
          <w:p w14:paraId="352D3061" w14:textId="77777777" w:rsidR="0033457E" w:rsidRPr="0082321B" w:rsidRDefault="0033457E" w:rsidP="00F21F23"/>
        </w:tc>
        <w:tc>
          <w:tcPr>
            <w:tcW w:w="1377" w:type="pct"/>
          </w:tcPr>
          <w:p w14:paraId="21A5D69A" w14:textId="77777777" w:rsidR="0033457E" w:rsidRPr="0082321B" w:rsidRDefault="0033457E" w:rsidP="00F21F23"/>
        </w:tc>
        <w:tc>
          <w:tcPr>
            <w:tcW w:w="523" w:type="pct"/>
          </w:tcPr>
          <w:p w14:paraId="722691DB" w14:textId="77777777" w:rsidR="0033457E" w:rsidRPr="0082321B" w:rsidRDefault="0033457E" w:rsidP="00F21F23"/>
        </w:tc>
        <w:tc>
          <w:tcPr>
            <w:tcW w:w="1458" w:type="pct"/>
          </w:tcPr>
          <w:p w14:paraId="4CB67C70" w14:textId="77777777" w:rsidR="0033457E" w:rsidRPr="0082321B" w:rsidRDefault="0033457E" w:rsidP="00F21F23"/>
        </w:tc>
        <w:tc>
          <w:tcPr>
            <w:tcW w:w="496" w:type="pct"/>
          </w:tcPr>
          <w:p w14:paraId="0FD0B486" w14:textId="77777777" w:rsidR="0033457E" w:rsidRPr="0082321B" w:rsidRDefault="0033457E" w:rsidP="00F21F23"/>
        </w:tc>
        <w:sdt>
          <w:sdtPr>
            <w:id w:val="-1023932915"/>
            <w14:checkbox>
              <w14:checked w14:val="0"/>
              <w14:checkedState w14:val="2612" w14:font="MS Gothic"/>
              <w14:uncheckedState w14:val="2610" w14:font="MS Gothic"/>
            </w14:checkbox>
          </w:sdtPr>
          <w:sdtEndPr/>
          <w:sdtContent>
            <w:tc>
              <w:tcPr>
                <w:tcW w:w="415" w:type="pct"/>
              </w:tcPr>
              <w:p w14:paraId="54AA385E"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21415720" w14:textId="77777777" w:rsidR="0033457E" w:rsidRPr="0082321B" w:rsidRDefault="0033457E" w:rsidP="00F21F23"/>
        </w:tc>
      </w:tr>
      <w:tr w:rsidR="0033457E" w:rsidRPr="0082321B" w14:paraId="63CB0B51" w14:textId="77777777" w:rsidTr="00F21F23">
        <w:tc>
          <w:tcPr>
            <w:tcW w:w="404" w:type="pct"/>
          </w:tcPr>
          <w:p w14:paraId="4E8E696F" w14:textId="77777777" w:rsidR="0033457E" w:rsidRPr="0082321B" w:rsidRDefault="0033457E" w:rsidP="00F21F23">
            <w:pPr>
              <w:rPr>
                <w:b/>
                <w:i/>
              </w:rPr>
            </w:pPr>
          </w:p>
        </w:tc>
        <w:tc>
          <w:tcPr>
            <w:tcW w:w="1377" w:type="pct"/>
          </w:tcPr>
          <w:p w14:paraId="486F9480" w14:textId="77777777" w:rsidR="0033457E" w:rsidRPr="0082321B" w:rsidRDefault="0033457E" w:rsidP="00F21F23">
            <w:pPr>
              <w:rPr>
                <w:b/>
                <w:i/>
              </w:rPr>
            </w:pPr>
            <w:r w:rsidRPr="0082321B">
              <w:rPr>
                <w:b/>
              </w:rPr>
              <w:t>Construction</w:t>
            </w:r>
          </w:p>
        </w:tc>
        <w:tc>
          <w:tcPr>
            <w:tcW w:w="523" w:type="pct"/>
          </w:tcPr>
          <w:p w14:paraId="7BA0CFC8" w14:textId="77777777" w:rsidR="0033457E" w:rsidRPr="0082321B" w:rsidRDefault="0033457E" w:rsidP="00F21F23">
            <w:pPr>
              <w:rPr>
                <w:b/>
                <w:i/>
              </w:rPr>
            </w:pPr>
          </w:p>
        </w:tc>
        <w:tc>
          <w:tcPr>
            <w:tcW w:w="1458" w:type="pct"/>
          </w:tcPr>
          <w:p w14:paraId="63503154" w14:textId="77777777" w:rsidR="0033457E" w:rsidRPr="0082321B" w:rsidRDefault="0033457E" w:rsidP="00F21F23">
            <w:pPr>
              <w:rPr>
                <w:b/>
                <w:i/>
              </w:rPr>
            </w:pPr>
          </w:p>
        </w:tc>
        <w:tc>
          <w:tcPr>
            <w:tcW w:w="496" w:type="pct"/>
          </w:tcPr>
          <w:p w14:paraId="16813F28" w14:textId="77777777" w:rsidR="0033457E" w:rsidRPr="0082321B" w:rsidRDefault="0033457E" w:rsidP="00F21F23">
            <w:pPr>
              <w:rPr>
                <w:b/>
                <w:i/>
              </w:rPr>
            </w:pPr>
          </w:p>
        </w:tc>
        <w:tc>
          <w:tcPr>
            <w:tcW w:w="415" w:type="pct"/>
          </w:tcPr>
          <w:p w14:paraId="77609AA0" w14:textId="77777777" w:rsidR="0033457E" w:rsidRPr="0082321B" w:rsidRDefault="0033457E" w:rsidP="00F21F23">
            <w:pPr>
              <w:rPr>
                <w:b/>
                <w:i/>
              </w:rPr>
            </w:pPr>
          </w:p>
        </w:tc>
        <w:tc>
          <w:tcPr>
            <w:tcW w:w="327" w:type="pct"/>
          </w:tcPr>
          <w:p w14:paraId="5018D5B3" w14:textId="77777777" w:rsidR="0033457E" w:rsidRPr="0082321B" w:rsidRDefault="0033457E" w:rsidP="00F21F23">
            <w:pPr>
              <w:rPr>
                <w:b/>
                <w:i/>
              </w:rPr>
            </w:pPr>
          </w:p>
        </w:tc>
      </w:tr>
      <w:tr w:rsidR="0033457E" w:rsidRPr="0082321B" w14:paraId="44AF8AD2" w14:textId="77777777" w:rsidTr="00F21F23">
        <w:tc>
          <w:tcPr>
            <w:tcW w:w="404" w:type="pct"/>
          </w:tcPr>
          <w:p w14:paraId="7F7E13B7" w14:textId="77777777" w:rsidR="0033457E" w:rsidRPr="0082321B" w:rsidRDefault="0033457E" w:rsidP="00F21F23">
            <w:pPr>
              <w:rPr>
                <w:b/>
                <w:i/>
              </w:rPr>
            </w:pPr>
            <w:r w:rsidRPr="0082321B">
              <w:rPr>
                <w:b/>
                <w:i/>
              </w:rPr>
              <w:t>Rec. no</w:t>
            </w:r>
          </w:p>
        </w:tc>
        <w:tc>
          <w:tcPr>
            <w:tcW w:w="1377" w:type="pct"/>
          </w:tcPr>
          <w:p w14:paraId="22C745E6" w14:textId="77777777" w:rsidR="0033457E" w:rsidRPr="0082321B" w:rsidRDefault="0033457E" w:rsidP="00F21F23">
            <w:pPr>
              <w:rPr>
                <w:b/>
                <w:i/>
              </w:rPr>
            </w:pPr>
            <w:r w:rsidRPr="0082321B">
              <w:rPr>
                <w:b/>
                <w:i/>
              </w:rPr>
              <w:t>Issue or recommendation</w:t>
            </w:r>
          </w:p>
        </w:tc>
        <w:tc>
          <w:tcPr>
            <w:tcW w:w="523" w:type="pct"/>
          </w:tcPr>
          <w:p w14:paraId="51D14A1E" w14:textId="77777777" w:rsidR="0033457E" w:rsidRPr="0082321B" w:rsidRDefault="0033457E" w:rsidP="00F21F23">
            <w:pPr>
              <w:rPr>
                <w:b/>
                <w:i/>
              </w:rPr>
            </w:pPr>
            <w:r w:rsidRPr="0082321B">
              <w:rPr>
                <w:b/>
                <w:i/>
              </w:rPr>
              <w:t>Raised by / Date</w:t>
            </w:r>
          </w:p>
        </w:tc>
        <w:tc>
          <w:tcPr>
            <w:tcW w:w="1458" w:type="pct"/>
          </w:tcPr>
          <w:p w14:paraId="65153843" w14:textId="77777777" w:rsidR="0033457E" w:rsidRPr="0082321B" w:rsidRDefault="0033457E" w:rsidP="00F21F23">
            <w:pPr>
              <w:rPr>
                <w:b/>
                <w:i/>
              </w:rPr>
            </w:pPr>
            <w:r w:rsidRPr="0082321B">
              <w:rPr>
                <w:b/>
                <w:i/>
              </w:rPr>
              <w:t>Response or Action taken by applicant</w:t>
            </w:r>
          </w:p>
        </w:tc>
        <w:tc>
          <w:tcPr>
            <w:tcW w:w="496" w:type="pct"/>
          </w:tcPr>
          <w:p w14:paraId="7A1C5A99" w14:textId="77777777" w:rsidR="0033457E" w:rsidRPr="0082321B" w:rsidRDefault="0033457E" w:rsidP="00F21F23">
            <w:pPr>
              <w:rPr>
                <w:b/>
                <w:i/>
              </w:rPr>
            </w:pPr>
            <w:r w:rsidRPr="0082321B">
              <w:rPr>
                <w:b/>
                <w:i/>
              </w:rPr>
              <w:t>Response date</w:t>
            </w:r>
          </w:p>
        </w:tc>
        <w:tc>
          <w:tcPr>
            <w:tcW w:w="415" w:type="pct"/>
          </w:tcPr>
          <w:p w14:paraId="2CCC8DE1" w14:textId="77777777" w:rsidR="0033457E" w:rsidRPr="0082321B" w:rsidRDefault="0033457E" w:rsidP="00F21F23">
            <w:pPr>
              <w:rPr>
                <w:b/>
                <w:i/>
              </w:rPr>
            </w:pPr>
            <w:r w:rsidRPr="0082321B">
              <w:rPr>
                <w:b/>
                <w:i/>
              </w:rPr>
              <w:t>Resolved</w:t>
            </w:r>
          </w:p>
        </w:tc>
        <w:tc>
          <w:tcPr>
            <w:tcW w:w="327" w:type="pct"/>
          </w:tcPr>
          <w:p w14:paraId="3E6BB29A" w14:textId="77777777" w:rsidR="0033457E" w:rsidRPr="0082321B" w:rsidRDefault="0033457E" w:rsidP="00F21F23">
            <w:pPr>
              <w:rPr>
                <w:b/>
                <w:i/>
              </w:rPr>
            </w:pPr>
            <w:r w:rsidRPr="0082321B">
              <w:rPr>
                <w:b/>
                <w:i/>
              </w:rPr>
              <w:t>Sign off by / Date</w:t>
            </w:r>
          </w:p>
        </w:tc>
      </w:tr>
      <w:tr w:rsidR="0033457E" w:rsidRPr="0082321B" w14:paraId="6DA486CF" w14:textId="77777777" w:rsidTr="00F21F23">
        <w:tc>
          <w:tcPr>
            <w:tcW w:w="404" w:type="pct"/>
          </w:tcPr>
          <w:p w14:paraId="1D6D8211" w14:textId="77777777" w:rsidR="0033457E" w:rsidRPr="0082321B" w:rsidRDefault="0033457E" w:rsidP="00F21F23"/>
        </w:tc>
        <w:tc>
          <w:tcPr>
            <w:tcW w:w="1377" w:type="pct"/>
          </w:tcPr>
          <w:p w14:paraId="0D238F9C" w14:textId="77777777" w:rsidR="0033457E" w:rsidRPr="0082321B" w:rsidRDefault="0033457E" w:rsidP="00F21F23"/>
        </w:tc>
        <w:tc>
          <w:tcPr>
            <w:tcW w:w="523" w:type="pct"/>
          </w:tcPr>
          <w:p w14:paraId="28490773" w14:textId="77777777" w:rsidR="0033457E" w:rsidRPr="0082321B" w:rsidRDefault="0033457E" w:rsidP="00F21F23"/>
        </w:tc>
        <w:tc>
          <w:tcPr>
            <w:tcW w:w="1458" w:type="pct"/>
          </w:tcPr>
          <w:p w14:paraId="14AF8DF6" w14:textId="77777777" w:rsidR="0033457E" w:rsidRPr="0082321B" w:rsidRDefault="0033457E" w:rsidP="00F21F23"/>
        </w:tc>
        <w:tc>
          <w:tcPr>
            <w:tcW w:w="496" w:type="pct"/>
          </w:tcPr>
          <w:p w14:paraId="2DE5DF46" w14:textId="77777777" w:rsidR="0033457E" w:rsidRPr="0082321B" w:rsidRDefault="0033457E" w:rsidP="00F21F23"/>
        </w:tc>
        <w:sdt>
          <w:sdtPr>
            <w:id w:val="1667126029"/>
            <w14:checkbox>
              <w14:checked w14:val="0"/>
              <w14:checkedState w14:val="2612" w14:font="MS Gothic"/>
              <w14:uncheckedState w14:val="2610" w14:font="MS Gothic"/>
            </w14:checkbox>
          </w:sdtPr>
          <w:sdtEndPr/>
          <w:sdtContent>
            <w:tc>
              <w:tcPr>
                <w:tcW w:w="415" w:type="pct"/>
              </w:tcPr>
              <w:p w14:paraId="66B35027"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0816CC33" w14:textId="77777777" w:rsidR="0033457E" w:rsidRPr="0082321B" w:rsidRDefault="0033457E" w:rsidP="00F21F23"/>
        </w:tc>
      </w:tr>
      <w:tr w:rsidR="0033457E" w:rsidRPr="0082321B" w14:paraId="75DBA076" w14:textId="77777777" w:rsidTr="00F21F23">
        <w:tc>
          <w:tcPr>
            <w:tcW w:w="404" w:type="pct"/>
          </w:tcPr>
          <w:p w14:paraId="5BD49B93" w14:textId="77777777" w:rsidR="0033457E" w:rsidRPr="0082321B" w:rsidRDefault="0033457E" w:rsidP="00F21F23">
            <w:pPr>
              <w:rPr>
                <w:b/>
                <w:i/>
              </w:rPr>
            </w:pPr>
          </w:p>
        </w:tc>
        <w:tc>
          <w:tcPr>
            <w:tcW w:w="1377" w:type="pct"/>
          </w:tcPr>
          <w:p w14:paraId="0661314B" w14:textId="77777777" w:rsidR="0033457E" w:rsidRPr="0082321B" w:rsidRDefault="0033457E" w:rsidP="00F21F23">
            <w:pPr>
              <w:rPr>
                <w:b/>
                <w:i/>
              </w:rPr>
            </w:pPr>
            <w:r w:rsidRPr="0082321B">
              <w:rPr>
                <w:b/>
              </w:rPr>
              <w:t>Presentation and Interpretation</w:t>
            </w:r>
          </w:p>
        </w:tc>
        <w:tc>
          <w:tcPr>
            <w:tcW w:w="523" w:type="pct"/>
          </w:tcPr>
          <w:p w14:paraId="59ACCA62" w14:textId="77777777" w:rsidR="0033457E" w:rsidRPr="0082321B" w:rsidRDefault="0033457E" w:rsidP="00F21F23">
            <w:pPr>
              <w:rPr>
                <w:b/>
                <w:i/>
              </w:rPr>
            </w:pPr>
          </w:p>
        </w:tc>
        <w:tc>
          <w:tcPr>
            <w:tcW w:w="1458" w:type="pct"/>
          </w:tcPr>
          <w:p w14:paraId="54DCFE06" w14:textId="77777777" w:rsidR="0033457E" w:rsidRPr="0082321B" w:rsidRDefault="0033457E" w:rsidP="00F21F23">
            <w:pPr>
              <w:rPr>
                <w:b/>
                <w:i/>
              </w:rPr>
            </w:pPr>
          </w:p>
        </w:tc>
        <w:tc>
          <w:tcPr>
            <w:tcW w:w="496" w:type="pct"/>
          </w:tcPr>
          <w:p w14:paraId="3D09FFA6" w14:textId="77777777" w:rsidR="0033457E" w:rsidRPr="0082321B" w:rsidRDefault="0033457E" w:rsidP="00F21F23">
            <w:pPr>
              <w:rPr>
                <w:b/>
                <w:i/>
              </w:rPr>
            </w:pPr>
          </w:p>
        </w:tc>
        <w:tc>
          <w:tcPr>
            <w:tcW w:w="415" w:type="pct"/>
          </w:tcPr>
          <w:p w14:paraId="43A16A7B" w14:textId="77777777" w:rsidR="0033457E" w:rsidRPr="0082321B" w:rsidRDefault="0033457E" w:rsidP="00F21F23">
            <w:pPr>
              <w:rPr>
                <w:b/>
                <w:i/>
              </w:rPr>
            </w:pPr>
          </w:p>
        </w:tc>
        <w:tc>
          <w:tcPr>
            <w:tcW w:w="327" w:type="pct"/>
          </w:tcPr>
          <w:p w14:paraId="227ECF18" w14:textId="77777777" w:rsidR="0033457E" w:rsidRPr="0082321B" w:rsidRDefault="0033457E" w:rsidP="00F21F23">
            <w:pPr>
              <w:rPr>
                <w:b/>
                <w:i/>
              </w:rPr>
            </w:pPr>
          </w:p>
        </w:tc>
      </w:tr>
      <w:tr w:rsidR="0033457E" w:rsidRPr="0082321B" w14:paraId="3E120191" w14:textId="77777777" w:rsidTr="00F21F23">
        <w:tc>
          <w:tcPr>
            <w:tcW w:w="404" w:type="pct"/>
          </w:tcPr>
          <w:p w14:paraId="05A7B96B" w14:textId="77777777" w:rsidR="0033457E" w:rsidRPr="0082321B" w:rsidRDefault="0033457E" w:rsidP="00F21F23">
            <w:pPr>
              <w:rPr>
                <w:b/>
                <w:i/>
              </w:rPr>
            </w:pPr>
            <w:r w:rsidRPr="0082321B">
              <w:rPr>
                <w:b/>
                <w:i/>
              </w:rPr>
              <w:t>Rec. no</w:t>
            </w:r>
          </w:p>
        </w:tc>
        <w:tc>
          <w:tcPr>
            <w:tcW w:w="1377" w:type="pct"/>
          </w:tcPr>
          <w:p w14:paraId="0E80FCBD" w14:textId="77777777" w:rsidR="0033457E" w:rsidRPr="0082321B" w:rsidRDefault="0033457E" w:rsidP="00F21F23">
            <w:pPr>
              <w:rPr>
                <w:b/>
                <w:i/>
              </w:rPr>
            </w:pPr>
            <w:r w:rsidRPr="0082321B">
              <w:rPr>
                <w:b/>
                <w:i/>
              </w:rPr>
              <w:t>Issue or recommendation</w:t>
            </w:r>
          </w:p>
        </w:tc>
        <w:tc>
          <w:tcPr>
            <w:tcW w:w="523" w:type="pct"/>
          </w:tcPr>
          <w:p w14:paraId="056CA15A" w14:textId="77777777" w:rsidR="0033457E" w:rsidRPr="0082321B" w:rsidRDefault="0033457E" w:rsidP="00F21F23">
            <w:pPr>
              <w:rPr>
                <w:b/>
                <w:i/>
              </w:rPr>
            </w:pPr>
            <w:r w:rsidRPr="0082321B">
              <w:rPr>
                <w:b/>
                <w:i/>
              </w:rPr>
              <w:t>Raised by / Date</w:t>
            </w:r>
          </w:p>
        </w:tc>
        <w:tc>
          <w:tcPr>
            <w:tcW w:w="1458" w:type="pct"/>
          </w:tcPr>
          <w:p w14:paraId="3376A022" w14:textId="77777777" w:rsidR="0033457E" w:rsidRPr="0082321B" w:rsidRDefault="0033457E" w:rsidP="00F21F23">
            <w:pPr>
              <w:rPr>
                <w:b/>
                <w:i/>
              </w:rPr>
            </w:pPr>
            <w:r w:rsidRPr="0082321B">
              <w:rPr>
                <w:b/>
                <w:i/>
              </w:rPr>
              <w:t>Response or Action taken by applicant</w:t>
            </w:r>
          </w:p>
        </w:tc>
        <w:tc>
          <w:tcPr>
            <w:tcW w:w="496" w:type="pct"/>
          </w:tcPr>
          <w:p w14:paraId="68EA1928" w14:textId="77777777" w:rsidR="0033457E" w:rsidRPr="0082321B" w:rsidRDefault="0033457E" w:rsidP="00F21F23">
            <w:pPr>
              <w:rPr>
                <w:b/>
                <w:i/>
              </w:rPr>
            </w:pPr>
            <w:r w:rsidRPr="0082321B">
              <w:rPr>
                <w:b/>
                <w:i/>
              </w:rPr>
              <w:t>Response date</w:t>
            </w:r>
          </w:p>
        </w:tc>
        <w:tc>
          <w:tcPr>
            <w:tcW w:w="415" w:type="pct"/>
          </w:tcPr>
          <w:p w14:paraId="77D40771" w14:textId="77777777" w:rsidR="0033457E" w:rsidRPr="0082321B" w:rsidRDefault="0033457E" w:rsidP="00F21F23">
            <w:pPr>
              <w:rPr>
                <w:b/>
                <w:i/>
              </w:rPr>
            </w:pPr>
            <w:r w:rsidRPr="0082321B">
              <w:rPr>
                <w:b/>
                <w:i/>
              </w:rPr>
              <w:t>Resolved</w:t>
            </w:r>
          </w:p>
        </w:tc>
        <w:tc>
          <w:tcPr>
            <w:tcW w:w="327" w:type="pct"/>
          </w:tcPr>
          <w:p w14:paraId="1C2E7A2E" w14:textId="77777777" w:rsidR="0033457E" w:rsidRPr="0082321B" w:rsidRDefault="0033457E" w:rsidP="00F21F23">
            <w:pPr>
              <w:rPr>
                <w:b/>
                <w:i/>
              </w:rPr>
            </w:pPr>
            <w:r w:rsidRPr="0082321B">
              <w:rPr>
                <w:b/>
                <w:i/>
              </w:rPr>
              <w:t>Sign off by / Date</w:t>
            </w:r>
          </w:p>
        </w:tc>
      </w:tr>
      <w:tr w:rsidR="0033457E" w:rsidRPr="0082321B" w14:paraId="5D5C7150" w14:textId="77777777" w:rsidTr="00F21F23">
        <w:tc>
          <w:tcPr>
            <w:tcW w:w="404" w:type="pct"/>
          </w:tcPr>
          <w:p w14:paraId="53D2DCC2" w14:textId="77777777" w:rsidR="0033457E" w:rsidRPr="0082321B" w:rsidRDefault="0033457E" w:rsidP="00F21F23"/>
        </w:tc>
        <w:tc>
          <w:tcPr>
            <w:tcW w:w="1377" w:type="pct"/>
          </w:tcPr>
          <w:p w14:paraId="5B6BEA72" w14:textId="77777777" w:rsidR="0033457E" w:rsidRPr="0082321B" w:rsidRDefault="0033457E" w:rsidP="00F21F23"/>
        </w:tc>
        <w:tc>
          <w:tcPr>
            <w:tcW w:w="523" w:type="pct"/>
          </w:tcPr>
          <w:p w14:paraId="560E0DCD" w14:textId="77777777" w:rsidR="0033457E" w:rsidRPr="0082321B" w:rsidRDefault="0033457E" w:rsidP="00F21F23"/>
        </w:tc>
        <w:tc>
          <w:tcPr>
            <w:tcW w:w="1458" w:type="pct"/>
          </w:tcPr>
          <w:p w14:paraId="74344B02" w14:textId="77777777" w:rsidR="0033457E" w:rsidRPr="0082321B" w:rsidRDefault="0033457E" w:rsidP="00F21F23"/>
        </w:tc>
        <w:tc>
          <w:tcPr>
            <w:tcW w:w="496" w:type="pct"/>
          </w:tcPr>
          <w:p w14:paraId="152E8E41" w14:textId="77777777" w:rsidR="0033457E" w:rsidRPr="0082321B" w:rsidRDefault="0033457E" w:rsidP="00F21F23"/>
        </w:tc>
        <w:sdt>
          <w:sdtPr>
            <w:id w:val="2043168001"/>
            <w14:checkbox>
              <w14:checked w14:val="0"/>
              <w14:checkedState w14:val="2612" w14:font="MS Gothic"/>
              <w14:uncheckedState w14:val="2610" w14:font="MS Gothic"/>
            </w14:checkbox>
          </w:sdtPr>
          <w:sdtEndPr/>
          <w:sdtContent>
            <w:tc>
              <w:tcPr>
                <w:tcW w:w="415" w:type="pct"/>
              </w:tcPr>
              <w:p w14:paraId="36141746"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3BCDB318" w14:textId="77777777" w:rsidR="0033457E" w:rsidRPr="0082321B" w:rsidRDefault="0033457E" w:rsidP="00F21F23"/>
        </w:tc>
      </w:tr>
      <w:tr w:rsidR="0033457E" w:rsidRPr="0082321B" w14:paraId="47902199" w14:textId="77777777" w:rsidTr="00F21F23">
        <w:tc>
          <w:tcPr>
            <w:tcW w:w="404" w:type="pct"/>
          </w:tcPr>
          <w:p w14:paraId="3E7402D9" w14:textId="77777777" w:rsidR="0033457E" w:rsidRPr="0082321B" w:rsidRDefault="0033457E" w:rsidP="00F21F23">
            <w:pPr>
              <w:rPr>
                <w:b/>
                <w:i/>
              </w:rPr>
            </w:pPr>
          </w:p>
        </w:tc>
        <w:tc>
          <w:tcPr>
            <w:tcW w:w="1377" w:type="pct"/>
          </w:tcPr>
          <w:p w14:paraId="039E112F" w14:textId="77777777" w:rsidR="0033457E" w:rsidRPr="0082321B" w:rsidRDefault="0033457E" w:rsidP="00F21F23">
            <w:pPr>
              <w:rPr>
                <w:b/>
                <w:i/>
              </w:rPr>
            </w:pPr>
            <w:r w:rsidRPr="0082321B">
              <w:rPr>
                <w:b/>
              </w:rPr>
              <w:t>Risks and Usefulness</w:t>
            </w:r>
          </w:p>
        </w:tc>
        <w:tc>
          <w:tcPr>
            <w:tcW w:w="523" w:type="pct"/>
          </w:tcPr>
          <w:p w14:paraId="6205DD16" w14:textId="77777777" w:rsidR="0033457E" w:rsidRPr="0082321B" w:rsidRDefault="0033457E" w:rsidP="00F21F23">
            <w:pPr>
              <w:rPr>
                <w:b/>
                <w:i/>
              </w:rPr>
            </w:pPr>
          </w:p>
        </w:tc>
        <w:tc>
          <w:tcPr>
            <w:tcW w:w="1458" w:type="pct"/>
          </w:tcPr>
          <w:p w14:paraId="15FF8ADB" w14:textId="77777777" w:rsidR="0033457E" w:rsidRPr="0082321B" w:rsidRDefault="0033457E" w:rsidP="00F21F23">
            <w:pPr>
              <w:rPr>
                <w:b/>
                <w:i/>
              </w:rPr>
            </w:pPr>
          </w:p>
        </w:tc>
        <w:tc>
          <w:tcPr>
            <w:tcW w:w="496" w:type="pct"/>
          </w:tcPr>
          <w:p w14:paraId="077EC2B0" w14:textId="77777777" w:rsidR="0033457E" w:rsidRPr="0082321B" w:rsidRDefault="0033457E" w:rsidP="00F21F23">
            <w:pPr>
              <w:rPr>
                <w:b/>
                <w:i/>
              </w:rPr>
            </w:pPr>
          </w:p>
        </w:tc>
        <w:tc>
          <w:tcPr>
            <w:tcW w:w="415" w:type="pct"/>
          </w:tcPr>
          <w:p w14:paraId="24FF8639" w14:textId="77777777" w:rsidR="0033457E" w:rsidRPr="0082321B" w:rsidRDefault="0033457E" w:rsidP="00F21F23">
            <w:pPr>
              <w:rPr>
                <w:b/>
                <w:i/>
              </w:rPr>
            </w:pPr>
          </w:p>
        </w:tc>
        <w:tc>
          <w:tcPr>
            <w:tcW w:w="327" w:type="pct"/>
          </w:tcPr>
          <w:p w14:paraId="79CCF997" w14:textId="77777777" w:rsidR="0033457E" w:rsidRPr="0082321B" w:rsidRDefault="0033457E" w:rsidP="00F21F23">
            <w:pPr>
              <w:rPr>
                <w:b/>
                <w:i/>
              </w:rPr>
            </w:pPr>
          </w:p>
        </w:tc>
      </w:tr>
      <w:tr w:rsidR="0033457E" w:rsidRPr="0082321B" w14:paraId="780F0D03" w14:textId="77777777" w:rsidTr="00F21F23">
        <w:tc>
          <w:tcPr>
            <w:tcW w:w="404" w:type="pct"/>
          </w:tcPr>
          <w:p w14:paraId="7F65BB47" w14:textId="77777777" w:rsidR="0033457E" w:rsidRPr="0082321B" w:rsidRDefault="0033457E" w:rsidP="00F21F23">
            <w:pPr>
              <w:rPr>
                <w:b/>
                <w:i/>
              </w:rPr>
            </w:pPr>
            <w:r w:rsidRPr="0082321B">
              <w:rPr>
                <w:b/>
                <w:i/>
              </w:rPr>
              <w:t>Rec. no</w:t>
            </w:r>
          </w:p>
        </w:tc>
        <w:tc>
          <w:tcPr>
            <w:tcW w:w="1377" w:type="pct"/>
          </w:tcPr>
          <w:p w14:paraId="7CCE84AE" w14:textId="77777777" w:rsidR="0033457E" w:rsidRPr="0082321B" w:rsidRDefault="0033457E" w:rsidP="00F21F23">
            <w:pPr>
              <w:rPr>
                <w:b/>
                <w:i/>
              </w:rPr>
            </w:pPr>
            <w:r w:rsidRPr="0082321B">
              <w:rPr>
                <w:b/>
                <w:i/>
              </w:rPr>
              <w:t>Issue or recommendation</w:t>
            </w:r>
          </w:p>
        </w:tc>
        <w:tc>
          <w:tcPr>
            <w:tcW w:w="523" w:type="pct"/>
          </w:tcPr>
          <w:p w14:paraId="19C50B03" w14:textId="77777777" w:rsidR="0033457E" w:rsidRPr="0082321B" w:rsidRDefault="0033457E" w:rsidP="00F21F23">
            <w:pPr>
              <w:rPr>
                <w:b/>
                <w:i/>
              </w:rPr>
            </w:pPr>
            <w:r w:rsidRPr="0082321B">
              <w:rPr>
                <w:b/>
                <w:i/>
              </w:rPr>
              <w:t>Raised by / Date</w:t>
            </w:r>
          </w:p>
        </w:tc>
        <w:tc>
          <w:tcPr>
            <w:tcW w:w="1458" w:type="pct"/>
          </w:tcPr>
          <w:p w14:paraId="3744390C" w14:textId="77777777" w:rsidR="0033457E" w:rsidRPr="0082321B" w:rsidRDefault="0033457E" w:rsidP="00F21F23">
            <w:pPr>
              <w:rPr>
                <w:b/>
                <w:i/>
              </w:rPr>
            </w:pPr>
            <w:r w:rsidRPr="0082321B">
              <w:rPr>
                <w:b/>
                <w:i/>
              </w:rPr>
              <w:t>Response or Action taken by applicant</w:t>
            </w:r>
          </w:p>
        </w:tc>
        <w:tc>
          <w:tcPr>
            <w:tcW w:w="496" w:type="pct"/>
          </w:tcPr>
          <w:p w14:paraId="4F4D5BB9" w14:textId="77777777" w:rsidR="0033457E" w:rsidRPr="0082321B" w:rsidRDefault="0033457E" w:rsidP="00F21F23">
            <w:pPr>
              <w:rPr>
                <w:b/>
                <w:i/>
              </w:rPr>
            </w:pPr>
            <w:r w:rsidRPr="0082321B">
              <w:rPr>
                <w:b/>
                <w:i/>
              </w:rPr>
              <w:t>Response date</w:t>
            </w:r>
          </w:p>
        </w:tc>
        <w:tc>
          <w:tcPr>
            <w:tcW w:w="415" w:type="pct"/>
          </w:tcPr>
          <w:p w14:paraId="65C4A44B" w14:textId="77777777" w:rsidR="0033457E" w:rsidRPr="0082321B" w:rsidRDefault="0033457E" w:rsidP="00F21F23">
            <w:pPr>
              <w:rPr>
                <w:b/>
                <w:i/>
              </w:rPr>
            </w:pPr>
            <w:r w:rsidRPr="0082321B">
              <w:rPr>
                <w:b/>
                <w:i/>
              </w:rPr>
              <w:t>Resolved</w:t>
            </w:r>
          </w:p>
        </w:tc>
        <w:tc>
          <w:tcPr>
            <w:tcW w:w="327" w:type="pct"/>
          </w:tcPr>
          <w:p w14:paraId="43DFB427" w14:textId="77777777" w:rsidR="0033457E" w:rsidRPr="0082321B" w:rsidRDefault="0033457E" w:rsidP="00F21F23">
            <w:pPr>
              <w:rPr>
                <w:b/>
                <w:i/>
              </w:rPr>
            </w:pPr>
            <w:r w:rsidRPr="0082321B">
              <w:rPr>
                <w:b/>
                <w:i/>
              </w:rPr>
              <w:t>Sign off by / Date</w:t>
            </w:r>
          </w:p>
        </w:tc>
      </w:tr>
      <w:tr w:rsidR="0033457E" w:rsidRPr="0082321B" w14:paraId="5334A33A" w14:textId="77777777" w:rsidTr="00F21F23">
        <w:tc>
          <w:tcPr>
            <w:tcW w:w="404" w:type="pct"/>
          </w:tcPr>
          <w:p w14:paraId="74732BEA" w14:textId="77777777" w:rsidR="0033457E" w:rsidRPr="0082321B" w:rsidRDefault="0033457E" w:rsidP="00F21F23">
            <w:r w:rsidRPr="0082321B">
              <w:t>6a</w:t>
            </w:r>
          </w:p>
        </w:tc>
        <w:tc>
          <w:tcPr>
            <w:tcW w:w="1377" w:type="pct"/>
          </w:tcPr>
          <w:p w14:paraId="0168ABB8" w14:textId="77777777" w:rsidR="0033457E" w:rsidRPr="0082321B" w:rsidRDefault="0033457E" w:rsidP="00F21F23">
            <w:r w:rsidRPr="0082321B">
              <w:t xml:space="preserve">The Group did raise concern that the indicator is being presented at Local Authority level as well as a </w:t>
            </w:r>
            <w:r w:rsidRPr="0082321B">
              <w:lastRenderedPageBreak/>
              <w:t>National level as there are already existing cardiovascular mortality indicators reporting at this level within the Public Health Outcomes Framework (PHOF) and Compendium.  It was noted that this NHS OF indicator presents results based on 1 year of data, whereas the PHOF indicator uses 3-year rolling averages. In producing this indicator at Local Authority level, the user is presented with two figures reporting different figures, which the group agreed posed a risk.</w:t>
            </w:r>
          </w:p>
        </w:tc>
        <w:tc>
          <w:tcPr>
            <w:tcW w:w="523" w:type="pct"/>
          </w:tcPr>
          <w:p w14:paraId="27906120" w14:textId="77777777" w:rsidR="0033457E" w:rsidRPr="0082321B" w:rsidRDefault="0033457E" w:rsidP="00F21F23">
            <w:r w:rsidRPr="0082321B">
              <w:lastRenderedPageBreak/>
              <w:t>14/01/16</w:t>
            </w:r>
          </w:p>
        </w:tc>
        <w:tc>
          <w:tcPr>
            <w:tcW w:w="1458" w:type="pct"/>
          </w:tcPr>
          <w:p w14:paraId="68EAD3B4" w14:textId="77777777" w:rsidR="0033457E" w:rsidRPr="0082321B" w:rsidRDefault="0033457E" w:rsidP="00F21F23"/>
        </w:tc>
        <w:tc>
          <w:tcPr>
            <w:tcW w:w="496" w:type="pct"/>
          </w:tcPr>
          <w:p w14:paraId="13C885E2" w14:textId="77777777" w:rsidR="0033457E" w:rsidRPr="0082321B" w:rsidRDefault="0033457E" w:rsidP="00F21F23"/>
        </w:tc>
        <w:sdt>
          <w:sdtPr>
            <w:id w:val="2038770715"/>
            <w14:checkbox>
              <w14:checked w14:val="0"/>
              <w14:checkedState w14:val="2612" w14:font="MS Gothic"/>
              <w14:uncheckedState w14:val="2610" w14:font="MS Gothic"/>
            </w14:checkbox>
          </w:sdtPr>
          <w:sdtEndPr/>
          <w:sdtContent>
            <w:tc>
              <w:tcPr>
                <w:tcW w:w="415" w:type="pct"/>
              </w:tcPr>
              <w:p w14:paraId="0EC4F709" w14:textId="77777777" w:rsidR="0033457E" w:rsidRPr="0082321B" w:rsidRDefault="0033457E" w:rsidP="00F21F23">
                <w:pPr>
                  <w:jc w:val="center"/>
                </w:pPr>
                <w:r w:rsidRPr="0082321B">
                  <w:rPr>
                    <w:rFonts w:ascii="Segoe UI Symbol" w:eastAsia="MS Gothic" w:hAnsi="Segoe UI Symbol" w:cs="Segoe UI Symbol"/>
                  </w:rPr>
                  <w:t>☐</w:t>
                </w:r>
              </w:p>
            </w:tc>
          </w:sdtContent>
        </w:sdt>
        <w:tc>
          <w:tcPr>
            <w:tcW w:w="327" w:type="pct"/>
          </w:tcPr>
          <w:p w14:paraId="3545D622" w14:textId="77777777" w:rsidR="0033457E" w:rsidRPr="0082321B" w:rsidRDefault="0033457E" w:rsidP="00F21F23"/>
        </w:tc>
      </w:tr>
      <w:tr w:rsidR="0033457E" w:rsidRPr="0082321B" w14:paraId="53464B84" w14:textId="77777777" w:rsidTr="00F21F23">
        <w:tc>
          <w:tcPr>
            <w:tcW w:w="404" w:type="pct"/>
          </w:tcPr>
          <w:p w14:paraId="2566CFD9" w14:textId="77777777" w:rsidR="0033457E" w:rsidRPr="0082321B" w:rsidRDefault="0033457E" w:rsidP="00F21F23">
            <w:r w:rsidRPr="0082321B">
              <w:t>6b</w:t>
            </w:r>
          </w:p>
        </w:tc>
        <w:tc>
          <w:tcPr>
            <w:tcW w:w="1377" w:type="pct"/>
          </w:tcPr>
          <w:p w14:paraId="74408142" w14:textId="77777777" w:rsidR="0033457E" w:rsidRPr="0082321B" w:rsidRDefault="0033457E" w:rsidP="00F21F23">
            <w:r w:rsidRPr="0082321B">
              <w:t>It is MRG’s understanding that the purpose of the NHS Outcomes Framework is to provide a national overview reflecting the current landscape of the health and care system, and therefore to disaggregate the data into further component parts appears to diverge from this purpose. The Group identified that work needed to be undertaken to ensure that the frameworks align, and do not unnecessarily report the same measure. It is recommended that this issue of two outcome framework measure reporting the same measure should be taken to the Outcome Frameworks Technical Advisory Group (OFTAG).</w:t>
            </w:r>
          </w:p>
        </w:tc>
        <w:tc>
          <w:tcPr>
            <w:tcW w:w="523" w:type="pct"/>
          </w:tcPr>
          <w:p w14:paraId="69ABC17A" w14:textId="77777777" w:rsidR="0033457E" w:rsidRPr="0082321B" w:rsidRDefault="0033457E" w:rsidP="00F21F23">
            <w:r w:rsidRPr="0082321B">
              <w:t>14/01/16</w:t>
            </w:r>
          </w:p>
        </w:tc>
        <w:tc>
          <w:tcPr>
            <w:tcW w:w="1458" w:type="pct"/>
          </w:tcPr>
          <w:p w14:paraId="7D2A52F0" w14:textId="77777777" w:rsidR="0033457E" w:rsidRPr="0082321B" w:rsidRDefault="0033457E" w:rsidP="00F21F23"/>
        </w:tc>
        <w:tc>
          <w:tcPr>
            <w:tcW w:w="496" w:type="pct"/>
          </w:tcPr>
          <w:p w14:paraId="5BBCB76C" w14:textId="77777777" w:rsidR="0033457E" w:rsidRPr="0082321B" w:rsidRDefault="0033457E" w:rsidP="00F21F23"/>
        </w:tc>
        <w:tc>
          <w:tcPr>
            <w:tcW w:w="415" w:type="pct"/>
          </w:tcPr>
          <w:p w14:paraId="71D59C59" w14:textId="77777777" w:rsidR="0033457E" w:rsidRPr="0082321B" w:rsidRDefault="0033457E" w:rsidP="00F21F23">
            <w:pPr>
              <w:jc w:val="center"/>
            </w:pPr>
          </w:p>
        </w:tc>
        <w:tc>
          <w:tcPr>
            <w:tcW w:w="327" w:type="pct"/>
          </w:tcPr>
          <w:p w14:paraId="2ADBF4AD" w14:textId="77777777" w:rsidR="0033457E" w:rsidRPr="0082321B" w:rsidRDefault="0033457E" w:rsidP="00F21F23"/>
        </w:tc>
      </w:tr>
    </w:tbl>
    <w:p w14:paraId="4ACBE969" w14:textId="77777777" w:rsidR="0033457E" w:rsidRDefault="0033457E" w:rsidP="0033457E"/>
    <w:p w14:paraId="0BC62E8D" w14:textId="77777777" w:rsidR="0033457E" w:rsidRDefault="0033457E" w:rsidP="0033457E">
      <w:pPr>
        <w:rPr>
          <w:rFonts w:cstheme="minorHAnsi"/>
          <w:b/>
          <w:color w:val="1F497D" w:themeColor="text2"/>
        </w:rPr>
      </w:pPr>
      <w:r>
        <w:rPr>
          <w:rFonts w:cstheme="minorHAnsi"/>
          <w:b/>
          <w:color w:val="1F497D" w:themeColor="text2"/>
        </w:rPr>
        <w:lastRenderedPageBreak/>
        <w:t xml:space="preserve">Any complaints or appeals against the decisions made during the assurance process should be made to the Indicator &amp; Methodology Assurance Service (IMAS) Team at HSCIC. Likewise, if you are unclear regarding any of the recommendations in this </w:t>
      </w:r>
      <w:proofErr w:type="gramStart"/>
      <w:r>
        <w:rPr>
          <w:rFonts w:cstheme="minorHAnsi"/>
          <w:b/>
          <w:color w:val="1F497D" w:themeColor="text2"/>
        </w:rPr>
        <w:t>report, or</w:t>
      </w:r>
      <w:proofErr w:type="gramEnd"/>
      <w:r>
        <w:rPr>
          <w:rFonts w:cstheme="minorHAnsi"/>
          <w:b/>
          <w:color w:val="1F497D" w:themeColor="text2"/>
        </w:rPr>
        <w:t xml:space="preserve"> have any queries about the assurance process in general, please contact the IMAS team.</w:t>
      </w:r>
    </w:p>
    <w:p w14:paraId="4CF47CB0" w14:textId="77777777" w:rsidR="0033457E" w:rsidRDefault="0033457E" w:rsidP="0033457E">
      <w:pPr>
        <w:rPr>
          <w:rFonts w:cstheme="minorHAnsi"/>
          <w:b/>
          <w:color w:val="1F497D" w:themeColor="text2"/>
        </w:rPr>
      </w:pPr>
    </w:p>
    <w:p w14:paraId="5A603EE2" w14:textId="77777777" w:rsidR="0033457E" w:rsidRDefault="0033457E" w:rsidP="0033457E">
      <w:pPr>
        <w:rPr>
          <w:rFonts w:cstheme="minorHAnsi"/>
          <w:b/>
          <w:color w:val="1F497D" w:themeColor="text2"/>
        </w:rPr>
      </w:pPr>
      <w:r>
        <w:rPr>
          <w:rFonts w:cstheme="minorHAnsi"/>
          <w:b/>
          <w:color w:val="1F497D" w:themeColor="text2"/>
        </w:rPr>
        <w:t>Indicator and Methodology Assurance Service</w:t>
      </w:r>
    </w:p>
    <w:p w14:paraId="395940DD" w14:textId="77777777" w:rsidR="0033457E" w:rsidRDefault="0033457E" w:rsidP="0033457E">
      <w:pPr>
        <w:rPr>
          <w:rFonts w:cstheme="minorHAnsi"/>
          <w:b/>
          <w:color w:val="1F497D" w:themeColor="text2"/>
        </w:rPr>
      </w:pPr>
      <w:r>
        <w:rPr>
          <w:rFonts w:cstheme="minorHAnsi"/>
          <w:b/>
          <w:color w:val="1F497D" w:themeColor="text2"/>
        </w:rPr>
        <w:t>Health and Social Care Information Centre</w:t>
      </w:r>
    </w:p>
    <w:p w14:paraId="301A332E" w14:textId="77777777" w:rsidR="0033457E" w:rsidRDefault="0033457E" w:rsidP="0033457E">
      <w:pPr>
        <w:rPr>
          <w:rFonts w:cstheme="minorHAnsi"/>
          <w:b/>
          <w:color w:val="1F497D" w:themeColor="text2"/>
        </w:rPr>
      </w:pPr>
      <w:r>
        <w:rPr>
          <w:rFonts w:cstheme="minorHAnsi"/>
          <w:b/>
          <w:color w:val="1F497D" w:themeColor="text2"/>
        </w:rPr>
        <w:t>1 Trevelyan Square, Boar Lane,</w:t>
      </w:r>
    </w:p>
    <w:p w14:paraId="782A3DD4" w14:textId="77777777" w:rsidR="0033457E" w:rsidRDefault="0033457E" w:rsidP="0033457E">
      <w:pPr>
        <w:rPr>
          <w:rFonts w:cstheme="minorHAnsi"/>
          <w:b/>
          <w:color w:val="1F497D" w:themeColor="text2"/>
        </w:rPr>
      </w:pPr>
      <w:r>
        <w:rPr>
          <w:rFonts w:cstheme="minorHAnsi"/>
          <w:b/>
          <w:color w:val="1F497D" w:themeColor="text2"/>
        </w:rPr>
        <w:t xml:space="preserve">LEEDS </w:t>
      </w:r>
    </w:p>
    <w:p w14:paraId="0792F138" w14:textId="77777777" w:rsidR="0033457E" w:rsidRDefault="0033457E" w:rsidP="0033457E">
      <w:pPr>
        <w:rPr>
          <w:rFonts w:cstheme="minorHAnsi"/>
          <w:b/>
          <w:color w:val="1F497D" w:themeColor="text2"/>
        </w:rPr>
      </w:pPr>
      <w:r>
        <w:rPr>
          <w:rFonts w:cstheme="minorHAnsi"/>
          <w:b/>
          <w:color w:val="1F497D" w:themeColor="text2"/>
        </w:rPr>
        <w:t>LS1 6AE.</w:t>
      </w:r>
    </w:p>
    <w:p w14:paraId="2B3CA6EB" w14:textId="77777777" w:rsidR="0033457E" w:rsidRDefault="0033457E" w:rsidP="0033457E">
      <w:pPr>
        <w:rPr>
          <w:rFonts w:cstheme="minorHAnsi"/>
          <w:b/>
          <w:color w:val="1F497D" w:themeColor="text2"/>
        </w:rPr>
      </w:pPr>
    </w:p>
    <w:p w14:paraId="50DC5A57" w14:textId="77777777" w:rsidR="0033457E" w:rsidRDefault="0033457E" w:rsidP="0033457E">
      <w:pPr>
        <w:rPr>
          <w:rFonts w:cstheme="minorHAnsi"/>
          <w:b/>
          <w:color w:val="1F497D" w:themeColor="text2"/>
        </w:rPr>
      </w:pPr>
      <w:r>
        <w:rPr>
          <w:rFonts w:cstheme="minorHAnsi"/>
          <w:b/>
          <w:color w:val="1F497D" w:themeColor="text2"/>
        </w:rPr>
        <w:t xml:space="preserve">Email: </w:t>
      </w:r>
      <w:hyperlink r:id="rId31" w:history="1">
        <w:r w:rsidRPr="00195C54">
          <w:rPr>
            <w:rStyle w:val="Hyperlink"/>
            <w:rFonts w:cstheme="minorHAnsi"/>
            <w:b/>
          </w:rPr>
          <w:t>indicator.assurance@hscic.gov.uk</w:t>
        </w:r>
      </w:hyperlink>
    </w:p>
    <w:p w14:paraId="308294B2" w14:textId="77777777" w:rsidR="0033457E" w:rsidRDefault="0033457E" w:rsidP="0033457E">
      <w:pPr>
        <w:rPr>
          <w:rFonts w:cstheme="minorHAnsi"/>
          <w:b/>
          <w:color w:val="1F497D" w:themeColor="text2"/>
        </w:rPr>
      </w:pPr>
      <w:r>
        <w:rPr>
          <w:rFonts w:cstheme="minorHAnsi"/>
          <w:b/>
          <w:color w:val="1F497D" w:themeColor="text2"/>
        </w:rPr>
        <w:t xml:space="preserve">Website: </w:t>
      </w:r>
      <w:hyperlink r:id="rId32" w:history="1">
        <w:r w:rsidRPr="00195C54">
          <w:rPr>
            <w:rStyle w:val="Hyperlink"/>
            <w:rFonts w:cstheme="minorHAnsi"/>
            <w:b/>
          </w:rPr>
          <w:t>http://www.hscic.gov.uk/article/1674/Indicator-Assurance-Service</w:t>
        </w:r>
      </w:hyperlink>
    </w:p>
    <w:p w14:paraId="1C8F4962" w14:textId="77777777" w:rsidR="0033457E" w:rsidRDefault="0033457E" w:rsidP="0033457E">
      <w:r>
        <w:br w:type="textWrapping" w:clear="all"/>
      </w:r>
    </w:p>
    <w:p w14:paraId="3FFEEA7A" w14:textId="77777777" w:rsidR="0033457E" w:rsidRPr="0082321B" w:rsidRDefault="0033457E" w:rsidP="0033457E">
      <w:pPr>
        <w:rPr>
          <w:b/>
        </w:rPr>
      </w:pPr>
    </w:p>
    <w:p w14:paraId="317614CD" w14:textId="77777777" w:rsidR="0033457E" w:rsidRPr="0082321B" w:rsidRDefault="0033457E" w:rsidP="0033457E">
      <w:pPr>
        <w:rPr>
          <w:b/>
        </w:rPr>
      </w:pPr>
    </w:p>
    <w:p w14:paraId="3744F284" w14:textId="77777777" w:rsidR="00443081" w:rsidRPr="00181A4A" w:rsidRDefault="00443081" w:rsidP="00181A4A">
      <w:pPr>
        <w:pStyle w:val="Title"/>
      </w:pPr>
    </w:p>
    <w:sectPr w:rsidR="00443081" w:rsidRPr="00181A4A" w:rsidSect="0033457E">
      <w:headerReference w:type="default" r:id="rId33"/>
      <w:footerReference w:type="defaul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07BE" w14:textId="77777777" w:rsidR="0033457E" w:rsidRDefault="0033457E" w:rsidP="00446BEE">
      <w:r>
        <w:separator/>
      </w:r>
    </w:p>
  </w:endnote>
  <w:endnote w:type="continuationSeparator" w:id="0">
    <w:p w14:paraId="45A6108D" w14:textId="77777777" w:rsidR="0033457E" w:rsidRDefault="0033457E" w:rsidP="00446BEE">
      <w:r>
        <w:continuationSeparator/>
      </w:r>
    </w:p>
  </w:endnote>
  <w:endnote w:id="1">
    <w:p w14:paraId="669E9617" w14:textId="77777777" w:rsidR="0033457E" w:rsidRPr="0015526D" w:rsidRDefault="0033457E" w:rsidP="0033457E">
      <w:pPr>
        <w:pStyle w:val="EndnoteText"/>
        <w:tabs>
          <w:tab w:val="left" w:pos="284"/>
        </w:tabs>
        <w:rPr>
          <w:sz w:val="22"/>
          <w:szCs w:val="22"/>
        </w:rPr>
      </w:pPr>
    </w:p>
  </w:endnote>
  <w:endnote w:id="2">
    <w:p w14:paraId="6CF0DD13" w14:textId="77777777" w:rsidR="0033457E" w:rsidRPr="0015526D" w:rsidRDefault="0033457E" w:rsidP="0033457E">
      <w:pPr>
        <w:tabs>
          <w:tab w:val="left" w:pos="284"/>
        </w:tab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udy Old Style">
    <w:altName w:val="Bell MT"/>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61506761"/>
      <w:docPartObj>
        <w:docPartGallery w:val="Page Numbers (Bottom of Page)"/>
        <w:docPartUnique/>
      </w:docPartObj>
    </w:sdtPr>
    <w:sdtEndPr>
      <w:rPr>
        <w:noProof/>
      </w:rPr>
    </w:sdtEndPr>
    <w:sdtContent>
      <w:p w14:paraId="5B4A1ADC" w14:textId="102B7412" w:rsidR="0033457E" w:rsidRPr="00FD6413" w:rsidRDefault="0033457E" w:rsidP="0033457E">
        <w:pPr>
          <w:pStyle w:val="Footer"/>
          <w:tabs>
            <w:tab w:val="left" w:pos="426"/>
          </w:tabs>
          <w:rPr>
            <w:sz w:val="18"/>
            <w:szCs w:val="18"/>
          </w:rPr>
        </w:pPr>
        <w:r w:rsidRPr="00FD6413">
          <w:rPr>
            <w:sz w:val="18"/>
            <w:szCs w:val="18"/>
          </w:rPr>
          <w:t>IAP00</w:t>
        </w:r>
        <w:r>
          <w:rPr>
            <w:sz w:val="18"/>
            <w:szCs w:val="18"/>
          </w:rPr>
          <w:t>017</w:t>
        </w:r>
        <w:r w:rsidRPr="00FD6413">
          <w:rPr>
            <w:sz w:val="18"/>
            <w:szCs w:val="18"/>
          </w:rPr>
          <w:t xml:space="preserve"> Supporting documentation</w:t>
        </w:r>
      </w:p>
      <w:p w14:paraId="3AE4AD1A" w14:textId="49A0E669" w:rsidR="00446BEE" w:rsidRPr="0033457E" w:rsidRDefault="0033457E" w:rsidP="0033457E">
        <w:pPr>
          <w:pStyle w:val="Footer"/>
          <w:tabs>
            <w:tab w:val="left" w:pos="426"/>
          </w:tabs>
          <w:rPr>
            <w:sz w:val="18"/>
            <w:szCs w:val="18"/>
          </w:rPr>
        </w:pPr>
        <w:r w:rsidRPr="00FD6413">
          <w:rPr>
            <w:sz w:val="18"/>
            <w:szCs w:val="18"/>
          </w:rPr>
          <w:t>Copyright © 2019 NHS Digital</w:t>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tab/>
        </w:r>
        <w:r w:rsidRPr="00FD6413">
          <w:rPr>
            <w:sz w:val="18"/>
            <w:szCs w:val="18"/>
          </w:rPr>
          <w:fldChar w:fldCharType="begin"/>
        </w:r>
        <w:r w:rsidRPr="00FD6413">
          <w:rPr>
            <w:sz w:val="18"/>
            <w:szCs w:val="18"/>
          </w:rPr>
          <w:instrText xml:space="preserve"> PAGE   \* MERGEFORMAT </w:instrText>
        </w:r>
        <w:r w:rsidRPr="00FD6413">
          <w:rPr>
            <w:sz w:val="18"/>
            <w:szCs w:val="18"/>
          </w:rPr>
          <w:fldChar w:fldCharType="separate"/>
        </w:r>
        <w:r>
          <w:rPr>
            <w:sz w:val="18"/>
            <w:szCs w:val="18"/>
          </w:rPr>
          <w:t>1</w:t>
        </w:r>
        <w:r w:rsidRPr="00FD641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84BF" w14:textId="77777777" w:rsidR="0033457E" w:rsidRDefault="0033457E" w:rsidP="00446BEE">
      <w:r>
        <w:separator/>
      </w:r>
    </w:p>
  </w:footnote>
  <w:footnote w:type="continuationSeparator" w:id="0">
    <w:p w14:paraId="50E94C8A" w14:textId="77777777" w:rsidR="0033457E" w:rsidRDefault="0033457E" w:rsidP="00446BEE">
      <w:r>
        <w:continuationSeparator/>
      </w:r>
    </w:p>
  </w:footnote>
  <w:footnote w:id="1">
    <w:p w14:paraId="667AFABB" w14:textId="77777777" w:rsidR="0033457E" w:rsidRDefault="0033457E" w:rsidP="0033457E">
      <w:pPr>
        <w:pStyle w:val="FootnoteText"/>
      </w:pPr>
      <w:r>
        <w:rPr>
          <w:rStyle w:val="FootnoteReference"/>
        </w:rPr>
        <w:footnoteRef/>
      </w:r>
      <w:r>
        <w:t xml:space="preserve"> </w:t>
      </w:r>
      <w:hyperlink r:id="rId1" w:history="1">
        <w:r w:rsidRPr="0075058C">
          <w:rPr>
            <w:rStyle w:val="Hyperlink"/>
          </w:rPr>
          <w:t>http://ons.gov.uk/ons/taxonomy/index.html?nscl=Mortality+Rates</w:t>
        </w:r>
      </w:hyperlink>
      <w:r>
        <w:t xml:space="preserve"> </w:t>
      </w:r>
    </w:p>
  </w:footnote>
  <w:footnote w:id="2">
    <w:p w14:paraId="16F1CEC6" w14:textId="77777777" w:rsidR="0033457E" w:rsidRDefault="0033457E" w:rsidP="0033457E">
      <w:pPr>
        <w:pStyle w:val="FootnoteText"/>
      </w:pPr>
      <w:r>
        <w:rPr>
          <w:rStyle w:val="FootnoteReference"/>
        </w:rPr>
        <w:footnoteRef/>
      </w:r>
      <w:r>
        <w:t xml:space="preserve"> </w:t>
      </w:r>
      <w:hyperlink r:id="rId2" w:history="1">
        <w:r w:rsidRPr="0075058C">
          <w:rPr>
            <w:rStyle w:val="Hyperlink"/>
          </w:rPr>
          <w:t>http://www.ons.gov.uk/ons/rel/pop-estimate/population-estimates-for-uk--england-and-wales--scotland-and-northern-ireland/mid-2014/index.html</w:t>
        </w:r>
      </w:hyperlink>
      <w:r>
        <w:t xml:space="preserve"> </w:t>
      </w:r>
    </w:p>
  </w:footnote>
  <w:footnote w:id="3">
    <w:p w14:paraId="5596388D" w14:textId="77777777" w:rsidR="0033457E" w:rsidRDefault="0033457E" w:rsidP="0033457E">
      <w:pPr>
        <w:pStyle w:val="FootnoteText"/>
      </w:pPr>
      <w:r>
        <w:rPr>
          <w:rStyle w:val="FootnoteReference"/>
        </w:rPr>
        <w:footnoteRef/>
      </w:r>
      <w:r>
        <w:t xml:space="preserve"> </w:t>
      </w:r>
      <w:hyperlink r:id="rId3" w:history="1">
        <w:r w:rsidRPr="0075058C">
          <w:rPr>
            <w:rStyle w:val="Hyperlink"/>
          </w:rPr>
          <w:t>http://www.ons.gov.uk/ons/guide-method/user-guidance/health-and-life-events/revised-european-standard-population-2013--2013-esp-/index.html</w:t>
        </w:r>
      </w:hyperlink>
      <w:r>
        <w:t xml:space="preserve"> </w:t>
      </w:r>
    </w:p>
  </w:footnote>
  <w:footnote w:id="4">
    <w:p w14:paraId="7F046305" w14:textId="77777777" w:rsidR="0033457E" w:rsidRDefault="0033457E" w:rsidP="0033457E">
      <w:pPr>
        <w:pStyle w:val="FootnoteText"/>
        <w:ind w:left="-284"/>
        <w:rPr>
          <w:sz w:val="16"/>
          <w:szCs w:val="16"/>
        </w:rPr>
      </w:pPr>
      <w:r>
        <w:rPr>
          <w:rStyle w:val="FootnoteReference"/>
          <w:rFonts w:eastAsia="MS Mincho"/>
          <w:sz w:val="16"/>
          <w:szCs w:val="16"/>
        </w:rPr>
        <w:footnoteRef/>
      </w:r>
      <w:r>
        <w:rPr>
          <w:sz w:val="16"/>
          <w:szCs w:val="16"/>
        </w:rPr>
        <w:t xml:space="preserve"> </w:t>
      </w:r>
      <w:r>
        <w:rPr>
          <w:rFonts w:ascii="Calibri" w:hAnsi="Calibri" w:cs="Calibri"/>
          <w:sz w:val="16"/>
          <w:szCs w:val="16"/>
        </w:rPr>
        <w:t xml:space="preserve">Dobson A et al. Confidence intervals for weighted sums of Poisson parameters. Stat Med </w:t>
      </w:r>
      <w:r>
        <w:rPr>
          <w:rFonts w:ascii="Calibri" w:hAnsi="Calibri" w:cs="Calibri"/>
          <w:sz w:val="16"/>
          <w:szCs w:val="16"/>
        </w:rPr>
        <w:t>1991;10:457-62</w:t>
      </w:r>
    </w:p>
  </w:footnote>
  <w:footnote w:id="5">
    <w:p w14:paraId="6657A2F0" w14:textId="77777777" w:rsidR="0033457E" w:rsidRDefault="0033457E" w:rsidP="0033457E">
      <w:pPr>
        <w:ind w:left="-284"/>
        <w:jc w:val="both"/>
        <w:rPr>
          <w:rFonts w:ascii="Calibri" w:hAnsi="Calibri" w:cs="Calibri"/>
          <w:sz w:val="16"/>
          <w:szCs w:val="16"/>
        </w:rPr>
      </w:pPr>
      <w:r>
        <w:rPr>
          <w:rStyle w:val="FootnoteReference"/>
          <w:rFonts w:eastAsia="MS Mincho"/>
          <w:sz w:val="16"/>
          <w:szCs w:val="16"/>
        </w:rPr>
        <w:footnoteRef/>
      </w:r>
      <w:r>
        <w:rPr>
          <w:sz w:val="16"/>
          <w:szCs w:val="16"/>
        </w:rPr>
        <w:t xml:space="preserve"> </w:t>
      </w:r>
      <w:r>
        <w:rPr>
          <w:rFonts w:ascii="Calibri" w:hAnsi="Calibri" w:cs="Calibri"/>
          <w:sz w:val="16"/>
          <w:szCs w:val="16"/>
        </w:rPr>
        <w:t>Breslow NE, Day NE. Statistical methods in cancer research, volume II: The design and analysis of cohort studies. Lyon: International Agency for Research on Cancer, World Health Organization; 1987: 69.</w:t>
      </w:r>
    </w:p>
    <w:p w14:paraId="4B12AF39" w14:textId="77777777" w:rsidR="0033457E" w:rsidRDefault="0033457E" w:rsidP="0033457E">
      <w:pPr>
        <w:pStyle w:val="FootnoteText"/>
        <w:rPr>
          <w:sz w:val="16"/>
          <w:szCs w:val="16"/>
        </w:rPr>
      </w:pPr>
    </w:p>
  </w:footnote>
  <w:footnote w:id="6">
    <w:p w14:paraId="26D8F5F9" w14:textId="77777777" w:rsidR="0033457E" w:rsidRDefault="0033457E" w:rsidP="0033457E">
      <w:pPr>
        <w:pStyle w:val="FootnoteText"/>
      </w:pPr>
      <w:r>
        <w:rPr>
          <w:rStyle w:val="FootnoteReference"/>
        </w:rPr>
        <w:footnoteRef/>
      </w:r>
      <w:r>
        <w:t xml:space="preserve"> </w:t>
      </w:r>
      <w:hyperlink r:id="rId4" w:history="1">
        <w:r w:rsidRPr="0075058C">
          <w:rPr>
            <w:rStyle w:val="Hyperlink"/>
          </w:rPr>
          <w:t>https://www.gov.uk/government/publications/improving-cardiovascular-disease-outcomes-strategy</w:t>
        </w:r>
      </w:hyperlink>
      <w:r>
        <w:t xml:space="preserve"> </w:t>
      </w:r>
    </w:p>
  </w:footnote>
  <w:footnote w:id="7">
    <w:p w14:paraId="6C612A3F" w14:textId="77777777" w:rsidR="0033457E" w:rsidRDefault="0033457E" w:rsidP="0033457E">
      <w:pPr>
        <w:pStyle w:val="FootnoteText"/>
      </w:pPr>
      <w:r>
        <w:rPr>
          <w:rStyle w:val="FootnoteReference"/>
        </w:rPr>
        <w:footnoteRef/>
      </w:r>
      <w:r>
        <w:t xml:space="preserve"> </w:t>
      </w:r>
      <w:hyperlink r:id="rId5" w:history="1">
        <w:r w:rsidRPr="0075058C">
          <w:rPr>
            <w:rStyle w:val="Hyperlink"/>
          </w:rPr>
          <w:t>http://www.healthcheck.nhs.uk/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0870" w14:textId="77A23E9F" w:rsidR="0033457E" w:rsidRPr="0033457E" w:rsidRDefault="0033457E" w:rsidP="0033457E">
    <w:pPr>
      <w:pStyle w:val="Header"/>
      <w:jc w:val="center"/>
      <w:rPr>
        <w:b/>
        <w:bCs/>
        <w:sz w:val="24"/>
        <w:szCs w:val="24"/>
      </w:rPr>
    </w:pPr>
    <w:r w:rsidRPr="00F37180">
      <w:rPr>
        <w:b/>
        <w:bCs/>
        <w:sz w:val="24"/>
        <w:szCs w:val="24"/>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733F3"/>
    <w:multiLevelType w:val="hybridMultilevel"/>
    <w:tmpl w:val="DC1041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C2E21394"/>
    <w:lvl w:ilvl="0">
      <w:start w:val="1"/>
      <w:numFmt w:val="decimal"/>
      <w:lvlText w:val="%1"/>
      <w:legacy w:legacy="1" w:legacySpace="120" w:legacyIndent="851"/>
      <w:lvlJc w:val="left"/>
      <w:pPr>
        <w:ind w:left="851" w:hanging="851"/>
      </w:pPr>
      <w:rPr>
        <w:b/>
        <w:sz w:val="28"/>
      </w:rPr>
    </w:lvl>
    <w:lvl w:ilvl="1">
      <w:start w:val="1"/>
      <w:numFmt w:val="decimal"/>
      <w:lvlText w:val="%1.%2"/>
      <w:legacy w:legacy="1" w:legacySpace="120" w:legacyIndent="851"/>
      <w:lvlJc w:val="left"/>
      <w:pPr>
        <w:ind w:left="851" w:hanging="851"/>
      </w:pPr>
      <w:rPr>
        <w:b/>
      </w:rPr>
    </w:lvl>
    <w:lvl w:ilvl="2">
      <w:start w:val="1"/>
      <w:numFmt w:val="decimal"/>
      <w:lvlText w:val="%1.%2.%3."/>
      <w:legacy w:legacy="1" w:legacySpace="120" w:legacyIndent="851"/>
      <w:lvlJc w:val="left"/>
      <w:pPr>
        <w:ind w:left="1135" w:hanging="851"/>
      </w:pPr>
      <w:rPr>
        <w:rFonts w:ascii="Arial" w:hAnsi="Arial" w:cs="Arial" w:hint="default"/>
        <w:b/>
        <w:i w:val="0"/>
        <w:sz w:val="22"/>
        <w:szCs w:val="22"/>
      </w:rPr>
    </w:lvl>
    <w:lvl w:ilvl="3">
      <w:numFmt w:val="none"/>
      <w:lvlText w:val=""/>
      <w:lvlJc w:val="left"/>
    </w:lvl>
    <w:lvl w:ilvl="4">
      <w:start w:val="1"/>
      <w:numFmt w:val="decimal"/>
      <w:lvlText w:val=".%5"/>
      <w:legacy w:legacy="1" w:legacySpace="120" w:legacyIndent="792"/>
      <w:lvlJc w:val="left"/>
      <w:pPr>
        <w:ind w:left="2232" w:hanging="792"/>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9A7AB5"/>
    <w:multiLevelType w:val="hybridMultilevel"/>
    <w:tmpl w:val="8FBA4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1735A"/>
    <w:multiLevelType w:val="hybridMultilevel"/>
    <w:tmpl w:val="217A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27265"/>
    <w:multiLevelType w:val="hybridMultilevel"/>
    <w:tmpl w:val="C5CC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C64AD"/>
    <w:multiLevelType w:val="hybridMultilevel"/>
    <w:tmpl w:val="17BC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E4C1B"/>
    <w:multiLevelType w:val="hybridMultilevel"/>
    <w:tmpl w:val="04962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7B56E6"/>
    <w:multiLevelType w:val="hybridMultilevel"/>
    <w:tmpl w:val="151E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66778"/>
    <w:multiLevelType w:val="hybridMultilevel"/>
    <w:tmpl w:val="7B90B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3A5CBE"/>
    <w:multiLevelType w:val="hybridMultilevel"/>
    <w:tmpl w:val="7998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31755"/>
    <w:multiLevelType w:val="hybridMultilevel"/>
    <w:tmpl w:val="B09244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515017F"/>
    <w:multiLevelType w:val="multilevel"/>
    <w:tmpl w:val="823223DC"/>
    <w:lvl w:ilvl="0">
      <w:start w:val="1"/>
      <w:numFmt w:val="decimal"/>
      <w:lvlText w:val="Section %1."/>
      <w:lvlJc w:val="left"/>
      <w:pPr>
        <w:ind w:left="1919" w:hanging="360"/>
      </w:pPr>
      <w:rPr>
        <w:rFonts w:hint="default"/>
      </w:rPr>
    </w:lvl>
    <w:lvl w:ilvl="1">
      <w:start w:val="1"/>
      <w:numFmt w:val="decimal"/>
      <w:lvlText w:val="%1.%2."/>
      <w:lvlJc w:val="left"/>
      <w:pPr>
        <w:ind w:left="2700" w:hanging="432"/>
      </w:pPr>
      <w:rPr>
        <w:rFonts w:hint="default"/>
      </w:rPr>
    </w:lvl>
    <w:lvl w:ilvl="2">
      <w:start w:val="1"/>
      <w:numFmt w:val="decimal"/>
      <w:lvlText w:val="%1.%2.%3."/>
      <w:lvlJc w:val="left"/>
      <w:pPr>
        <w:ind w:left="2783" w:hanging="504"/>
      </w:pPr>
      <w:rPr>
        <w:rFonts w:hint="default"/>
      </w:rPr>
    </w:lvl>
    <w:lvl w:ilvl="3">
      <w:start w:val="1"/>
      <w:numFmt w:val="decimal"/>
      <w:lvlText w:val="%1.%2.%3.%4."/>
      <w:lvlJc w:val="left"/>
      <w:pPr>
        <w:ind w:left="3287" w:hanging="648"/>
      </w:pPr>
      <w:rPr>
        <w:rFonts w:hint="default"/>
      </w:rPr>
    </w:lvl>
    <w:lvl w:ilvl="4">
      <w:start w:val="1"/>
      <w:numFmt w:val="decimal"/>
      <w:lvlText w:val="%1.%2.%3.%4.%5."/>
      <w:lvlJc w:val="left"/>
      <w:pPr>
        <w:ind w:left="3791" w:hanging="792"/>
      </w:pPr>
      <w:rPr>
        <w:rFonts w:hint="default"/>
      </w:rPr>
    </w:lvl>
    <w:lvl w:ilvl="5">
      <w:start w:val="1"/>
      <w:numFmt w:val="decimal"/>
      <w:lvlText w:val="%1.%2.%3.%4.%5.%6."/>
      <w:lvlJc w:val="left"/>
      <w:pPr>
        <w:ind w:left="4295" w:hanging="936"/>
      </w:pPr>
      <w:rPr>
        <w:rFonts w:hint="default"/>
      </w:rPr>
    </w:lvl>
    <w:lvl w:ilvl="6">
      <w:start w:val="1"/>
      <w:numFmt w:val="decimal"/>
      <w:lvlText w:val="%1.%2.%3.%4.%5.%6.%7."/>
      <w:lvlJc w:val="left"/>
      <w:pPr>
        <w:ind w:left="4799" w:hanging="1080"/>
      </w:pPr>
      <w:rPr>
        <w:rFonts w:hint="default"/>
      </w:rPr>
    </w:lvl>
    <w:lvl w:ilvl="7">
      <w:start w:val="1"/>
      <w:numFmt w:val="decimal"/>
      <w:lvlText w:val="%1.%2.%3.%4.%5.%6.%7.%8."/>
      <w:lvlJc w:val="left"/>
      <w:pPr>
        <w:ind w:left="5303" w:hanging="1224"/>
      </w:pPr>
      <w:rPr>
        <w:rFonts w:hint="default"/>
      </w:rPr>
    </w:lvl>
    <w:lvl w:ilvl="8">
      <w:start w:val="1"/>
      <w:numFmt w:val="decimal"/>
      <w:lvlText w:val="%1.%2.%3.%4.%5.%6.%7.%8.%9."/>
      <w:lvlJc w:val="left"/>
      <w:pPr>
        <w:ind w:left="5879" w:hanging="1440"/>
      </w:pPr>
      <w:rPr>
        <w:rFonts w:hint="default"/>
      </w:rPr>
    </w:lvl>
  </w:abstractNum>
  <w:num w:numId="1">
    <w:abstractNumId w:val="21"/>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4"/>
  </w:num>
  <w:num w:numId="21">
    <w:abstractNumId w:val="26"/>
  </w:num>
  <w:num w:numId="22">
    <w:abstractNumId w:val="0"/>
  </w:num>
  <w:num w:numId="23">
    <w:abstractNumId w:val="19"/>
  </w:num>
  <w:num w:numId="24">
    <w:abstractNumId w:val="25"/>
  </w:num>
  <w:num w:numId="25">
    <w:abstractNumId w:val="18"/>
  </w:num>
  <w:num w:numId="26">
    <w:abstractNumId w:val="11"/>
  </w:num>
  <w:num w:numId="27">
    <w:abstractNumId w:val="12"/>
  </w:num>
  <w:num w:numId="28">
    <w:abstractNumId w:val="20"/>
  </w:num>
  <w:num w:numId="29">
    <w:abstractNumId w:val="27"/>
  </w:num>
  <w:num w:numId="30">
    <w:abstractNumId w:val="16"/>
  </w:num>
  <w:num w:numId="31">
    <w:abstractNumId w:val="24"/>
  </w:num>
  <w:num w:numId="32">
    <w:abstractNumId w:val="13"/>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7E"/>
    <w:rsid w:val="000053F8"/>
    <w:rsid w:val="00024D0A"/>
    <w:rsid w:val="000472DC"/>
    <w:rsid w:val="00070065"/>
    <w:rsid w:val="0007055E"/>
    <w:rsid w:val="000A4FEE"/>
    <w:rsid w:val="000B5939"/>
    <w:rsid w:val="00111CCE"/>
    <w:rsid w:val="001134E7"/>
    <w:rsid w:val="0017149E"/>
    <w:rsid w:val="0017169E"/>
    <w:rsid w:val="00181A4A"/>
    <w:rsid w:val="001B0EE9"/>
    <w:rsid w:val="001B65B3"/>
    <w:rsid w:val="002029A6"/>
    <w:rsid w:val="002408EA"/>
    <w:rsid w:val="0025330F"/>
    <w:rsid w:val="002819D7"/>
    <w:rsid w:val="002C1A7E"/>
    <w:rsid w:val="002D3376"/>
    <w:rsid w:val="00311ED0"/>
    <w:rsid w:val="0033457E"/>
    <w:rsid w:val="003648C5"/>
    <w:rsid w:val="003722FA"/>
    <w:rsid w:val="003C7AAF"/>
    <w:rsid w:val="003F72CF"/>
    <w:rsid w:val="004075B6"/>
    <w:rsid w:val="00420952"/>
    <w:rsid w:val="00433EFF"/>
    <w:rsid w:val="00443081"/>
    <w:rsid w:val="00446BEE"/>
    <w:rsid w:val="005025A1"/>
    <w:rsid w:val="00515D1A"/>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0A65"/>
    <w:rsid w:val="00AF108A"/>
    <w:rsid w:val="00B02E55"/>
    <w:rsid w:val="00B036C1"/>
    <w:rsid w:val="00B142F7"/>
    <w:rsid w:val="00B5431F"/>
    <w:rsid w:val="00BF7FE0"/>
    <w:rsid w:val="00C81104"/>
    <w:rsid w:val="00C96411"/>
    <w:rsid w:val="00CB5671"/>
    <w:rsid w:val="00CF58B7"/>
    <w:rsid w:val="00D351C1"/>
    <w:rsid w:val="00D35EFB"/>
    <w:rsid w:val="00D45A20"/>
    <w:rsid w:val="00D504B3"/>
    <w:rsid w:val="00D86BF0"/>
    <w:rsid w:val="00E51920"/>
    <w:rsid w:val="00E64120"/>
    <w:rsid w:val="00E660A1"/>
    <w:rsid w:val="00EA3CCF"/>
    <w:rsid w:val="00F055F1"/>
    <w:rsid w:val="00F42B8E"/>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38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57E"/>
    <w:rPr>
      <w:rFonts w:ascii="Arial" w:eastAsiaTheme="minorHAnsi" w:hAnsi="Arial" w:cs="Arial"/>
      <w:sz w:val="22"/>
      <w:szCs w:val="22"/>
      <w:lang w:eastAsia="en-US"/>
    </w:rPr>
  </w:style>
  <w:style w:type="paragraph" w:styleId="Heading1">
    <w:name w:val="heading 1"/>
    <w:aliases w:val="Outline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aliases w:val="h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33457E"/>
    <w:pPr>
      <w:keepNext/>
      <w:spacing w:before="70" w:after="70"/>
      <w:textboxTightWrap w:val="lastLineOnly"/>
      <w:outlineLvl w:val="3"/>
    </w:pPr>
    <w:rPr>
      <w:rFonts w:eastAsia="Times New Roman" w:cs="Times New Roman"/>
      <w:b/>
      <w:color w:val="4F81BD" w:themeColor="accent1"/>
      <w:sz w:val="24"/>
      <w:szCs w:val="20"/>
    </w:rPr>
  </w:style>
  <w:style w:type="paragraph" w:styleId="Heading5">
    <w:name w:val="heading 5"/>
    <w:basedOn w:val="Normal"/>
    <w:next w:val="Normal"/>
    <w:link w:val="Heading5Char"/>
    <w:qFormat/>
    <w:rsid w:val="0033457E"/>
    <w:pPr>
      <w:keepNext/>
      <w:tabs>
        <w:tab w:val="left" w:pos="0"/>
        <w:tab w:val="left" w:pos="2520"/>
      </w:tabs>
      <w:overflowPunct w:val="0"/>
      <w:autoSpaceDE w:val="0"/>
      <w:autoSpaceDN w:val="0"/>
      <w:adjustRightInd w:val="0"/>
      <w:spacing w:line="-280" w:lineRule="auto"/>
      <w:ind w:left="2232" w:hanging="792"/>
      <w:textAlignment w:val="baseline"/>
      <w:outlineLvl w:val="4"/>
    </w:pPr>
    <w:rPr>
      <w:rFonts w:eastAsia="Times New Roman" w:cs="Times New Roman"/>
      <w:b/>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aliases w:val="Outline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qFormat/>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qFormat/>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uiPriority w:val="99"/>
    <w:semiHidden/>
    <w:rsid w:val="00446BEE"/>
    <w:rPr>
      <w:rFonts w:ascii="Tahoma" w:hAnsi="Tahoma" w:cs="Tahoma"/>
      <w:sz w:val="16"/>
      <w:szCs w:val="16"/>
    </w:rPr>
  </w:style>
  <w:style w:type="character" w:customStyle="1" w:styleId="BalloonTextChar">
    <w:name w:val="Balloon Text Char"/>
    <w:link w:val="BalloonText"/>
    <w:uiPriority w:val="99"/>
    <w:semiHidden/>
    <w:rsid w:val="00446BEE"/>
    <w:rPr>
      <w:rFonts w:ascii="Tahoma" w:hAnsi="Tahoma" w:cs="Tahoma"/>
      <w:sz w:val="16"/>
      <w:szCs w:val="16"/>
    </w:rPr>
  </w:style>
  <w:style w:type="character" w:customStyle="1" w:styleId="Heading2Char">
    <w:name w:val="Heading 2 Char"/>
    <w:aliases w:val="h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uiPriority w:val="39"/>
    <w:qFormat/>
    <w:rsid w:val="00F610AF"/>
  </w:style>
  <w:style w:type="paragraph" w:styleId="TOC2">
    <w:name w:val="toc 2"/>
    <w:basedOn w:val="Normal"/>
    <w:next w:val="Normal"/>
    <w:autoRedefine/>
    <w:uiPriority w:val="39"/>
    <w:qFormat/>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33457E"/>
    <w:rPr>
      <w:rFonts w:ascii="Arial" w:hAnsi="Arial"/>
      <w:b/>
      <w:color w:val="4F81BD" w:themeColor="accent1"/>
      <w:sz w:val="24"/>
      <w:lang w:eastAsia="en-US"/>
    </w:rPr>
  </w:style>
  <w:style w:type="character" w:customStyle="1" w:styleId="Heading5Char">
    <w:name w:val="Heading 5 Char"/>
    <w:basedOn w:val="DefaultParagraphFont"/>
    <w:link w:val="Heading5"/>
    <w:rsid w:val="0033457E"/>
    <w:rPr>
      <w:rFonts w:ascii="Arial" w:hAnsi="Arial"/>
      <w:b/>
      <w:sz w:val="28"/>
      <w:lang w:val="en-US"/>
    </w:rPr>
  </w:style>
  <w:style w:type="character" w:styleId="Hyperlink">
    <w:name w:val="Hyperlink"/>
    <w:basedOn w:val="DefaultParagraphFont"/>
    <w:uiPriority w:val="99"/>
    <w:unhideWhenUsed/>
    <w:qFormat/>
    <w:rsid w:val="0033457E"/>
    <w:rPr>
      <w:color w:val="0000FF" w:themeColor="hyperlink"/>
      <w:u w:val="single"/>
    </w:rPr>
  </w:style>
  <w:style w:type="character" w:styleId="UnresolvedMention">
    <w:name w:val="Unresolved Mention"/>
    <w:basedOn w:val="DefaultParagraphFont"/>
    <w:uiPriority w:val="99"/>
    <w:semiHidden/>
    <w:unhideWhenUsed/>
    <w:rsid w:val="0033457E"/>
    <w:rPr>
      <w:color w:val="808080"/>
      <w:shd w:val="clear" w:color="auto" w:fill="E6E6E6"/>
    </w:rPr>
  </w:style>
  <w:style w:type="character" w:styleId="FollowedHyperlink">
    <w:name w:val="FollowedHyperlink"/>
    <w:basedOn w:val="DefaultParagraphFont"/>
    <w:uiPriority w:val="99"/>
    <w:semiHidden/>
    <w:unhideWhenUsed/>
    <w:rsid w:val="0033457E"/>
    <w:rPr>
      <w:color w:val="800080" w:themeColor="followedHyperlink"/>
      <w:u w:val="single"/>
    </w:rPr>
  </w:style>
  <w:style w:type="character" w:styleId="CommentReference">
    <w:name w:val="annotation reference"/>
    <w:basedOn w:val="DefaultParagraphFont"/>
    <w:uiPriority w:val="99"/>
    <w:semiHidden/>
    <w:unhideWhenUsed/>
    <w:rsid w:val="0033457E"/>
    <w:rPr>
      <w:sz w:val="16"/>
      <w:szCs w:val="16"/>
    </w:rPr>
  </w:style>
  <w:style w:type="paragraph" w:styleId="CommentText">
    <w:name w:val="annotation text"/>
    <w:basedOn w:val="Normal"/>
    <w:link w:val="CommentTextChar"/>
    <w:uiPriority w:val="99"/>
    <w:unhideWhenUsed/>
    <w:rsid w:val="0033457E"/>
    <w:rPr>
      <w:sz w:val="20"/>
      <w:szCs w:val="20"/>
    </w:rPr>
  </w:style>
  <w:style w:type="character" w:customStyle="1" w:styleId="CommentTextChar">
    <w:name w:val="Comment Text Char"/>
    <w:basedOn w:val="DefaultParagraphFont"/>
    <w:link w:val="CommentText"/>
    <w:uiPriority w:val="99"/>
    <w:rsid w:val="0033457E"/>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33457E"/>
    <w:rPr>
      <w:b/>
      <w:bCs/>
    </w:rPr>
  </w:style>
  <w:style w:type="character" w:customStyle="1" w:styleId="CommentSubjectChar">
    <w:name w:val="Comment Subject Char"/>
    <w:basedOn w:val="CommentTextChar"/>
    <w:link w:val="CommentSubject"/>
    <w:uiPriority w:val="99"/>
    <w:semiHidden/>
    <w:rsid w:val="0033457E"/>
    <w:rPr>
      <w:rFonts w:ascii="Arial" w:eastAsiaTheme="minorHAnsi" w:hAnsi="Arial" w:cs="Arial"/>
      <w:b/>
      <w:bCs/>
      <w:lang w:eastAsia="en-US"/>
    </w:rPr>
  </w:style>
  <w:style w:type="table" w:styleId="TableGrid">
    <w:name w:val="Table Grid"/>
    <w:basedOn w:val="TableNormal"/>
    <w:rsid w:val="0033457E"/>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33457E"/>
    <w:rPr>
      <w:rFonts w:ascii="Arial" w:eastAsiaTheme="minorHAnsi" w:hAnsi="Arial" w:cs="Arial"/>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3457E"/>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3457E"/>
    <w:rPr>
      <w:rFonts w:asciiTheme="minorHAnsi" w:eastAsiaTheme="minorHAnsi" w:hAnsiTheme="minorHAnsi" w:cstheme="minorBidi"/>
      <w:sz w:val="22"/>
      <w:szCs w:val="22"/>
      <w:lang w:eastAsia="en-US"/>
    </w:rPr>
  </w:style>
  <w:style w:type="paragraph" w:customStyle="1" w:styleId="Default">
    <w:name w:val="Default"/>
    <w:rsid w:val="0033457E"/>
    <w:pPr>
      <w:autoSpaceDE w:val="0"/>
      <w:autoSpaceDN w:val="0"/>
      <w:adjustRightInd w:val="0"/>
    </w:pPr>
    <w:rPr>
      <w:rFonts w:ascii="Arial" w:eastAsiaTheme="minorHAnsi" w:hAnsi="Arial" w:cs="Arial"/>
      <w:color w:val="000000"/>
      <w:sz w:val="24"/>
      <w:szCs w:val="24"/>
      <w:lang w:eastAsia="en-US"/>
    </w:rPr>
  </w:style>
  <w:style w:type="paragraph" w:styleId="EndnoteText">
    <w:name w:val="endnote text"/>
    <w:basedOn w:val="Normal"/>
    <w:link w:val="EndnoteTextChar"/>
    <w:semiHidden/>
    <w:rsid w:val="0033457E"/>
    <w:pPr>
      <w:overflowPunct w:val="0"/>
      <w:autoSpaceDE w:val="0"/>
      <w:autoSpaceDN w:val="0"/>
      <w:adjustRightInd w:val="0"/>
      <w:textAlignment w:val="baseline"/>
    </w:pPr>
    <w:rPr>
      <w:rFonts w:eastAsia="Times New Roman" w:cs="Times New Roman"/>
      <w:sz w:val="20"/>
      <w:szCs w:val="20"/>
      <w:lang w:eastAsia="en-GB"/>
    </w:rPr>
  </w:style>
  <w:style w:type="character" w:customStyle="1" w:styleId="EndnoteTextChar">
    <w:name w:val="Endnote Text Char"/>
    <w:basedOn w:val="DefaultParagraphFont"/>
    <w:link w:val="EndnoteText"/>
    <w:semiHidden/>
    <w:rsid w:val="0033457E"/>
    <w:rPr>
      <w:rFonts w:ascii="Arial" w:hAnsi="Arial"/>
    </w:rPr>
  </w:style>
  <w:style w:type="paragraph" w:customStyle="1" w:styleId="Bulletlist">
    <w:name w:val="Bullet list"/>
    <w:basedOn w:val="ListParagraph"/>
    <w:link w:val="BulletlistChar"/>
    <w:autoRedefine/>
    <w:qFormat/>
    <w:rsid w:val="0033457E"/>
    <w:pPr>
      <w:numPr>
        <w:numId w:val="27"/>
      </w:numPr>
      <w:autoSpaceDE w:val="0"/>
      <w:autoSpaceDN w:val="0"/>
      <w:adjustRightInd w:val="0"/>
      <w:spacing w:after="140" w:line="240" w:lineRule="auto"/>
      <w:ind w:left="510" w:hanging="510"/>
      <w:contextualSpacing w:val="0"/>
    </w:pPr>
    <w:rPr>
      <w:rFonts w:ascii="Arial" w:eastAsia="Times New Roman" w:hAnsi="Arial" w:cs="FrutigerLTStd-Light"/>
      <w:sz w:val="24"/>
    </w:rPr>
  </w:style>
  <w:style w:type="character" w:customStyle="1" w:styleId="BulletlistChar">
    <w:name w:val="Bullet list Char"/>
    <w:basedOn w:val="DefaultParagraphFont"/>
    <w:link w:val="Bulletlist"/>
    <w:rsid w:val="0033457E"/>
    <w:rPr>
      <w:rFonts w:ascii="Arial" w:hAnsi="Arial" w:cs="FrutigerLTStd-Light"/>
      <w:sz w:val="24"/>
      <w:szCs w:val="22"/>
      <w:lang w:eastAsia="en-US"/>
    </w:rPr>
  </w:style>
  <w:style w:type="paragraph" w:customStyle="1" w:styleId="Footnote-hanging">
    <w:name w:val="Footnote - hanging"/>
    <w:basedOn w:val="Bulletlist"/>
    <w:link w:val="Footnote-hangingChar"/>
    <w:qFormat/>
    <w:rsid w:val="0033457E"/>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33457E"/>
    <w:rPr>
      <w:rFonts w:ascii="Arial" w:hAnsi="Arial" w:cs="FrutigerLTStd-Light"/>
      <w:sz w:val="18"/>
      <w:szCs w:val="18"/>
      <w:lang w:eastAsia="en-US"/>
    </w:rPr>
  </w:style>
  <w:style w:type="paragraph" w:customStyle="1" w:styleId="Standfirst">
    <w:name w:val="Standfirst"/>
    <w:basedOn w:val="Heading4"/>
    <w:link w:val="StandfirstChar"/>
    <w:autoRedefine/>
    <w:qFormat/>
    <w:rsid w:val="0033457E"/>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33457E"/>
    <w:rPr>
      <w:rFonts w:ascii="Arial" w:hAnsi="Arial"/>
      <w:b/>
      <w:color w:val="9BBB59" w:themeColor="accent3"/>
      <w:spacing w:val="4"/>
      <w:kern w:val="28"/>
      <w:sz w:val="28"/>
      <w:szCs w:val="28"/>
      <w:lang w:eastAsia="en-US"/>
      <w14:textFill>
        <w14:solidFill>
          <w14:schemeClr w14:val="accent3">
            <w14:lumMod w14:val="75000"/>
            <w14:lumOff w14:val="25000"/>
            <w14:lumMod w14:val="75000"/>
            <w14:lumOff w14:val="25000"/>
          </w14:schemeClr>
        </w14:solidFill>
      </w14:textFill>
      <w14:ligatures w14:val="standardContextual"/>
    </w:rPr>
  </w:style>
  <w:style w:type="paragraph" w:styleId="TOCHeading">
    <w:name w:val="TOC Heading"/>
    <w:basedOn w:val="Heading1"/>
    <w:next w:val="Normal"/>
    <w:uiPriority w:val="39"/>
    <w:unhideWhenUsed/>
    <w:qFormat/>
    <w:rsid w:val="0033457E"/>
    <w:pPr>
      <w:keepLines/>
      <w:spacing w:before="480" w:after="0" w:line="276" w:lineRule="auto"/>
      <w:outlineLvl w:val="9"/>
    </w:pPr>
    <w:rPr>
      <w:rFonts w:asciiTheme="majorHAnsi" w:eastAsiaTheme="majorEastAsia" w:hAnsiTheme="majorHAnsi" w:cstheme="majorBidi"/>
      <w:color w:val="4F81BD" w:themeColor="accent1"/>
      <w:spacing w:val="-14"/>
      <w:kern w:val="0"/>
      <w:szCs w:val="28"/>
      <w:lang w:val="en-US" w:eastAsia="ja-JP"/>
      <w14:ligatures w14:val="standardContextual"/>
    </w:rPr>
  </w:style>
  <w:style w:type="paragraph" w:customStyle="1" w:styleId="FrontpageTitle">
    <w:name w:val="Frontpage_Title"/>
    <w:basedOn w:val="Normal"/>
    <w:link w:val="FrontpageTitleChar"/>
    <w:autoRedefine/>
    <w:qFormat/>
    <w:rsid w:val="0033457E"/>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33457E"/>
    <w:rPr>
      <w:rFonts w:ascii="Arial" w:hAnsi="Arial"/>
      <w:color w:val="4F81BD" w:themeColor="accent1"/>
      <w:sz w:val="70"/>
      <w:szCs w:val="84"/>
      <w:lang w:eastAsia="en-US"/>
    </w:rPr>
  </w:style>
  <w:style w:type="paragraph" w:customStyle="1" w:styleId="Frontpagesubhead">
    <w:name w:val="Frontpage_subhead"/>
    <w:basedOn w:val="Normal"/>
    <w:link w:val="FrontpagesubheadChar"/>
    <w:autoRedefine/>
    <w:qFormat/>
    <w:rsid w:val="0033457E"/>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33457E"/>
    <w:rPr>
      <w:rFonts w:ascii="Arial" w:hAnsi="Arial"/>
      <w:b/>
      <w:color w:val="4F81BD" w:themeColor="accent1"/>
      <w:sz w:val="35"/>
      <w:szCs w:val="42"/>
      <w:lang w:eastAsia="en-US"/>
    </w:rPr>
  </w:style>
  <w:style w:type="paragraph" w:customStyle="1" w:styleId="Footnoteseparator">
    <w:name w:val="Footnote_separator"/>
    <w:basedOn w:val="Heading3"/>
    <w:link w:val="FootnoteseparatorChar"/>
    <w:rsid w:val="0033457E"/>
    <w:pPr>
      <w:spacing w:before="70" w:after="140"/>
    </w:pPr>
    <w:rPr>
      <w:rFonts w:eastAsia="MS Mincho"/>
      <w:noProof/>
      <w:color w:val="4F81BD" w:themeColor="accent1"/>
      <w:spacing w:val="-8"/>
      <w:w w:val="200"/>
      <w:kern w:val="28"/>
      <w:sz w:val="16"/>
      <w:szCs w:val="16"/>
      <w14:ligatures w14:val="standardContextual"/>
    </w:rPr>
  </w:style>
  <w:style w:type="character" w:customStyle="1" w:styleId="FootnoteseparatorChar">
    <w:name w:val="Footnote_separator Char"/>
    <w:basedOn w:val="Heading3Char"/>
    <w:link w:val="Footnoteseparator"/>
    <w:rsid w:val="0033457E"/>
    <w:rPr>
      <w:rFonts w:ascii="Arial" w:eastAsia="MS Mincho" w:hAnsi="Arial"/>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33457E"/>
    <w:pPr>
      <w:spacing w:after="140" w:line="240" w:lineRule="auto"/>
      <w:ind w:left="510" w:hanging="510"/>
      <w:contextualSpacing w:val="0"/>
      <w:textboxTightWrap w:val="lastLineOnly"/>
    </w:pPr>
    <w:rPr>
      <w:rFonts w:ascii="Arial" w:eastAsia="Times New Roman" w:hAnsi="Arial" w:cs="Times New Roman"/>
      <w:sz w:val="24"/>
      <w:szCs w:val="24"/>
    </w:rPr>
  </w:style>
  <w:style w:type="character" w:customStyle="1" w:styleId="NumberedlistChar">
    <w:name w:val="Numbered list Char"/>
    <w:basedOn w:val="DefaultParagraphFont"/>
    <w:link w:val="Numberedlist"/>
    <w:rsid w:val="0033457E"/>
    <w:rPr>
      <w:rFonts w:ascii="Arial" w:hAnsi="Arial"/>
      <w:sz w:val="24"/>
      <w:szCs w:val="24"/>
      <w:lang w:eastAsia="en-US"/>
    </w:rPr>
  </w:style>
  <w:style w:type="character" w:styleId="Strong">
    <w:name w:val="Strong"/>
    <w:aliases w:val="Bold"/>
    <w:qFormat/>
    <w:rsid w:val="0033457E"/>
    <w:rPr>
      <w:rFonts w:asciiTheme="minorHAnsi" w:hAnsiTheme="minorHAnsi"/>
      <w:b/>
      <w:bCs/>
    </w:rPr>
  </w:style>
  <w:style w:type="paragraph" w:styleId="Quote">
    <w:name w:val="Quote"/>
    <w:basedOn w:val="Normal"/>
    <w:next w:val="Normal"/>
    <w:link w:val="QuoteChar"/>
    <w:uiPriority w:val="29"/>
    <w:qFormat/>
    <w:rsid w:val="0033457E"/>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33457E"/>
    <w:rPr>
      <w:rFonts w:ascii="Goudy Old Style" w:hAnsi="Goudy Old Style"/>
      <w:i/>
      <w:iCs/>
      <w:color w:val="4F81BD" w:themeColor="accent1"/>
      <w:sz w:val="35"/>
      <w:szCs w:val="24"/>
      <w:lang w:eastAsia="en-US"/>
    </w:rPr>
  </w:style>
  <w:style w:type="character" w:styleId="FootnoteReference">
    <w:name w:val="footnote reference"/>
    <w:basedOn w:val="DefaultParagraphFont"/>
    <w:unhideWhenUsed/>
    <w:rsid w:val="0033457E"/>
    <w:rPr>
      <w:vertAlign w:val="superscript"/>
    </w:rPr>
  </w:style>
  <w:style w:type="table" w:customStyle="1" w:styleId="TableGrid1">
    <w:name w:val="Table Grid1"/>
    <w:basedOn w:val="TableNormal"/>
    <w:next w:val="TableGrid"/>
    <w:rsid w:val="0033457E"/>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457E"/>
    <w:rPr>
      <w:color w:val="808080"/>
    </w:rPr>
  </w:style>
  <w:style w:type="paragraph" w:styleId="FootnoteText">
    <w:name w:val="footnote text"/>
    <w:basedOn w:val="Normal"/>
    <w:link w:val="FootnoteTextChar"/>
    <w:unhideWhenUsed/>
    <w:rsid w:val="0033457E"/>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rsid w:val="0033457E"/>
    <w:rPr>
      <w:rFonts w:ascii="Arial" w:hAnsi="Arial"/>
      <w:lang w:eastAsia="en-US"/>
    </w:rPr>
  </w:style>
  <w:style w:type="paragraph" w:styleId="NormalWeb">
    <w:name w:val="Normal (Web)"/>
    <w:basedOn w:val="Normal"/>
    <w:uiPriority w:val="99"/>
    <w:unhideWhenUsed/>
    <w:rsid w:val="0033457E"/>
    <w:pPr>
      <w:spacing w:after="140"/>
      <w:textboxTightWrap w:val="lastLineOnly"/>
    </w:pPr>
    <w:rPr>
      <w:rFonts w:ascii="Times New Roman" w:eastAsia="Times New Roman" w:hAnsi="Times New Roman" w:cs="Times New Roman"/>
      <w:sz w:val="24"/>
      <w:szCs w:val="24"/>
    </w:rPr>
  </w:style>
  <w:style w:type="character" w:customStyle="1" w:styleId="searchhighlight0">
    <w:name w:val="searchhighlight0"/>
    <w:basedOn w:val="DefaultParagraphFont"/>
    <w:rsid w:val="0033457E"/>
    <w:rPr>
      <w:vanish w:val="0"/>
      <w:webHidden w:val="0"/>
      <w:color w:val="000000"/>
      <w:shd w:val="clear" w:color="auto" w:fill="FFFF66"/>
      <w:specVanish w:val="0"/>
    </w:rPr>
  </w:style>
  <w:style w:type="character" w:customStyle="1" w:styleId="searchhighlight1">
    <w:name w:val="searchhighlight1"/>
    <w:basedOn w:val="DefaultParagraphFont"/>
    <w:rsid w:val="0033457E"/>
    <w:rPr>
      <w:vanish w:val="0"/>
      <w:webHidden w:val="0"/>
      <w:color w:val="000000"/>
      <w:shd w:val="clear" w:color="auto" w:fill="AAFFFF"/>
      <w:specVanish w:val="0"/>
    </w:rPr>
  </w:style>
  <w:style w:type="paragraph" w:styleId="NoSpacing">
    <w:name w:val="No Spacing"/>
    <w:link w:val="NoSpacingChar"/>
    <w:uiPriority w:val="1"/>
    <w:qFormat/>
    <w:rsid w:val="0033457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3457E"/>
    <w:rPr>
      <w:rFonts w:asciiTheme="minorHAnsi" w:eastAsiaTheme="minorEastAsia" w:hAnsiTheme="minorHAnsi" w:cstheme="minorBidi"/>
      <w:sz w:val="22"/>
      <w:szCs w:val="22"/>
      <w:lang w:val="en-US" w:eastAsia="ja-JP"/>
    </w:rPr>
  </w:style>
  <w:style w:type="table" w:styleId="TableGridLight">
    <w:name w:val="Grid Table Light"/>
    <w:basedOn w:val="TableNormal"/>
    <w:uiPriority w:val="40"/>
    <w:rsid w:val="0033457E"/>
    <w:rPr>
      <w:rFonts w:ascii="Arial" w:eastAsiaTheme="minorHAnsi" w:hAnsi="Arial" w:cs="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witter@dh.gsi.gov.uk" TargetMode="External"/><Relationship Id="rId13" Type="http://schemas.openxmlformats.org/officeDocument/2006/relationships/hyperlink" Target="http://www.ons.gov.uk/ons/guide-method/method-quality/quality/quality-information/social-statistics/sqr-mortality-statistics.pdf" TargetMode="External"/><Relationship Id="rId18" Type="http://schemas.openxmlformats.org/officeDocument/2006/relationships/hyperlink" Target="http://www.ons.gov.uk/ons/guide-method/user-guidance/health-and-life-events/mortality-metadata.pdf" TargetMode="External"/><Relationship Id="rId26" Type="http://schemas.openxmlformats.org/officeDocument/2006/relationships/hyperlink" Target="https://indicators.ic.nhs.uk/download/Outcomes%20Framework/Specification/NHSOF_1.1_I00656_Q.pdf" TargetMode="External"/><Relationship Id="rId3" Type="http://schemas.openxmlformats.org/officeDocument/2006/relationships/settings" Target="settings.xml"/><Relationship Id="rId21" Type="http://schemas.openxmlformats.org/officeDocument/2006/relationships/hyperlink" Target="http://www.apho.org.uk/resource/view.aspx?RID=125886" TargetMode="External"/><Relationship Id="rId34" Type="http://schemas.openxmlformats.org/officeDocument/2006/relationships/footer" Target="footer1.xml"/><Relationship Id="rId7" Type="http://schemas.openxmlformats.org/officeDocument/2006/relationships/hyperlink" Target="mailto:Andrew.Parker@dh.gsi.gov.uk" TargetMode="External"/><Relationship Id="rId12" Type="http://schemas.openxmlformats.org/officeDocument/2006/relationships/hyperlink" Target="https://www.gov.uk/government/uploads/system/uploads/attachment_data/file/307703/LW4L.pdf" TargetMode="External"/><Relationship Id="rId17" Type="http://schemas.openxmlformats.org/officeDocument/2006/relationships/hyperlink" Target="http://www.ons.gov.uk/ons/rel/subnational-health2/european-standard-population/effect-on-uk-official-statistics/sty-revision-of-esp.html" TargetMode="External"/><Relationship Id="rId25" Type="http://schemas.openxmlformats.org/officeDocument/2006/relationships/hyperlink" Target="https://indicators.ic.nhs.uk/download/Outcomes%20Framework/Specification/NHSOF_Domain_1_S.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ns.gov.uk/ons/guide-method/user-guidance/health-and-life-events/revised-european-standard-population-2013--2013-esp-/rpt-2013-esp-mortality-rates.pdf" TargetMode="External"/><Relationship Id="rId20" Type="http://schemas.openxmlformats.org/officeDocument/2006/relationships/hyperlink" Target="http://www.euro.who.int/en/health-topics/noncommunicable-diseases/cardiovascular-diseases/cardiovascular-diseases2/definition-of-cardiovascular-diseases"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p.info@ons.gsi.gov.uk" TargetMode="External"/><Relationship Id="rId24" Type="http://schemas.openxmlformats.org/officeDocument/2006/relationships/hyperlink" Target="https://indicators.ic.nhs.uk/download/Outcomes%20Framework/Data/NHSOF_1.1_I00656_D.xls" TargetMode="External"/><Relationship Id="rId32" Type="http://schemas.openxmlformats.org/officeDocument/2006/relationships/hyperlink" Target="http://www.hscic.gov.uk/article/1674/Indicator-Assurance-Servic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indicators.ic.nhs.uk/webview/index.jsp?v=2&amp;submode=ddi&amp;study=http%3A%2F%2F172.16.9.26%3A80%2Fobj%2FfStudy%2FP01730&amp;mode=documentation&amp;top=yes" TargetMode="External"/><Relationship Id="rId28" Type="http://schemas.openxmlformats.org/officeDocument/2006/relationships/hyperlink" Target="http://www.ons.gov.uk/ons/rel/subnational-health3/results-of-the-icd-10-v2010-bridge-coding-study--england-and-wales--2009/2009/index.html" TargetMode="External"/><Relationship Id="rId36" Type="http://schemas.openxmlformats.org/officeDocument/2006/relationships/glossaryDocument" Target="glossary/document.xml"/><Relationship Id="rId10" Type="http://schemas.openxmlformats.org/officeDocument/2006/relationships/hyperlink" Target="mailto:andrew.tooley@ons.gsi.gov.uk" TargetMode="External"/><Relationship Id="rId19" Type="http://schemas.openxmlformats.org/officeDocument/2006/relationships/hyperlink" Target="https://www.bhf.org.uk/heart-health/conditions/cardiovascular-disease" TargetMode="External"/><Relationship Id="rId31" Type="http://schemas.openxmlformats.org/officeDocument/2006/relationships/hyperlink" Target="mailto:indicator.assurance@hscic.gov.uk" TargetMode="External"/><Relationship Id="rId4" Type="http://schemas.openxmlformats.org/officeDocument/2006/relationships/webSettings" Target="webSettings.xml"/><Relationship Id="rId9" Type="http://schemas.openxmlformats.org/officeDocument/2006/relationships/hyperlink" Target="mailto:mortality@ons.gsi.gov.uk" TargetMode="External"/><Relationship Id="rId14" Type="http://schemas.openxmlformats.org/officeDocument/2006/relationships/hyperlink" Target="http://www.ons.gov.uk/ons/guide-method/method-quality/quality/quality-information/population/quality-and-methodology-information-for-annual-mid-year-population-estimates.pdf" TargetMode="External"/><Relationship Id="rId22" Type="http://schemas.openxmlformats.org/officeDocument/2006/relationships/hyperlink" Target="https://indicators.ic.nhs.uk/webview/" TargetMode="External"/><Relationship Id="rId27" Type="http://schemas.openxmlformats.org/officeDocument/2006/relationships/hyperlink" Target="http://www.ons.gov.uk/ons/dcp171778_373602.pdf" TargetMode="External"/><Relationship Id="rId30" Type="http://schemas.openxmlformats.org/officeDocument/2006/relationships/image" Target="media/image3.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ns.gov.uk/ons/guide-method/user-guidance/health-and-life-events/revised-european-standard-population-2013--2013-esp-/index.html" TargetMode="External"/><Relationship Id="rId2" Type="http://schemas.openxmlformats.org/officeDocument/2006/relationships/hyperlink" Target="http://www.ons.gov.uk/ons/rel/pop-estimate/population-estimates-for-uk--england-and-wales--scotland-and-northern-ireland/mid-2014/index.html" TargetMode="External"/><Relationship Id="rId1" Type="http://schemas.openxmlformats.org/officeDocument/2006/relationships/hyperlink" Target="http://ons.gov.uk/ons/taxonomy/index.html?nscl=Mortality+Rates" TargetMode="External"/><Relationship Id="rId5" Type="http://schemas.openxmlformats.org/officeDocument/2006/relationships/hyperlink" Target="http://www.healthcheck.nhs.uk/" TargetMode="External"/><Relationship Id="rId4" Type="http://schemas.openxmlformats.org/officeDocument/2006/relationships/hyperlink" Target="https://www.gov.uk/government/publications/improving-cardiovascular-disease-outcomes-strate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362F3D77AE4D10B4616AD346596BD0"/>
        <w:category>
          <w:name w:val="General"/>
          <w:gallery w:val="placeholder"/>
        </w:category>
        <w:types>
          <w:type w:val="bbPlcHdr"/>
        </w:types>
        <w:behaviors>
          <w:behavior w:val="content"/>
        </w:behaviors>
        <w:guid w:val="{5A8D4428-9B97-4487-8B2A-92F802701032}"/>
      </w:docPartPr>
      <w:docPartBody>
        <w:p w:rsidR="00996AAB" w:rsidRDefault="00942DF1" w:rsidP="00942DF1">
          <w:pPr>
            <w:pStyle w:val="9F362F3D77AE4D10B4616AD346596BD0"/>
          </w:pPr>
          <w:r w:rsidRPr="00BC4529">
            <w:rPr>
              <w:rStyle w:val="PlaceholderText"/>
            </w:rPr>
            <w:t>Choose an item.</w:t>
          </w:r>
        </w:p>
      </w:docPartBody>
    </w:docPart>
    <w:docPart>
      <w:docPartPr>
        <w:name w:val="4127AEA4DFAA4B708A84F5DCBAF29A4E"/>
        <w:category>
          <w:name w:val="General"/>
          <w:gallery w:val="placeholder"/>
        </w:category>
        <w:types>
          <w:type w:val="bbPlcHdr"/>
        </w:types>
        <w:behaviors>
          <w:behavior w:val="content"/>
        </w:behaviors>
        <w:guid w:val="{93E134E2-93EB-475F-A2C9-6B3FF69F1ABA}"/>
      </w:docPartPr>
      <w:docPartBody>
        <w:p w:rsidR="00996AAB" w:rsidRDefault="00942DF1" w:rsidP="00942DF1">
          <w:pPr>
            <w:pStyle w:val="4127AEA4DFAA4B708A84F5DCBAF29A4E"/>
          </w:pPr>
          <w:r w:rsidRPr="00B71800">
            <w:rPr>
              <w:rStyle w:val="PlaceholderText"/>
            </w:rPr>
            <w:t>Choose an item.</w:t>
          </w:r>
        </w:p>
      </w:docPartBody>
    </w:docPart>
    <w:docPart>
      <w:docPartPr>
        <w:name w:val="CBA1DCFB26DE406FBABB69BCC27A0458"/>
        <w:category>
          <w:name w:val="General"/>
          <w:gallery w:val="placeholder"/>
        </w:category>
        <w:types>
          <w:type w:val="bbPlcHdr"/>
        </w:types>
        <w:behaviors>
          <w:behavior w:val="content"/>
        </w:behaviors>
        <w:guid w:val="{93D58C4F-AF05-4084-AE35-527BF19B76C6}"/>
      </w:docPartPr>
      <w:docPartBody>
        <w:p w:rsidR="00996AAB" w:rsidRDefault="00942DF1" w:rsidP="00942DF1">
          <w:pPr>
            <w:pStyle w:val="CBA1DCFB26DE406FBABB69BCC27A0458"/>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udy Old Style">
    <w:altName w:val="Bell MT"/>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F1"/>
    <w:rsid w:val="00942DF1"/>
    <w:rsid w:val="00996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DF1"/>
    <w:rPr>
      <w:color w:val="808080"/>
    </w:rPr>
  </w:style>
  <w:style w:type="paragraph" w:customStyle="1" w:styleId="9F362F3D77AE4D10B4616AD346596BD0">
    <w:name w:val="9F362F3D77AE4D10B4616AD346596BD0"/>
    <w:rsid w:val="00942DF1"/>
  </w:style>
  <w:style w:type="paragraph" w:customStyle="1" w:styleId="4127AEA4DFAA4B708A84F5DCBAF29A4E">
    <w:name w:val="4127AEA4DFAA4B708A84F5DCBAF29A4E"/>
    <w:rsid w:val="00942DF1"/>
  </w:style>
  <w:style w:type="paragraph" w:customStyle="1" w:styleId="CBA1DCFB26DE406FBABB69BCC27A0458">
    <w:name w:val="CBA1DCFB26DE406FBABB69BCC27A0458"/>
    <w:rsid w:val="00942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AC5326BF</Template>
  <TotalTime>0</TotalTime>
  <Pages>41</Pages>
  <Words>8978</Words>
  <Characters>56214</Characters>
  <Application>Microsoft Office Word</Application>
  <DocSecurity>0</DocSecurity>
  <Lines>468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2020-03-06T14:54:00Z</dcterms:created>
  <dcterms:modified xsi:type="dcterms:W3CDTF">2020-03-06T16:17:00Z</dcterms:modified>
</cp:coreProperties>
</file>