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2477D" w14:textId="77777777" w:rsidR="00485ED6" w:rsidRPr="00485ED6" w:rsidRDefault="00485ED6" w:rsidP="00485ED6">
      <w:pPr>
        <w:jc w:val="center"/>
        <w:rPr>
          <w:b/>
          <w:bCs/>
          <w:sz w:val="28"/>
          <w:szCs w:val="28"/>
        </w:rPr>
      </w:pPr>
      <w:bookmarkStart w:id="0" w:name="_Hlk34904671"/>
      <w:bookmarkStart w:id="1" w:name="_GoBack"/>
      <w:bookmarkEnd w:id="1"/>
    </w:p>
    <w:p w14:paraId="6016FA50" w14:textId="2D788E27" w:rsidR="00485ED6" w:rsidRPr="00485ED6" w:rsidRDefault="00485ED6" w:rsidP="00485ED6">
      <w:pPr>
        <w:jc w:val="center"/>
        <w:rPr>
          <w:b/>
          <w:bCs/>
          <w:sz w:val="28"/>
          <w:szCs w:val="28"/>
        </w:rPr>
      </w:pPr>
      <w:r w:rsidRPr="00485ED6">
        <w:rPr>
          <w:b/>
          <w:bCs/>
          <w:sz w:val="28"/>
          <w:szCs w:val="28"/>
        </w:rPr>
        <w:t>NHS Digital</w:t>
      </w:r>
    </w:p>
    <w:p w14:paraId="6C8DCA8B" w14:textId="3E282755" w:rsidR="00485ED6" w:rsidRPr="00485ED6" w:rsidRDefault="00485ED6" w:rsidP="00485ED6">
      <w:pPr>
        <w:jc w:val="center"/>
        <w:rPr>
          <w:b/>
          <w:bCs/>
          <w:sz w:val="28"/>
          <w:szCs w:val="28"/>
        </w:rPr>
      </w:pPr>
      <w:r w:rsidRPr="00485ED6">
        <w:rPr>
          <w:b/>
          <w:bCs/>
          <w:sz w:val="28"/>
          <w:szCs w:val="28"/>
        </w:rPr>
        <w:t>Indicator Supporting Documentation</w:t>
      </w:r>
    </w:p>
    <w:p w14:paraId="2579B0C9" w14:textId="571A4283" w:rsidR="00485ED6" w:rsidRPr="00485ED6" w:rsidRDefault="00485ED6" w:rsidP="00485ED6">
      <w:pPr>
        <w:jc w:val="center"/>
      </w:pPr>
      <w:r w:rsidRPr="00485ED6">
        <w:rPr>
          <w:b/>
          <w:bCs/>
          <w:sz w:val="28"/>
          <w:szCs w:val="28"/>
        </w:rPr>
        <w:t>IAP00018 Under 75 mortality from respiratory disease (NHSOF)</w:t>
      </w:r>
    </w:p>
    <w:tbl>
      <w:tblPr>
        <w:tblStyle w:val="TableGrid"/>
        <w:tblpPr w:leftFromText="180" w:rightFromText="180" w:vertAnchor="page" w:horzAnchor="margin" w:tblpY="3166"/>
        <w:tblW w:w="14029" w:type="dxa"/>
        <w:tblLayout w:type="fixed"/>
        <w:tblLook w:val="04A0" w:firstRow="1" w:lastRow="0" w:firstColumn="1" w:lastColumn="0" w:noHBand="0" w:noVBand="1"/>
      </w:tblPr>
      <w:tblGrid>
        <w:gridCol w:w="3397"/>
        <w:gridCol w:w="10632"/>
      </w:tblGrid>
      <w:tr w:rsidR="00485ED6" w:rsidRPr="00485ED6" w14:paraId="7C57A1D2" w14:textId="77777777" w:rsidTr="00485ED6">
        <w:tc>
          <w:tcPr>
            <w:tcW w:w="3397" w:type="dxa"/>
          </w:tcPr>
          <w:p w14:paraId="75ABDC4C" w14:textId="77777777" w:rsidR="00485ED6" w:rsidRPr="00485ED6" w:rsidRDefault="00485ED6" w:rsidP="00485ED6">
            <w:pPr>
              <w:rPr>
                <w:b/>
                <w:sz w:val="24"/>
                <w:szCs w:val="24"/>
              </w:rPr>
            </w:pPr>
            <w:r w:rsidRPr="00485ED6">
              <w:rPr>
                <w:sz w:val="24"/>
                <w:szCs w:val="24"/>
              </w:rPr>
              <w:t>IAP Code</w:t>
            </w:r>
          </w:p>
        </w:tc>
        <w:tc>
          <w:tcPr>
            <w:tcW w:w="10632" w:type="dxa"/>
          </w:tcPr>
          <w:p w14:paraId="5D2F5834" w14:textId="77777777" w:rsidR="00485ED6" w:rsidRPr="00485ED6" w:rsidRDefault="00485ED6" w:rsidP="00485ED6">
            <w:pPr>
              <w:rPr>
                <w:sz w:val="24"/>
                <w:szCs w:val="24"/>
              </w:rPr>
            </w:pPr>
            <w:r w:rsidRPr="00485ED6">
              <w:rPr>
                <w:sz w:val="24"/>
                <w:szCs w:val="24"/>
              </w:rPr>
              <w:t>IAP00018</w:t>
            </w:r>
          </w:p>
        </w:tc>
      </w:tr>
      <w:tr w:rsidR="00485ED6" w:rsidRPr="00485ED6" w14:paraId="08C170C9" w14:textId="77777777" w:rsidTr="00485ED6">
        <w:tc>
          <w:tcPr>
            <w:tcW w:w="3397" w:type="dxa"/>
          </w:tcPr>
          <w:p w14:paraId="48E7FAD0" w14:textId="77777777" w:rsidR="00485ED6" w:rsidRPr="00485ED6" w:rsidRDefault="00485ED6" w:rsidP="00485ED6">
            <w:pPr>
              <w:rPr>
                <w:b/>
                <w:sz w:val="24"/>
                <w:szCs w:val="24"/>
              </w:rPr>
            </w:pPr>
            <w:r w:rsidRPr="00485ED6">
              <w:rPr>
                <w:sz w:val="24"/>
                <w:szCs w:val="24"/>
              </w:rPr>
              <w:t>Title</w:t>
            </w:r>
          </w:p>
        </w:tc>
        <w:tc>
          <w:tcPr>
            <w:tcW w:w="10632" w:type="dxa"/>
          </w:tcPr>
          <w:p w14:paraId="068DCB6B" w14:textId="77777777" w:rsidR="00485ED6" w:rsidRPr="00485ED6" w:rsidRDefault="00485ED6" w:rsidP="00485ED6">
            <w:pPr>
              <w:rPr>
                <w:sz w:val="24"/>
                <w:szCs w:val="24"/>
              </w:rPr>
            </w:pPr>
            <w:r w:rsidRPr="00485ED6">
              <w:rPr>
                <w:sz w:val="24"/>
                <w:szCs w:val="24"/>
              </w:rPr>
              <w:t>Under 75 Mortality Rate from Respiratory Disease</w:t>
            </w:r>
          </w:p>
        </w:tc>
      </w:tr>
      <w:tr w:rsidR="00485ED6" w:rsidRPr="00485ED6" w14:paraId="2FA4FFC0" w14:textId="77777777" w:rsidTr="00485ED6">
        <w:tc>
          <w:tcPr>
            <w:tcW w:w="3397" w:type="dxa"/>
          </w:tcPr>
          <w:p w14:paraId="0010893E" w14:textId="77777777" w:rsidR="00485ED6" w:rsidRPr="00485ED6" w:rsidRDefault="00485ED6" w:rsidP="00485ED6">
            <w:pPr>
              <w:rPr>
                <w:b/>
                <w:sz w:val="24"/>
                <w:szCs w:val="24"/>
              </w:rPr>
            </w:pPr>
            <w:r w:rsidRPr="00485ED6">
              <w:rPr>
                <w:sz w:val="24"/>
                <w:szCs w:val="24"/>
              </w:rPr>
              <w:t>Published by</w:t>
            </w:r>
          </w:p>
        </w:tc>
        <w:tc>
          <w:tcPr>
            <w:tcW w:w="10632" w:type="dxa"/>
          </w:tcPr>
          <w:p w14:paraId="156DC82C" w14:textId="77777777" w:rsidR="00485ED6" w:rsidRPr="00485ED6" w:rsidRDefault="00485ED6" w:rsidP="00485ED6">
            <w:pPr>
              <w:rPr>
                <w:sz w:val="24"/>
                <w:szCs w:val="24"/>
              </w:rPr>
            </w:pPr>
            <w:r w:rsidRPr="00485ED6">
              <w:rPr>
                <w:sz w:val="24"/>
                <w:szCs w:val="24"/>
              </w:rPr>
              <w:t>Department of Health and Social Care</w:t>
            </w:r>
          </w:p>
        </w:tc>
      </w:tr>
      <w:tr w:rsidR="00485ED6" w:rsidRPr="00485ED6" w14:paraId="735FB8C3" w14:textId="77777777" w:rsidTr="00485ED6">
        <w:tc>
          <w:tcPr>
            <w:tcW w:w="3397" w:type="dxa"/>
          </w:tcPr>
          <w:p w14:paraId="67F43FFC" w14:textId="77777777" w:rsidR="00485ED6" w:rsidRPr="00485ED6" w:rsidRDefault="00485ED6" w:rsidP="00485ED6">
            <w:pPr>
              <w:rPr>
                <w:b/>
                <w:sz w:val="24"/>
                <w:szCs w:val="24"/>
              </w:rPr>
            </w:pPr>
            <w:r w:rsidRPr="00485ED6">
              <w:rPr>
                <w:sz w:val="24"/>
                <w:szCs w:val="24"/>
              </w:rPr>
              <w:t>Reporting period</w:t>
            </w:r>
          </w:p>
        </w:tc>
        <w:tc>
          <w:tcPr>
            <w:tcW w:w="10632" w:type="dxa"/>
          </w:tcPr>
          <w:p w14:paraId="20478901" w14:textId="77777777" w:rsidR="00485ED6" w:rsidRPr="00485ED6" w:rsidRDefault="00485ED6" w:rsidP="00485ED6">
            <w:pPr>
              <w:rPr>
                <w:sz w:val="24"/>
                <w:szCs w:val="24"/>
              </w:rPr>
            </w:pPr>
            <w:r w:rsidRPr="00485ED6">
              <w:rPr>
                <w:sz w:val="24"/>
                <w:szCs w:val="24"/>
              </w:rPr>
              <w:t>Annually</w:t>
            </w:r>
          </w:p>
        </w:tc>
      </w:tr>
      <w:tr w:rsidR="00485ED6" w:rsidRPr="00485ED6" w14:paraId="3F7CB3F5" w14:textId="77777777" w:rsidTr="00485ED6">
        <w:tc>
          <w:tcPr>
            <w:tcW w:w="3397" w:type="dxa"/>
          </w:tcPr>
          <w:p w14:paraId="3A400308" w14:textId="77777777" w:rsidR="00485ED6" w:rsidRPr="00485ED6" w:rsidRDefault="00485ED6" w:rsidP="00485ED6">
            <w:pPr>
              <w:rPr>
                <w:b/>
                <w:sz w:val="24"/>
                <w:szCs w:val="24"/>
              </w:rPr>
            </w:pPr>
            <w:r w:rsidRPr="00485ED6">
              <w:rPr>
                <w:sz w:val="24"/>
                <w:szCs w:val="24"/>
              </w:rPr>
              <w:t>Geographical Coverage</w:t>
            </w:r>
          </w:p>
        </w:tc>
        <w:tc>
          <w:tcPr>
            <w:tcW w:w="10632" w:type="dxa"/>
          </w:tcPr>
          <w:p w14:paraId="44C11CDA" w14:textId="77777777" w:rsidR="00485ED6" w:rsidRPr="00485ED6" w:rsidRDefault="00485ED6" w:rsidP="00485ED6">
            <w:pPr>
              <w:rPr>
                <w:sz w:val="24"/>
                <w:szCs w:val="24"/>
              </w:rPr>
            </w:pPr>
            <w:r w:rsidRPr="00485ED6">
              <w:rPr>
                <w:sz w:val="24"/>
                <w:szCs w:val="24"/>
              </w:rPr>
              <w:t>England</w:t>
            </w:r>
          </w:p>
        </w:tc>
      </w:tr>
      <w:tr w:rsidR="00485ED6" w:rsidRPr="00485ED6" w14:paraId="54F6F0AF" w14:textId="77777777" w:rsidTr="00485ED6">
        <w:tc>
          <w:tcPr>
            <w:tcW w:w="3397" w:type="dxa"/>
          </w:tcPr>
          <w:p w14:paraId="2E1092E6" w14:textId="77777777" w:rsidR="00485ED6" w:rsidRPr="00485ED6" w:rsidRDefault="00485ED6" w:rsidP="00485ED6">
            <w:pPr>
              <w:rPr>
                <w:b/>
                <w:sz w:val="24"/>
                <w:szCs w:val="24"/>
              </w:rPr>
            </w:pPr>
            <w:r w:rsidRPr="00485ED6">
              <w:rPr>
                <w:sz w:val="24"/>
                <w:szCs w:val="24"/>
              </w:rPr>
              <w:t>Reporting level(s)</w:t>
            </w:r>
          </w:p>
        </w:tc>
        <w:tc>
          <w:tcPr>
            <w:tcW w:w="10632" w:type="dxa"/>
          </w:tcPr>
          <w:p w14:paraId="4CE053AD" w14:textId="77777777" w:rsidR="00485ED6" w:rsidRPr="00485ED6" w:rsidRDefault="00485ED6" w:rsidP="00485ED6">
            <w:pPr>
              <w:rPr>
                <w:sz w:val="24"/>
                <w:szCs w:val="24"/>
              </w:rPr>
            </w:pPr>
            <w:r w:rsidRPr="00485ED6">
              <w:rPr>
                <w:sz w:val="24"/>
                <w:szCs w:val="24"/>
              </w:rPr>
              <w:t>National</w:t>
            </w:r>
          </w:p>
        </w:tc>
      </w:tr>
      <w:tr w:rsidR="00485ED6" w:rsidRPr="00485ED6" w14:paraId="14ADE827" w14:textId="77777777" w:rsidTr="00485ED6">
        <w:tc>
          <w:tcPr>
            <w:tcW w:w="3397" w:type="dxa"/>
          </w:tcPr>
          <w:p w14:paraId="207C4570" w14:textId="77777777" w:rsidR="00485ED6" w:rsidRPr="00485ED6" w:rsidRDefault="00485ED6" w:rsidP="00485ED6">
            <w:pPr>
              <w:rPr>
                <w:b/>
                <w:sz w:val="24"/>
                <w:szCs w:val="24"/>
              </w:rPr>
            </w:pPr>
            <w:r w:rsidRPr="00485ED6">
              <w:rPr>
                <w:sz w:val="24"/>
                <w:szCs w:val="24"/>
              </w:rPr>
              <w:t>Based on data from</w:t>
            </w:r>
          </w:p>
        </w:tc>
        <w:tc>
          <w:tcPr>
            <w:tcW w:w="10632" w:type="dxa"/>
          </w:tcPr>
          <w:p w14:paraId="5A80A7B0" w14:textId="77777777" w:rsidR="00485ED6" w:rsidRPr="00485ED6" w:rsidRDefault="00485ED6" w:rsidP="00485ED6">
            <w:pPr>
              <w:rPr>
                <w:sz w:val="24"/>
                <w:szCs w:val="24"/>
              </w:rPr>
            </w:pPr>
            <w:r w:rsidRPr="00485ED6">
              <w:rPr>
                <w:sz w:val="24"/>
                <w:szCs w:val="24"/>
              </w:rPr>
              <w:t>Office for National Statistics</w:t>
            </w:r>
          </w:p>
        </w:tc>
      </w:tr>
      <w:tr w:rsidR="00485ED6" w:rsidRPr="00485ED6" w14:paraId="10BD44C4" w14:textId="77777777" w:rsidTr="00485ED6">
        <w:tc>
          <w:tcPr>
            <w:tcW w:w="3397" w:type="dxa"/>
          </w:tcPr>
          <w:p w14:paraId="6EAFD225" w14:textId="77777777" w:rsidR="00485ED6" w:rsidRPr="00485ED6" w:rsidRDefault="00485ED6" w:rsidP="00485ED6">
            <w:pPr>
              <w:rPr>
                <w:b/>
                <w:sz w:val="24"/>
                <w:szCs w:val="24"/>
              </w:rPr>
            </w:pPr>
            <w:r w:rsidRPr="00485ED6">
              <w:rPr>
                <w:sz w:val="24"/>
                <w:szCs w:val="24"/>
              </w:rPr>
              <w:t>Contact Author Name</w:t>
            </w:r>
          </w:p>
        </w:tc>
        <w:tc>
          <w:tcPr>
            <w:tcW w:w="10632" w:type="dxa"/>
          </w:tcPr>
          <w:p w14:paraId="6A1DB533" w14:textId="77777777" w:rsidR="00485ED6" w:rsidRPr="00485ED6" w:rsidRDefault="00485ED6" w:rsidP="00485ED6">
            <w:pPr>
              <w:rPr>
                <w:sz w:val="24"/>
                <w:szCs w:val="24"/>
              </w:rPr>
            </w:pPr>
            <w:r w:rsidRPr="00485ED6">
              <w:rPr>
                <w:sz w:val="24"/>
                <w:szCs w:val="24"/>
              </w:rPr>
              <w:t>Sunita Shier</w:t>
            </w:r>
          </w:p>
        </w:tc>
      </w:tr>
      <w:tr w:rsidR="00485ED6" w:rsidRPr="00485ED6" w14:paraId="1351770A" w14:textId="77777777" w:rsidTr="00485ED6">
        <w:tc>
          <w:tcPr>
            <w:tcW w:w="3397" w:type="dxa"/>
          </w:tcPr>
          <w:p w14:paraId="4803C182" w14:textId="77777777" w:rsidR="00485ED6" w:rsidRPr="00485ED6" w:rsidRDefault="00485ED6" w:rsidP="00485ED6">
            <w:pPr>
              <w:rPr>
                <w:b/>
                <w:sz w:val="24"/>
                <w:szCs w:val="24"/>
              </w:rPr>
            </w:pPr>
            <w:r w:rsidRPr="00485ED6">
              <w:rPr>
                <w:sz w:val="24"/>
                <w:szCs w:val="24"/>
              </w:rPr>
              <w:t>Contact Author Email</w:t>
            </w:r>
          </w:p>
        </w:tc>
        <w:tc>
          <w:tcPr>
            <w:tcW w:w="10632" w:type="dxa"/>
          </w:tcPr>
          <w:p w14:paraId="53237BCE" w14:textId="77777777" w:rsidR="00485ED6" w:rsidRPr="00485ED6" w:rsidRDefault="00485ED6" w:rsidP="00485ED6">
            <w:pPr>
              <w:rPr>
                <w:sz w:val="24"/>
                <w:szCs w:val="24"/>
              </w:rPr>
            </w:pPr>
            <w:r w:rsidRPr="00485ED6">
              <w:rPr>
                <w:sz w:val="24"/>
                <w:szCs w:val="24"/>
              </w:rPr>
              <w:t>Sunita.shier@dh.gsi.gov.uk</w:t>
            </w:r>
          </w:p>
        </w:tc>
      </w:tr>
      <w:tr w:rsidR="00485ED6" w:rsidRPr="00485ED6" w14:paraId="0376A38D" w14:textId="77777777" w:rsidTr="00485ED6">
        <w:tc>
          <w:tcPr>
            <w:tcW w:w="3397" w:type="dxa"/>
          </w:tcPr>
          <w:p w14:paraId="37506F02" w14:textId="77777777" w:rsidR="00485ED6" w:rsidRPr="00485ED6" w:rsidRDefault="00485ED6" w:rsidP="00485ED6">
            <w:pPr>
              <w:rPr>
                <w:b/>
                <w:sz w:val="24"/>
                <w:szCs w:val="24"/>
              </w:rPr>
            </w:pPr>
            <w:r w:rsidRPr="00485ED6">
              <w:rPr>
                <w:sz w:val="24"/>
                <w:szCs w:val="24"/>
              </w:rPr>
              <w:t>Rating</w:t>
            </w:r>
          </w:p>
        </w:tc>
        <w:tc>
          <w:tcPr>
            <w:tcW w:w="10632" w:type="dxa"/>
          </w:tcPr>
          <w:p w14:paraId="23BF784B" w14:textId="77777777" w:rsidR="00485ED6" w:rsidRPr="00485ED6" w:rsidRDefault="00485ED6" w:rsidP="00485ED6">
            <w:pPr>
              <w:rPr>
                <w:sz w:val="24"/>
                <w:szCs w:val="24"/>
              </w:rPr>
            </w:pPr>
            <w:r w:rsidRPr="00485ED6">
              <w:rPr>
                <w:sz w:val="24"/>
                <w:szCs w:val="24"/>
              </w:rPr>
              <w:t>Assured</w:t>
            </w:r>
          </w:p>
        </w:tc>
      </w:tr>
      <w:tr w:rsidR="00485ED6" w:rsidRPr="00485ED6" w14:paraId="7B8197E0" w14:textId="77777777" w:rsidTr="00485ED6">
        <w:tc>
          <w:tcPr>
            <w:tcW w:w="3397" w:type="dxa"/>
          </w:tcPr>
          <w:p w14:paraId="796D0494" w14:textId="77777777" w:rsidR="00485ED6" w:rsidRPr="00485ED6" w:rsidRDefault="00485ED6" w:rsidP="00485ED6">
            <w:pPr>
              <w:rPr>
                <w:b/>
                <w:sz w:val="24"/>
                <w:szCs w:val="24"/>
              </w:rPr>
            </w:pPr>
            <w:r w:rsidRPr="00485ED6">
              <w:rPr>
                <w:sz w:val="24"/>
                <w:szCs w:val="24"/>
              </w:rPr>
              <w:t>Assurance date</w:t>
            </w:r>
          </w:p>
        </w:tc>
        <w:tc>
          <w:tcPr>
            <w:tcW w:w="10632" w:type="dxa"/>
          </w:tcPr>
          <w:p w14:paraId="66558FFC" w14:textId="77777777" w:rsidR="00485ED6" w:rsidRPr="00485ED6" w:rsidRDefault="00485ED6" w:rsidP="00485ED6">
            <w:pPr>
              <w:rPr>
                <w:sz w:val="24"/>
                <w:szCs w:val="24"/>
              </w:rPr>
            </w:pPr>
            <w:r w:rsidRPr="00485ED6">
              <w:rPr>
                <w:sz w:val="24"/>
                <w:szCs w:val="24"/>
              </w:rPr>
              <w:t>01.05.2011</w:t>
            </w:r>
          </w:p>
        </w:tc>
      </w:tr>
      <w:tr w:rsidR="00485ED6" w:rsidRPr="00485ED6" w14:paraId="67F0798D" w14:textId="77777777" w:rsidTr="00485ED6">
        <w:tc>
          <w:tcPr>
            <w:tcW w:w="3397" w:type="dxa"/>
          </w:tcPr>
          <w:p w14:paraId="35AC6AB4" w14:textId="77777777" w:rsidR="00485ED6" w:rsidRPr="00485ED6" w:rsidRDefault="00485ED6" w:rsidP="00485ED6">
            <w:pPr>
              <w:rPr>
                <w:b/>
                <w:sz w:val="24"/>
                <w:szCs w:val="24"/>
              </w:rPr>
            </w:pPr>
            <w:r w:rsidRPr="00485ED6">
              <w:rPr>
                <w:sz w:val="24"/>
                <w:szCs w:val="24"/>
              </w:rPr>
              <w:t>Review date</w:t>
            </w:r>
          </w:p>
        </w:tc>
        <w:tc>
          <w:tcPr>
            <w:tcW w:w="10632" w:type="dxa"/>
          </w:tcPr>
          <w:p w14:paraId="32865ED2" w14:textId="77777777" w:rsidR="00485ED6" w:rsidRPr="00485ED6" w:rsidRDefault="00485ED6" w:rsidP="00485ED6">
            <w:pPr>
              <w:rPr>
                <w:sz w:val="24"/>
                <w:szCs w:val="24"/>
              </w:rPr>
            </w:pPr>
            <w:r w:rsidRPr="00485ED6">
              <w:rPr>
                <w:sz w:val="24"/>
                <w:szCs w:val="24"/>
              </w:rPr>
              <w:t>01.05.2014</w:t>
            </w:r>
          </w:p>
        </w:tc>
      </w:tr>
      <w:tr w:rsidR="00485ED6" w:rsidRPr="00485ED6" w14:paraId="0996501A" w14:textId="77777777" w:rsidTr="00485ED6">
        <w:tc>
          <w:tcPr>
            <w:tcW w:w="3397" w:type="dxa"/>
          </w:tcPr>
          <w:p w14:paraId="0F73F935" w14:textId="77777777" w:rsidR="00485ED6" w:rsidRPr="00485ED6" w:rsidRDefault="00485ED6" w:rsidP="00485ED6">
            <w:pPr>
              <w:rPr>
                <w:b/>
                <w:sz w:val="24"/>
                <w:szCs w:val="24"/>
              </w:rPr>
            </w:pPr>
            <w:r w:rsidRPr="00485ED6">
              <w:rPr>
                <w:sz w:val="24"/>
                <w:szCs w:val="24"/>
              </w:rPr>
              <w:t>Indicator set</w:t>
            </w:r>
          </w:p>
        </w:tc>
        <w:tc>
          <w:tcPr>
            <w:tcW w:w="10632" w:type="dxa"/>
          </w:tcPr>
          <w:p w14:paraId="6F2C17B4" w14:textId="77777777" w:rsidR="00485ED6" w:rsidRPr="00485ED6" w:rsidRDefault="00485ED6" w:rsidP="00485ED6">
            <w:pPr>
              <w:rPr>
                <w:sz w:val="24"/>
                <w:szCs w:val="24"/>
              </w:rPr>
            </w:pPr>
            <w:r w:rsidRPr="00485ED6">
              <w:rPr>
                <w:sz w:val="24"/>
                <w:szCs w:val="24"/>
              </w:rPr>
              <w:t>NHS Outcomes Framework</w:t>
            </w:r>
          </w:p>
        </w:tc>
      </w:tr>
      <w:tr w:rsidR="00485ED6" w:rsidRPr="00485ED6" w14:paraId="79DF404A" w14:textId="77777777" w:rsidTr="00485ED6">
        <w:tc>
          <w:tcPr>
            <w:tcW w:w="3397" w:type="dxa"/>
          </w:tcPr>
          <w:p w14:paraId="668BA4B9" w14:textId="77777777" w:rsidR="00485ED6" w:rsidRPr="00485ED6" w:rsidRDefault="00485ED6" w:rsidP="00485ED6">
            <w:pPr>
              <w:rPr>
                <w:b/>
                <w:sz w:val="24"/>
                <w:szCs w:val="24"/>
              </w:rPr>
            </w:pPr>
            <w:r w:rsidRPr="00485ED6">
              <w:rPr>
                <w:sz w:val="24"/>
                <w:szCs w:val="24"/>
              </w:rPr>
              <w:t xml:space="preserve">Brief Description </w:t>
            </w:r>
          </w:p>
        </w:tc>
        <w:tc>
          <w:tcPr>
            <w:tcW w:w="10632" w:type="dxa"/>
          </w:tcPr>
          <w:p w14:paraId="163B3EA7" w14:textId="77777777" w:rsidR="00485ED6" w:rsidRPr="00485ED6" w:rsidRDefault="00485ED6" w:rsidP="00485ED6">
            <w:pPr>
              <w:rPr>
                <w:sz w:val="24"/>
                <w:szCs w:val="24"/>
              </w:rPr>
            </w:pPr>
            <w:r w:rsidRPr="00485ED6">
              <w:rPr>
                <w:sz w:val="24"/>
                <w:szCs w:val="24"/>
              </w:rPr>
              <w:t>Age-standardised rate of mortality from respiratory disease in persons less than 75 years per 100,000 population.</w:t>
            </w:r>
          </w:p>
        </w:tc>
      </w:tr>
      <w:tr w:rsidR="00485ED6" w:rsidRPr="00485ED6" w14:paraId="42BE04BA" w14:textId="77777777" w:rsidTr="00485ED6">
        <w:tc>
          <w:tcPr>
            <w:tcW w:w="3397" w:type="dxa"/>
          </w:tcPr>
          <w:p w14:paraId="04B25CDC" w14:textId="77777777" w:rsidR="00485ED6" w:rsidRPr="00485ED6" w:rsidRDefault="00485ED6" w:rsidP="00485ED6">
            <w:pPr>
              <w:rPr>
                <w:b/>
                <w:sz w:val="24"/>
                <w:szCs w:val="24"/>
              </w:rPr>
            </w:pPr>
            <w:r w:rsidRPr="00485ED6">
              <w:rPr>
                <w:sz w:val="24"/>
                <w:szCs w:val="24"/>
              </w:rPr>
              <w:t>Purpose</w:t>
            </w:r>
          </w:p>
        </w:tc>
        <w:tc>
          <w:tcPr>
            <w:tcW w:w="10632" w:type="dxa"/>
          </w:tcPr>
          <w:p w14:paraId="49A10EB5" w14:textId="77777777" w:rsidR="00485ED6" w:rsidRPr="00485ED6" w:rsidRDefault="00485ED6" w:rsidP="00485ED6">
            <w:pPr>
              <w:rPr>
                <w:sz w:val="24"/>
                <w:szCs w:val="24"/>
              </w:rPr>
            </w:pPr>
            <w:r w:rsidRPr="00485ED6">
              <w:rPr>
                <w:sz w:val="24"/>
                <w:szCs w:val="24"/>
              </w:rPr>
              <w:t>The objective of this domain is to capture how successfully the NHS is playing its part in reducing the number of avoidable deaths, recognising that the NHS Commissioning Board can be accountable only for the NHS contribution to this goal. Not all deaths can be prevented through healthcare; indeed, the major impact on reducing mortality will be by preventing people becoming ill in the first place.</w:t>
            </w:r>
          </w:p>
        </w:tc>
      </w:tr>
      <w:tr w:rsidR="00485ED6" w:rsidRPr="00485ED6" w14:paraId="3C20DC2B" w14:textId="77777777" w:rsidTr="00485ED6">
        <w:tc>
          <w:tcPr>
            <w:tcW w:w="3397" w:type="dxa"/>
          </w:tcPr>
          <w:p w14:paraId="0EC83EA5" w14:textId="77777777" w:rsidR="00485ED6" w:rsidRPr="00485ED6" w:rsidRDefault="00485ED6" w:rsidP="00485ED6">
            <w:pPr>
              <w:rPr>
                <w:bCs/>
                <w:sz w:val="24"/>
                <w:szCs w:val="24"/>
              </w:rPr>
            </w:pPr>
            <w:r w:rsidRPr="00485ED6">
              <w:rPr>
                <w:sz w:val="24"/>
                <w:szCs w:val="24"/>
              </w:rPr>
              <w:t>Definition</w:t>
            </w:r>
          </w:p>
        </w:tc>
        <w:tc>
          <w:tcPr>
            <w:tcW w:w="10632" w:type="dxa"/>
          </w:tcPr>
          <w:p w14:paraId="33180913" w14:textId="77777777" w:rsidR="00485ED6" w:rsidRPr="00485ED6" w:rsidRDefault="00485ED6" w:rsidP="00485ED6">
            <w:pPr>
              <w:rPr>
                <w:sz w:val="24"/>
                <w:szCs w:val="24"/>
              </w:rPr>
            </w:pPr>
            <w:r w:rsidRPr="00485ED6">
              <w:rPr>
                <w:sz w:val="24"/>
                <w:szCs w:val="24"/>
              </w:rPr>
              <w:t>Age-standardised rate of mortality from respiratory disease in persons less than 75 years per 100,000 population</w:t>
            </w:r>
          </w:p>
        </w:tc>
      </w:tr>
      <w:tr w:rsidR="00485ED6" w:rsidRPr="00485ED6" w14:paraId="204537B2" w14:textId="77777777" w:rsidTr="00485ED6">
        <w:tc>
          <w:tcPr>
            <w:tcW w:w="3397" w:type="dxa"/>
          </w:tcPr>
          <w:p w14:paraId="53AB3549" w14:textId="77777777" w:rsidR="00485ED6" w:rsidRPr="00485ED6" w:rsidRDefault="00485ED6" w:rsidP="00485ED6">
            <w:pPr>
              <w:rPr>
                <w:b/>
                <w:sz w:val="24"/>
                <w:szCs w:val="24"/>
              </w:rPr>
            </w:pPr>
            <w:r w:rsidRPr="00485ED6">
              <w:rPr>
                <w:sz w:val="24"/>
                <w:szCs w:val="24"/>
              </w:rPr>
              <w:t>Data Source</w:t>
            </w:r>
          </w:p>
        </w:tc>
        <w:tc>
          <w:tcPr>
            <w:tcW w:w="10632" w:type="dxa"/>
          </w:tcPr>
          <w:p w14:paraId="6A281F4A" w14:textId="77777777" w:rsidR="00485ED6" w:rsidRPr="00485ED6" w:rsidRDefault="00485ED6" w:rsidP="00485ED6">
            <w:pPr>
              <w:rPr>
                <w:sz w:val="24"/>
                <w:szCs w:val="24"/>
              </w:rPr>
            </w:pPr>
            <w:r w:rsidRPr="00485ED6">
              <w:rPr>
                <w:sz w:val="24"/>
                <w:szCs w:val="24"/>
              </w:rPr>
              <w:t>Office for National Statistics (ONS). Mortality and population statistics.</w:t>
            </w:r>
          </w:p>
        </w:tc>
      </w:tr>
      <w:tr w:rsidR="00485ED6" w:rsidRPr="00485ED6" w14:paraId="043760F7" w14:textId="77777777" w:rsidTr="00485ED6">
        <w:tc>
          <w:tcPr>
            <w:tcW w:w="3397" w:type="dxa"/>
          </w:tcPr>
          <w:p w14:paraId="1A766B07" w14:textId="77777777" w:rsidR="00485ED6" w:rsidRPr="00485ED6" w:rsidRDefault="00485ED6" w:rsidP="00485ED6">
            <w:pPr>
              <w:rPr>
                <w:b/>
                <w:sz w:val="24"/>
                <w:szCs w:val="24"/>
              </w:rPr>
            </w:pPr>
            <w:r w:rsidRPr="00485ED6">
              <w:rPr>
                <w:sz w:val="24"/>
                <w:szCs w:val="24"/>
              </w:rPr>
              <w:t>Numerator</w:t>
            </w:r>
          </w:p>
        </w:tc>
        <w:tc>
          <w:tcPr>
            <w:tcW w:w="10632" w:type="dxa"/>
          </w:tcPr>
          <w:p w14:paraId="4BF4AA55" w14:textId="77777777" w:rsidR="00485ED6" w:rsidRPr="00485ED6" w:rsidRDefault="00485ED6" w:rsidP="00485ED6">
            <w:pPr>
              <w:rPr>
                <w:sz w:val="24"/>
                <w:szCs w:val="24"/>
              </w:rPr>
            </w:pPr>
            <w:r w:rsidRPr="00485ED6">
              <w:rPr>
                <w:sz w:val="24"/>
              </w:rPr>
              <w:t>Number of deaths under 75 years from respiratory disease</w:t>
            </w:r>
          </w:p>
        </w:tc>
      </w:tr>
      <w:tr w:rsidR="00485ED6" w:rsidRPr="00485ED6" w14:paraId="53042D7F" w14:textId="77777777" w:rsidTr="00485ED6">
        <w:tc>
          <w:tcPr>
            <w:tcW w:w="3397" w:type="dxa"/>
          </w:tcPr>
          <w:p w14:paraId="5B8F8E4A" w14:textId="77777777" w:rsidR="00485ED6" w:rsidRPr="00485ED6" w:rsidRDefault="00485ED6" w:rsidP="00485ED6">
            <w:pPr>
              <w:rPr>
                <w:b/>
                <w:sz w:val="24"/>
                <w:szCs w:val="24"/>
              </w:rPr>
            </w:pPr>
            <w:r w:rsidRPr="00485ED6">
              <w:rPr>
                <w:sz w:val="24"/>
                <w:szCs w:val="24"/>
              </w:rPr>
              <w:t>Denominator</w:t>
            </w:r>
          </w:p>
        </w:tc>
        <w:tc>
          <w:tcPr>
            <w:tcW w:w="10632" w:type="dxa"/>
          </w:tcPr>
          <w:p w14:paraId="2D528D51" w14:textId="77777777" w:rsidR="00485ED6" w:rsidRPr="00485ED6" w:rsidRDefault="00485ED6" w:rsidP="00485ED6">
            <w:pPr>
              <w:rPr>
                <w:sz w:val="24"/>
                <w:szCs w:val="24"/>
              </w:rPr>
            </w:pPr>
            <w:r w:rsidRPr="00485ED6">
              <w:rPr>
                <w:sz w:val="24"/>
                <w:szCs w:val="24"/>
              </w:rPr>
              <w:t>Resident population under 75 years</w:t>
            </w:r>
          </w:p>
        </w:tc>
      </w:tr>
      <w:tr w:rsidR="00485ED6" w:rsidRPr="00485ED6" w14:paraId="61C5FAE6" w14:textId="77777777" w:rsidTr="00485ED6">
        <w:tc>
          <w:tcPr>
            <w:tcW w:w="3397" w:type="dxa"/>
          </w:tcPr>
          <w:p w14:paraId="62524F81" w14:textId="77777777" w:rsidR="00485ED6" w:rsidRPr="00485ED6" w:rsidRDefault="00485ED6" w:rsidP="00485ED6">
            <w:pPr>
              <w:rPr>
                <w:sz w:val="24"/>
                <w:szCs w:val="24"/>
              </w:rPr>
            </w:pPr>
            <w:r w:rsidRPr="00485ED6">
              <w:rPr>
                <w:sz w:val="24"/>
                <w:szCs w:val="24"/>
              </w:rPr>
              <w:t>Calculation</w:t>
            </w:r>
          </w:p>
        </w:tc>
        <w:tc>
          <w:tcPr>
            <w:tcW w:w="10632" w:type="dxa"/>
          </w:tcPr>
          <w:p w14:paraId="0AC0F70F" w14:textId="77777777" w:rsidR="00485ED6" w:rsidRPr="00485ED6" w:rsidRDefault="00485ED6" w:rsidP="00485ED6">
            <w:pPr>
              <w:rPr>
                <w:b/>
                <w:sz w:val="24"/>
              </w:rPr>
            </w:pPr>
            <w:r w:rsidRPr="00485ED6">
              <w:rPr>
                <w:b/>
                <w:sz w:val="24"/>
              </w:rPr>
              <w:t>Directly age-standardised rates.</w:t>
            </w:r>
          </w:p>
          <w:p w14:paraId="27D2C335" w14:textId="77777777" w:rsidR="00485ED6" w:rsidRPr="00485ED6" w:rsidRDefault="00485ED6" w:rsidP="00485ED6">
            <w:pPr>
              <w:rPr>
                <w:sz w:val="24"/>
              </w:rPr>
            </w:pPr>
          </w:p>
          <w:p w14:paraId="5B978A0A" w14:textId="77777777" w:rsidR="00485ED6" w:rsidRPr="00485ED6" w:rsidRDefault="00485ED6" w:rsidP="00485ED6">
            <w:pPr>
              <w:rPr>
                <w:sz w:val="24"/>
              </w:rPr>
            </w:pPr>
            <w:r w:rsidRPr="00485ED6">
              <w:rPr>
                <w:sz w:val="24"/>
              </w:rPr>
              <w:t>The directly age-standardised rate is the rate of events that would occur in a standard population if that population were to experience the age-specific rates of the subject population. Explicitly:</w:t>
            </w:r>
          </w:p>
          <w:p w14:paraId="5F978DE7" w14:textId="77777777" w:rsidR="00485ED6" w:rsidRPr="00485ED6" w:rsidRDefault="00485ED6" w:rsidP="00485ED6">
            <w:pPr>
              <w:rPr>
                <w:sz w:val="24"/>
              </w:rPr>
            </w:pPr>
          </w:p>
          <w:p w14:paraId="542BC2D0" w14:textId="03835036" w:rsidR="00485ED6" w:rsidRPr="00485ED6" w:rsidRDefault="00485ED6" w:rsidP="00485ED6">
            <w:pPr>
              <w:ind w:firstLine="720"/>
              <w:rPr>
                <w:sz w:val="24"/>
              </w:rPr>
            </w:pPr>
            <m:oMath>
              <m:r>
                <w:rPr>
                  <w:rFonts w:ascii="Cambria Math" w:hAnsi="Cambria Math"/>
                </w:rPr>
                <m:t>DSR=</m:t>
              </m:r>
              <m:f>
                <m:fPr>
                  <m:ctrlPr>
                    <w:rPr>
                      <w:rFonts w:ascii="Cambria Math" w:hAnsi="Cambria Math"/>
                      <w:i/>
                    </w:rPr>
                  </m:ctrlPr>
                </m:fPr>
                <m:num>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r</m:t>
                          </m:r>
                        </m:e>
                        <m:sub>
                          <m:r>
                            <w:rPr>
                              <w:rFonts w:ascii="Cambria Math" w:hAnsi="Cambria Math"/>
                            </w:rPr>
                            <m:t>i</m:t>
                          </m:r>
                        </m:sub>
                      </m:sSub>
                    </m:e>
                  </m:nary>
                </m:num>
                <m:den>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r>
                <w:rPr>
                  <w:rFonts w:ascii="Cambria Math" w:hAnsi="Cambria Math"/>
                </w:rPr>
                <m:t>×100,000</m:t>
              </m:r>
            </m:oMath>
            <w:r w:rsidRPr="00485ED6">
              <w:rPr>
                <w:sz w:val="24"/>
              </w:rPr>
              <w:t xml:space="preserve">  (expressed per 100,000 population)</w:t>
            </w:r>
          </w:p>
          <w:p w14:paraId="2DDD94FB" w14:textId="77777777" w:rsidR="00485ED6" w:rsidRPr="00485ED6" w:rsidRDefault="00485ED6" w:rsidP="00485ED6">
            <w:pPr>
              <w:rPr>
                <w:sz w:val="24"/>
              </w:rPr>
            </w:pPr>
          </w:p>
          <w:p w14:paraId="28A93ED9" w14:textId="77777777" w:rsidR="00485ED6" w:rsidRPr="00485ED6" w:rsidRDefault="00485ED6" w:rsidP="00485ED6">
            <w:pPr>
              <w:rPr>
                <w:sz w:val="24"/>
              </w:rPr>
            </w:pPr>
            <w:r w:rsidRPr="00485ED6">
              <w:rPr>
                <w:sz w:val="24"/>
              </w:rPr>
              <w:t>where:</w:t>
            </w:r>
          </w:p>
          <w:p w14:paraId="7FDCC041" w14:textId="77777777" w:rsidR="00485ED6" w:rsidRPr="00485ED6" w:rsidRDefault="00485ED6" w:rsidP="00485ED6">
            <w:pPr>
              <w:rPr>
                <w:sz w:val="24"/>
              </w:rPr>
            </w:pPr>
            <w:proofErr w:type="spellStart"/>
            <w:r w:rsidRPr="00485ED6">
              <w:rPr>
                <w:i/>
                <w:sz w:val="24"/>
              </w:rPr>
              <w:t>w</w:t>
            </w:r>
            <w:r w:rsidRPr="00485ED6">
              <w:rPr>
                <w:i/>
                <w:sz w:val="24"/>
                <w:vertAlign w:val="subscript"/>
              </w:rPr>
              <w:t>i</w:t>
            </w:r>
            <w:proofErr w:type="spellEnd"/>
            <w:r w:rsidRPr="00485ED6">
              <w:rPr>
                <w:i/>
                <w:sz w:val="24"/>
              </w:rPr>
              <w:t xml:space="preserve"> </w:t>
            </w:r>
            <w:r w:rsidRPr="00485ED6">
              <w:rPr>
                <w:sz w:val="24"/>
              </w:rPr>
              <w:t xml:space="preserve">is the number, or proportion, of individuals in the standard population in age group </w:t>
            </w:r>
            <w:proofErr w:type="spellStart"/>
            <w:r w:rsidRPr="00485ED6">
              <w:rPr>
                <w:i/>
                <w:sz w:val="24"/>
              </w:rPr>
              <w:t>i</w:t>
            </w:r>
            <w:proofErr w:type="spellEnd"/>
            <w:r w:rsidRPr="00485ED6">
              <w:rPr>
                <w:sz w:val="24"/>
              </w:rPr>
              <w:t>.</w:t>
            </w:r>
          </w:p>
          <w:p w14:paraId="52C86B02" w14:textId="77777777" w:rsidR="00485ED6" w:rsidRPr="00485ED6" w:rsidRDefault="00485ED6" w:rsidP="00485ED6">
            <w:pPr>
              <w:rPr>
                <w:sz w:val="24"/>
              </w:rPr>
            </w:pPr>
            <w:proofErr w:type="spellStart"/>
            <w:r w:rsidRPr="00485ED6">
              <w:rPr>
                <w:i/>
                <w:sz w:val="24"/>
              </w:rPr>
              <w:t>r</w:t>
            </w:r>
            <w:r w:rsidRPr="00485ED6">
              <w:rPr>
                <w:i/>
                <w:sz w:val="24"/>
                <w:vertAlign w:val="subscript"/>
              </w:rPr>
              <w:t>i</w:t>
            </w:r>
            <w:proofErr w:type="spellEnd"/>
            <w:r w:rsidRPr="00485ED6">
              <w:rPr>
                <w:sz w:val="24"/>
              </w:rPr>
              <w:t xml:space="preserve"> is the crude age-specific rate in the subject population in age group </w:t>
            </w:r>
            <w:proofErr w:type="spellStart"/>
            <w:r w:rsidRPr="00485ED6">
              <w:rPr>
                <w:i/>
                <w:sz w:val="24"/>
              </w:rPr>
              <w:t>i</w:t>
            </w:r>
            <w:proofErr w:type="spellEnd"/>
            <w:r w:rsidRPr="00485ED6">
              <w:rPr>
                <w:sz w:val="24"/>
              </w:rPr>
              <w:t>, given by:</w:t>
            </w:r>
          </w:p>
          <w:p w14:paraId="6DBE0D0E" w14:textId="77777777" w:rsidR="00485ED6" w:rsidRPr="00485ED6" w:rsidRDefault="00485ED6" w:rsidP="00485ED6">
            <w:pPr>
              <w:rPr>
                <w:sz w:val="24"/>
              </w:rPr>
            </w:pPr>
          </w:p>
          <w:p w14:paraId="2F07D06B" w14:textId="111E0E5A" w:rsidR="00485ED6" w:rsidRPr="00485ED6" w:rsidRDefault="00704996" w:rsidP="00485ED6">
            <w:pPr>
              <w:ind w:firstLine="720"/>
              <w:rPr>
                <w:sz w:val="24"/>
              </w:rPr>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O</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oMath>
            </m:oMathPara>
          </w:p>
          <w:p w14:paraId="59D355F0" w14:textId="77777777" w:rsidR="00485ED6" w:rsidRPr="00485ED6" w:rsidRDefault="00485ED6" w:rsidP="00485ED6">
            <w:pPr>
              <w:rPr>
                <w:sz w:val="24"/>
              </w:rPr>
            </w:pPr>
          </w:p>
          <w:p w14:paraId="1B94B374" w14:textId="77777777" w:rsidR="00485ED6" w:rsidRPr="00485ED6" w:rsidRDefault="00485ED6" w:rsidP="00485ED6">
            <w:pPr>
              <w:rPr>
                <w:sz w:val="24"/>
              </w:rPr>
            </w:pPr>
            <w:r w:rsidRPr="00485ED6">
              <w:rPr>
                <w:sz w:val="24"/>
              </w:rPr>
              <w:t>where:</w:t>
            </w:r>
          </w:p>
          <w:p w14:paraId="32B525C2" w14:textId="77777777" w:rsidR="00485ED6" w:rsidRPr="00485ED6" w:rsidRDefault="00485ED6" w:rsidP="00485ED6">
            <w:pPr>
              <w:rPr>
                <w:sz w:val="24"/>
              </w:rPr>
            </w:pPr>
            <w:r w:rsidRPr="00485ED6">
              <w:rPr>
                <w:i/>
                <w:sz w:val="24"/>
              </w:rPr>
              <w:t>O</w:t>
            </w:r>
            <w:r w:rsidRPr="00485ED6">
              <w:rPr>
                <w:i/>
                <w:sz w:val="24"/>
                <w:vertAlign w:val="subscript"/>
              </w:rPr>
              <w:t>i</w:t>
            </w:r>
            <w:r w:rsidRPr="00485ED6">
              <w:rPr>
                <w:sz w:val="24"/>
              </w:rPr>
              <w:t xml:space="preserve"> is the observed number of events in the subject population in age group </w:t>
            </w:r>
            <w:proofErr w:type="spellStart"/>
            <w:r w:rsidRPr="00485ED6">
              <w:rPr>
                <w:i/>
                <w:sz w:val="24"/>
              </w:rPr>
              <w:t>i</w:t>
            </w:r>
            <w:proofErr w:type="spellEnd"/>
            <w:r w:rsidRPr="00485ED6">
              <w:rPr>
                <w:sz w:val="24"/>
              </w:rPr>
              <w:t>.</w:t>
            </w:r>
          </w:p>
          <w:p w14:paraId="6A765B4A" w14:textId="77777777" w:rsidR="00485ED6" w:rsidRPr="00485ED6" w:rsidRDefault="00485ED6" w:rsidP="00485ED6">
            <w:pPr>
              <w:rPr>
                <w:sz w:val="24"/>
              </w:rPr>
            </w:pPr>
            <w:proofErr w:type="spellStart"/>
            <w:r w:rsidRPr="00485ED6">
              <w:rPr>
                <w:i/>
                <w:sz w:val="24"/>
              </w:rPr>
              <w:t>n</w:t>
            </w:r>
            <w:r w:rsidRPr="00485ED6">
              <w:rPr>
                <w:i/>
                <w:sz w:val="24"/>
                <w:vertAlign w:val="subscript"/>
              </w:rPr>
              <w:t>i</w:t>
            </w:r>
            <w:proofErr w:type="spellEnd"/>
            <w:r w:rsidRPr="00485ED6">
              <w:rPr>
                <w:sz w:val="24"/>
              </w:rPr>
              <w:t xml:space="preserve"> is the number of individuals in the subject population in age group </w:t>
            </w:r>
            <w:proofErr w:type="spellStart"/>
            <w:r w:rsidRPr="00485ED6">
              <w:rPr>
                <w:i/>
                <w:sz w:val="24"/>
              </w:rPr>
              <w:t>i</w:t>
            </w:r>
            <w:proofErr w:type="spellEnd"/>
            <w:r w:rsidRPr="00485ED6">
              <w:rPr>
                <w:sz w:val="24"/>
              </w:rPr>
              <w:t>.</w:t>
            </w:r>
          </w:p>
          <w:p w14:paraId="59992197" w14:textId="77777777" w:rsidR="00485ED6" w:rsidRPr="00485ED6" w:rsidRDefault="00485ED6" w:rsidP="00485ED6">
            <w:pPr>
              <w:rPr>
                <w:sz w:val="24"/>
                <w:szCs w:val="24"/>
              </w:rPr>
            </w:pPr>
          </w:p>
          <w:p w14:paraId="62AA736C" w14:textId="77777777" w:rsidR="00485ED6" w:rsidRPr="00485ED6" w:rsidRDefault="00485ED6" w:rsidP="00485ED6">
            <w:pPr>
              <w:pStyle w:val="Heading3"/>
              <w:numPr>
                <w:ilvl w:val="0"/>
                <w:numId w:val="0"/>
              </w:numPr>
              <w:tabs>
                <w:tab w:val="clear" w:pos="2553"/>
                <w:tab w:val="left" w:pos="0"/>
              </w:tabs>
              <w:rPr>
                <w:rFonts w:cs="Arial"/>
                <w:sz w:val="24"/>
              </w:rPr>
            </w:pPr>
            <w:bookmarkStart w:id="2" w:name="_Toc259641928"/>
            <w:r w:rsidRPr="00485ED6">
              <w:rPr>
                <w:rFonts w:cs="Arial"/>
                <w:sz w:val="24"/>
              </w:rPr>
              <w:t>Confidence intervals for directly standardised rates</w:t>
            </w:r>
            <w:bookmarkEnd w:id="2"/>
          </w:p>
          <w:p w14:paraId="401AE0B5" w14:textId="77777777" w:rsidR="00485ED6" w:rsidRPr="00485ED6" w:rsidRDefault="00485ED6" w:rsidP="00485ED6">
            <w:pPr>
              <w:tabs>
                <w:tab w:val="left" w:pos="567"/>
              </w:tabs>
              <w:rPr>
                <w:sz w:val="20"/>
              </w:rPr>
            </w:pPr>
          </w:p>
          <w:p w14:paraId="622B5DDD" w14:textId="77777777" w:rsidR="00485ED6" w:rsidRPr="00485ED6" w:rsidRDefault="00485ED6" w:rsidP="00485ED6">
            <w:pPr>
              <w:tabs>
                <w:tab w:val="left" w:pos="567"/>
              </w:tabs>
              <w:rPr>
                <w:sz w:val="24"/>
              </w:rPr>
            </w:pPr>
            <w:r w:rsidRPr="00485ED6">
              <w:rPr>
                <w:sz w:val="24"/>
              </w:rPr>
              <w:t>95% confidence intervals for the age-standardised rates were calculated using a normal approximation. Standard errors are obtained using the method described by Breslow and Day,</w:t>
            </w:r>
            <w:r w:rsidRPr="00485ED6">
              <w:rPr>
                <w:sz w:val="24"/>
              </w:rPr>
              <w:endnoteReference w:id="1"/>
            </w:r>
            <w:r w:rsidRPr="00485ED6">
              <w:rPr>
                <w:sz w:val="24"/>
              </w:rPr>
              <w:t xml:space="preserve"> but modified to use the binomial variance for a proportion to estimate the variances of the crude age-specific rates.</w:t>
            </w:r>
            <w:r w:rsidRPr="00485ED6">
              <w:rPr>
                <w:sz w:val="24"/>
              </w:rPr>
              <w:endnoteReference w:id="2"/>
            </w:r>
            <w:r w:rsidRPr="00485ED6">
              <w:rPr>
                <w:sz w:val="24"/>
              </w:rPr>
              <w:t xml:space="preserve"> This method is likely to be unreliable when there are fewer than 50 cases in an area, hence confidence intervals for rates based on less than 50 cases should be viewed with caution. The lower and upper limits for the rates are denoted by DSR</w:t>
            </w:r>
            <w:r w:rsidRPr="00485ED6">
              <w:rPr>
                <w:sz w:val="24"/>
                <w:vertAlign w:val="subscript"/>
              </w:rPr>
              <w:t>LL</w:t>
            </w:r>
            <w:r w:rsidRPr="00485ED6">
              <w:rPr>
                <w:sz w:val="24"/>
              </w:rPr>
              <w:t xml:space="preserve"> and DSR</w:t>
            </w:r>
            <w:r w:rsidRPr="00485ED6">
              <w:rPr>
                <w:sz w:val="24"/>
                <w:vertAlign w:val="subscript"/>
              </w:rPr>
              <w:t>UL</w:t>
            </w:r>
            <w:r w:rsidRPr="00485ED6">
              <w:rPr>
                <w:sz w:val="24"/>
              </w:rPr>
              <w:t xml:space="preserve"> respectively.</w:t>
            </w:r>
          </w:p>
          <w:p w14:paraId="34BCC685" w14:textId="77777777" w:rsidR="00485ED6" w:rsidRPr="00485ED6" w:rsidRDefault="00485ED6" w:rsidP="00485ED6">
            <w:pPr>
              <w:tabs>
                <w:tab w:val="left" w:pos="0"/>
              </w:tabs>
              <w:rPr>
                <w:sz w:val="24"/>
              </w:rPr>
            </w:pPr>
          </w:p>
          <w:p w14:paraId="4918B0FC" w14:textId="07084405" w:rsidR="00485ED6" w:rsidRPr="00485ED6" w:rsidRDefault="00485ED6" w:rsidP="00485ED6">
            <w:pPr>
              <w:tabs>
                <w:tab w:val="left" w:pos="0"/>
              </w:tabs>
              <w:rPr>
                <w:sz w:val="24"/>
              </w:rPr>
            </w:pPr>
            <w:r w:rsidRPr="00485ED6">
              <w:rPr>
                <w:sz w:val="24"/>
              </w:rPr>
              <w:tab/>
            </w:r>
            <m:oMath>
              <m:r>
                <w:rPr>
                  <w:rFonts w:ascii="Cambria Math" w:hAnsi="Cambria Math"/>
                </w:rPr>
                <m:t>DS</m:t>
              </m:r>
              <m:sSub>
                <m:sSubPr>
                  <m:ctrlPr>
                    <w:rPr>
                      <w:rFonts w:ascii="Cambria Math" w:hAnsi="Cambria Math"/>
                      <w:i/>
                    </w:rPr>
                  </m:ctrlPr>
                </m:sSubPr>
                <m:e>
                  <m:r>
                    <w:rPr>
                      <w:rFonts w:ascii="Cambria Math" w:hAnsi="Cambria Math"/>
                    </w:rPr>
                    <m:t>R</m:t>
                  </m:r>
                </m:e>
                <m:sub>
                  <m:r>
                    <w:rPr>
                      <w:rFonts w:ascii="Cambria Math" w:hAnsi="Cambria Math"/>
                    </w:rPr>
                    <m:t>LL/UL</m:t>
                  </m:r>
                </m:sub>
              </m:sSub>
              <m:r>
                <w:rPr>
                  <w:rFonts w:ascii="Cambria Math" w:hAnsi="Cambria Math"/>
                </w:rPr>
                <m:t>=DSR±1.96×100,000×</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nary>
                                <m:naryPr>
                                  <m:chr m:val="∑"/>
                                  <m:supHide m:val="1"/>
                                  <m:ctrlPr>
                                    <w:rPr>
                                      <w:rFonts w:ascii="Cambria Math" w:hAnsi="Cambria Math"/>
                                      <w:i/>
                                    </w:rPr>
                                  </m:ctrlPr>
                                </m:naryPr>
                                <m:sub>
                                  <m:r>
                                    <w:rPr>
                                      <w:rFonts w:ascii="Cambria Math" w:hAnsi="Cambria Math"/>
                                    </w:rPr>
                                    <m:t>ij</m:t>
                                  </m: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e>
                          </m:d>
                        </m:e>
                        <m:sup>
                          <m:r>
                            <w:rPr>
                              <w:rFonts w:ascii="Cambria Math" w:hAnsi="Cambria Math"/>
                            </w:rPr>
                            <m:t>2</m:t>
                          </m:r>
                        </m:sup>
                      </m:sSup>
                    </m:den>
                  </m:f>
                  <m:r>
                    <w:rPr>
                      <w:rFonts w:ascii="Cambria Math" w:hAnsi="Cambria Math"/>
                    </w:rPr>
                    <m:t>×</m:t>
                  </m:r>
                  <m:nary>
                    <m:naryPr>
                      <m:chr m:val="∑"/>
                      <m:supHide m:val="1"/>
                      <m:ctrlPr>
                        <w:rPr>
                          <w:rFonts w:ascii="Cambria Math" w:hAnsi="Cambria Math"/>
                          <w:i/>
                        </w:rPr>
                      </m:ctrlPr>
                    </m:naryPr>
                    <m:sub>
                      <m:r>
                        <w:rPr>
                          <w:rFonts w:ascii="Cambria Math" w:hAnsi="Cambria Math"/>
                        </w:rPr>
                        <m:t>ij</m:t>
                      </m:r>
                    </m:sub>
                    <m:sup/>
                    <m:e>
                      <m:f>
                        <m:fPr>
                          <m:ctrlPr>
                            <w:rPr>
                              <w:rFonts w:ascii="Cambria Math" w:hAnsi="Cambria Math"/>
                              <w:i/>
                            </w:rPr>
                          </m:ctrlPr>
                        </m:fPr>
                        <m:num>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ij</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ij</m:t>
                                  </m:r>
                                </m:sub>
                              </m:sSub>
                            </m:e>
                          </m:d>
                        </m:num>
                        <m:den>
                          <m:sSub>
                            <m:sSubPr>
                              <m:ctrlPr>
                                <w:rPr>
                                  <w:rFonts w:ascii="Cambria Math" w:hAnsi="Cambria Math"/>
                                  <w:i/>
                                </w:rPr>
                              </m:ctrlPr>
                            </m:sSubPr>
                            <m:e>
                              <m:r>
                                <w:rPr>
                                  <w:rFonts w:ascii="Cambria Math" w:hAnsi="Cambria Math"/>
                                </w:rPr>
                                <m:t>n</m:t>
                              </m:r>
                            </m:e>
                            <m:sub>
                              <m:r>
                                <w:rPr>
                                  <w:rFonts w:ascii="Cambria Math" w:hAnsi="Cambria Math"/>
                                </w:rPr>
                                <m:t>ij</m:t>
                              </m:r>
                            </m:sub>
                          </m:sSub>
                        </m:den>
                      </m:f>
                    </m:e>
                  </m:nary>
                </m:e>
              </m:rad>
            </m:oMath>
            <w:r w:rsidRPr="00485ED6">
              <w:rPr>
                <w:sz w:val="24"/>
              </w:rPr>
              <w:t xml:space="preserve"> </w:t>
            </w:r>
          </w:p>
          <w:p w14:paraId="534A9720" w14:textId="77777777" w:rsidR="00485ED6" w:rsidRPr="00485ED6" w:rsidRDefault="00485ED6" w:rsidP="00485ED6">
            <w:pPr>
              <w:tabs>
                <w:tab w:val="left" w:pos="0"/>
              </w:tabs>
              <w:rPr>
                <w:sz w:val="24"/>
              </w:rPr>
            </w:pPr>
            <w:r w:rsidRPr="00485ED6">
              <w:rPr>
                <w:sz w:val="24"/>
              </w:rPr>
              <w:tab/>
              <w:t>(expressed per 100,000 population)</w:t>
            </w:r>
          </w:p>
          <w:p w14:paraId="6F948FD2" w14:textId="77777777" w:rsidR="00485ED6" w:rsidRPr="00485ED6" w:rsidRDefault="00485ED6" w:rsidP="00485ED6">
            <w:pPr>
              <w:tabs>
                <w:tab w:val="left" w:pos="2552"/>
              </w:tabs>
              <w:rPr>
                <w:sz w:val="24"/>
              </w:rPr>
            </w:pPr>
          </w:p>
          <w:p w14:paraId="315E6C64" w14:textId="77777777" w:rsidR="00485ED6" w:rsidRPr="00485ED6" w:rsidRDefault="00485ED6" w:rsidP="00485ED6">
            <w:pPr>
              <w:tabs>
                <w:tab w:val="left" w:pos="0"/>
              </w:tabs>
              <w:rPr>
                <w:sz w:val="24"/>
              </w:rPr>
            </w:pPr>
            <w:r w:rsidRPr="00485ED6">
              <w:rPr>
                <w:sz w:val="24"/>
              </w:rPr>
              <w:t>where:</w:t>
            </w:r>
          </w:p>
          <w:p w14:paraId="0E7110F9" w14:textId="77777777" w:rsidR="00485ED6" w:rsidRPr="00485ED6" w:rsidRDefault="00485ED6" w:rsidP="00485ED6">
            <w:pPr>
              <w:tabs>
                <w:tab w:val="left" w:pos="2552"/>
              </w:tabs>
              <w:rPr>
                <w:i/>
                <w:sz w:val="24"/>
              </w:rPr>
            </w:pPr>
            <w:proofErr w:type="spellStart"/>
            <w:r w:rsidRPr="00485ED6">
              <w:rPr>
                <w:i/>
                <w:sz w:val="24"/>
              </w:rPr>
              <w:t>w</w:t>
            </w:r>
            <w:r w:rsidRPr="00485ED6">
              <w:rPr>
                <w:i/>
                <w:sz w:val="24"/>
                <w:vertAlign w:val="subscript"/>
              </w:rPr>
              <w:t>i</w:t>
            </w:r>
            <w:proofErr w:type="spellEnd"/>
            <w:r w:rsidRPr="00485ED6">
              <w:rPr>
                <w:sz w:val="24"/>
              </w:rPr>
              <w:t xml:space="preserve"> is the number, or proportion, of individuals in the standard population in age group </w:t>
            </w:r>
            <w:proofErr w:type="spellStart"/>
            <w:r w:rsidRPr="00485ED6">
              <w:rPr>
                <w:i/>
                <w:sz w:val="24"/>
              </w:rPr>
              <w:t>i</w:t>
            </w:r>
            <w:proofErr w:type="spellEnd"/>
            <w:r w:rsidRPr="00485ED6">
              <w:rPr>
                <w:sz w:val="24"/>
              </w:rPr>
              <w:t>.</w:t>
            </w:r>
          </w:p>
          <w:p w14:paraId="22A4CF5D" w14:textId="77777777" w:rsidR="00485ED6" w:rsidRPr="00485ED6" w:rsidRDefault="00485ED6" w:rsidP="00485ED6">
            <w:pPr>
              <w:tabs>
                <w:tab w:val="left" w:pos="2552"/>
              </w:tabs>
              <w:rPr>
                <w:sz w:val="24"/>
              </w:rPr>
            </w:pPr>
            <w:proofErr w:type="spellStart"/>
            <w:r w:rsidRPr="00485ED6">
              <w:rPr>
                <w:i/>
                <w:sz w:val="24"/>
              </w:rPr>
              <w:lastRenderedPageBreak/>
              <w:t>r</w:t>
            </w:r>
            <w:r w:rsidRPr="00485ED6">
              <w:rPr>
                <w:i/>
                <w:sz w:val="24"/>
                <w:vertAlign w:val="subscript"/>
              </w:rPr>
              <w:t>ij</w:t>
            </w:r>
            <w:proofErr w:type="spellEnd"/>
            <w:r w:rsidRPr="00485ED6">
              <w:rPr>
                <w:sz w:val="24"/>
              </w:rPr>
              <w:t xml:space="preserve"> is the crude age-specific rate in the subject population in age group </w:t>
            </w:r>
            <w:proofErr w:type="spellStart"/>
            <w:r w:rsidRPr="00485ED6">
              <w:rPr>
                <w:sz w:val="24"/>
              </w:rPr>
              <w:t>i</w:t>
            </w:r>
            <w:proofErr w:type="spellEnd"/>
            <w:r w:rsidRPr="00485ED6">
              <w:rPr>
                <w:sz w:val="24"/>
              </w:rPr>
              <w:t>, in year</w:t>
            </w:r>
            <w:r w:rsidRPr="00485ED6">
              <w:rPr>
                <w:i/>
                <w:sz w:val="24"/>
              </w:rPr>
              <w:t xml:space="preserve"> j</w:t>
            </w:r>
            <w:r w:rsidRPr="00485ED6">
              <w:rPr>
                <w:sz w:val="24"/>
              </w:rPr>
              <w:t>.</w:t>
            </w:r>
          </w:p>
          <w:p w14:paraId="27B3F163" w14:textId="77777777" w:rsidR="00485ED6" w:rsidRPr="00485ED6" w:rsidRDefault="00485ED6" w:rsidP="00485ED6">
            <w:pPr>
              <w:rPr>
                <w:sz w:val="24"/>
              </w:rPr>
            </w:pPr>
            <w:proofErr w:type="spellStart"/>
            <w:r w:rsidRPr="00485ED6">
              <w:rPr>
                <w:i/>
                <w:sz w:val="24"/>
              </w:rPr>
              <w:t>n</w:t>
            </w:r>
            <w:r w:rsidRPr="00485ED6">
              <w:rPr>
                <w:i/>
                <w:sz w:val="24"/>
                <w:vertAlign w:val="subscript"/>
              </w:rPr>
              <w:t>ij</w:t>
            </w:r>
            <w:proofErr w:type="spellEnd"/>
            <w:r w:rsidRPr="00485ED6">
              <w:rPr>
                <w:sz w:val="24"/>
              </w:rPr>
              <w:t xml:space="preserve"> is the number of individuals in the subject population in age group </w:t>
            </w:r>
            <w:proofErr w:type="spellStart"/>
            <w:r w:rsidRPr="00485ED6">
              <w:rPr>
                <w:sz w:val="24"/>
              </w:rPr>
              <w:t>i</w:t>
            </w:r>
            <w:proofErr w:type="spellEnd"/>
            <w:r w:rsidRPr="00485ED6">
              <w:rPr>
                <w:sz w:val="24"/>
              </w:rPr>
              <w:t>, in year</w:t>
            </w:r>
            <w:r w:rsidRPr="00485ED6">
              <w:rPr>
                <w:i/>
                <w:sz w:val="24"/>
              </w:rPr>
              <w:t xml:space="preserve"> j</w:t>
            </w:r>
            <w:r w:rsidRPr="00485ED6">
              <w:rPr>
                <w:sz w:val="24"/>
              </w:rPr>
              <w:t>.</w:t>
            </w:r>
          </w:p>
          <w:p w14:paraId="3D402B32" w14:textId="77777777" w:rsidR="00485ED6" w:rsidRPr="00485ED6" w:rsidRDefault="00485ED6" w:rsidP="00485ED6">
            <w:pPr>
              <w:rPr>
                <w:sz w:val="24"/>
                <w:szCs w:val="24"/>
              </w:rPr>
            </w:pPr>
          </w:p>
        </w:tc>
      </w:tr>
      <w:tr w:rsidR="00485ED6" w:rsidRPr="00485ED6" w14:paraId="3557212B" w14:textId="77777777" w:rsidTr="00485ED6">
        <w:tc>
          <w:tcPr>
            <w:tcW w:w="3397" w:type="dxa"/>
          </w:tcPr>
          <w:p w14:paraId="03372C50" w14:textId="77777777" w:rsidR="00485ED6" w:rsidRPr="00485ED6" w:rsidRDefault="00485ED6" w:rsidP="00485ED6">
            <w:pPr>
              <w:rPr>
                <w:b/>
                <w:sz w:val="24"/>
                <w:szCs w:val="24"/>
              </w:rPr>
            </w:pPr>
            <w:r w:rsidRPr="00485ED6">
              <w:rPr>
                <w:sz w:val="24"/>
                <w:szCs w:val="24"/>
              </w:rPr>
              <w:lastRenderedPageBreak/>
              <w:t>Interpretation Guidelines</w:t>
            </w:r>
          </w:p>
        </w:tc>
        <w:tc>
          <w:tcPr>
            <w:tcW w:w="10632" w:type="dxa"/>
          </w:tcPr>
          <w:p w14:paraId="76ABBBF8" w14:textId="77777777" w:rsidR="00485ED6" w:rsidRPr="00485ED6" w:rsidRDefault="00485ED6" w:rsidP="00485ED6">
            <w:pPr>
              <w:rPr>
                <w:sz w:val="24"/>
                <w:szCs w:val="24"/>
              </w:rPr>
            </w:pPr>
            <w:r w:rsidRPr="00485ED6">
              <w:rPr>
                <w:sz w:val="24"/>
                <w:szCs w:val="24"/>
              </w:rPr>
              <w:t>See ‘The NHS Outcomes Framework 2011-12’ document.</w:t>
            </w:r>
          </w:p>
        </w:tc>
      </w:tr>
      <w:tr w:rsidR="00485ED6" w:rsidRPr="00485ED6" w14:paraId="5D4C65B3" w14:textId="77777777" w:rsidTr="00485ED6">
        <w:tc>
          <w:tcPr>
            <w:tcW w:w="3397" w:type="dxa"/>
          </w:tcPr>
          <w:p w14:paraId="6AA033C7" w14:textId="77777777" w:rsidR="00485ED6" w:rsidRPr="00485ED6" w:rsidRDefault="00485ED6" w:rsidP="00485ED6">
            <w:pPr>
              <w:rPr>
                <w:b/>
                <w:sz w:val="24"/>
                <w:szCs w:val="24"/>
              </w:rPr>
            </w:pPr>
            <w:r w:rsidRPr="00485ED6">
              <w:rPr>
                <w:sz w:val="24"/>
                <w:szCs w:val="24"/>
              </w:rPr>
              <w:t>Caveats</w:t>
            </w:r>
          </w:p>
        </w:tc>
        <w:tc>
          <w:tcPr>
            <w:tcW w:w="10632" w:type="dxa"/>
          </w:tcPr>
          <w:p w14:paraId="1EEF4C3C" w14:textId="77777777" w:rsidR="00485ED6" w:rsidRPr="00485ED6" w:rsidRDefault="00485ED6" w:rsidP="00485ED6">
            <w:pPr>
              <w:rPr>
                <w:sz w:val="24"/>
                <w:szCs w:val="24"/>
              </w:rPr>
            </w:pPr>
            <w:r w:rsidRPr="00485ED6">
              <w:rPr>
                <w:sz w:val="24"/>
                <w:szCs w:val="24"/>
              </w:rPr>
              <w:t>None.</w:t>
            </w:r>
          </w:p>
        </w:tc>
      </w:tr>
      <w:bookmarkEnd w:id="0"/>
    </w:tbl>
    <w:p w14:paraId="0F0CA932" w14:textId="4AE739AD" w:rsidR="00C209D9" w:rsidRPr="00485ED6" w:rsidRDefault="00C209D9" w:rsidP="00C209D9">
      <w:pPr>
        <w:rPr>
          <w:b/>
          <w:sz w:val="24"/>
          <w:szCs w:val="24"/>
        </w:rPr>
      </w:pPr>
    </w:p>
    <w:p w14:paraId="239C7099" w14:textId="7F47F59E" w:rsidR="00C209D9" w:rsidRPr="00485ED6" w:rsidRDefault="00C209D9">
      <w:pPr>
        <w:rPr>
          <w:b/>
          <w:sz w:val="24"/>
          <w:szCs w:val="24"/>
        </w:rPr>
      </w:pPr>
      <w:r w:rsidRPr="00485ED6">
        <w:rPr>
          <w:b/>
          <w:sz w:val="24"/>
          <w:szCs w:val="24"/>
        </w:rPr>
        <w:br w:type="page"/>
      </w:r>
    </w:p>
    <w:p w14:paraId="50E44766" w14:textId="77777777" w:rsidR="00F323F9" w:rsidRPr="00485ED6" w:rsidRDefault="00F323F9">
      <w:pPr>
        <w:rPr>
          <w:b/>
          <w:sz w:val="24"/>
          <w:szCs w:val="24"/>
        </w:rPr>
        <w:sectPr w:rsidR="00F323F9" w:rsidRPr="00485ED6" w:rsidSect="00F323F9">
          <w:headerReference w:type="default" r:id="rId7"/>
          <w:footerReference w:type="default" r:id="rId8"/>
          <w:pgSz w:w="16838" w:h="11906" w:orient="landscape"/>
          <w:pgMar w:top="851" w:right="1440" w:bottom="851" w:left="1440" w:header="709" w:footer="709" w:gutter="0"/>
          <w:cols w:space="708"/>
          <w:docGrid w:linePitch="360"/>
        </w:sectPr>
      </w:pPr>
    </w:p>
    <w:p w14:paraId="4CB89C09" w14:textId="06C61660" w:rsidR="00F323F9" w:rsidRPr="00485ED6" w:rsidRDefault="00485ED6">
      <w:pPr>
        <w:rPr>
          <w:b/>
          <w:sz w:val="28"/>
          <w:szCs w:val="28"/>
        </w:rPr>
      </w:pPr>
      <w:r w:rsidRPr="00485ED6">
        <w:rPr>
          <w:b/>
          <w:sz w:val="28"/>
          <w:szCs w:val="28"/>
        </w:rPr>
        <w:lastRenderedPageBreak/>
        <w:t>Application form</w:t>
      </w:r>
    </w:p>
    <w:p w14:paraId="78551D6A" w14:textId="77777777" w:rsidR="00485ED6" w:rsidRPr="00485ED6" w:rsidRDefault="00485ED6">
      <w:pPr>
        <w:rPr>
          <w:b/>
          <w:sz w:val="24"/>
          <w:szCs w:val="24"/>
        </w:rPr>
      </w:pPr>
    </w:p>
    <w:tbl>
      <w:tblPr>
        <w:tblStyle w:val="PlainTable2"/>
        <w:tblW w:w="0" w:type="auto"/>
        <w:tblLayout w:type="fixed"/>
        <w:tblLook w:val="0020" w:firstRow="1" w:lastRow="0" w:firstColumn="0" w:lastColumn="0" w:noHBand="0" w:noVBand="0"/>
      </w:tblPr>
      <w:tblGrid>
        <w:gridCol w:w="9830"/>
      </w:tblGrid>
      <w:tr w:rsidR="00485ED6" w:rsidRPr="00485ED6" w14:paraId="5A24C739" w14:textId="77777777" w:rsidTr="00DB285E">
        <w:trPr>
          <w:cnfStyle w:val="100000000000" w:firstRow="1" w:lastRow="0" w:firstColumn="0" w:lastColumn="0" w:oddVBand="0" w:evenVBand="0" w:oddHBand="0" w:evenHBand="0" w:firstRowFirstColumn="0" w:firstRowLastColumn="0" w:lastRowFirstColumn="0" w:lastRowLastColumn="0"/>
          <w:trHeight w:val="338"/>
        </w:trPr>
        <w:tc>
          <w:tcPr>
            <w:cnfStyle w:val="000010000000" w:firstRow="0" w:lastRow="0" w:firstColumn="0" w:lastColumn="0" w:oddVBand="1" w:evenVBand="0" w:oddHBand="0" w:evenHBand="0" w:firstRowFirstColumn="0" w:firstRowLastColumn="0" w:lastRowFirstColumn="0" w:lastRowLastColumn="0"/>
            <w:tcW w:w="9830" w:type="dxa"/>
          </w:tcPr>
          <w:p w14:paraId="256621A0" w14:textId="7E3F6B1F" w:rsidR="00485ED6" w:rsidRPr="00485ED6" w:rsidRDefault="00485ED6" w:rsidP="00485ED6">
            <w:r w:rsidRPr="00485ED6">
              <w:rPr>
                <w:b w:val="0"/>
              </w:rPr>
              <w:t>Indicator Title</w:t>
            </w:r>
          </w:p>
        </w:tc>
      </w:tr>
      <w:tr w:rsidR="00485ED6" w:rsidRPr="00485ED6" w14:paraId="0E291F4D" w14:textId="77777777" w:rsidTr="00DB285E">
        <w:trPr>
          <w:cnfStyle w:val="000000100000" w:firstRow="0" w:lastRow="0" w:firstColumn="0" w:lastColumn="0" w:oddVBand="0" w:evenVBand="0" w:oddHBand="1" w:evenHBand="0" w:firstRowFirstColumn="0" w:firstRowLastColumn="0" w:lastRowFirstColumn="0" w:lastRowLastColumn="0"/>
          <w:trHeight w:val="338"/>
        </w:trPr>
        <w:tc>
          <w:tcPr>
            <w:cnfStyle w:val="000010000000" w:firstRow="0" w:lastRow="0" w:firstColumn="0" w:lastColumn="0" w:oddVBand="1" w:evenVBand="0" w:oddHBand="0" w:evenHBand="0" w:firstRowFirstColumn="0" w:firstRowLastColumn="0" w:lastRowFirstColumn="0" w:lastRowLastColumn="0"/>
            <w:tcW w:w="9830" w:type="dxa"/>
          </w:tcPr>
          <w:p w14:paraId="18263E1A" w14:textId="61FD74BA" w:rsidR="00485ED6" w:rsidRPr="00485ED6" w:rsidRDefault="00485ED6" w:rsidP="00485ED6">
            <w:r w:rsidRPr="00485ED6">
              <w:t xml:space="preserve">Under 75 mortality </w:t>
            </w:r>
            <w:proofErr w:type="gramStart"/>
            <w:r w:rsidRPr="00485ED6">
              <w:t>rate</w:t>
            </w:r>
            <w:proofErr w:type="gramEnd"/>
            <w:r w:rsidRPr="00485ED6">
              <w:t xml:space="preserve"> from three of the major causes of death</w:t>
            </w:r>
          </w:p>
        </w:tc>
      </w:tr>
      <w:tr w:rsidR="00485ED6" w:rsidRPr="00485ED6" w14:paraId="34FFB9D7" w14:textId="77777777" w:rsidTr="00DB285E">
        <w:trPr>
          <w:trHeight w:val="338"/>
        </w:trPr>
        <w:tc>
          <w:tcPr>
            <w:cnfStyle w:val="000010000000" w:firstRow="0" w:lastRow="0" w:firstColumn="0" w:lastColumn="0" w:oddVBand="1" w:evenVBand="0" w:oddHBand="0" w:evenHBand="0" w:firstRowFirstColumn="0" w:firstRowLastColumn="0" w:lastRowFirstColumn="0" w:lastRowLastColumn="0"/>
            <w:tcW w:w="9830" w:type="dxa"/>
          </w:tcPr>
          <w:p w14:paraId="31160662" w14:textId="33591607" w:rsidR="00485ED6" w:rsidRPr="00485ED6" w:rsidRDefault="00485ED6" w:rsidP="00485ED6">
            <w:r w:rsidRPr="00485ED6">
              <w:rPr>
                <w:b/>
              </w:rPr>
              <w:t>IAP Code (IAP00018)</w:t>
            </w:r>
          </w:p>
        </w:tc>
      </w:tr>
      <w:tr w:rsidR="00485ED6" w:rsidRPr="00485ED6" w14:paraId="33BF0649" w14:textId="77777777" w:rsidTr="00DB285E">
        <w:trPr>
          <w:cnfStyle w:val="000000100000" w:firstRow="0" w:lastRow="0" w:firstColumn="0" w:lastColumn="0" w:oddVBand="0" w:evenVBand="0" w:oddHBand="1" w:evenHBand="0" w:firstRowFirstColumn="0" w:firstRowLastColumn="0" w:lastRowFirstColumn="0" w:lastRowLastColumn="0"/>
          <w:trHeight w:val="338"/>
        </w:trPr>
        <w:tc>
          <w:tcPr>
            <w:cnfStyle w:val="000010000000" w:firstRow="0" w:lastRow="0" w:firstColumn="0" w:lastColumn="0" w:oddVBand="1" w:evenVBand="0" w:oddHBand="0" w:evenHBand="0" w:firstRowFirstColumn="0" w:firstRowLastColumn="0" w:lastRowFirstColumn="0" w:lastRowLastColumn="0"/>
            <w:tcW w:w="9830" w:type="dxa"/>
          </w:tcPr>
          <w:p w14:paraId="15608AF1" w14:textId="77777777" w:rsidR="00485ED6" w:rsidRPr="00485ED6" w:rsidRDefault="00485ED6" w:rsidP="00485ED6">
            <w:r w:rsidRPr="00485ED6">
              <w:t>Indicator Definition, including calculation, measurement units, geographical range, age and gender</w:t>
            </w:r>
          </w:p>
        </w:tc>
      </w:tr>
      <w:tr w:rsidR="00485ED6" w:rsidRPr="00485ED6" w14:paraId="2477C65A" w14:textId="77777777" w:rsidTr="00DB285E">
        <w:trPr>
          <w:trHeight w:val="346"/>
        </w:trPr>
        <w:tc>
          <w:tcPr>
            <w:cnfStyle w:val="000010000000" w:firstRow="0" w:lastRow="0" w:firstColumn="0" w:lastColumn="0" w:oddVBand="1" w:evenVBand="0" w:oddHBand="0" w:evenHBand="0" w:firstRowFirstColumn="0" w:firstRowLastColumn="0" w:lastRowFirstColumn="0" w:lastRowLastColumn="0"/>
            <w:tcW w:w="9830" w:type="dxa"/>
          </w:tcPr>
          <w:p w14:paraId="4260E3FA" w14:textId="77777777" w:rsidR="00485ED6" w:rsidRPr="00485ED6" w:rsidRDefault="00485ED6" w:rsidP="00485ED6">
            <w:pPr>
              <w:rPr>
                <w:sz w:val="16"/>
                <w:szCs w:val="16"/>
              </w:rPr>
            </w:pPr>
            <w:r w:rsidRPr="00485ED6">
              <w:rPr>
                <w:sz w:val="16"/>
                <w:szCs w:val="16"/>
              </w:rPr>
              <w:t>Include any relevant detail of the statistic, such as calculation type (eg rate per 100,000 population), gender, age or geography</w:t>
            </w:r>
          </w:p>
          <w:p w14:paraId="1A16D646" w14:textId="77777777" w:rsidR="00485ED6" w:rsidRPr="00485ED6" w:rsidRDefault="00485ED6" w:rsidP="00485ED6">
            <w:pPr>
              <w:autoSpaceDE w:val="0"/>
              <w:autoSpaceDN w:val="0"/>
              <w:adjustRightInd w:val="0"/>
              <w:rPr>
                <w:i/>
                <w:iCs/>
                <w:szCs w:val="18"/>
              </w:rPr>
            </w:pPr>
            <w:r w:rsidRPr="00485ED6">
              <w:rPr>
                <w:i/>
                <w:iCs/>
                <w:szCs w:val="18"/>
              </w:rPr>
              <w:t>The definition exists but needs work.</w:t>
            </w:r>
          </w:p>
          <w:p w14:paraId="7926F6D8" w14:textId="77777777" w:rsidR="00485ED6" w:rsidRPr="00485ED6" w:rsidRDefault="00485ED6" w:rsidP="00485ED6">
            <w:pPr>
              <w:autoSpaceDE w:val="0"/>
              <w:autoSpaceDN w:val="0"/>
              <w:adjustRightInd w:val="0"/>
              <w:spacing w:before="240"/>
              <w:rPr>
                <w:b/>
                <w:bCs/>
                <w:szCs w:val="18"/>
              </w:rPr>
            </w:pPr>
            <w:r w:rsidRPr="00485ED6">
              <w:rPr>
                <w:b/>
                <w:bCs/>
                <w:szCs w:val="18"/>
              </w:rPr>
              <w:t>Numerator</w:t>
            </w:r>
          </w:p>
          <w:p w14:paraId="66D8BE3E" w14:textId="77777777" w:rsidR="00485ED6" w:rsidRPr="00485ED6" w:rsidRDefault="00485ED6" w:rsidP="00485ED6">
            <w:pPr>
              <w:autoSpaceDE w:val="0"/>
              <w:autoSpaceDN w:val="0"/>
              <w:adjustRightInd w:val="0"/>
              <w:rPr>
                <w:szCs w:val="18"/>
              </w:rPr>
            </w:pPr>
            <w:r w:rsidRPr="00485ED6">
              <w:rPr>
                <w:szCs w:val="18"/>
              </w:rPr>
              <w:t>Number of deaths under 75 from cardiovascular disease</w:t>
            </w:r>
          </w:p>
          <w:p w14:paraId="24074171" w14:textId="77777777" w:rsidR="00485ED6" w:rsidRPr="00485ED6" w:rsidRDefault="00485ED6" w:rsidP="00485ED6">
            <w:pPr>
              <w:autoSpaceDE w:val="0"/>
              <w:autoSpaceDN w:val="0"/>
              <w:adjustRightInd w:val="0"/>
              <w:rPr>
                <w:b/>
                <w:szCs w:val="18"/>
              </w:rPr>
            </w:pPr>
            <w:r w:rsidRPr="00485ED6">
              <w:rPr>
                <w:szCs w:val="18"/>
              </w:rPr>
              <w:t xml:space="preserve">Number of deaths under 75 from respiratory disease </w:t>
            </w:r>
            <w:r w:rsidRPr="00485ED6">
              <w:rPr>
                <w:b/>
                <w:szCs w:val="18"/>
              </w:rPr>
              <w:t>(IAP00018)</w:t>
            </w:r>
          </w:p>
          <w:p w14:paraId="45665BA0" w14:textId="77777777" w:rsidR="00485ED6" w:rsidRPr="00485ED6" w:rsidRDefault="00485ED6" w:rsidP="00485ED6">
            <w:pPr>
              <w:autoSpaceDE w:val="0"/>
              <w:autoSpaceDN w:val="0"/>
              <w:adjustRightInd w:val="0"/>
              <w:rPr>
                <w:szCs w:val="18"/>
              </w:rPr>
            </w:pPr>
            <w:r w:rsidRPr="00485ED6">
              <w:rPr>
                <w:szCs w:val="18"/>
              </w:rPr>
              <w:t>Number of deaths under 75 from liver disease</w:t>
            </w:r>
          </w:p>
          <w:p w14:paraId="02D5DF39" w14:textId="77777777" w:rsidR="00485ED6" w:rsidRPr="00485ED6" w:rsidRDefault="00485ED6" w:rsidP="00485ED6">
            <w:pPr>
              <w:autoSpaceDE w:val="0"/>
              <w:autoSpaceDN w:val="0"/>
              <w:adjustRightInd w:val="0"/>
              <w:spacing w:before="240"/>
              <w:rPr>
                <w:b/>
                <w:bCs/>
                <w:szCs w:val="18"/>
              </w:rPr>
            </w:pPr>
            <w:r w:rsidRPr="00485ED6">
              <w:rPr>
                <w:b/>
                <w:bCs/>
                <w:szCs w:val="18"/>
              </w:rPr>
              <w:t>Denominator</w:t>
            </w:r>
          </w:p>
          <w:p w14:paraId="61E135DE" w14:textId="1CE20E0F" w:rsidR="00485ED6" w:rsidRPr="00485ED6" w:rsidRDefault="00485ED6" w:rsidP="00485ED6">
            <w:pPr>
              <w:autoSpaceDE w:val="0"/>
              <w:autoSpaceDN w:val="0"/>
              <w:adjustRightInd w:val="0"/>
              <w:rPr>
                <w:szCs w:val="18"/>
              </w:rPr>
            </w:pPr>
            <w:r w:rsidRPr="00485ED6">
              <w:rPr>
                <w:szCs w:val="18"/>
              </w:rPr>
              <w:t>Resident population under 75 years</w:t>
            </w:r>
          </w:p>
          <w:p w14:paraId="17DC6D48" w14:textId="77777777" w:rsidR="00485ED6" w:rsidRPr="00485ED6" w:rsidRDefault="00485ED6" w:rsidP="00485ED6">
            <w:pPr>
              <w:autoSpaceDE w:val="0"/>
              <w:autoSpaceDN w:val="0"/>
              <w:adjustRightInd w:val="0"/>
              <w:rPr>
                <w:szCs w:val="18"/>
              </w:rPr>
            </w:pPr>
          </w:p>
          <w:p w14:paraId="7E590F49" w14:textId="77777777" w:rsidR="00485ED6" w:rsidRPr="00485ED6" w:rsidRDefault="00485ED6" w:rsidP="00485ED6">
            <w:pPr>
              <w:autoSpaceDE w:val="0"/>
              <w:autoSpaceDN w:val="0"/>
              <w:adjustRightInd w:val="0"/>
              <w:rPr>
                <w:b/>
                <w:bCs/>
                <w:szCs w:val="18"/>
              </w:rPr>
            </w:pPr>
            <w:bookmarkStart w:id="3" w:name="OLE_LINK1"/>
            <w:bookmarkStart w:id="4" w:name="OLE_LINK2"/>
            <w:r w:rsidRPr="00485ED6">
              <w:rPr>
                <w:b/>
                <w:bCs/>
                <w:szCs w:val="18"/>
              </w:rPr>
              <w:t>Calculation type</w:t>
            </w:r>
          </w:p>
          <w:bookmarkEnd w:id="3"/>
          <w:bookmarkEnd w:id="4"/>
          <w:p w14:paraId="39AC6333" w14:textId="366DD049" w:rsidR="00485ED6" w:rsidRPr="00485ED6" w:rsidRDefault="00485ED6" w:rsidP="00485ED6">
            <w:pPr>
              <w:autoSpaceDE w:val="0"/>
              <w:autoSpaceDN w:val="0"/>
              <w:adjustRightInd w:val="0"/>
              <w:rPr>
                <w:szCs w:val="18"/>
              </w:rPr>
            </w:pPr>
            <w:r w:rsidRPr="00485ED6">
              <w:rPr>
                <w:szCs w:val="18"/>
              </w:rPr>
              <w:t xml:space="preserve">Directly age-standardised rates </w:t>
            </w:r>
          </w:p>
          <w:p w14:paraId="256662C9" w14:textId="77777777" w:rsidR="00485ED6" w:rsidRPr="00485ED6" w:rsidRDefault="00485ED6" w:rsidP="00485ED6">
            <w:pPr>
              <w:autoSpaceDE w:val="0"/>
              <w:autoSpaceDN w:val="0"/>
              <w:adjustRightInd w:val="0"/>
              <w:rPr>
                <w:szCs w:val="18"/>
              </w:rPr>
            </w:pPr>
          </w:p>
          <w:p w14:paraId="63E888E4" w14:textId="77777777" w:rsidR="00485ED6" w:rsidRPr="00485ED6" w:rsidRDefault="00485ED6" w:rsidP="00485ED6">
            <w:pPr>
              <w:autoSpaceDE w:val="0"/>
              <w:autoSpaceDN w:val="0"/>
              <w:adjustRightInd w:val="0"/>
              <w:rPr>
                <w:b/>
                <w:bCs/>
                <w:szCs w:val="18"/>
              </w:rPr>
            </w:pPr>
            <w:r w:rsidRPr="00485ED6">
              <w:rPr>
                <w:b/>
                <w:bCs/>
                <w:szCs w:val="18"/>
              </w:rPr>
              <w:t>Measurement unit / scale</w:t>
            </w:r>
          </w:p>
          <w:p w14:paraId="6AD884CB" w14:textId="2DDC55A4" w:rsidR="00485ED6" w:rsidRPr="00485ED6" w:rsidRDefault="00485ED6" w:rsidP="00485ED6">
            <w:pPr>
              <w:autoSpaceDE w:val="0"/>
              <w:autoSpaceDN w:val="0"/>
              <w:adjustRightInd w:val="0"/>
              <w:rPr>
                <w:szCs w:val="18"/>
              </w:rPr>
            </w:pPr>
            <w:r w:rsidRPr="00485ED6">
              <w:rPr>
                <w:szCs w:val="18"/>
              </w:rPr>
              <w:t>per 100,000 European standard population.</w:t>
            </w:r>
          </w:p>
          <w:p w14:paraId="0F6B4427" w14:textId="77777777" w:rsidR="00485ED6" w:rsidRPr="00485ED6" w:rsidRDefault="00485ED6" w:rsidP="00485ED6">
            <w:pPr>
              <w:autoSpaceDE w:val="0"/>
              <w:autoSpaceDN w:val="0"/>
              <w:adjustRightInd w:val="0"/>
              <w:rPr>
                <w:szCs w:val="18"/>
              </w:rPr>
            </w:pPr>
          </w:p>
          <w:p w14:paraId="21224EEE" w14:textId="77777777" w:rsidR="00485ED6" w:rsidRPr="00485ED6" w:rsidRDefault="00485ED6" w:rsidP="00485ED6">
            <w:pPr>
              <w:autoSpaceDE w:val="0"/>
              <w:autoSpaceDN w:val="0"/>
              <w:adjustRightInd w:val="0"/>
              <w:rPr>
                <w:b/>
                <w:bCs/>
                <w:szCs w:val="18"/>
              </w:rPr>
            </w:pPr>
            <w:r w:rsidRPr="00485ED6">
              <w:rPr>
                <w:b/>
                <w:bCs/>
                <w:szCs w:val="18"/>
              </w:rPr>
              <w:t>Geographical range</w:t>
            </w:r>
          </w:p>
          <w:p w14:paraId="3C3AD43B" w14:textId="77777777" w:rsidR="00485ED6" w:rsidRPr="00485ED6" w:rsidRDefault="00485ED6" w:rsidP="00485ED6">
            <w:pPr>
              <w:autoSpaceDE w:val="0"/>
              <w:autoSpaceDN w:val="0"/>
              <w:adjustRightInd w:val="0"/>
              <w:rPr>
                <w:i/>
                <w:szCs w:val="18"/>
              </w:rPr>
            </w:pPr>
            <w:proofErr w:type="gramStart"/>
            <w:r w:rsidRPr="00485ED6">
              <w:rPr>
                <w:szCs w:val="18"/>
              </w:rPr>
              <w:t xml:space="preserve">England </w:t>
            </w:r>
            <w:r w:rsidRPr="00485ED6">
              <w:rPr>
                <w:b/>
                <w:i/>
                <w:szCs w:val="18"/>
              </w:rPr>
              <w:t>?Query</w:t>
            </w:r>
            <w:proofErr w:type="gramEnd"/>
            <w:r w:rsidRPr="00485ED6">
              <w:rPr>
                <w:b/>
                <w:i/>
                <w:szCs w:val="18"/>
              </w:rPr>
              <w:t xml:space="preserve"> what else GORs, SHAs, LAs, PCOs?</w:t>
            </w:r>
          </w:p>
          <w:p w14:paraId="37ECB81F" w14:textId="77777777" w:rsidR="00485ED6" w:rsidRPr="00485ED6" w:rsidRDefault="00485ED6" w:rsidP="00485ED6">
            <w:pPr>
              <w:autoSpaceDE w:val="0"/>
              <w:autoSpaceDN w:val="0"/>
              <w:adjustRightInd w:val="0"/>
              <w:rPr>
                <w:szCs w:val="18"/>
              </w:rPr>
            </w:pPr>
          </w:p>
          <w:p w14:paraId="0F604B31" w14:textId="77777777" w:rsidR="00485ED6" w:rsidRPr="00485ED6" w:rsidRDefault="00485ED6" w:rsidP="00485ED6">
            <w:pPr>
              <w:autoSpaceDE w:val="0"/>
              <w:autoSpaceDN w:val="0"/>
              <w:adjustRightInd w:val="0"/>
              <w:rPr>
                <w:szCs w:val="18"/>
              </w:rPr>
            </w:pPr>
            <w:r w:rsidRPr="00485ED6">
              <w:rPr>
                <w:b/>
                <w:bCs/>
                <w:szCs w:val="18"/>
              </w:rPr>
              <w:t>Gender</w:t>
            </w:r>
          </w:p>
          <w:p w14:paraId="7C3146AD" w14:textId="77777777" w:rsidR="00485ED6" w:rsidRPr="00485ED6" w:rsidRDefault="00485ED6" w:rsidP="00485ED6">
            <w:pPr>
              <w:autoSpaceDE w:val="0"/>
              <w:autoSpaceDN w:val="0"/>
              <w:adjustRightInd w:val="0"/>
              <w:rPr>
                <w:b/>
                <w:i/>
                <w:szCs w:val="18"/>
              </w:rPr>
            </w:pPr>
            <w:r w:rsidRPr="00485ED6">
              <w:rPr>
                <w:b/>
                <w:i/>
                <w:szCs w:val="18"/>
              </w:rPr>
              <w:t xml:space="preserve">Query? Persons? Males and Females? </w:t>
            </w:r>
            <w:proofErr w:type="gramStart"/>
            <w:r w:rsidRPr="00485ED6">
              <w:rPr>
                <w:b/>
                <w:i/>
                <w:szCs w:val="18"/>
              </w:rPr>
              <w:t>Males ,</w:t>
            </w:r>
            <w:proofErr w:type="gramEnd"/>
            <w:r w:rsidRPr="00485ED6">
              <w:rPr>
                <w:b/>
                <w:i/>
                <w:szCs w:val="18"/>
              </w:rPr>
              <w:t xml:space="preserve"> Females and Persons?</w:t>
            </w:r>
          </w:p>
          <w:p w14:paraId="09715DAD" w14:textId="77777777" w:rsidR="00485ED6" w:rsidRPr="00485ED6" w:rsidRDefault="00485ED6" w:rsidP="00485ED6">
            <w:pPr>
              <w:autoSpaceDE w:val="0"/>
              <w:autoSpaceDN w:val="0"/>
              <w:adjustRightInd w:val="0"/>
              <w:spacing w:before="240"/>
              <w:rPr>
                <w:b/>
                <w:bCs/>
                <w:szCs w:val="18"/>
              </w:rPr>
            </w:pPr>
            <w:r w:rsidRPr="00485ED6">
              <w:rPr>
                <w:b/>
                <w:bCs/>
                <w:szCs w:val="18"/>
              </w:rPr>
              <w:t>Deprivation</w:t>
            </w:r>
          </w:p>
          <w:p w14:paraId="5D236F04" w14:textId="77777777" w:rsidR="00485ED6" w:rsidRPr="00485ED6" w:rsidRDefault="00485ED6" w:rsidP="00485ED6">
            <w:pPr>
              <w:autoSpaceDE w:val="0"/>
              <w:autoSpaceDN w:val="0"/>
              <w:adjustRightInd w:val="0"/>
              <w:spacing w:before="240"/>
              <w:rPr>
                <w:b/>
                <w:bCs/>
                <w:szCs w:val="18"/>
              </w:rPr>
            </w:pPr>
            <w:r w:rsidRPr="00485ED6">
              <w:rPr>
                <w:b/>
                <w:bCs/>
                <w:szCs w:val="18"/>
              </w:rPr>
              <w:t>Query what is available</w:t>
            </w:r>
          </w:p>
          <w:p w14:paraId="0C38F5BC" w14:textId="77777777" w:rsidR="00485ED6" w:rsidRPr="00485ED6" w:rsidRDefault="00485ED6" w:rsidP="00485ED6">
            <w:pPr>
              <w:autoSpaceDE w:val="0"/>
              <w:autoSpaceDN w:val="0"/>
              <w:adjustRightInd w:val="0"/>
              <w:spacing w:before="240"/>
              <w:rPr>
                <w:b/>
                <w:bCs/>
                <w:szCs w:val="18"/>
              </w:rPr>
            </w:pPr>
            <w:r w:rsidRPr="00485ED6">
              <w:rPr>
                <w:b/>
                <w:bCs/>
                <w:szCs w:val="18"/>
              </w:rPr>
              <w:t>Further work</w:t>
            </w:r>
          </w:p>
          <w:p w14:paraId="0037F1A3" w14:textId="78CE353D" w:rsidR="00485ED6" w:rsidRPr="00485ED6" w:rsidRDefault="00485ED6" w:rsidP="00485ED6">
            <w:pPr>
              <w:rPr>
                <w:szCs w:val="18"/>
              </w:rPr>
            </w:pPr>
            <w:r w:rsidRPr="00485ED6">
              <w:rPr>
                <w:szCs w:val="18"/>
              </w:rPr>
              <w:t xml:space="preserve">The definitions of “cardiovascular disease”, “respiratory disease” and “liver disease”, by ICD10 code, need to be agreed. Some </w:t>
            </w:r>
            <w:proofErr w:type="spellStart"/>
            <w:r w:rsidRPr="00485ED6">
              <w:rPr>
                <w:szCs w:val="18"/>
              </w:rPr>
              <w:t>suggesions</w:t>
            </w:r>
            <w:proofErr w:type="spellEnd"/>
            <w:r w:rsidRPr="00485ED6">
              <w:rPr>
                <w:szCs w:val="18"/>
              </w:rPr>
              <w:t xml:space="preserve"> are given below:</w:t>
            </w:r>
            <w:r w:rsidRPr="00485ED6">
              <w:rPr>
                <w:szCs w:val="18"/>
              </w:rPr>
              <w:br/>
            </w:r>
          </w:p>
          <w:p w14:paraId="7D3DA080" w14:textId="77777777" w:rsidR="00485ED6" w:rsidRPr="00485ED6" w:rsidRDefault="00485ED6" w:rsidP="00485ED6">
            <w:pPr>
              <w:rPr>
                <w:szCs w:val="18"/>
              </w:rPr>
            </w:pPr>
            <w:r w:rsidRPr="00485ED6">
              <w:rPr>
                <w:szCs w:val="18"/>
              </w:rPr>
              <w:t xml:space="preserve">Cardiovascular disease: </w:t>
            </w:r>
          </w:p>
          <w:p w14:paraId="404347BC" w14:textId="77777777" w:rsidR="00485ED6" w:rsidRPr="00485ED6" w:rsidRDefault="00485ED6" w:rsidP="00485ED6">
            <w:pPr>
              <w:numPr>
                <w:ilvl w:val="0"/>
                <w:numId w:val="9"/>
              </w:numPr>
              <w:rPr>
                <w:szCs w:val="18"/>
              </w:rPr>
            </w:pPr>
            <w:r w:rsidRPr="00485ED6">
              <w:rPr>
                <w:szCs w:val="18"/>
              </w:rPr>
              <w:t>ICD10 codes I00 to I99 inclusive – equivalent to NCHOD Compendium indicator ‘Mortality from all circulatory diseases’ and APHO Health Profiles indicator ‘Early deaths from heart disease and stroke’. Does not include congenital malformations or conditions.</w:t>
            </w:r>
            <w:r w:rsidRPr="00485ED6">
              <w:rPr>
                <w:szCs w:val="18"/>
              </w:rPr>
              <w:br/>
            </w:r>
          </w:p>
          <w:p w14:paraId="7023DB79" w14:textId="77777777" w:rsidR="00485ED6" w:rsidRPr="00485ED6" w:rsidRDefault="00485ED6" w:rsidP="00485ED6">
            <w:pPr>
              <w:rPr>
                <w:szCs w:val="18"/>
              </w:rPr>
            </w:pPr>
            <w:r w:rsidRPr="00485ED6">
              <w:rPr>
                <w:szCs w:val="18"/>
              </w:rPr>
              <w:t xml:space="preserve">Respiratory disease: </w:t>
            </w:r>
          </w:p>
          <w:p w14:paraId="2AA7AB8B" w14:textId="77777777" w:rsidR="00485ED6" w:rsidRPr="00485ED6" w:rsidRDefault="00485ED6" w:rsidP="00485ED6">
            <w:pPr>
              <w:numPr>
                <w:ilvl w:val="0"/>
                <w:numId w:val="9"/>
              </w:numPr>
              <w:rPr>
                <w:szCs w:val="18"/>
              </w:rPr>
            </w:pPr>
            <w:r w:rsidRPr="00485ED6">
              <w:rPr>
                <w:szCs w:val="18"/>
              </w:rPr>
              <w:t>ICD10 codes J00 to J99 – equivalent to the ICD10 chapter ‘Diseases of the respiratory system’. Does not include some infectious diseases (e.g. TB), cancers or congenital malformations or conditions.</w:t>
            </w:r>
          </w:p>
          <w:p w14:paraId="7D6CAD43" w14:textId="77777777" w:rsidR="00485ED6" w:rsidRPr="00485ED6" w:rsidRDefault="00485ED6" w:rsidP="00485ED6">
            <w:pPr>
              <w:rPr>
                <w:szCs w:val="18"/>
              </w:rPr>
            </w:pPr>
          </w:p>
          <w:p w14:paraId="4D3FE544" w14:textId="77777777" w:rsidR="00485ED6" w:rsidRPr="00485ED6" w:rsidRDefault="00485ED6" w:rsidP="00485ED6">
            <w:pPr>
              <w:rPr>
                <w:szCs w:val="18"/>
              </w:rPr>
            </w:pPr>
            <w:r w:rsidRPr="00485ED6">
              <w:rPr>
                <w:szCs w:val="18"/>
              </w:rPr>
              <w:t xml:space="preserve">Liver disease: </w:t>
            </w:r>
          </w:p>
          <w:p w14:paraId="274B3A58" w14:textId="77777777" w:rsidR="00485ED6" w:rsidRPr="00485ED6" w:rsidRDefault="00485ED6" w:rsidP="00485ED6">
            <w:pPr>
              <w:numPr>
                <w:ilvl w:val="0"/>
                <w:numId w:val="9"/>
              </w:numPr>
              <w:rPr>
                <w:szCs w:val="18"/>
              </w:rPr>
            </w:pPr>
            <w:r w:rsidRPr="00485ED6">
              <w:rPr>
                <w:szCs w:val="18"/>
              </w:rPr>
              <w:t>ICD10 codes K70, K73 to K74 – equivalent to NCHOD Compendium indicator ‘Mortality from chronic liver disease and including cirrhosis’. Does not include congenital malformations or conditions.</w:t>
            </w:r>
          </w:p>
          <w:p w14:paraId="0C0A173E" w14:textId="77777777" w:rsidR="00485ED6" w:rsidRPr="00485ED6" w:rsidRDefault="00485ED6" w:rsidP="00485ED6">
            <w:pPr>
              <w:rPr>
                <w:szCs w:val="18"/>
              </w:rPr>
            </w:pPr>
          </w:p>
          <w:p w14:paraId="7A2A4DC2" w14:textId="77777777" w:rsidR="00485ED6" w:rsidRPr="00485ED6" w:rsidRDefault="00485ED6" w:rsidP="00485ED6">
            <w:pPr>
              <w:numPr>
                <w:ilvl w:val="0"/>
                <w:numId w:val="9"/>
              </w:numPr>
              <w:rPr>
                <w:szCs w:val="18"/>
              </w:rPr>
            </w:pPr>
            <w:r w:rsidRPr="00485ED6">
              <w:rPr>
                <w:szCs w:val="18"/>
              </w:rPr>
              <w:lastRenderedPageBreak/>
              <w:t>K70-K76 Diseases of the liver – as above but includes toxic liver disease, hepatic failure NEC, other inflammatory and other diseases of the liver. Does not include congenital malformations or conditions.</w:t>
            </w:r>
          </w:p>
          <w:p w14:paraId="3AD1FA30" w14:textId="77777777" w:rsidR="00485ED6" w:rsidRPr="00485ED6" w:rsidRDefault="00485ED6" w:rsidP="00485ED6"/>
        </w:tc>
      </w:tr>
      <w:tr w:rsidR="00485ED6" w:rsidRPr="00485ED6" w14:paraId="211D2214" w14:textId="77777777" w:rsidTr="00DB285E">
        <w:trPr>
          <w:cnfStyle w:val="000000100000" w:firstRow="0" w:lastRow="0" w:firstColumn="0" w:lastColumn="0" w:oddVBand="0" w:evenVBand="0" w:oddHBand="1" w:evenHBand="0"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9830" w:type="dxa"/>
          </w:tcPr>
          <w:p w14:paraId="2201260A" w14:textId="77777777" w:rsidR="00485ED6" w:rsidRPr="00485ED6" w:rsidRDefault="00485ED6" w:rsidP="00485ED6">
            <w:r w:rsidRPr="00485ED6">
              <w:lastRenderedPageBreak/>
              <w:t>Indicator Data Source(s)</w:t>
            </w:r>
          </w:p>
        </w:tc>
      </w:tr>
      <w:tr w:rsidR="00485ED6" w:rsidRPr="00485ED6" w14:paraId="3FCD64D6" w14:textId="77777777" w:rsidTr="00DB285E">
        <w:trPr>
          <w:trHeight w:val="338"/>
        </w:trPr>
        <w:tc>
          <w:tcPr>
            <w:cnfStyle w:val="000010000000" w:firstRow="0" w:lastRow="0" w:firstColumn="0" w:lastColumn="0" w:oddVBand="1" w:evenVBand="0" w:oddHBand="0" w:evenHBand="0" w:firstRowFirstColumn="0" w:firstRowLastColumn="0" w:lastRowFirstColumn="0" w:lastRowLastColumn="0"/>
            <w:tcW w:w="9830" w:type="dxa"/>
          </w:tcPr>
          <w:p w14:paraId="75B127F0" w14:textId="77777777" w:rsidR="00485ED6" w:rsidRPr="00485ED6" w:rsidRDefault="00485ED6" w:rsidP="00485ED6">
            <w:pPr>
              <w:rPr>
                <w:sz w:val="16"/>
                <w:szCs w:val="16"/>
              </w:rPr>
            </w:pPr>
            <w:r w:rsidRPr="00485ED6">
              <w:rPr>
                <w:sz w:val="16"/>
                <w:szCs w:val="16"/>
              </w:rPr>
              <w:t>Details of data sources, if known.  Please note if this data is collected currently, or if it will require some sort of development</w:t>
            </w:r>
          </w:p>
          <w:p w14:paraId="09D9FA71" w14:textId="77777777" w:rsidR="00485ED6" w:rsidRPr="00485ED6" w:rsidRDefault="00485ED6" w:rsidP="00485ED6">
            <w:pPr>
              <w:autoSpaceDE w:val="0"/>
              <w:autoSpaceDN w:val="0"/>
              <w:adjustRightInd w:val="0"/>
              <w:spacing w:before="240"/>
              <w:rPr>
                <w:b/>
                <w:bCs/>
                <w:szCs w:val="18"/>
              </w:rPr>
            </w:pPr>
            <w:r w:rsidRPr="00485ED6">
              <w:rPr>
                <w:b/>
                <w:bCs/>
                <w:szCs w:val="18"/>
              </w:rPr>
              <w:t>Numerator</w:t>
            </w:r>
          </w:p>
          <w:p w14:paraId="0A6984CA" w14:textId="77777777" w:rsidR="00485ED6" w:rsidRPr="00485ED6" w:rsidRDefault="00485ED6" w:rsidP="00485ED6">
            <w:pPr>
              <w:autoSpaceDE w:val="0"/>
              <w:autoSpaceDN w:val="0"/>
              <w:adjustRightInd w:val="0"/>
              <w:rPr>
                <w:szCs w:val="18"/>
              </w:rPr>
            </w:pPr>
            <w:r w:rsidRPr="00485ED6">
              <w:rPr>
                <w:szCs w:val="18"/>
              </w:rPr>
              <w:t xml:space="preserve">Office for National Statistics mortality extracts. This is a dataset of individual death records containing information on age, sex, area of residence and cause of death of the deceased. </w:t>
            </w:r>
            <w:r w:rsidRPr="00485ED6">
              <w:rPr>
                <w:sz w:val="24"/>
                <w:szCs w:val="18"/>
              </w:rPr>
              <w:t xml:space="preserve">Data are based on the original causes of death recorded on the death certificate rather than the final </w:t>
            </w:r>
            <w:r w:rsidRPr="00485ED6">
              <w:rPr>
                <w:szCs w:val="18"/>
              </w:rPr>
              <w:t>amen</w:t>
            </w:r>
            <w:r w:rsidRPr="00485ED6">
              <w:rPr>
                <w:sz w:val="24"/>
                <w:szCs w:val="18"/>
              </w:rPr>
              <w:t>ded causes</w:t>
            </w:r>
            <w:r w:rsidRPr="00485ED6">
              <w:rPr>
                <w:szCs w:val="18"/>
              </w:rPr>
              <w:t>, and on date of registration rather than date of death</w:t>
            </w:r>
            <w:r w:rsidRPr="00485ED6">
              <w:rPr>
                <w:sz w:val="24"/>
                <w:szCs w:val="18"/>
              </w:rPr>
              <w:t>.</w:t>
            </w:r>
          </w:p>
          <w:p w14:paraId="0D17F4A8" w14:textId="77777777" w:rsidR="00485ED6" w:rsidRPr="00485ED6" w:rsidRDefault="00485ED6" w:rsidP="00485ED6">
            <w:pPr>
              <w:autoSpaceDE w:val="0"/>
              <w:autoSpaceDN w:val="0"/>
              <w:adjustRightInd w:val="0"/>
              <w:spacing w:before="240"/>
              <w:rPr>
                <w:b/>
                <w:bCs/>
                <w:szCs w:val="18"/>
              </w:rPr>
            </w:pPr>
            <w:r w:rsidRPr="00485ED6">
              <w:rPr>
                <w:b/>
                <w:bCs/>
                <w:szCs w:val="18"/>
              </w:rPr>
              <w:t>Denominator</w:t>
            </w:r>
          </w:p>
          <w:p w14:paraId="6B117824" w14:textId="77777777" w:rsidR="00485ED6" w:rsidRPr="00485ED6" w:rsidRDefault="00485ED6" w:rsidP="00485ED6">
            <w:pPr>
              <w:autoSpaceDE w:val="0"/>
              <w:autoSpaceDN w:val="0"/>
              <w:adjustRightInd w:val="0"/>
              <w:rPr>
                <w:szCs w:val="18"/>
              </w:rPr>
            </w:pPr>
            <w:r w:rsidRPr="00485ED6">
              <w:rPr>
                <w:szCs w:val="18"/>
              </w:rPr>
              <w:t>Office for National Statistics mid-year population estimates.</w:t>
            </w:r>
          </w:p>
          <w:p w14:paraId="183AF63D" w14:textId="77777777" w:rsidR="00485ED6" w:rsidRPr="00485ED6" w:rsidRDefault="00485ED6" w:rsidP="00485ED6">
            <w:pPr>
              <w:autoSpaceDE w:val="0"/>
              <w:autoSpaceDN w:val="0"/>
              <w:adjustRightInd w:val="0"/>
              <w:rPr>
                <w:szCs w:val="18"/>
              </w:rPr>
            </w:pPr>
          </w:p>
          <w:p w14:paraId="4C03908E" w14:textId="19DD5C00" w:rsidR="00485ED6" w:rsidRPr="00485ED6" w:rsidRDefault="00485ED6" w:rsidP="00485ED6">
            <w:pPr>
              <w:rPr>
                <w:sz w:val="16"/>
                <w:szCs w:val="16"/>
              </w:rPr>
            </w:pPr>
          </w:p>
        </w:tc>
      </w:tr>
      <w:tr w:rsidR="00485ED6" w:rsidRPr="00485ED6" w14:paraId="7DFD96D2" w14:textId="77777777" w:rsidTr="00DB285E">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9830" w:type="dxa"/>
          </w:tcPr>
          <w:p w14:paraId="45A249FF" w14:textId="77777777" w:rsidR="00485ED6" w:rsidRPr="00485ED6" w:rsidRDefault="00485ED6" w:rsidP="00485ED6">
            <w:r w:rsidRPr="00485ED6">
              <w:t>Indicator Data Source Availability</w:t>
            </w:r>
          </w:p>
        </w:tc>
      </w:tr>
      <w:tr w:rsidR="00485ED6" w:rsidRPr="00485ED6" w14:paraId="2D81E0B4" w14:textId="77777777" w:rsidTr="00DB285E">
        <w:trPr>
          <w:trHeight w:val="346"/>
        </w:trPr>
        <w:tc>
          <w:tcPr>
            <w:cnfStyle w:val="000010000000" w:firstRow="0" w:lastRow="0" w:firstColumn="0" w:lastColumn="0" w:oddVBand="1" w:evenVBand="0" w:oddHBand="0" w:evenHBand="0" w:firstRowFirstColumn="0" w:firstRowLastColumn="0" w:lastRowFirstColumn="0" w:lastRowLastColumn="0"/>
            <w:tcW w:w="9830" w:type="dxa"/>
          </w:tcPr>
          <w:p w14:paraId="048FF8AB" w14:textId="77777777" w:rsidR="00485ED6" w:rsidRPr="00485ED6" w:rsidRDefault="00485ED6" w:rsidP="00485ED6">
            <w:pPr>
              <w:rPr>
                <w:sz w:val="16"/>
                <w:szCs w:val="16"/>
              </w:rPr>
            </w:pPr>
            <w:r w:rsidRPr="00485ED6">
              <w:rPr>
                <w:sz w:val="16"/>
                <w:szCs w:val="16"/>
              </w:rPr>
              <w:t>Is data publicly available (eg National Statistic</w:t>
            </w:r>
            <w:proofErr w:type="gramStart"/>
            <w:r w:rsidRPr="00485ED6">
              <w:rPr>
                <w:sz w:val="16"/>
                <w:szCs w:val="16"/>
              </w:rPr>
              <w:t>), or</w:t>
            </w:r>
            <w:proofErr w:type="gramEnd"/>
            <w:r w:rsidRPr="00485ED6">
              <w:rPr>
                <w:sz w:val="16"/>
                <w:szCs w:val="16"/>
              </w:rPr>
              <w:t xml:space="preserve"> is it only available as a bespoke dataset upon request.  Comment on availability of raw data to customers outside the NHS/Public Sector</w:t>
            </w:r>
          </w:p>
          <w:p w14:paraId="22436DB2" w14:textId="77777777" w:rsidR="00485ED6" w:rsidRPr="00485ED6" w:rsidRDefault="00485ED6" w:rsidP="00485ED6">
            <w:pPr>
              <w:autoSpaceDE w:val="0"/>
              <w:autoSpaceDN w:val="0"/>
              <w:adjustRightInd w:val="0"/>
              <w:rPr>
                <w:szCs w:val="18"/>
              </w:rPr>
            </w:pPr>
            <w:r w:rsidRPr="00485ED6">
              <w:rPr>
                <w:szCs w:val="18"/>
              </w:rPr>
              <w:t>Both these sources are existing, current products available from the Office for National Statistics.</w:t>
            </w:r>
          </w:p>
          <w:p w14:paraId="0FD41AA3" w14:textId="77777777" w:rsidR="00485ED6" w:rsidRPr="00485ED6" w:rsidRDefault="00485ED6" w:rsidP="00485ED6">
            <w:pPr>
              <w:autoSpaceDE w:val="0"/>
              <w:autoSpaceDN w:val="0"/>
              <w:adjustRightInd w:val="0"/>
              <w:rPr>
                <w:szCs w:val="18"/>
              </w:rPr>
            </w:pPr>
          </w:p>
          <w:p w14:paraId="570E91F1" w14:textId="77777777" w:rsidR="00485ED6" w:rsidRPr="00485ED6" w:rsidRDefault="00485ED6" w:rsidP="00485ED6">
            <w:pPr>
              <w:autoSpaceDE w:val="0"/>
              <w:autoSpaceDN w:val="0"/>
              <w:adjustRightInd w:val="0"/>
              <w:rPr>
                <w:szCs w:val="18"/>
              </w:rPr>
            </w:pPr>
            <w:r w:rsidRPr="00485ED6">
              <w:rPr>
                <w:szCs w:val="18"/>
              </w:rPr>
              <w:t xml:space="preserve">Annual national mortality extracts are provided by ONS to the NHS Information Centre and the Care Quality Commission. </w:t>
            </w:r>
          </w:p>
          <w:p w14:paraId="6501A344" w14:textId="77777777" w:rsidR="00485ED6" w:rsidRPr="00485ED6" w:rsidRDefault="00485ED6" w:rsidP="00485ED6">
            <w:pPr>
              <w:autoSpaceDE w:val="0"/>
              <w:autoSpaceDN w:val="0"/>
              <w:adjustRightInd w:val="0"/>
              <w:rPr>
                <w:szCs w:val="18"/>
              </w:rPr>
            </w:pPr>
          </w:p>
          <w:p w14:paraId="0AE143F2" w14:textId="77777777" w:rsidR="00485ED6" w:rsidRPr="00485ED6" w:rsidRDefault="00485ED6" w:rsidP="00485ED6">
            <w:pPr>
              <w:autoSpaceDE w:val="0"/>
              <w:autoSpaceDN w:val="0"/>
              <w:adjustRightInd w:val="0"/>
              <w:rPr>
                <w:szCs w:val="18"/>
              </w:rPr>
            </w:pPr>
            <w:r w:rsidRPr="00485ED6">
              <w:rPr>
                <w:szCs w:val="18"/>
              </w:rPr>
              <w:t>Quarterly national mortality extracts are provided by ONS to the NHS Information Centre.</w:t>
            </w:r>
          </w:p>
          <w:p w14:paraId="7EF83F07" w14:textId="77777777" w:rsidR="00485ED6" w:rsidRPr="00485ED6" w:rsidRDefault="00485ED6" w:rsidP="00485ED6">
            <w:pPr>
              <w:autoSpaceDE w:val="0"/>
              <w:autoSpaceDN w:val="0"/>
              <w:adjustRightInd w:val="0"/>
              <w:rPr>
                <w:szCs w:val="18"/>
              </w:rPr>
            </w:pPr>
          </w:p>
          <w:p w14:paraId="1496DE84" w14:textId="77777777" w:rsidR="00485ED6" w:rsidRPr="00485ED6" w:rsidRDefault="00485ED6" w:rsidP="00485ED6">
            <w:pPr>
              <w:autoSpaceDE w:val="0"/>
              <w:autoSpaceDN w:val="0"/>
              <w:adjustRightInd w:val="0"/>
              <w:rPr>
                <w:szCs w:val="18"/>
              </w:rPr>
            </w:pPr>
            <w:r w:rsidRPr="00485ED6">
              <w:rPr>
                <w:szCs w:val="18"/>
              </w:rPr>
              <w:t>Annual district mortality extracts are provided by ONS to the Primary Care Organisations and the Public Health Observatories.</w:t>
            </w:r>
          </w:p>
          <w:p w14:paraId="7AE321E0" w14:textId="77777777" w:rsidR="00485ED6" w:rsidRPr="00485ED6" w:rsidRDefault="00485ED6" w:rsidP="00485ED6">
            <w:pPr>
              <w:autoSpaceDE w:val="0"/>
              <w:autoSpaceDN w:val="0"/>
              <w:adjustRightInd w:val="0"/>
              <w:rPr>
                <w:szCs w:val="18"/>
              </w:rPr>
            </w:pPr>
          </w:p>
          <w:p w14:paraId="769789DB" w14:textId="77777777" w:rsidR="00485ED6" w:rsidRPr="00485ED6" w:rsidRDefault="00485ED6" w:rsidP="00485ED6">
            <w:pPr>
              <w:autoSpaceDE w:val="0"/>
              <w:autoSpaceDN w:val="0"/>
              <w:adjustRightInd w:val="0"/>
              <w:rPr>
                <w:szCs w:val="18"/>
              </w:rPr>
            </w:pPr>
            <w:r w:rsidRPr="00485ED6">
              <w:rPr>
                <w:szCs w:val="18"/>
              </w:rPr>
              <w:t>Another district level mortality extract, the Public Health Mortality File, is provided by ONS on a monthly or weekly basis to Primary Care Organisations.</w:t>
            </w:r>
          </w:p>
          <w:p w14:paraId="2E907D96" w14:textId="77777777" w:rsidR="00485ED6" w:rsidRPr="00485ED6" w:rsidRDefault="00485ED6" w:rsidP="00485ED6">
            <w:pPr>
              <w:autoSpaceDE w:val="0"/>
              <w:autoSpaceDN w:val="0"/>
              <w:adjustRightInd w:val="0"/>
              <w:rPr>
                <w:szCs w:val="18"/>
              </w:rPr>
            </w:pPr>
          </w:p>
          <w:p w14:paraId="782EB409" w14:textId="77777777" w:rsidR="00485ED6" w:rsidRPr="00485ED6" w:rsidRDefault="00485ED6" w:rsidP="00485ED6">
            <w:pPr>
              <w:autoSpaceDE w:val="0"/>
              <w:autoSpaceDN w:val="0"/>
              <w:adjustRightInd w:val="0"/>
              <w:rPr>
                <w:szCs w:val="18"/>
              </w:rPr>
            </w:pPr>
            <w:r w:rsidRPr="00485ED6">
              <w:rPr>
                <w:szCs w:val="18"/>
              </w:rPr>
              <w:t>Mortality extracts are not available to organisations outside the NHS.</w:t>
            </w:r>
          </w:p>
          <w:p w14:paraId="32BDC797" w14:textId="77777777" w:rsidR="00485ED6" w:rsidRPr="00485ED6" w:rsidRDefault="00485ED6" w:rsidP="00485ED6">
            <w:pPr>
              <w:autoSpaceDE w:val="0"/>
              <w:autoSpaceDN w:val="0"/>
              <w:adjustRightInd w:val="0"/>
              <w:rPr>
                <w:szCs w:val="18"/>
              </w:rPr>
            </w:pPr>
          </w:p>
          <w:p w14:paraId="359EAB52" w14:textId="77777777" w:rsidR="00485ED6" w:rsidRPr="00485ED6" w:rsidRDefault="00485ED6" w:rsidP="00485ED6">
            <w:pPr>
              <w:autoSpaceDE w:val="0"/>
              <w:autoSpaceDN w:val="0"/>
              <w:adjustRightInd w:val="0"/>
              <w:rPr>
                <w:szCs w:val="18"/>
              </w:rPr>
            </w:pPr>
            <w:r w:rsidRPr="00485ED6">
              <w:rPr>
                <w:szCs w:val="18"/>
              </w:rPr>
              <w:t>Mid-year population estimates are publically available.</w:t>
            </w:r>
          </w:p>
          <w:p w14:paraId="231F3CDC" w14:textId="77777777" w:rsidR="00485ED6" w:rsidRPr="00485ED6" w:rsidRDefault="00485ED6" w:rsidP="00485ED6">
            <w:pPr>
              <w:rPr>
                <w:sz w:val="16"/>
                <w:szCs w:val="16"/>
              </w:rPr>
            </w:pPr>
          </w:p>
          <w:p w14:paraId="006E961F" w14:textId="77777777" w:rsidR="00485ED6" w:rsidRPr="00485ED6" w:rsidRDefault="00485ED6" w:rsidP="00485ED6">
            <w:pPr>
              <w:rPr>
                <w:b/>
              </w:rPr>
            </w:pPr>
          </w:p>
        </w:tc>
      </w:tr>
      <w:tr w:rsidR="00485ED6" w:rsidRPr="00485ED6" w14:paraId="1EE7BF3B" w14:textId="77777777" w:rsidTr="00DB285E">
        <w:trPr>
          <w:cnfStyle w:val="000000100000" w:firstRow="0" w:lastRow="0" w:firstColumn="0" w:lastColumn="0" w:oddVBand="0" w:evenVBand="0" w:oddHBand="1" w:evenHBand="0" w:firstRowFirstColumn="0" w:firstRowLastColumn="0" w:lastRowFirstColumn="0" w:lastRowLastColumn="0"/>
          <w:trHeight w:val="346"/>
        </w:trPr>
        <w:tc>
          <w:tcPr>
            <w:cnfStyle w:val="000010000000" w:firstRow="0" w:lastRow="0" w:firstColumn="0" w:lastColumn="0" w:oddVBand="1" w:evenVBand="0" w:oddHBand="0" w:evenHBand="0" w:firstRowFirstColumn="0" w:firstRowLastColumn="0" w:lastRowFirstColumn="0" w:lastRowLastColumn="0"/>
            <w:tcW w:w="9830" w:type="dxa"/>
          </w:tcPr>
          <w:p w14:paraId="6A963121" w14:textId="77777777" w:rsidR="00485ED6" w:rsidRPr="00485ED6" w:rsidRDefault="00485ED6" w:rsidP="00485ED6">
            <w:pPr>
              <w:rPr>
                <w:b/>
              </w:rPr>
            </w:pPr>
            <w:r w:rsidRPr="00485ED6">
              <w:rPr>
                <w:b/>
              </w:rPr>
              <w:t>Indicator Overlap</w:t>
            </w:r>
          </w:p>
        </w:tc>
      </w:tr>
      <w:tr w:rsidR="00485ED6" w:rsidRPr="00485ED6" w14:paraId="03A19C5C" w14:textId="77777777" w:rsidTr="00DB285E">
        <w:trPr>
          <w:trHeight w:val="283"/>
        </w:trPr>
        <w:tc>
          <w:tcPr>
            <w:cnfStyle w:val="000010000000" w:firstRow="0" w:lastRow="0" w:firstColumn="0" w:lastColumn="0" w:oddVBand="1" w:evenVBand="0" w:oddHBand="0" w:evenHBand="0" w:firstRowFirstColumn="0" w:firstRowLastColumn="0" w:lastRowFirstColumn="0" w:lastRowLastColumn="0"/>
            <w:tcW w:w="9830" w:type="dxa"/>
          </w:tcPr>
          <w:p w14:paraId="3B9FFC5F" w14:textId="77777777" w:rsidR="00485ED6" w:rsidRPr="00485ED6" w:rsidRDefault="00485ED6" w:rsidP="00485ED6">
            <w:r w:rsidRPr="00485ED6">
              <w:t xml:space="preserve">List the indicator sets you have checked for overlap or if you have searched the IC Indicator library </w:t>
            </w:r>
          </w:p>
        </w:tc>
      </w:tr>
      <w:tr w:rsidR="00485ED6" w:rsidRPr="00485ED6" w14:paraId="7598C2A7" w14:textId="77777777" w:rsidTr="00DB285E">
        <w:trPr>
          <w:cnfStyle w:val="000000100000" w:firstRow="0" w:lastRow="0" w:firstColumn="0" w:lastColumn="0" w:oddVBand="0" w:evenVBand="0" w:oddHBand="1" w:evenHBand="0" w:firstRowFirstColumn="0" w:firstRowLastColumn="0" w:lastRowFirstColumn="0" w:lastRowLastColumn="0"/>
          <w:trHeight w:val="322"/>
        </w:trPr>
        <w:tc>
          <w:tcPr>
            <w:cnfStyle w:val="000010000000" w:firstRow="0" w:lastRow="0" w:firstColumn="0" w:lastColumn="0" w:oddVBand="1" w:evenVBand="0" w:oddHBand="0" w:evenHBand="0" w:firstRowFirstColumn="0" w:firstRowLastColumn="0" w:lastRowFirstColumn="0" w:lastRowLastColumn="0"/>
            <w:tcW w:w="9830" w:type="dxa"/>
          </w:tcPr>
          <w:p w14:paraId="69F832B6" w14:textId="77777777" w:rsidR="00485ED6" w:rsidRPr="00485ED6" w:rsidRDefault="00485ED6" w:rsidP="00485ED6">
            <w:pPr>
              <w:rPr>
                <w:sz w:val="16"/>
                <w:szCs w:val="16"/>
              </w:rPr>
            </w:pPr>
            <w:r w:rsidRPr="00485ED6">
              <w:rPr>
                <w:sz w:val="16"/>
                <w:szCs w:val="16"/>
              </w:rPr>
              <w:t>For example, NHS Choices, IQI / MQI, Better Care, Better Value, NCHOD, NHS Comparators</w:t>
            </w:r>
          </w:p>
          <w:p w14:paraId="71BE6048" w14:textId="77777777" w:rsidR="00485ED6" w:rsidRPr="00485ED6" w:rsidRDefault="00485ED6" w:rsidP="00485ED6">
            <w:r w:rsidRPr="00485ED6">
              <w:t>Wide checking in developing the NHS outcomes indicators.</w:t>
            </w:r>
          </w:p>
          <w:p w14:paraId="2F80A723" w14:textId="77777777" w:rsidR="00485ED6" w:rsidRPr="00485ED6" w:rsidRDefault="00485ED6" w:rsidP="00485ED6"/>
        </w:tc>
      </w:tr>
      <w:tr w:rsidR="00485ED6" w:rsidRPr="00485ED6" w14:paraId="74CAF6D3" w14:textId="77777777" w:rsidTr="00DB285E">
        <w:trPr>
          <w:trHeight w:val="207"/>
        </w:trPr>
        <w:tc>
          <w:tcPr>
            <w:cnfStyle w:val="000010000000" w:firstRow="0" w:lastRow="0" w:firstColumn="0" w:lastColumn="0" w:oddVBand="1" w:evenVBand="0" w:oddHBand="0" w:evenHBand="0" w:firstRowFirstColumn="0" w:firstRowLastColumn="0" w:lastRowFirstColumn="0" w:lastRowLastColumn="0"/>
            <w:tcW w:w="9830" w:type="dxa"/>
          </w:tcPr>
          <w:p w14:paraId="007071D0" w14:textId="77777777" w:rsidR="00485ED6" w:rsidRPr="00485ED6" w:rsidRDefault="00485ED6" w:rsidP="00485ED6">
            <w:r w:rsidRPr="00485ED6">
              <w:t xml:space="preserve">List any indicators which overlap with the proposed indicator </w:t>
            </w:r>
          </w:p>
        </w:tc>
      </w:tr>
      <w:tr w:rsidR="00485ED6" w:rsidRPr="00485ED6" w14:paraId="4CB36764" w14:textId="77777777" w:rsidTr="00DB285E">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9830" w:type="dxa"/>
          </w:tcPr>
          <w:p w14:paraId="296BFAAF" w14:textId="77777777" w:rsidR="00485ED6" w:rsidRPr="00485ED6" w:rsidRDefault="00485ED6" w:rsidP="00485ED6">
            <w:pPr>
              <w:autoSpaceDE w:val="0"/>
              <w:autoSpaceDN w:val="0"/>
              <w:adjustRightInd w:val="0"/>
              <w:rPr>
                <w:szCs w:val="18"/>
              </w:rPr>
            </w:pPr>
          </w:p>
          <w:p w14:paraId="260BE129" w14:textId="2E0BF1E8" w:rsidR="00485ED6" w:rsidRPr="00485ED6" w:rsidRDefault="00485ED6" w:rsidP="00485ED6">
            <w:pPr>
              <w:autoSpaceDE w:val="0"/>
              <w:autoSpaceDN w:val="0"/>
              <w:adjustRightInd w:val="0"/>
              <w:rPr>
                <w:szCs w:val="18"/>
              </w:rPr>
            </w:pPr>
            <w:r w:rsidRPr="00485ED6">
              <w:rPr>
                <w:szCs w:val="18"/>
              </w:rPr>
              <w:t>Similar cardiovascular and liver disease mortality indicators are published annually on the NCHOD/NHS IC website (</w:t>
            </w:r>
            <w:hyperlink r:id="rId9" w:history="1">
              <w:r w:rsidRPr="00485ED6">
                <w:rPr>
                  <w:rStyle w:val="Hyperlink"/>
                  <w:color w:val="auto"/>
                  <w:szCs w:val="18"/>
                </w:rPr>
                <w:t>www.nchod.nhs.uk</w:t>
              </w:r>
            </w:hyperlink>
            <w:r w:rsidRPr="00485ED6">
              <w:rPr>
                <w:szCs w:val="18"/>
              </w:rPr>
              <w:t>, nww.nchod.nhs.uk):</w:t>
            </w:r>
          </w:p>
          <w:p w14:paraId="30C9B404" w14:textId="77777777" w:rsidR="00485ED6" w:rsidRPr="00485ED6" w:rsidRDefault="00485ED6" w:rsidP="00485ED6">
            <w:pPr>
              <w:autoSpaceDE w:val="0"/>
              <w:autoSpaceDN w:val="0"/>
              <w:adjustRightInd w:val="0"/>
              <w:rPr>
                <w:szCs w:val="18"/>
              </w:rPr>
            </w:pPr>
          </w:p>
          <w:p w14:paraId="450BDA4A" w14:textId="77777777" w:rsidR="00485ED6" w:rsidRPr="00485ED6" w:rsidRDefault="00485ED6" w:rsidP="00485ED6">
            <w:pPr>
              <w:numPr>
                <w:ilvl w:val="0"/>
                <w:numId w:val="10"/>
              </w:numPr>
              <w:autoSpaceDE w:val="0"/>
              <w:autoSpaceDN w:val="0"/>
              <w:adjustRightInd w:val="0"/>
              <w:rPr>
                <w:szCs w:val="18"/>
              </w:rPr>
            </w:pPr>
            <w:r w:rsidRPr="00485ED6">
              <w:rPr>
                <w:szCs w:val="18"/>
              </w:rPr>
              <w:t xml:space="preserve">Mortality from all circulatory diseases (ICD10 I00-I99), under 75 years directly standardised rates – latest </w:t>
            </w:r>
            <w:proofErr w:type="gramStart"/>
            <w:r w:rsidRPr="00485ED6">
              <w:rPr>
                <w:szCs w:val="18"/>
              </w:rPr>
              <w:t>3 year</w:t>
            </w:r>
            <w:proofErr w:type="gramEnd"/>
            <w:r w:rsidRPr="00485ED6">
              <w:rPr>
                <w:szCs w:val="18"/>
              </w:rPr>
              <w:t xml:space="preserve"> average (06A_076DR0074) and annual trends (06A_076DRT0074)</w:t>
            </w:r>
          </w:p>
          <w:p w14:paraId="72C224BE" w14:textId="77777777" w:rsidR="00485ED6" w:rsidRPr="00485ED6" w:rsidRDefault="00485ED6" w:rsidP="00485ED6">
            <w:pPr>
              <w:autoSpaceDE w:val="0"/>
              <w:autoSpaceDN w:val="0"/>
              <w:adjustRightInd w:val="0"/>
              <w:rPr>
                <w:szCs w:val="18"/>
              </w:rPr>
            </w:pPr>
          </w:p>
          <w:p w14:paraId="1D088164" w14:textId="2E6341F5" w:rsidR="00485ED6" w:rsidRPr="00485ED6" w:rsidRDefault="00485ED6" w:rsidP="00485ED6">
            <w:pPr>
              <w:numPr>
                <w:ilvl w:val="0"/>
                <w:numId w:val="10"/>
              </w:numPr>
              <w:autoSpaceDE w:val="0"/>
              <w:autoSpaceDN w:val="0"/>
              <w:adjustRightInd w:val="0"/>
              <w:rPr>
                <w:szCs w:val="18"/>
              </w:rPr>
            </w:pPr>
            <w:r w:rsidRPr="00485ED6">
              <w:rPr>
                <w:szCs w:val="18"/>
              </w:rPr>
              <w:t>Mortality from chronic liver disease including cirrhosis (ICD10 K70, K73-74</w:t>
            </w:r>
            <w:proofErr w:type="gramStart"/>
            <w:r w:rsidRPr="00485ED6">
              <w:rPr>
                <w:szCs w:val="18"/>
              </w:rPr>
              <w:t>),  under</w:t>
            </w:r>
            <w:proofErr w:type="gramEnd"/>
            <w:r w:rsidRPr="00485ED6">
              <w:rPr>
                <w:szCs w:val="18"/>
              </w:rPr>
              <w:t xml:space="preserve"> 75 years, directly age standardised rate – latest 3 year average (25A_043DR0074)</w:t>
            </w:r>
          </w:p>
          <w:p w14:paraId="6A589040" w14:textId="77777777" w:rsidR="00485ED6" w:rsidRPr="00485ED6" w:rsidRDefault="00485ED6" w:rsidP="00485ED6">
            <w:pPr>
              <w:autoSpaceDE w:val="0"/>
              <w:autoSpaceDN w:val="0"/>
              <w:adjustRightInd w:val="0"/>
              <w:rPr>
                <w:szCs w:val="18"/>
              </w:rPr>
            </w:pPr>
          </w:p>
          <w:p w14:paraId="62A2C68F" w14:textId="538B4E25" w:rsidR="00485ED6" w:rsidRPr="00485ED6" w:rsidRDefault="00485ED6" w:rsidP="00485ED6">
            <w:pPr>
              <w:rPr>
                <w:szCs w:val="18"/>
              </w:rPr>
            </w:pPr>
            <w:r w:rsidRPr="00485ED6">
              <w:rPr>
                <w:szCs w:val="18"/>
              </w:rPr>
              <w:lastRenderedPageBreak/>
              <w:t xml:space="preserve">Data are published by gender for </w:t>
            </w:r>
            <w:smartTag w:uri="urn:schemas-microsoft-com:office:smarttags" w:element="country-region">
              <w:r w:rsidRPr="00485ED6">
                <w:rPr>
                  <w:szCs w:val="18"/>
                </w:rPr>
                <w:t>England</w:t>
              </w:r>
            </w:smartTag>
            <w:r w:rsidRPr="00485ED6">
              <w:rPr>
                <w:szCs w:val="18"/>
              </w:rPr>
              <w:t xml:space="preserve"> &amp; </w:t>
            </w:r>
            <w:smartTag w:uri="urn:schemas-microsoft-com:office:smarttags" w:element="country-region">
              <w:r w:rsidRPr="00485ED6">
                <w:rPr>
                  <w:szCs w:val="18"/>
                </w:rPr>
                <w:t>Wales</w:t>
              </w:r>
            </w:smartTag>
            <w:r w:rsidRPr="00485ED6">
              <w:rPr>
                <w:szCs w:val="18"/>
              </w:rPr>
              <w:t xml:space="preserve">, </w:t>
            </w:r>
            <w:smartTag w:uri="urn:schemas-microsoft-com:office:smarttags" w:element="country-region">
              <w:smartTag w:uri="urn:schemas-microsoft-com:office:smarttags" w:element="place">
                <w:r w:rsidRPr="00485ED6">
                  <w:rPr>
                    <w:szCs w:val="18"/>
                  </w:rPr>
                  <w:t>England</w:t>
                </w:r>
              </w:smartTag>
            </w:smartTag>
            <w:r w:rsidRPr="00485ED6">
              <w:rPr>
                <w:szCs w:val="18"/>
              </w:rPr>
              <w:t>, Government Office Regions, Strategic Health Authorities, ONS Area Groups, Local Authorities and Primary Care Organisations. Latest data (for years to 2008) were published in December 2009. Data for years to 2009 are scheduled to be published in March 2011.</w:t>
            </w:r>
          </w:p>
          <w:p w14:paraId="19A83797" w14:textId="77777777" w:rsidR="00485ED6" w:rsidRPr="00485ED6" w:rsidRDefault="00485ED6" w:rsidP="00485ED6">
            <w:pPr>
              <w:rPr>
                <w:szCs w:val="18"/>
              </w:rPr>
            </w:pPr>
          </w:p>
          <w:p w14:paraId="656954F3" w14:textId="77777777" w:rsidR="00485ED6" w:rsidRPr="00485ED6" w:rsidRDefault="00485ED6" w:rsidP="00485ED6">
            <w:pPr>
              <w:rPr>
                <w:szCs w:val="18"/>
              </w:rPr>
            </w:pPr>
            <w:r w:rsidRPr="00485ED6">
              <w:rPr>
                <w:szCs w:val="18"/>
              </w:rPr>
              <w:t>The same cardiovascular data are also published on the APHO Health Profiles website (</w:t>
            </w:r>
            <w:hyperlink r:id="rId10" w:history="1">
              <w:r w:rsidRPr="00485ED6">
                <w:rPr>
                  <w:rStyle w:val="Hyperlink"/>
                  <w:color w:val="auto"/>
                  <w:szCs w:val="18"/>
                </w:rPr>
                <w:t>http://www.apho.org.uk/default.aspx?QN=P_HEALTH_PROFILES</w:t>
              </w:r>
            </w:hyperlink>
            <w:r w:rsidRPr="00485ED6">
              <w:rPr>
                <w:szCs w:val="18"/>
              </w:rPr>
              <w:t>)</w:t>
            </w:r>
          </w:p>
          <w:p w14:paraId="14ECD7DB" w14:textId="77777777" w:rsidR="00485ED6" w:rsidRPr="00485ED6" w:rsidRDefault="00485ED6" w:rsidP="00485ED6">
            <w:pPr>
              <w:rPr>
                <w:szCs w:val="18"/>
              </w:rPr>
            </w:pPr>
          </w:p>
          <w:p w14:paraId="5D219D69" w14:textId="77777777" w:rsidR="00485ED6" w:rsidRPr="00485ED6" w:rsidRDefault="00485ED6" w:rsidP="00485ED6">
            <w:pPr>
              <w:numPr>
                <w:ilvl w:val="0"/>
                <w:numId w:val="11"/>
              </w:numPr>
              <w:rPr>
                <w:szCs w:val="18"/>
              </w:rPr>
            </w:pPr>
            <w:r w:rsidRPr="00485ED6">
              <w:rPr>
                <w:szCs w:val="18"/>
              </w:rPr>
              <w:t>Early deaths from coronary heart disease and stroke, under 75 years, directly standardised rates – rolling 3-years averages from 1995-97 to latest period.</w:t>
            </w:r>
          </w:p>
          <w:p w14:paraId="6DA0AF77" w14:textId="77777777" w:rsidR="00485ED6" w:rsidRPr="00485ED6" w:rsidRDefault="00485ED6" w:rsidP="00485ED6">
            <w:pPr>
              <w:rPr>
                <w:szCs w:val="18"/>
              </w:rPr>
            </w:pPr>
          </w:p>
          <w:p w14:paraId="48785EC4" w14:textId="77777777" w:rsidR="00485ED6" w:rsidRPr="00485ED6" w:rsidRDefault="00485ED6" w:rsidP="00485ED6">
            <w:pPr>
              <w:rPr>
                <w:szCs w:val="18"/>
              </w:rPr>
            </w:pPr>
            <w:r w:rsidRPr="00485ED6">
              <w:rPr>
                <w:szCs w:val="18"/>
              </w:rPr>
              <w:t xml:space="preserve">Data are published for persons only for </w:t>
            </w:r>
            <w:smartTag w:uri="urn:schemas-microsoft-com:office:smarttags" w:element="country-region">
              <w:smartTag w:uri="urn:schemas-microsoft-com:office:smarttags" w:element="place">
                <w:r w:rsidRPr="00485ED6">
                  <w:rPr>
                    <w:szCs w:val="18"/>
                  </w:rPr>
                  <w:t>England</w:t>
                </w:r>
              </w:smartTag>
            </w:smartTag>
            <w:r w:rsidRPr="00485ED6">
              <w:rPr>
                <w:szCs w:val="18"/>
              </w:rPr>
              <w:t>, Government Office Regions, Strategic Health Authorities and Local Authorities. Latest data (for years to 2008) were published in July 2010. Data for years to 2009 are scheduled to be published in July 2011.</w:t>
            </w:r>
          </w:p>
          <w:p w14:paraId="4CD86CD4" w14:textId="77777777" w:rsidR="00485ED6" w:rsidRPr="00485ED6" w:rsidRDefault="00485ED6" w:rsidP="00485ED6">
            <w:pPr>
              <w:rPr>
                <w:szCs w:val="18"/>
              </w:rPr>
            </w:pPr>
          </w:p>
          <w:p w14:paraId="25D3E2E0" w14:textId="0097A4C3" w:rsidR="00485ED6" w:rsidRPr="00485ED6" w:rsidRDefault="00485ED6" w:rsidP="00485ED6"/>
        </w:tc>
      </w:tr>
      <w:tr w:rsidR="00485ED6" w:rsidRPr="00485ED6" w14:paraId="1DB21F93" w14:textId="77777777" w:rsidTr="00DB285E">
        <w:trPr>
          <w:trHeight w:val="325"/>
        </w:trPr>
        <w:tc>
          <w:tcPr>
            <w:cnfStyle w:val="000010000000" w:firstRow="0" w:lastRow="0" w:firstColumn="0" w:lastColumn="0" w:oddVBand="1" w:evenVBand="0" w:oddHBand="0" w:evenHBand="0" w:firstRowFirstColumn="0" w:firstRowLastColumn="0" w:lastRowFirstColumn="0" w:lastRowLastColumn="0"/>
            <w:tcW w:w="9830" w:type="dxa"/>
          </w:tcPr>
          <w:p w14:paraId="19925420" w14:textId="77777777" w:rsidR="00485ED6" w:rsidRPr="00485ED6" w:rsidRDefault="00485ED6" w:rsidP="00485ED6">
            <w:r w:rsidRPr="00485ED6">
              <w:lastRenderedPageBreak/>
              <w:t>What value does the proposed indicator offers over existing indicators</w:t>
            </w:r>
          </w:p>
        </w:tc>
      </w:tr>
      <w:tr w:rsidR="00485ED6" w:rsidRPr="00485ED6" w14:paraId="28C8A829" w14:textId="77777777" w:rsidTr="00DB285E">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9830" w:type="dxa"/>
          </w:tcPr>
          <w:p w14:paraId="55721CF9" w14:textId="77777777" w:rsidR="00485ED6" w:rsidRPr="00485ED6" w:rsidRDefault="00485ED6" w:rsidP="00485ED6">
            <w:pPr>
              <w:rPr>
                <w:sz w:val="16"/>
                <w:szCs w:val="16"/>
              </w:rPr>
            </w:pPr>
            <w:r w:rsidRPr="00485ED6">
              <w:rPr>
                <w:sz w:val="16"/>
                <w:szCs w:val="16"/>
              </w:rPr>
              <w:t>Highlight any gaps left by any current indicators</w:t>
            </w:r>
          </w:p>
          <w:p w14:paraId="15CE5CBE" w14:textId="77777777" w:rsidR="00485ED6" w:rsidRPr="00485ED6" w:rsidRDefault="00485ED6" w:rsidP="00485ED6">
            <w:r w:rsidRPr="00485ED6">
              <w:t>Part of the NHS Outcome indicator set.  Needs to be developed as part of the set for consistency and coherence.</w:t>
            </w:r>
          </w:p>
        </w:tc>
      </w:tr>
    </w:tbl>
    <w:p w14:paraId="42C64D0D" w14:textId="6D1462CF" w:rsidR="00DB285E" w:rsidRDefault="00DB285E"/>
    <w:p w14:paraId="421F9091" w14:textId="543D4367" w:rsidR="005A779B" w:rsidRDefault="005A779B">
      <w:pPr>
        <w:rPr>
          <w:b/>
        </w:rPr>
      </w:pPr>
      <w:r w:rsidRPr="00485ED6">
        <w:rPr>
          <w:b/>
        </w:rPr>
        <w:t>Indicator Use</w:t>
      </w:r>
    </w:p>
    <w:p w14:paraId="4D4FAD5F" w14:textId="1298226A" w:rsidR="005A779B" w:rsidRDefault="005A779B">
      <w:r w:rsidRPr="00485ED6">
        <w:t>Does this indicator measure a</w:t>
      </w:r>
      <w:r>
        <w:t xml:space="preserve"> </w:t>
      </w:r>
      <w:r w:rsidRPr="00485ED6">
        <w:t>process</w:t>
      </w:r>
      <w:r>
        <w:t xml:space="preserve"> or </w:t>
      </w:r>
      <w:r w:rsidRPr="00485ED6">
        <w:t>outcome</w:t>
      </w:r>
      <w:r>
        <w:t xml:space="preserve">? </w:t>
      </w:r>
      <w:r w:rsidRPr="005A779B">
        <w:rPr>
          <w:b/>
          <w:bCs/>
        </w:rPr>
        <w:t>Outcome</w:t>
      </w:r>
      <w:r>
        <w:t>.</w:t>
      </w:r>
    </w:p>
    <w:p w14:paraId="716CF7A0" w14:textId="7C649B06" w:rsidR="005A779B" w:rsidRDefault="005A779B"/>
    <w:p w14:paraId="3A9C3695" w14:textId="0ECE5E9B" w:rsidR="005A779B" w:rsidRDefault="005A779B">
      <w:r w:rsidRPr="00485ED6">
        <w:t>This measure is…</w:t>
      </w:r>
    </w:p>
    <w:p w14:paraId="1E102432" w14:textId="6BDF1E98" w:rsidR="005A779B" w:rsidRDefault="005A779B">
      <w:pPr>
        <w:rPr>
          <w:sz w:val="20"/>
          <w:szCs w:val="20"/>
        </w:rPr>
      </w:pPr>
      <w:r w:rsidRPr="00485ED6">
        <w:rPr>
          <w:sz w:val="20"/>
          <w:szCs w:val="20"/>
        </w:rPr>
        <w:t>…compared against optimum value</w:t>
      </w:r>
    </w:p>
    <w:p w14:paraId="69A5A8B3" w14:textId="1345C20F" w:rsidR="005A779B" w:rsidRDefault="005A779B">
      <w:r w:rsidRPr="00485ED6">
        <w:rPr>
          <w:sz w:val="20"/>
          <w:szCs w:val="20"/>
        </w:rPr>
        <w:t>…comparison against self over time</w:t>
      </w:r>
    </w:p>
    <w:p w14:paraId="6FFE4D39" w14:textId="77777777" w:rsidR="00DB285E" w:rsidRDefault="00DB285E"/>
    <w:tbl>
      <w:tblPr>
        <w:tblStyle w:val="TableGrid"/>
        <w:tblW w:w="0" w:type="auto"/>
        <w:tblLayout w:type="fixed"/>
        <w:tblLook w:val="04A0" w:firstRow="1" w:lastRow="0" w:firstColumn="1" w:lastColumn="0" w:noHBand="0" w:noVBand="1"/>
      </w:tblPr>
      <w:tblGrid>
        <w:gridCol w:w="4783"/>
        <w:gridCol w:w="617"/>
        <w:gridCol w:w="3716"/>
        <w:gridCol w:w="714"/>
      </w:tblGrid>
      <w:tr w:rsidR="005A779B" w:rsidRPr="00485ED6" w14:paraId="0DD46B41" w14:textId="77777777" w:rsidTr="005A779B">
        <w:trPr>
          <w:trHeight w:val="447"/>
        </w:trPr>
        <w:tc>
          <w:tcPr>
            <w:tcW w:w="4783" w:type="dxa"/>
          </w:tcPr>
          <w:p w14:paraId="38312A57" w14:textId="7632638E" w:rsidR="005A779B" w:rsidRPr="00485ED6" w:rsidRDefault="005A779B" w:rsidP="00485ED6">
            <w:pPr>
              <w:rPr>
                <w:i/>
                <w:sz w:val="20"/>
                <w:szCs w:val="20"/>
              </w:rPr>
            </w:pPr>
            <w:r w:rsidRPr="00485ED6">
              <w:t xml:space="preserve">Indicator Title/ Definition Review </w:t>
            </w:r>
            <w:r w:rsidRPr="00485ED6">
              <w:rPr>
                <w:b/>
              </w:rPr>
              <w:t>(IC use only)</w:t>
            </w:r>
          </w:p>
        </w:tc>
        <w:tc>
          <w:tcPr>
            <w:tcW w:w="617" w:type="dxa"/>
          </w:tcPr>
          <w:p w14:paraId="51321B41" w14:textId="77777777" w:rsidR="005A779B" w:rsidRPr="00485ED6" w:rsidRDefault="005A779B" w:rsidP="00485ED6">
            <w:pPr>
              <w:jc w:val="center"/>
              <w:rPr>
                <w:sz w:val="20"/>
                <w:szCs w:val="20"/>
              </w:rPr>
            </w:pPr>
          </w:p>
        </w:tc>
        <w:tc>
          <w:tcPr>
            <w:tcW w:w="3716" w:type="dxa"/>
          </w:tcPr>
          <w:p w14:paraId="0A4C69AE" w14:textId="77777777" w:rsidR="005A779B" w:rsidRPr="00485ED6" w:rsidRDefault="005A779B" w:rsidP="00485ED6">
            <w:pPr>
              <w:rPr>
                <w:i/>
                <w:sz w:val="20"/>
                <w:szCs w:val="20"/>
              </w:rPr>
            </w:pPr>
          </w:p>
        </w:tc>
        <w:tc>
          <w:tcPr>
            <w:tcW w:w="714" w:type="dxa"/>
          </w:tcPr>
          <w:p w14:paraId="307EDC41" w14:textId="77777777" w:rsidR="005A779B" w:rsidRPr="00485ED6" w:rsidRDefault="005A779B" w:rsidP="00485ED6">
            <w:pPr>
              <w:jc w:val="center"/>
            </w:pPr>
          </w:p>
        </w:tc>
      </w:tr>
      <w:tr w:rsidR="00485ED6" w:rsidRPr="00485ED6" w14:paraId="6623D083" w14:textId="77777777" w:rsidTr="005A779B">
        <w:trPr>
          <w:trHeight w:val="877"/>
        </w:trPr>
        <w:tc>
          <w:tcPr>
            <w:tcW w:w="4783" w:type="dxa"/>
          </w:tcPr>
          <w:p w14:paraId="1612C2C0" w14:textId="77777777" w:rsidR="00485ED6" w:rsidRPr="00485ED6" w:rsidRDefault="00485ED6" w:rsidP="00485ED6">
            <w:pPr>
              <w:rPr>
                <w:i/>
                <w:sz w:val="20"/>
                <w:szCs w:val="20"/>
              </w:rPr>
            </w:pPr>
            <w:r w:rsidRPr="00485ED6">
              <w:rPr>
                <w:i/>
                <w:sz w:val="20"/>
                <w:szCs w:val="20"/>
              </w:rPr>
              <w:t xml:space="preserve">Indicator meets criteria </w:t>
            </w:r>
            <w:proofErr w:type="gramStart"/>
            <w:r w:rsidRPr="00485ED6">
              <w:rPr>
                <w:i/>
                <w:sz w:val="20"/>
                <w:szCs w:val="20"/>
              </w:rPr>
              <w:t>for :</w:t>
            </w:r>
            <w:proofErr w:type="gramEnd"/>
          </w:p>
          <w:p w14:paraId="68C608CE" w14:textId="77777777" w:rsidR="00485ED6" w:rsidRPr="00485ED6" w:rsidRDefault="00485ED6" w:rsidP="00485ED6">
            <w:pPr>
              <w:rPr>
                <w:sz w:val="20"/>
                <w:szCs w:val="20"/>
              </w:rPr>
            </w:pPr>
            <w:r w:rsidRPr="00485ED6">
              <w:rPr>
                <w:sz w:val="20"/>
                <w:szCs w:val="20"/>
              </w:rPr>
              <w:t xml:space="preserve">Indicator definition </w:t>
            </w:r>
            <w:proofErr w:type="spellStart"/>
            <w:r w:rsidRPr="00485ED6">
              <w:rPr>
                <w:sz w:val="20"/>
                <w:szCs w:val="20"/>
              </w:rPr>
              <w:t>self explanatory</w:t>
            </w:r>
            <w:proofErr w:type="spellEnd"/>
            <w:r w:rsidRPr="00485ED6">
              <w:rPr>
                <w:sz w:val="20"/>
                <w:szCs w:val="20"/>
              </w:rPr>
              <w:t xml:space="preserve"> </w:t>
            </w:r>
          </w:p>
          <w:p w14:paraId="104CA480" w14:textId="77777777" w:rsidR="00485ED6" w:rsidRPr="00485ED6" w:rsidRDefault="00485ED6" w:rsidP="00485ED6">
            <w:pPr>
              <w:rPr>
                <w:sz w:val="20"/>
                <w:szCs w:val="20"/>
              </w:rPr>
            </w:pPr>
            <w:r w:rsidRPr="00485ED6">
              <w:rPr>
                <w:sz w:val="20"/>
                <w:szCs w:val="20"/>
              </w:rPr>
              <w:t xml:space="preserve">Indicator definition in plain English, suitable for publishing to all audiences </w:t>
            </w:r>
          </w:p>
          <w:p w14:paraId="674F77EC" w14:textId="77777777" w:rsidR="00485ED6" w:rsidRPr="00485ED6" w:rsidRDefault="00485ED6" w:rsidP="00485ED6">
            <w:pPr>
              <w:rPr>
                <w:sz w:val="20"/>
                <w:szCs w:val="20"/>
              </w:rPr>
            </w:pPr>
            <w:r w:rsidRPr="00485ED6">
              <w:rPr>
                <w:sz w:val="20"/>
                <w:szCs w:val="20"/>
              </w:rPr>
              <w:t>Indicator definition with clear measurement units</w:t>
            </w:r>
          </w:p>
          <w:p w14:paraId="6EB88621" w14:textId="77777777" w:rsidR="00485ED6" w:rsidRPr="00485ED6" w:rsidRDefault="00485ED6" w:rsidP="00485ED6">
            <w:pPr>
              <w:rPr>
                <w:sz w:val="20"/>
                <w:szCs w:val="20"/>
              </w:rPr>
            </w:pPr>
            <w:r w:rsidRPr="00485ED6">
              <w:rPr>
                <w:sz w:val="20"/>
                <w:szCs w:val="20"/>
              </w:rPr>
              <w:t>Indicator definition with clear scope (</w:t>
            </w:r>
            <w:proofErr w:type="spellStart"/>
            <w:r w:rsidRPr="00485ED6">
              <w:rPr>
                <w:sz w:val="20"/>
                <w:szCs w:val="20"/>
              </w:rPr>
              <w:t>geog</w:t>
            </w:r>
            <w:proofErr w:type="spellEnd"/>
            <w:r w:rsidRPr="00485ED6">
              <w:rPr>
                <w:sz w:val="20"/>
                <w:szCs w:val="20"/>
              </w:rPr>
              <w:t>, age, sex)</w:t>
            </w:r>
          </w:p>
          <w:p w14:paraId="37FE8152" w14:textId="77777777" w:rsidR="00485ED6" w:rsidRPr="00485ED6" w:rsidRDefault="00485ED6" w:rsidP="00485ED6">
            <w:pPr>
              <w:rPr>
                <w:sz w:val="20"/>
                <w:szCs w:val="20"/>
              </w:rPr>
            </w:pPr>
            <w:r w:rsidRPr="00485ED6">
              <w:rPr>
                <w:sz w:val="20"/>
                <w:szCs w:val="20"/>
              </w:rPr>
              <w:t xml:space="preserve">Data source available </w:t>
            </w:r>
          </w:p>
          <w:p w14:paraId="39B3FED5" w14:textId="77777777" w:rsidR="00485ED6" w:rsidRPr="00485ED6" w:rsidRDefault="00485ED6" w:rsidP="00485ED6">
            <w:pPr>
              <w:rPr>
                <w:sz w:val="20"/>
                <w:szCs w:val="20"/>
              </w:rPr>
            </w:pPr>
            <w:r w:rsidRPr="00485ED6">
              <w:rPr>
                <w:sz w:val="20"/>
                <w:szCs w:val="20"/>
              </w:rPr>
              <w:t xml:space="preserve">Data source suitable </w:t>
            </w:r>
          </w:p>
          <w:p w14:paraId="4943F544" w14:textId="77777777" w:rsidR="00485ED6" w:rsidRPr="00485ED6" w:rsidRDefault="00485ED6" w:rsidP="00485ED6">
            <w:pPr>
              <w:rPr>
                <w:sz w:val="20"/>
                <w:szCs w:val="20"/>
              </w:rPr>
            </w:pPr>
            <w:r w:rsidRPr="00485ED6">
              <w:rPr>
                <w:sz w:val="20"/>
                <w:szCs w:val="20"/>
              </w:rPr>
              <w:t xml:space="preserve">Indicator is unique </w:t>
            </w:r>
          </w:p>
          <w:p w14:paraId="4F24FAE8" w14:textId="77777777" w:rsidR="00485ED6" w:rsidRPr="00485ED6" w:rsidRDefault="00485ED6" w:rsidP="00485ED6">
            <w:pPr>
              <w:rPr>
                <w:sz w:val="20"/>
                <w:szCs w:val="20"/>
              </w:rPr>
            </w:pPr>
            <w:r w:rsidRPr="00485ED6">
              <w:rPr>
                <w:sz w:val="20"/>
                <w:szCs w:val="20"/>
              </w:rPr>
              <w:t>Face validity of concept and indicator use</w:t>
            </w:r>
          </w:p>
          <w:p w14:paraId="7601CD5C" w14:textId="58BA81E1" w:rsidR="00485ED6" w:rsidRPr="00485ED6" w:rsidRDefault="00485ED6" w:rsidP="00485ED6">
            <w:pPr>
              <w:rPr>
                <w:i/>
                <w:sz w:val="20"/>
                <w:szCs w:val="20"/>
              </w:rPr>
            </w:pPr>
            <w:r w:rsidRPr="00485ED6">
              <w:rPr>
                <w:b/>
                <w:sz w:val="20"/>
                <w:szCs w:val="20"/>
              </w:rPr>
              <w:t>Information complete - proceed</w:t>
            </w:r>
          </w:p>
        </w:tc>
        <w:tc>
          <w:tcPr>
            <w:tcW w:w="617" w:type="dxa"/>
          </w:tcPr>
          <w:p w14:paraId="0615684A" w14:textId="77777777" w:rsidR="00485ED6" w:rsidRPr="00485ED6" w:rsidRDefault="00485ED6" w:rsidP="00485ED6">
            <w:pPr>
              <w:jc w:val="center"/>
              <w:rPr>
                <w:sz w:val="20"/>
                <w:szCs w:val="20"/>
              </w:rPr>
            </w:pPr>
          </w:p>
          <w:bookmarkStart w:id="5" w:name="Check76"/>
          <w:p w14:paraId="7E4E804C" w14:textId="77777777" w:rsidR="00485ED6" w:rsidRPr="00485ED6" w:rsidRDefault="00485ED6" w:rsidP="00485ED6">
            <w:pPr>
              <w:jc w:val="center"/>
              <w:rPr>
                <w:sz w:val="20"/>
                <w:szCs w:val="20"/>
              </w:rPr>
            </w:pPr>
            <w:r w:rsidRPr="00485ED6">
              <w:rPr>
                <w:sz w:val="20"/>
                <w:szCs w:val="20"/>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5"/>
          </w:p>
          <w:p w14:paraId="249CE443" w14:textId="77777777" w:rsidR="00485ED6" w:rsidRPr="00485ED6" w:rsidRDefault="00485ED6" w:rsidP="00485ED6">
            <w:pPr>
              <w:jc w:val="center"/>
              <w:rPr>
                <w:sz w:val="20"/>
                <w:szCs w:val="20"/>
              </w:rPr>
            </w:pPr>
          </w:p>
          <w:p w14:paraId="31EDB389" w14:textId="77777777" w:rsidR="00485ED6" w:rsidRPr="00485ED6" w:rsidRDefault="00485ED6" w:rsidP="00485ED6">
            <w:pPr>
              <w:jc w:val="center"/>
              <w:rPr>
                <w:sz w:val="20"/>
                <w:szCs w:val="20"/>
              </w:rPr>
            </w:pPr>
            <w:r w:rsidRPr="00485ED6">
              <w:rPr>
                <w:sz w:val="20"/>
                <w:szCs w:val="20"/>
              </w:rPr>
              <w:fldChar w:fldCharType="begin">
                <w:ffData>
                  <w:name w:val="Check77"/>
                  <w:enabled/>
                  <w:calcOnExit w:val="0"/>
                  <w:checkBox>
                    <w:sizeAuto/>
                    <w:default w:val="0"/>
                  </w:checkBox>
                </w:ffData>
              </w:fldChar>
            </w:r>
            <w:bookmarkStart w:id="6" w:name="Check77"/>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6"/>
          </w:p>
          <w:bookmarkStart w:id="7" w:name="Check78"/>
          <w:p w14:paraId="070D5668" w14:textId="77777777" w:rsidR="00485ED6" w:rsidRPr="00485ED6" w:rsidRDefault="00485ED6" w:rsidP="00485ED6">
            <w:pPr>
              <w:jc w:val="center"/>
              <w:rPr>
                <w:sz w:val="20"/>
                <w:szCs w:val="20"/>
              </w:rPr>
            </w:pPr>
            <w:r w:rsidRPr="00485ED6">
              <w:rPr>
                <w:sz w:val="20"/>
                <w:szCs w:val="20"/>
              </w:rPr>
              <w:fldChar w:fldCharType="begin">
                <w:ffData>
                  <w:name w:val="Check78"/>
                  <w:enabled/>
                  <w:calcOnExit w:val="0"/>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7"/>
          </w:p>
          <w:p w14:paraId="25B879C6" w14:textId="77777777" w:rsidR="00485ED6" w:rsidRPr="00485ED6" w:rsidRDefault="00485ED6" w:rsidP="00485ED6">
            <w:pPr>
              <w:jc w:val="center"/>
              <w:rPr>
                <w:sz w:val="20"/>
                <w:szCs w:val="20"/>
              </w:rPr>
            </w:pPr>
            <w:r w:rsidRPr="00485ED6">
              <w:rPr>
                <w:sz w:val="20"/>
                <w:szCs w:val="20"/>
              </w:rPr>
              <w:fldChar w:fldCharType="begin">
                <w:ffData>
                  <w:name w:val="Check71"/>
                  <w:enabled/>
                  <w:calcOnExit w:val="0"/>
                  <w:checkBox>
                    <w:sizeAuto/>
                    <w:default w:val="0"/>
                  </w:checkBox>
                </w:ffData>
              </w:fldChar>
            </w:r>
            <w:bookmarkStart w:id="8" w:name="Check71"/>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8"/>
          </w:p>
          <w:p w14:paraId="312457EE" w14:textId="77777777" w:rsidR="00485ED6" w:rsidRPr="00485ED6" w:rsidRDefault="00485ED6" w:rsidP="00485ED6">
            <w:pPr>
              <w:jc w:val="center"/>
              <w:rPr>
                <w:sz w:val="20"/>
                <w:szCs w:val="20"/>
              </w:rPr>
            </w:pPr>
            <w:r w:rsidRPr="00485ED6">
              <w:rPr>
                <w:sz w:val="20"/>
                <w:szCs w:val="20"/>
              </w:rPr>
              <w:fldChar w:fldCharType="begin">
                <w:ffData>
                  <w:name w:val="Check72"/>
                  <w:enabled/>
                  <w:calcOnExit w:val="0"/>
                  <w:checkBox>
                    <w:sizeAuto/>
                    <w:default w:val="0"/>
                  </w:checkBox>
                </w:ffData>
              </w:fldChar>
            </w:r>
            <w:bookmarkStart w:id="9" w:name="Check72"/>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9"/>
          </w:p>
          <w:p w14:paraId="5A4E0560" w14:textId="77777777" w:rsidR="00485ED6" w:rsidRPr="00485ED6" w:rsidRDefault="00485ED6" w:rsidP="00485ED6">
            <w:pPr>
              <w:jc w:val="center"/>
              <w:rPr>
                <w:sz w:val="20"/>
                <w:szCs w:val="20"/>
              </w:rPr>
            </w:pPr>
            <w:r w:rsidRPr="00485ED6">
              <w:rPr>
                <w:sz w:val="20"/>
                <w:szCs w:val="20"/>
              </w:rPr>
              <w:fldChar w:fldCharType="begin">
                <w:ffData>
                  <w:name w:val="Check73"/>
                  <w:enabled/>
                  <w:calcOnExit w:val="0"/>
                  <w:checkBox>
                    <w:sizeAuto/>
                    <w:default w:val="0"/>
                  </w:checkBox>
                </w:ffData>
              </w:fldChar>
            </w:r>
            <w:bookmarkStart w:id="10" w:name="Check73"/>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10"/>
          </w:p>
          <w:p w14:paraId="7E310B63" w14:textId="77777777" w:rsidR="00485ED6" w:rsidRPr="00485ED6" w:rsidRDefault="00485ED6" w:rsidP="00485ED6">
            <w:pPr>
              <w:jc w:val="center"/>
              <w:rPr>
                <w:sz w:val="20"/>
                <w:szCs w:val="20"/>
              </w:rPr>
            </w:pPr>
            <w:r w:rsidRPr="00485ED6">
              <w:rPr>
                <w:sz w:val="20"/>
                <w:szCs w:val="20"/>
              </w:rPr>
              <w:fldChar w:fldCharType="begin">
                <w:ffData>
                  <w:name w:val="Check27"/>
                  <w:enabled/>
                  <w:calcOnExit w:val="0"/>
                  <w:checkBox>
                    <w:sizeAuto/>
                    <w:default w:val="0"/>
                  </w:checkBox>
                </w:ffData>
              </w:fldChar>
            </w:r>
            <w:bookmarkStart w:id="11" w:name="Check27"/>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11"/>
          </w:p>
          <w:p w14:paraId="3A8EDB29" w14:textId="77777777" w:rsidR="00485ED6" w:rsidRPr="00485ED6" w:rsidRDefault="00485ED6" w:rsidP="00485ED6">
            <w:pPr>
              <w:jc w:val="center"/>
              <w:rPr>
                <w:sz w:val="20"/>
                <w:szCs w:val="20"/>
              </w:rPr>
            </w:pPr>
            <w:r w:rsidRPr="00485ED6">
              <w:rPr>
                <w:sz w:val="20"/>
                <w:szCs w:val="20"/>
              </w:rPr>
              <w:fldChar w:fldCharType="begin">
                <w:ffData>
                  <w:name w:val="Check82"/>
                  <w:enabled/>
                  <w:calcOnExit w:val="0"/>
                  <w:checkBox>
                    <w:sizeAuto/>
                    <w:default w:val="0"/>
                  </w:checkBox>
                </w:ffData>
              </w:fldChar>
            </w:r>
            <w:bookmarkStart w:id="12" w:name="Check82"/>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12"/>
          </w:p>
          <w:p w14:paraId="157A9A06" w14:textId="77777777" w:rsidR="00485ED6" w:rsidRPr="00485ED6" w:rsidRDefault="00485ED6" w:rsidP="00485ED6">
            <w:pPr>
              <w:jc w:val="center"/>
              <w:rPr>
                <w:sz w:val="20"/>
                <w:szCs w:val="20"/>
              </w:rPr>
            </w:pPr>
            <w:r w:rsidRPr="00485ED6">
              <w:rPr>
                <w:sz w:val="20"/>
                <w:szCs w:val="20"/>
              </w:rPr>
              <w:fldChar w:fldCharType="begin">
                <w:ffData>
                  <w:name w:val="Check89"/>
                  <w:enabled/>
                  <w:calcOnExit w:val="0"/>
                  <w:checkBox>
                    <w:sizeAuto/>
                    <w:default w:val="0"/>
                  </w:checkBox>
                </w:ffData>
              </w:fldChar>
            </w:r>
            <w:bookmarkStart w:id="13" w:name="Check89"/>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13"/>
          </w:p>
          <w:bookmarkStart w:id="14" w:name="Check90"/>
          <w:p w14:paraId="3E302A33" w14:textId="1B73A1C3" w:rsidR="00485ED6" w:rsidRPr="00485ED6" w:rsidRDefault="00485ED6" w:rsidP="00485ED6">
            <w:pPr>
              <w:jc w:val="center"/>
              <w:rPr>
                <w:sz w:val="20"/>
                <w:szCs w:val="20"/>
              </w:rPr>
            </w:pPr>
            <w:r w:rsidRPr="00485ED6">
              <w:rPr>
                <w:sz w:val="20"/>
                <w:szCs w:val="20"/>
              </w:rPr>
              <w:fldChar w:fldCharType="begin">
                <w:ffData>
                  <w:name w:val="Check90"/>
                  <w:enabled/>
                  <w:calcOnExit w:val="0"/>
                  <w:helpText w:type="text" w:val="This means we have enough information to proceed, not that the indicator will be rated as high quality"/>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14"/>
          </w:p>
        </w:tc>
        <w:tc>
          <w:tcPr>
            <w:tcW w:w="3716" w:type="dxa"/>
          </w:tcPr>
          <w:p w14:paraId="3E11778D" w14:textId="77777777" w:rsidR="00485ED6" w:rsidRPr="00485ED6" w:rsidRDefault="00485ED6" w:rsidP="00485ED6">
            <w:pPr>
              <w:rPr>
                <w:i/>
                <w:sz w:val="20"/>
                <w:szCs w:val="20"/>
              </w:rPr>
            </w:pPr>
            <w:r w:rsidRPr="00485ED6">
              <w:rPr>
                <w:i/>
                <w:sz w:val="20"/>
                <w:szCs w:val="20"/>
              </w:rPr>
              <w:t>Requires revision for following reasons:</w:t>
            </w:r>
          </w:p>
          <w:p w14:paraId="3F244187" w14:textId="77777777" w:rsidR="00485ED6" w:rsidRPr="00485ED6" w:rsidRDefault="00485ED6" w:rsidP="00485ED6">
            <w:pPr>
              <w:rPr>
                <w:sz w:val="20"/>
                <w:szCs w:val="20"/>
              </w:rPr>
            </w:pPr>
            <w:r w:rsidRPr="00485ED6">
              <w:rPr>
                <w:sz w:val="20"/>
                <w:szCs w:val="20"/>
              </w:rPr>
              <w:t>Title not confined to concept only</w:t>
            </w:r>
          </w:p>
          <w:p w14:paraId="6CF2A1B2" w14:textId="77777777" w:rsidR="00485ED6" w:rsidRPr="00485ED6" w:rsidRDefault="00485ED6" w:rsidP="00485ED6">
            <w:pPr>
              <w:rPr>
                <w:sz w:val="20"/>
                <w:szCs w:val="20"/>
              </w:rPr>
            </w:pPr>
            <w:r w:rsidRPr="00485ED6">
              <w:rPr>
                <w:sz w:val="20"/>
                <w:szCs w:val="20"/>
              </w:rPr>
              <w:t xml:space="preserve">Use of acronyms                         </w:t>
            </w:r>
          </w:p>
          <w:p w14:paraId="333218B5" w14:textId="77777777" w:rsidR="00485ED6" w:rsidRPr="00485ED6" w:rsidRDefault="00485ED6" w:rsidP="00485ED6">
            <w:pPr>
              <w:tabs>
                <w:tab w:val="left" w:pos="3237"/>
              </w:tabs>
              <w:rPr>
                <w:sz w:val="20"/>
                <w:szCs w:val="20"/>
              </w:rPr>
            </w:pPr>
            <w:r w:rsidRPr="00485ED6">
              <w:rPr>
                <w:sz w:val="20"/>
                <w:szCs w:val="20"/>
              </w:rPr>
              <w:t>Definition needs more detail on:</w:t>
            </w:r>
          </w:p>
          <w:p w14:paraId="23EAB916" w14:textId="77777777" w:rsidR="00485ED6" w:rsidRPr="00485ED6" w:rsidRDefault="00485ED6" w:rsidP="00485ED6">
            <w:pPr>
              <w:tabs>
                <w:tab w:val="left" w:pos="3237"/>
              </w:tabs>
              <w:rPr>
                <w:sz w:val="20"/>
                <w:szCs w:val="20"/>
              </w:rPr>
            </w:pPr>
            <w:r w:rsidRPr="00485ED6">
              <w:rPr>
                <w:sz w:val="20"/>
                <w:szCs w:val="20"/>
              </w:rPr>
              <w:t>- calculations</w:t>
            </w:r>
          </w:p>
          <w:p w14:paraId="7ECB58F4" w14:textId="77777777" w:rsidR="00485ED6" w:rsidRPr="00485ED6" w:rsidRDefault="00485ED6" w:rsidP="00485ED6">
            <w:pPr>
              <w:tabs>
                <w:tab w:val="left" w:pos="3237"/>
              </w:tabs>
              <w:rPr>
                <w:sz w:val="20"/>
                <w:szCs w:val="20"/>
              </w:rPr>
            </w:pPr>
            <w:r w:rsidRPr="00485ED6">
              <w:rPr>
                <w:sz w:val="20"/>
                <w:szCs w:val="20"/>
              </w:rPr>
              <w:t xml:space="preserve">- data sources   </w:t>
            </w:r>
          </w:p>
          <w:p w14:paraId="5A209248" w14:textId="77777777" w:rsidR="00485ED6" w:rsidRPr="00485ED6" w:rsidRDefault="00485ED6" w:rsidP="00485ED6">
            <w:pPr>
              <w:rPr>
                <w:sz w:val="20"/>
                <w:szCs w:val="20"/>
              </w:rPr>
            </w:pPr>
            <w:r w:rsidRPr="00485ED6">
              <w:rPr>
                <w:sz w:val="20"/>
                <w:szCs w:val="20"/>
              </w:rPr>
              <w:t xml:space="preserve">- geographical coverage </w:t>
            </w:r>
          </w:p>
          <w:p w14:paraId="2E98C7EC" w14:textId="77777777" w:rsidR="00485ED6" w:rsidRPr="00485ED6" w:rsidRDefault="00485ED6" w:rsidP="00485ED6">
            <w:pPr>
              <w:rPr>
                <w:sz w:val="20"/>
                <w:szCs w:val="20"/>
              </w:rPr>
            </w:pPr>
            <w:r w:rsidRPr="00485ED6">
              <w:rPr>
                <w:sz w:val="20"/>
                <w:szCs w:val="20"/>
              </w:rPr>
              <w:t xml:space="preserve">- patient/population groups  </w:t>
            </w:r>
          </w:p>
          <w:p w14:paraId="363A7490" w14:textId="77777777" w:rsidR="00485ED6" w:rsidRPr="00485ED6" w:rsidRDefault="00485ED6" w:rsidP="00485ED6">
            <w:pPr>
              <w:rPr>
                <w:sz w:val="20"/>
                <w:szCs w:val="20"/>
              </w:rPr>
            </w:pPr>
            <w:r w:rsidRPr="00485ED6">
              <w:rPr>
                <w:sz w:val="20"/>
                <w:szCs w:val="20"/>
              </w:rPr>
              <w:t>Insufficient information about data source</w:t>
            </w:r>
          </w:p>
          <w:p w14:paraId="7B968B41" w14:textId="77777777" w:rsidR="00485ED6" w:rsidRPr="00485ED6" w:rsidRDefault="00485ED6" w:rsidP="00485ED6">
            <w:pPr>
              <w:rPr>
                <w:sz w:val="20"/>
                <w:szCs w:val="20"/>
              </w:rPr>
            </w:pPr>
            <w:r w:rsidRPr="00485ED6">
              <w:rPr>
                <w:sz w:val="20"/>
                <w:szCs w:val="20"/>
              </w:rPr>
              <w:t>Insufficient exploration of overlap</w:t>
            </w:r>
          </w:p>
          <w:p w14:paraId="58CFB008" w14:textId="59693FBD" w:rsidR="00485ED6" w:rsidRPr="00485ED6" w:rsidRDefault="00485ED6" w:rsidP="00485ED6">
            <w:pPr>
              <w:rPr>
                <w:i/>
                <w:sz w:val="20"/>
                <w:szCs w:val="20"/>
              </w:rPr>
            </w:pPr>
            <w:r w:rsidRPr="00485ED6">
              <w:rPr>
                <w:sz w:val="20"/>
                <w:szCs w:val="20"/>
              </w:rPr>
              <w:t>Insufficient information about indicator use</w:t>
            </w:r>
          </w:p>
        </w:tc>
        <w:tc>
          <w:tcPr>
            <w:tcW w:w="714" w:type="dxa"/>
          </w:tcPr>
          <w:p w14:paraId="35BF0AB4" w14:textId="77777777" w:rsidR="00485ED6" w:rsidRPr="00485ED6" w:rsidRDefault="00485ED6" w:rsidP="00485ED6">
            <w:pPr>
              <w:jc w:val="center"/>
            </w:pPr>
          </w:p>
          <w:p w14:paraId="7D0A7B72" w14:textId="77777777" w:rsidR="00485ED6" w:rsidRPr="00485ED6" w:rsidRDefault="00485ED6" w:rsidP="00485ED6">
            <w:pPr>
              <w:jc w:val="center"/>
              <w:rPr>
                <w:sz w:val="20"/>
                <w:szCs w:val="20"/>
              </w:rPr>
            </w:pPr>
          </w:p>
          <w:p w14:paraId="162EBF60" w14:textId="77777777" w:rsidR="00485ED6" w:rsidRPr="00485ED6" w:rsidRDefault="00485ED6" w:rsidP="00485ED6">
            <w:pPr>
              <w:jc w:val="center"/>
              <w:rPr>
                <w:sz w:val="20"/>
                <w:szCs w:val="20"/>
              </w:rPr>
            </w:pPr>
            <w:r w:rsidRPr="00485ED6">
              <w:rPr>
                <w:sz w:val="20"/>
                <w:szCs w:val="20"/>
              </w:rPr>
              <w:fldChar w:fldCharType="begin">
                <w:ffData>
                  <w:name w:val="Check28"/>
                  <w:enabled/>
                  <w:calcOnExit w:val="0"/>
                  <w:checkBox>
                    <w:sizeAuto/>
                    <w:default w:val="0"/>
                  </w:checkBox>
                </w:ffData>
              </w:fldChar>
            </w:r>
            <w:bookmarkStart w:id="15" w:name="Check28"/>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15"/>
          </w:p>
          <w:p w14:paraId="1A707C33" w14:textId="77777777" w:rsidR="00485ED6" w:rsidRPr="00485ED6" w:rsidRDefault="00485ED6" w:rsidP="00485ED6">
            <w:pPr>
              <w:jc w:val="center"/>
              <w:rPr>
                <w:sz w:val="20"/>
                <w:szCs w:val="20"/>
              </w:rPr>
            </w:pPr>
            <w:r w:rsidRPr="00485ED6">
              <w:rPr>
                <w:sz w:val="20"/>
                <w:szCs w:val="20"/>
              </w:rPr>
              <w:fldChar w:fldCharType="begin">
                <w:ffData>
                  <w:name w:val="Check29"/>
                  <w:enabled/>
                  <w:calcOnExit w:val="0"/>
                  <w:checkBox>
                    <w:sizeAuto/>
                    <w:default w:val="0"/>
                  </w:checkBox>
                </w:ffData>
              </w:fldChar>
            </w:r>
            <w:bookmarkStart w:id="16" w:name="Check29"/>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16"/>
          </w:p>
          <w:p w14:paraId="68597E73" w14:textId="77777777" w:rsidR="00485ED6" w:rsidRPr="00485ED6" w:rsidRDefault="00485ED6" w:rsidP="00485ED6">
            <w:pPr>
              <w:jc w:val="center"/>
              <w:rPr>
                <w:sz w:val="20"/>
                <w:szCs w:val="20"/>
              </w:rPr>
            </w:pPr>
          </w:p>
          <w:p w14:paraId="4C54FE62" w14:textId="77777777" w:rsidR="00485ED6" w:rsidRPr="00485ED6" w:rsidRDefault="00485ED6" w:rsidP="00485ED6">
            <w:pPr>
              <w:jc w:val="center"/>
              <w:rPr>
                <w:sz w:val="20"/>
                <w:szCs w:val="20"/>
              </w:rPr>
            </w:pPr>
            <w:r w:rsidRPr="00485ED6">
              <w:rPr>
                <w:sz w:val="20"/>
                <w:szCs w:val="20"/>
              </w:rPr>
              <w:fldChar w:fldCharType="begin">
                <w:ffData>
                  <w:name w:val="Check30"/>
                  <w:enabled/>
                  <w:calcOnExit w:val="0"/>
                  <w:checkBox>
                    <w:sizeAuto/>
                    <w:default w:val="0"/>
                  </w:checkBox>
                </w:ffData>
              </w:fldChar>
            </w:r>
            <w:bookmarkStart w:id="17" w:name="Check30"/>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17"/>
          </w:p>
          <w:p w14:paraId="73AFD20F" w14:textId="77777777" w:rsidR="00485ED6" w:rsidRPr="00485ED6" w:rsidRDefault="00485ED6" w:rsidP="00485ED6">
            <w:pPr>
              <w:jc w:val="center"/>
              <w:rPr>
                <w:sz w:val="20"/>
                <w:szCs w:val="20"/>
              </w:rPr>
            </w:pPr>
            <w:r w:rsidRPr="00485ED6">
              <w:rPr>
                <w:sz w:val="20"/>
                <w:szCs w:val="20"/>
              </w:rPr>
              <w:fldChar w:fldCharType="begin">
                <w:ffData>
                  <w:name w:val="Check31"/>
                  <w:enabled/>
                  <w:calcOnExit w:val="0"/>
                  <w:checkBox>
                    <w:sizeAuto/>
                    <w:default w:val="0"/>
                  </w:checkBox>
                </w:ffData>
              </w:fldChar>
            </w:r>
            <w:bookmarkStart w:id="18" w:name="Check31"/>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18"/>
          </w:p>
          <w:p w14:paraId="3B1A8F32" w14:textId="77777777" w:rsidR="00485ED6" w:rsidRPr="00485ED6" w:rsidRDefault="00485ED6" w:rsidP="00485ED6">
            <w:pPr>
              <w:jc w:val="center"/>
              <w:rPr>
                <w:sz w:val="20"/>
                <w:szCs w:val="20"/>
              </w:rPr>
            </w:pPr>
            <w:r w:rsidRPr="00485ED6">
              <w:rPr>
                <w:sz w:val="20"/>
                <w:szCs w:val="20"/>
              </w:rPr>
              <w:fldChar w:fldCharType="begin">
                <w:ffData>
                  <w:name w:val="Check52"/>
                  <w:enabled/>
                  <w:calcOnExit w:val="0"/>
                  <w:checkBox>
                    <w:sizeAuto/>
                    <w:default w:val="0"/>
                  </w:checkBox>
                </w:ffData>
              </w:fldChar>
            </w:r>
            <w:bookmarkStart w:id="19" w:name="Check52"/>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19"/>
          </w:p>
          <w:p w14:paraId="04F453D9" w14:textId="77777777" w:rsidR="00485ED6" w:rsidRPr="00485ED6" w:rsidRDefault="00485ED6" w:rsidP="00485ED6">
            <w:pPr>
              <w:jc w:val="center"/>
              <w:rPr>
                <w:sz w:val="20"/>
                <w:szCs w:val="20"/>
              </w:rPr>
            </w:pPr>
            <w:r w:rsidRPr="00485ED6">
              <w:rPr>
                <w:sz w:val="20"/>
                <w:szCs w:val="20"/>
              </w:rPr>
              <w:fldChar w:fldCharType="begin">
                <w:ffData>
                  <w:name w:val="Check54"/>
                  <w:enabled/>
                  <w:calcOnExit w:val="0"/>
                  <w:checkBox>
                    <w:sizeAuto/>
                    <w:default w:val="0"/>
                  </w:checkBox>
                </w:ffData>
              </w:fldChar>
            </w:r>
            <w:bookmarkStart w:id="20" w:name="Check54"/>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20"/>
          </w:p>
          <w:p w14:paraId="2C4167C7" w14:textId="77777777" w:rsidR="00485ED6" w:rsidRPr="00485ED6" w:rsidRDefault="00485ED6" w:rsidP="00485ED6">
            <w:pPr>
              <w:jc w:val="center"/>
              <w:rPr>
                <w:sz w:val="20"/>
                <w:szCs w:val="20"/>
              </w:rPr>
            </w:pPr>
            <w:r w:rsidRPr="00485ED6">
              <w:rPr>
                <w:sz w:val="20"/>
                <w:szCs w:val="20"/>
              </w:rPr>
              <w:fldChar w:fldCharType="begin">
                <w:ffData>
                  <w:name w:val="Check74"/>
                  <w:enabled/>
                  <w:calcOnExit w:val="0"/>
                  <w:checkBox>
                    <w:sizeAuto/>
                    <w:default w:val="0"/>
                  </w:checkBox>
                </w:ffData>
              </w:fldChar>
            </w:r>
            <w:bookmarkStart w:id="21" w:name="Check74"/>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21"/>
          </w:p>
          <w:p w14:paraId="6436FCC1" w14:textId="77777777" w:rsidR="00485ED6" w:rsidRPr="00485ED6" w:rsidRDefault="00485ED6" w:rsidP="00485ED6">
            <w:pPr>
              <w:jc w:val="center"/>
              <w:rPr>
                <w:sz w:val="20"/>
                <w:szCs w:val="20"/>
              </w:rPr>
            </w:pPr>
          </w:p>
          <w:p w14:paraId="32A10404" w14:textId="2C8B728C" w:rsidR="00485ED6" w:rsidRPr="00485ED6" w:rsidRDefault="00485ED6" w:rsidP="00485ED6">
            <w:pPr>
              <w:jc w:val="center"/>
            </w:pPr>
            <w:r w:rsidRPr="00485ED6">
              <w:rPr>
                <w:sz w:val="20"/>
                <w:szCs w:val="20"/>
              </w:rPr>
              <w:fldChar w:fldCharType="begin">
                <w:ffData>
                  <w:name w:val="Check75"/>
                  <w:enabled/>
                  <w:calcOnExit w:val="0"/>
                  <w:checkBox>
                    <w:sizeAuto/>
                    <w:default w:val="0"/>
                  </w:checkBox>
                </w:ffData>
              </w:fldChar>
            </w:r>
            <w:bookmarkStart w:id="22" w:name="Check75"/>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22"/>
          </w:p>
        </w:tc>
      </w:tr>
    </w:tbl>
    <w:p w14:paraId="3E036003" w14:textId="77777777" w:rsidR="00E03AD9" w:rsidRDefault="00E03AD9">
      <w:r>
        <w:br w:type="page"/>
      </w:r>
    </w:p>
    <w:tbl>
      <w:tblPr>
        <w:tblStyle w:val="TableGrid"/>
        <w:tblW w:w="0" w:type="auto"/>
        <w:tblLayout w:type="fixed"/>
        <w:tblLook w:val="0020" w:firstRow="1" w:lastRow="0" w:firstColumn="0" w:lastColumn="0" w:noHBand="0" w:noVBand="0"/>
      </w:tblPr>
      <w:tblGrid>
        <w:gridCol w:w="4610"/>
        <w:gridCol w:w="5220"/>
      </w:tblGrid>
      <w:tr w:rsidR="00485ED6" w:rsidRPr="00485ED6" w14:paraId="36B7C57F" w14:textId="77777777" w:rsidTr="00E03AD9">
        <w:trPr>
          <w:trHeight w:hRule="exact" w:val="367"/>
        </w:trPr>
        <w:tc>
          <w:tcPr>
            <w:tcW w:w="4610" w:type="dxa"/>
          </w:tcPr>
          <w:p w14:paraId="75B0049D" w14:textId="2C6872A8" w:rsidR="00485ED6" w:rsidRPr="00485ED6" w:rsidRDefault="00485ED6" w:rsidP="00485ED6">
            <w:pPr>
              <w:jc w:val="right"/>
            </w:pPr>
            <w:r w:rsidRPr="00485ED6">
              <w:lastRenderedPageBreak/>
              <w:t>Applicant Name</w:t>
            </w:r>
          </w:p>
        </w:tc>
        <w:tc>
          <w:tcPr>
            <w:tcW w:w="5220" w:type="dxa"/>
          </w:tcPr>
          <w:p w14:paraId="7CADE85A" w14:textId="77777777" w:rsidR="00485ED6" w:rsidRPr="00485ED6" w:rsidRDefault="00485ED6" w:rsidP="00485ED6">
            <w:pPr>
              <w:jc w:val="right"/>
            </w:pPr>
            <w:r w:rsidRPr="00485ED6">
              <w:t xml:space="preserve">Sunita Shier       </w:t>
            </w:r>
          </w:p>
        </w:tc>
      </w:tr>
      <w:tr w:rsidR="00485ED6" w:rsidRPr="00485ED6" w14:paraId="13D2AF9C" w14:textId="77777777" w:rsidTr="00E03AD9">
        <w:trPr>
          <w:trHeight w:hRule="exact" w:val="669"/>
        </w:trPr>
        <w:tc>
          <w:tcPr>
            <w:tcW w:w="4610" w:type="dxa"/>
          </w:tcPr>
          <w:p w14:paraId="43207C44" w14:textId="77777777" w:rsidR="00485ED6" w:rsidRPr="00485ED6" w:rsidRDefault="00485ED6" w:rsidP="00485ED6">
            <w:pPr>
              <w:jc w:val="right"/>
            </w:pPr>
            <w:r w:rsidRPr="00485ED6">
              <w:t>Applicant Role</w:t>
            </w:r>
          </w:p>
        </w:tc>
        <w:tc>
          <w:tcPr>
            <w:tcW w:w="5220" w:type="dxa"/>
          </w:tcPr>
          <w:p w14:paraId="504C2274" w14:textId="77777777" w:rsidR="00485ED6" w:rsidRPr="00485ED6" w:rsidRDefault="00485ED6" w:rsidP="00485ED6">
            <w:pPr>
              <w:jc w:val="right"/>
            </w:pPr>
            <w:r w:rsidRPr="00485ED6">
              <w:t>Co-ordinating analyst for NHS outcomes framework</w:t>
            </w:r>
          </w:p>
        </w:tc>
      </w:tr>
      <w:tr w:rsidR="00485ED6" w:rsidRPr="00485ED6" w14:paraId="084A66DA" w14:textId="77777777" w:rsidTr="00E03AD9">
        <w:trPr>
          <w:trHeight w:val="340"/>
        </w:trPr>
        <w:tc>
          <w:tcPr>
            <w:tcW w:w="4610" w:type="dxa"/>
          </w:tcPr>
          <w:p w14:paraId="14A7A3A1" w14:textId="77777777" w:rsidR="00485ED6" w:rsidRPr="00485ED6" w:rsidRDefault="00485ED6" w:rsidP="00485ED6">
            <w:pPr>
              <w:jc w:val="right"/>
            </w:pPr>
            <w:r w:rsidRPr="00485ED6">
              <w:t>Applicant Organisation</w:t>
            </w:r>
          </w:p>
        </w:tc>
        <w:tc>
          <w:tcPr>
            <w:tcW w:w="5220" w:type="dxa"/>
          </w:tcPr>
          <w:p w14:paraId="7E3D148D" w14:textId="77777777" w:rsidR="00485ED6" w:rsidRPr="00485ED6" w:rsidRDefault="00485ED6" w:rsidP="00485ED6">
            <w:pPr>
              <w:jc w:val="right"/>
            </w:pPr>
            <w:r w:rsidRPr="00485ED6">
              <w:t>DH</w:t>
            </w:r>
          </w:p>
        </w:tc>
      </w:tr>
      <w:tr w:rsidR="00485ED6" w:rsidRPr="00485ED6" w14:paraId="6EEC265C" w14:textId="77777777" w:rsidTr="00E03AD9">
        <w:trPr>
          <w:trHeight w:hRule="exact" w:val="369"/>
        </w:trPr>
        <w:tc>
          <w:tcPr>
            <w:tcW w:w="4610" w:type="dxa"/>
          </w:tcPr>
          <w:p w14:paraId="295875F7" w14:textId="77777777" w:rsidR="00485ED6" w:rsidRPr="00485ED6" w:rsidRDefault="00485ED6" w:rsidP="00485ED6">
            <w:pPr>
              <w:jc w:val="right"/>
            </w:pPr>
            <w:r w:rsidRPr="00485ED6">
              <w:t>Applicant Telephone</w:t>
            </w:r>
          </w:p>
        </w:tc>
        <w:tc>
          <w:tcPr>
            <w:tcW w:w="5220" w:type="dxa"/>
          </w:tcPr>
          <w:p w14:paraId="41B2441F" w14:textId="77777777" w:rsidR="00485ED6" w:rsidRPr="00485ED6" w:rsidRDefault="00485ED6" w:rsidP="00485ED6">
            <w:pPr>
              <w:jc w:val="right"/>
            </w:pPr>
            <w:r w:rsidRPr="00485ED6">
              <w:t>0207 972 1560</w:t>
            </w:r>
          </w:p>
        </w:tc>
      </w:tr>
      <w:tr w:rsidR="00485ED6" w:rsidRPr="00485ED6" w14:paraId="2E7748B7" w14:textId="77777777" w:rsidTr="00E03AD9">
        <w:trPr>
          <w:trHeight w:hRule="exact" w:val="351"/>
        </w:trPr>
        <w:tc>
          <w:tcPr>
            <w:tcW w:w="4610" w:type="dxa"/>
          </w:tcPr>
          <w:p w14:paraId="7488941A" w14:textId="77777777" w:rsidR="00485ED6" w:rsidRPr="00485ED6" w:rsidRDefault="00485ED6" w:rsidP="00485ED6">
            <w:pPr>
              <w:jc w:val="right"/>
            </w:pPr>
            <w:r w:rsidRPr="00485ED6">
              <w:t>Applicant Email</w:t>
            </w:r>
          </w:p>
        </w:tc>
        <w:tc>
          <w:tcPr>
            <w:tcW w:w="5220" w:type="dxa"/>
          </w:tcPr>
          <w:p w14:paraId="36A68CE0" w14:textId="77777777" w:rsidR="00485ED6" w:rsidRPr="00485ED6" w:rsidRDefault="00485ED6" w:rsidP="00485ED6">
            <w:pPr>
              <w:jc w:val="right"/>
            </w:pPr>
            <w:r w:rsidRPr="00485ED6">
              <w:t>Sunita.shier@dh.gsi.gov.uk</w:t>
            </w:r>
          </w:p>
        </w:tc>
      </w:tr>
      <w:tr w:rsidR="00485ED6" w:rsidRPr="00485ED6" w14:paraId="766FDBBA" w14:textId="77777777" w:rsidTr="00E03AD9">
        <w:trPr>
          <w:trHeight w:hRule="exact" w:val="376"/>
        </w:trPr>
        <w:tc>
          <w:tcPr>
            <w:tcW w:w="4610" w:type="dxa"/>
          </w:tcPr>
          <w:p w14:paraId="312D5811" w14:textId="77777777" w:rsidR="00485ED6" w:rsidRPr="00485ED6" w:rsidRDefault="00485ED6" w:rsidP="00485ED6">
            <w:pPr>
              <w:jc w:val="right"/>
            </w:pPr>
            <w:r w:rsidRPr="00485ED6">
              <w:t>Indicator Set Name</w:t>
            </w:r>
          </w:p>
        </w:tc>
        <w:tc>
          <w:tcPr>
            <w:tcW w:w="5220" w:type="dxa"/>
          </w:tcPr>
          <w:p w14:paraId="339857DF" w14:textId="77777777" w:rsidR="00485ED6" w:rsidRPr="00485ED6" w:rsidRDefault="00485ED6" w:rsidP="00485ED6">
            <w:pPr>
              <w:jc w:val="right"/>
            </w:pPr>
            <w:r w:rsidRPr="00485ED6">
              <w:t>NHS outcomes framework</w:t>
            </w:r>
          </w:p>
        </w:tc>
      </w:tr>
      <w:tr w:rsidR="00485ED6" w:rsidRPr="00485ED6" w14:paraId="108A8F94" w14:textId="77777777" w:rsidTr="00E03AD9">
        <w:trPr>
          <w:trHeight w:hRule="exact" w:val="376"/>
        </w:trPr>
        <w:tc>
          <w:tcPr>
            <w:tcW w:w="4610" w:type="dxa"/>
          </w:tcPr>
          <w:p w14:paraId="3C4D66FB" w14:textId="77777777" w:rsidR="00485ED6" w:rsidRPr="00485ED6" w:rsidRDefault="00485ED6" w:rsidP="00485ED6">
            <w:pPr>
              <w:jc w:val="right"/>
            </w:pPr>
            <w:r w:rsidRPr="00485ED6">
              <w:t>Sponsor Name</w:t>
            </w:r>
          </w:p>
        </w:tc>
        <w:tc>
          <w:tcPr>
            <w:tcW w:w="5220" w:type="dxa"/>
          </w:tcPr>
          <w:p w14:paraId="00748121" w14:textId="2F746C9E" w:rsidR="00485ED6" w:rsidRPr="00485ED6" w:rsidRDefault="00485ED6" w:rsidP="00485ED6">
            <w:pPr>
              <w:jc w:val="right"/>
            </w:pPr>
          </w:p>
        </w:tc>
      </w:tr>
      <w:tr w:rsidR="00485ED6" w:rsidRPr="00485ED6" w14:paraId="3DC7CF8F" w14:textId="77777777" w:rsidTr="00E03AD9">
        <w:trPr>
          <w:trHeight w:hRule="exact" w:val="357"/>
        </w:trPr>
        <w:tc>
          <w:tcPr>
            <w:tcW w:w="4610" w:type="dxa"/>
          </w:tcPr>
          <w:p w14:paraId="2EB2EA46" w14:textId="77777777" w:rsidR="00485ED6" w:rsidRPr="00485ED6" w:rsidRDefault="00485ED6" w:rsidP="00485ED6">
            <w:pPr>
              <w:jc w:val="right"/>
            </w:pPr>
            <w:r w:rsidRPr="00485ED6">
              <w:t>Sponsor Role</w:t>
            </w:r>
          </w:p>
        </w:tc>
        <w:tc>
          <w:tcPr>
            <w:tcW w:w="5220" w:type="dxa"/>
          </w:tcPr>
          <w:p w14:paraId="20D245AD" w14:textId="77777777" w:rsidR="00485ED6" w:rsidRPr="00485ED6" w:rsidRDefault="00485ED6" w:rsidP="00485ED6">
            <w:pPr>
              <w:jc w:val="right"/>
            </w:pPr>
          </w:p>
        </w:tc>
      </w:tr>
      <w:tr w:rsidR="00485ED6" w:rsidRPr="00485ED6" w14:paraId="0BCC841B" w14:textId="77777777" w:rsidTr="00E03AD9">
        <w:trPr>
          <w:trHeight w:hRule="exact" w:val="376"/>
        </w:trPr>
        <w:tc>
          <w:tcPr>
            <w:tcW w:w="4610" w:type="dxa"/>
          </w:tcPr>
          <w:p w14:paraId="35726AA4" w14:textId="77777777" w:rsidR="00485ED6" w:rsidRPr="00485ED6" w:rsidRDefault="00485ED6" w:rsidP="00485ED6">
            <w:pPr>
              <w:jc w:val="right"/>
            </w:pPr>
            <w:r w:rsidRPr="00485ED6">
              <w:t xml:space="preserve">Sponsor Organisation </w:t>
            </w:r>
          </w:p>
        </w:tc>
        <w:tc>
          <w:tcPr>
            <w:tcW w:w="5220" w:type="dxa"/>
          </w:tcPr>
          <w:p w14:paraId="0171F4E4" w14:textId="77777777" w:rsidR="00485ED6" w:rsidRPr="00485ED6" w:rsidRDefault="00485ED6" w:rsidP="00485ED6">
            <w:pPr>
              <w:jc w:val="right"/>
            </w:pPr>
            <w:r w:rsidRPr="00485ED6">
              <w:t>DH</w:t>
            </w:r>
          </w:p>
        </w:tc>
      </w:tr>
      <w:tr w:rsidR="00485ED6" w:rsidRPr="00485ED6" w14:paraId="3623782D" w14:textId="77777777" w:rsidTr="00E03AD9">
        <w:trPr>
          <w:trHeight w:hRule="exact" w:val="357"/>
        </w:trPr>
        <w:tc>
          <w:tcPr>
            <w:tcW w:w="4610" w:type="dxa"/>
          </w:tcPr>
          <w:p w14:paraId="3FF4B8E8" w14:textId="77777777" w:rsidR="00485ED6" w:rsidRPr="00485ED6" w:rsidRDefault="00485ED6" w:rsidP="00485ED6">
            <w:pPr>
              <w:jc w:val="right"/>
            </w:pPr>
            <w:r w:rsidRPr="00485ED6">
              <w:t>Acknowledgements</w:t>
            </w:r>
          </w:p>
        </w:tc>
        <w:tc>
          <w:tcPr>
            <w:tcW w:w="5220" w:type="dxa"/>
          </w:tcPr>
          <w:p w14:paraId="2A666AFF" w14:textId="77777777" w:rsidR="00485ED6" w:rsidRPr="00485ED6" w:rsidRDefault="00485ED6" w:rsidP="00485ED6">
            <w:pPr>
              <w:jc w:val="right"/>
            </w:pPr>
          </w:p>
        </w:tc>
      </w:tr>
      <w:tr w:rsidR="00485ED6" w:rsidRPr="00485ED6" w14:paraId="1C3A70D0" w14:textId="77777777" w:rsidTr="00E03AD9">
        <w:trPr>
          <w:trHeight w:hRule="exact" w:val="357"/>
        </w:trPr>
        <w:tc>
          <w:tcPr>
            <w:tcW w:w="4610" w:type="dxa"/>
          </w:tcPr>
          <w:p w14:paraId="09C63164" w14:textId="77777777" w:rsidR="00485ED6" w:rsidRPr="00485ED6" w:rsidRDefault="00485ED6" w:rsidP="00485ED6">
            <w:pPr>
              <w:jc w:val="right"/>
            </w:pPr>
            <w:r w:rsidRPr="00485ED6">
              <w:t xml:space="preserve">Other Stakeholder Name </w:t>
            </w:r>
          </w:p>
        </w:tc>
        <w:tc>
          <w:tcPr>
            <w:tcW w:w="5220" w:type="dxa"/>
          </w:tcPr>
          <w:p w14:paraId="1361710B" w14:textId="77777777" w:rsidR="00485ED6" w:rsidRPr="00485ED6" w:rsidRDefault="00485ED6" w:rsidP="00485ED6">
            <w:pPr>
              <w:jc w:val="right"/>
            </w:pPr>
          </w:p>
        </w:tc>
      </w:tr>
      <w:tr w:rsidR="00485ED6" w:rsidRPr="00485ED6" w14:paraId="6C3DFFF1" w14:textId="77777777" w:rsidTr="00E03AD9">
        <w:trPr>
          <w:trHeight w:hRule="exact" w:val="353"/>
        </w:trPr>
        <w:tc>
          <w:tcPr>
            <w:tcW w:w="4610" w:type="dxa"/>
          </w:tcPr>
          <w:p w14:paraId="0906AFC9" w14:textId="77777777" w:rsidR="00485ED6" w:rsidRPr="00485ED6" w:rsidRDefault="00485ED6" w:rsidP="00485ED6">
            <w:pPr>
              <w:jc w:val="right"/>
            </w:pPr>
            <w:r w:rsidRPr="00485ED6">
              <w:t>Other Stakeholder Role</w:t>
            </w:r>
          </w:p>
        </w:tc>
        <w:tc>
          <w:tcPr>
            <w:tcW w:w="5220" w:type="dxa"/>
          </w:tcPr>
          <w:p w14:paraId="60926BCA" w14:textId="77777777" w:rsidR="00485ED6" w:rsidRPr="00485ED6" w:rsidRDefault="00485ED6" w:rsidP="00485ED6">
            <w:pPr>
              <w:jc w:val="right"/>
            </w:pPr>
          </w:p>
        </w:tc>
      </w:tr>
      <w:tr w:rsidR="00485ED6" w:rsidRPr="00485ED6" w14:paraId="62D8CF3F" w14:textId="77777777" w:rsidTr="00E03AD9">
        <w:trPr>
          <w:trHeight w:hRule="exact" w:val="353"/>
        </w:trPr>
        <w:tc>
          <w:tcPr>
            <w:tcW w:w="4610" w:type="dxa"/>
          </w:tcPr>
          <w:p w14:paraId="2190BF68" w14:textId="77777777" w:rsidR="00485ED6" w:rsidRPr="00485ED6" w:rsidRDefault="00485ED6" w:rsidP="00485ED6">
            <w:pPr>
              <w:jc w:val="right"/>
            </w:pPr>
            <w:r w:rsidRPr="00485ED6">
              <w:t>Other Stakeholder Organisation</w:t>
            </w:r>
          </w:p>
        </w:tc>
        <w:tc>
          <w:tcPr>
            <w:tcW w:w="5220" w:type="dxa"/>
          </w:tcPr>
          <w:p w14:paraId="490BC030" w14:textId="77777777" w:rsidR="00485ED6" w:rsidRPr="00485ED6" w:rsidRDefault="00485ED6" w:rsidP="00485ED6">
            <w:pPr>
              <w:jc w:val="right"/>
            </w:pPr>
          </w:p>
        </w:tc>
      </w:tr>
      <w:tr w:rsidR="00485ED6" w:rsidRPr="00485ED6" w14:paraId="318A46BC" w14:textId="77777777" w:rsidTr="00E03AD9">
        <w:trPr>
          <w:trHeight w:hRule="exact" w:val="353"/>
        </w:trPr>
        <w:tc>
          <w:tcPr>
            <w:tcW w:w="4610" w:type="dxa"/>
          </w:tcPr>
          <w:p w14:paraId="32938D9D" w14:textId="77777777" w:rsidR="00485ED6" w:rsidRPr="00485ED6" w:rsidRDefault="00485ED6" w:rsidP="00485ED6">
            <w:pPr>
              <w:jc w:val="right"/>
            </w:pPr>
            <w:r w:rsidRPr="00485ED6">
              <w:t>Please list any additional Stakeholder(s)</w:t>
            </w:r>
          </w:p>
        </w:tc>
        <w:tc>
          <w:tcPr>
            <w:tcW w:w="5220" w:type="dxa"/>
          </w:tcPr>
          <w:p w14:paraId="61AC7ED3" w14:textId="77777777" w:rsidR="00485ED6" w:rsidRPr="00485ED6" w:rsidRDefault="00485ED6" w:rsidP="00485ED6">
            <w:pPr>
              <w:jc w:val="right"/>
            </w:pPr>
          </w:p>
        </w:tc>
      </w:tr>
    </w:tbl>
    <w:p w14:paraId="7D60646E" w14:textId="77777777" w:rsidR="00DB285E" w:rsidRDefault="00DB285E"/>
    <w:p w14:paraId="6C5CBBE7" w14:textId="75F9CD9D" w:rsidR="00DB285E" w:rsidRDefault="00DB285E"/>
    <w:p w14:paraId="18010604" w14:textId="77777777" w:rsidR="00DB285E" w:rsidRDefault="00DB285E"/>
    <w:tbl>
      <w:tblPr>
        <w:tblStyle w:val="TableGrid"/>
        <w:tblW w:w="0" w:type="auto"/>
        <w:tblLayout w:type="fixed"/>
        <w:tblLook w:val="0020" w:firstRow="1" w:lastRow="0" w:firstColumn="0" w:lastColumn="0" w:noHBand="0" w:noVBand="0"/>
      </w:tblPr>
      <w:tblGrid>
        <w:gridCol w:w="3345"/>
        <w:gridCol w:w="1849"/>
        <w:gridCol w:w="2640"/>
        <w:gridCol w:w="1996"/>
      </w:tblGrid>
      <w:tr w:rsidR="00485ED6" w:rsidRPr="00485ED6" w14:paraId="414C7D49" w14:textId="77777777" w:rsidTr="00E03AD9">
        <w:trPr>
          <w:trHeight w:val="343"/>
        </w:trPr>
        <w:tc>
          <w:tcPr>
            <w:tcW w:w="3345" w:type="dxa"/>
          </w:tcPr>
          <w:p w14:paraId="23575A5E" w14:textId="3AA6D3C6" w:rsidR="00485ED6" w:rsidRPr="00485ED6" w:rsidRDefault="00DB285E" w:rsidP="00485ED6">
            <w:pPr>
              <w:jc w:val="right"/>
            </w:pPr>
            <w:r w:rsidRPr="00485ED6">
              <w:rPr>
                <w:b/>
              </w:rPr>
              <w:t>Users of the Proposed Indicator</w:t>
            </w:r>
          </w:p>
        </w:tc>
        <w:tc>
          <w:tcPr>
            <w:tcW w:w="1849" w:type="dxa"/>
          </w:tcPr>
          <w:p w14:paraId="69329027" w14:textId="77777777" w:rsidR="00485ED6" w:rsidRPr="00485ED6" w:rsidRDefault="00485ED6" w:rsidP="00485ED6">
            <w:pPr>
              <w:jc w:val="right"/>
            </w:pPr>
            <w:r w:rsidRPr="00485ED6">
              <w:t>Primary User</w:t>
            </w:r>
          </w:p>
        </w:tc>
        <w:tc>
          <w:tcPr>
            <w:tcW w:w="2640" w:type="dxa"/>
          </w:tcPr>
          <w:p w14:paraId="53D1175C" w14:textId="77777777" w:rsidR="00485ED6" w:rsidRPr="00485ED6" w:rsidRDefault="00485ED6" w:rsidP="00485ED6">
            <w:pPr>
              <w:jc w:val="right"/>
            </w:pPr>
            <w:r w:rsidRPr="00485ED6">
              <w:t>Secondary User</w:t>
            </w:r>
          </w:p>
        </w:tc>
        <w:tc>
          <w:tcPr>
            <w:tcW w:w="1996" w:type="dxa"/>
          </w:tcPr>
          <w:p w14:paraId="177A138B" w14:textId="77777777" w:rsidR="00485ED6" w:rsidRPr="00485ED6" w:rsidRDefault="00485ED6" w:rsidP="00485ED6">
            <w:pPr>
              <w:jc w:val="right"/>
            </w:pPr>
            <w:r w:rsidRPr="00485ED6">
              <w:t>Not intended for</w:t>
            </w:r>
          </w:p>
        </w:tc>
      </w:tr>
      <w:tr w:rsidR="00485ED6" w:rsidRPr="00485ED6" w14:paraId="1D2A589A" w14:textId="77777777" w:rsidTr="00E03AD9">
        <w:trPr>
          <w:trHeight w:val="345"/>
        </w:trPr>
        <w:tc>
          <w:tcPr>
            <w:tcW w:w="3345" w:type="dxa"/>
          </w:tcPr>
          <w:p w14:paraId="2E6F1F6E" w14:textId="77777777" w:rsidR="00485ED6" w:rsidRPr="00485ED6" w:rsidRDefault="00485ED6" w:rsidP="00485ED6">
            <w:pPr>
              <w:jc w:val="right"/>
            </w:pPr>
            <w:r w:rsidRPr="00485ED6">
              <w:t>Boards (national, local)</w:t>
            </w:r>
          </w:p>
        </w:tc>
        <w:tc>
          <w:tcPr>
            <w:tcW w:w="1849" w:type="dxa"/>
          </w:tcPr>
          <w:p w14:paraId="7815847E" w14:textId="77777777" w:rsidR="00485ED6" w:rsidRPr="00485ED6" w:rsidRDefault="00485ED6" w:rsidP="00485ED6">
            <w:pPr>
              <w:jc w:val="right"/>
            </w:pPr>
            <w:r w:rsidRPr="00485ED6">
              <w:fldChar w:fldCharType="begin">
                <w:ffData>
                  <w:name w:val="Check1"/>
                  <w:enabled/>
                  <w:calcOnExit w:val="0"/>
                  <w:statusText w:type="text" w:val="This is your main target audience"/>
                  <w:checkBox>
                    <w:sizeAuto/>
                    <w:default w:val="1"/>
                  </w:checkBox>
                </w:ffData>
              </w:fldChar>
            </w:r>
            <w:bookmarkStart w:id="23" w:name="Check1"/>
            <w:r w:rsidRPr="00485ED6">
              <w:instrText xml:space="preserve"> FORMCHECKBOX </w:instrText>
            </w:r>
            <w:r w:rsidR="00704996">
              <w:fldChar w:fldCharType="separate"/>
            </w:r>
            <w:r w:rsidRPr="00485ED6">
              <w:fldChar w:fldCharType="end"/>
            </w:r>
            <w:bookmarkEnd w:id="23"/>
          </w:p>
        </w:tc>
        <w:tc>
          <w:tcPr>
            <w:tcW w:w="2640" w:type="dxa"/>
          </w:tcPr>
          <w:p w14:paraId="6C88C530" w14:textId="77777777" w:rsidR="00485ED6" w:rsidRPr="00485ED6" w:rsidRDefault="00485ED6" w:rsidP="00485ED6">
            <w:pPr>
              <w:jc w:val="right"/>
            </w:pPr>
            <w:r w:rsidRPr="00485ED6">
              <w:fldChar w:fldCharType="begin">
                <w:ffData>
                  <w:name w:val="Check32"/>
                  <w:enabled/>
                  <w:calcOnExit w:val="0"/>
                  <w:checkBox>
                    <w:sizeAuto/>
                    <w:default w:val="0"/>
                    <w:checked w:val="0"/>
                  </w:checkBox>
                </w:ffData>
              </w:fldChar>
            </w:r>
            <w:bookmarkStart w:id="24" w:name="Check32"/>
            <w:r w:rsidRPr="00485ED6">
              <w:instrText xml:space="preserve"> FORMCHECKBOX </w:instrText>
            </w:r>
            <w:r w:rsidR="00704996">
              <w:fldChar w:fldCharType="separate"/>
            </w:r>
            <w:r w:rsidRPr="00485ED6">
              <w:fldChar w:fldCharType="end"/>
            </w:r>
            <w:bookmarkEnd w:id="24"/>
          </w:p>
        </w:tc>
        <w:bookmarkStart w:id="25" w:name="Check2"/>
        <w:tc>
          <w:tcPr>
            <w:tcW w:w="1996" w:type="dxa"/>
          </w:tcPr>
          <w:p w14:paraId="5601C689" w14:textId="77777777" w:rsidR="00485ED6" w:rsidRPr="00485ED6" w:rsidRDefault="00485ED6" w:rsidP="00485ED6">
            <w:pPr>
              <w:jc w:val="right"/>
            </w:pPr>
            <w:r w:rsidRPr="00485ED6">
              <w:fldChar w:fldCharType="begin">
                <w:ffData>
                  <w:name w:val="Check2"/>
                  <w:enabled/>
                  <w:calcOnExit w:val="0"/>
                  <w:statusText w:type="text" w:val="This is not your main audience, but may have access  to or interest in the proposed indicator"/>
                  <w:checkBox>
                    <w:sizeAuto/>
                    <w:default w:val="0"/>
                  </w:checkBox>
                </w:ffData>
              </w:fldChar>
            </w:r>
            <w:r w:rsidRPr="00485ED6">
              <w:instrText xml:space="preserve"> FORMCHECKBOX </w:instrText>
            </w:r>
            <w:r w:rsidR="00704996">
              <w:fldChar w:fldCharType="separate"/>
            </w:r>
            <w:r w:rsidRPr="00485ED6">
              <w:fldChar w:fldCharType="end"/>
            </w:r>
            <w:bookmarkEnd w:id="25"/>
          </w:p>
        </w:tc>
      </w:tr>
      <w:tr w:rsidR="00485ED6" w:rsidRPr="00485ED6" w14:paraId="063BFF18" w14:textId="77777777" w:rsidTr="00E03AD9">
        <w:trPr>
          <w:trHeight w:val="345"/>
        </w:trPr>
        <w:tc>
          <w:tcPr>
            <w:tcW w:w="3345" w:type="dxa"/>
          </w:tcPr>
          <w:p w14:paraId="7C95D5D2" w14:textId="77777777" w:rsidR="00485ED6" w:rsidRPr="00485ED6" w:rsidRDefault="00485ED6" w:rsidP="00485ED6">
            <w:pPr>
              <w:jc w:val="right"/>
            </w:pPr>
            <w:r w:rsidRPr="00485ED6">
              <w:t>Provider Managers</w:t>
            </w:r>
          </w:p>
        </w:tc>
        <w:bookmarkStart w:id="26" w:name="Check3"/>
        <w:tc>
          <w:tcPr>
            <w:tcW w:w="1849" w:type="dxa"/>
          </w:tcPr>
          <w:p w14:paraId="1B38DD3E" w14:textId="77777777" w:rsidR="00485ED6" w:rsidRPr="00485ED6" w:rsidRDefault="00485ED6" w:rsidP="00485ED6">
            <w:pPr>
              <w:jc w:val="right"/>
            </w:pPr>
            <w:r w:rsidRPr="00485ED6">
              <w:fldChar w:fldCharType="begin">
                <w:ffData>
                  <w:name w:val="Check3"/>
                  <w:enabled/>
                  <w:calcOnExit w:val="0"/>
                  <w:statusText w:type="text" w:val="This is your main target audience"/>
                  <w:checkBox>
                    <w:sizeAuto/>
                    <w:default w:val="0"/>
                  </w:checkBox>
                </w:ffData>
              </w:fldChar>
            </w:r>
            <w:r w:rsidRPr="00485ED6">
              <w:instrText xml:space="preserve"> FORMCHECKBOX </w:instrText>
            </w:r>
            <w:r w:rsidR="00704996">
              <w:fldChar w:fldCharType="separate"/>
            </w:r>
            <w:r w:rsidRPr="00485ED6">
              <w:fldChar w:fldCharType="end"/>
            </w:r>
            <w:bookmarkEnd w:id="26"/>
          </w:p>
        </w:tc>
        <w:tc>
          <w:tcPr>
            <w:tcW w:w="2640" w:type="dxa"/>
          </w:tcPr>
          <w:p w14:paraId="6F8C420D" w14:textId="77777777" w:rsidR="00485ED6" w:rsidRPr="00485ED6" w:rsidRDefault="00485ED6" w:rsidP="00485ED6">
            <w:pPr>
              <w:jc w:val="right"/>
            </w:pPr>
            <w:r w:rsidRPr="00485ED6">
              <w:fldChar w:fldCharType="begin">
                <w:ffData>
                  <w:name w:val="Check33"/>
                  <w:enabled/>
                  <w:calcOnExit w:val="0"/>
                  <w:checkBox>
                    <w:sizeAuto/>
                    <w:default w:val="0"/>
                  </w:checkBox>
                </w:ffData>
              </w:fldChar>
            </w:r>
            <w:bookmarkStart w:id="27" w:name="Check33"/>
            <w:r w:rsidRPr="00485ED6">
              <w:instrText xml:space="preserve"> FORMCHECKBOX </w:instrText>
            </w:r>
            <w:r w:rsidR="00704996">
              <w:fldChar w:fldCharType="separate"/>
            </w:r>
            <w:r w:rsidRPr="00485ED6">
              <w:fldChar w:fldCharType="end"/>
            </w:r>
            <w:bookmarkEnd w:id="27"/>
          </w:p>
        </w:tc>
        <w:bookmarkStart w:id="28" w:name="Check4"/>
        <w:tc>
          <w:tcPr>
            <w:tcW w:w="1996" w:type="dxa"/>
          </w:tcPr>
          <w:p w14:paraId="72CEE534" w14:textId="77777777" w:rsidR="00485ED6" w:rsidRPr="00485ED6" w:rsidRDefault="00485ED6" w:rsidP="00485ED6">
            <w:pPr>
              <w:jc w:val="right"/>
            </w:pPr>
            <w:r w:rsidRPr="00485ED6">
              <w:fldChar w:fldCharType="begin">
                <w:ffData>
                  <w:name w:val="Check4"/>
                  <w:enabled/>
                  <w:calcOnExit w:val="0"/>
                  <w:statusText w:type="text" w:val="This is not your main audience, but may have access  to or interest in the proposed indicator"/>
                  <w:checkBox>
                    <w:sizeAuto/>
                    <w:default w:val="0"/>
                  </w:checkBox>
                </w:ffData>
              </w:fldChar>
            </w:r>
            <w:r w:rsidRPr="00485ED6">
              <w:instrText xml:space="preserve"> FORMCHECKBOX </w:instrText>
            </w:r>
            <w:r w:rsidR="00704996">
              <w:fldChar w:fldCharType="separate"/>
            </w:r>
            <w:r w:rsidRPr="00485ED6">
              <w:fldChar w:fldCharType="end"/>
            </w:r>
            <w:bookmarkEnd w:id="28"/>
          </w:p>
        </w:tc>
      </w:tr>
      <w:tr w:rsidR="00485ED6" w:rsidRPr="00485ED6" w14:paraId="76F142D9" w14:textId="77777777" w:rsidTr="00E03AD9">
        <w:trPr>
          <w:trHeight w:val="345"/>
        </w:trPr>
        <w:tc>
          <w:tcPr>
            <w:tcW w:w="3345" w:type="dxa"/>
          </w:tcPr>
          <w:p w14:paraId="46B5F14B" w14:textId="77777777" w:rsidR="00485ED6" w:rsidRPr="00485ED6" w:rsidRDefault="00485ED6" w:rsidP="00485ED6">
            <w:pPr>
              <w:jc w:val="right"/>
            </w:pPr>
            <w:r w:rsidRPr="00485ED6">
              <w:t>Commissioning mangers</w:t>
            </w:r>
          </w:p>
        </w:tc>
        <w:bookmarkStart w:id="29" w:name="Check5"/>
        <w:tc>
          <w:tcPr>
            <w:tcW w:w="1849" w:type="dxa"/>
          </w:tcPr>
          <w:p w14:paraId="4CF69F37" w14:textId="77777777" w:rsidR="00485ED6" w:rsidRPr="00485ED6" w:rsidRDefault="00485ED6" w:rsidP="00485ED6">
            <w:pPr>
              <w:jc w:val="right"/>
            </w:pPr>
            <w:r w:rsidRPr="00485ED6">
              <w:fldChar w:fldCharType="begin">
                <w:ffData>
                  <w:name w:val="Check5"/>
                  <w:enabled/>
                  <w:calcOnExit w:val="0"/>
                  <w:statusText w:type="text" w:val="This is your main target audience"/>
                  <w:checkBox>
                    <w:sizeAuto/>
                    <w:default w:val="0"/>
                  </w:checkBox>
                </w:ffData>
              </w:fldChar>
            </w:r>
            <w:r w:rsidRPr="00485ED6">
              <w:instrText xml:space="preserve"> FORMCHECKBOX </w:instrText>
            </w:r>
            <w:r w:rsidR="00704996">
              <w:fldChar w:fldCharType="separate"/>
            </w:r>
            <w:r w:rsidRPr="00485ED6">
              <w:fldChar w:fldCharType="end"/>
            </w:r>
            <w:bookmarkEnd w:id="29"/>
          </w:p>
        </w:tc>
        <w:tc>
          <w:tcPr>
            <w:tcW w:w="2640" w:type="dxa"/>
          </w:tcPr>
          <w:p w14:paraId="2C46DA12" w14:textId="77777777" w:rsidR="00485ED6" w:rsidRPr="00485ED6" w:rsidRDefault="00485ED6" w:rsidP="00485ED6">
            <w:pPr>
              <w:jc w:val="right"/>
            </w:pPr>
            <w:r w:rsidRPr="00485ED6">
              <w:fldChar w:fldCharType="begin">
                <w:ffData>
                  <w:name w:val="Check34"/>
                  <w:enabled/>
                  <w:calcOnExit w:val="0"/>
                  <w:checkBox>
                    <w:sizeAuto/>
                    <w:default w:val="0"/>
                  </w:checkBox>
                </w:ffData>
              </w:fldChar>
            </w:r>
            <w:bookmarkStart w:id="30" w:name="Check34"/>
            <w:r w:rsidRPr="00485ED6">
              <w:instrText xml:space="preserve"> FORMCHECKBOX </w:instrText>
            </w:r>
            <w:r w:rsidR="00704996">
              <w:fldChar w:fldCharType="separate"/>
            </w:r>
            <w:r w:rsidRPr="00485ED6">
              <w:fldChar w:fldCharType="end"/>
            </w:r>
            <w:bookmarkEnd w:id="30"/>
          </w:p>
        </w:tc>
        <w:bookmarkStart w:id="31" w:name="Check6"/>
        <w:tc>
          <w:tcPr>
            <w:tcW w:w="1996" w:type="dxa"/>
          </w:tcPr>
          <w:p w14:paraId="3528BD41" w14:textId="77777777" w:rsidR="00485ED6" w:rsidRPr="00485ED6" w:rsidRDefault="00485ED6" w:rsidP="00485ED6">
            <w:pPr>
              <w:jc w:val="right"/>
            </w:pPr>
            <w:r w:rsidRPr="00485ED6">
              <w:fldChar w:fldCharType="begin">
                <w:ffData>
                  <w:name w:val="Check6"/>
                  <w:enabled/>
                  <w:calcOnExit w:val="0"/>
                  <w:statusText w:type="text" w:val="This is not your main audience, but may have access  to or interest in the proposed indicator"/>
                  <w:checkBox>
                    <w:sizeAuto/>
                    <w:default w:val="0"/>
                  </w:checkBox>
                </w:ffData>
              </w:fldChar>
            </w:r>
            <w:r w:rsidRPr="00485ED6">
              <w:instrText xml:space="preserve"> FORMCHECKBOX </w:instrText>
            </w:r>
            <w:r w:rsidR="00704996">
              <w:fldChar w:fldCharType="separate"/>
            </w:r>
            <w:r w:rsidRPr="00485ED6">
              <w:fldChar w:fldCharType="end"/>
            </w:r>
            <w:bookmarkEnd w:id="31"/>
          </w:p>
        </w:tc>
      </w:tr>
      <w:tr w:rsidR="00485ED6" w:rsidRPr="00485ED6" w14:paraId="7C488D8B" w14:textId="77777777" w:rsidTr="00E03AD9">
        <w:trPr>
          <w:trHeight w:val="345"/>
        </w:trPr>
        <w:tc>
          <w:tcPr>
            <w:tcW w:w="3345" w:type="dxa"/>
          </w:tcPr>
          <w:p w14:paraId="209E6FAD" w14:textId="77777777" w:rsidR="00485ED6" w:rsidRPr="00485ED6" w:rsidRDefault="00485ED6" w:rsidP="00485ED6">
            <w:pPr>
              <w:jc w:val="right"/>
            </w:pPr>
            <w:r w:rsidRPr="00485ED6">
              <w:t>Regulators</w:t>
            </w:r>
          </w:p>
        </w:tc>
        <w:bookmarkStart w:id="32" w:name="Check7"/>
        <w:tc>
          <w:tcPr>
            <w:tcW w:w="1849" w:type="dxa"/>
          </w:tcPr>
          <w:p w14:paraId="792F089A" w14:textId="77777777" w:rsidR="00485ED6" w:rsidRPr="00485ED6" w:rsidRDefault="00485ED6" w:rsidP="00485ED6">
            <w:pPr>
              <w:jc w:val="right"/>
            </w:pPr>
            <w:r w:rsidRPr="00485ED6">
              <w:fldChar w:fldCharType="begin">
                <w:ffData>
                  <w:name w:val="Check7"/>
                  <w:enabled/>
                  <w:calcOnExit w:val="0"/>
                  <w:statusText w:type="text" w:val="This is your main target audience"/>
                  <w:checkBox>
                    <w:sizeAuto/>
                    <w:default w:val="0"/>
                  </w:checkBox>
                </w:ffData>
              </w:fldChar>
            </w:r>
            <w:r w:rsidRPr="00485ED6">
              <w:instrText xml:space="preserve"> FORMCHECKBOX </w:instrText>
            </w:r>
            <w:r w:rsidR="00704996">
              <w:fldChar w:fldCharType="separate"/>
            </w:r>
            <w:r w:rsidRPr="00485ED6">
              <w:fldChar w:fldCharType="end"/>
            </w:r>
            <w:bookmarkEnd w:id="32"/>
          </w:p>
        </w:tc>
        <w:tc>
          <w:tcPr>
            <w:tcW w:w="2640" w:type="dxa"/>
          </w:tcPr>
          <w:p w14:paraId="1C69E419" w14:textId="77777777" w:rsidR="00485ED6" w:rsidRPr="00485ED6" w:rsidRDefault="00485ED6" w:rsidP="00485ED6">
            <w:pPr>
              <w:jc w:val="right"/>
            </w:pPr>
            <w:r w:rsidRPr="00485ED6">
              <w:fldChar w:fldCharType="begin">
                <w:ffData>
                  <w:name w:val="Check35"/>
                  <w:enabled/>
                  <w:calcOnExit w:val="0"/>
                  <w:checkBox>
                    <w:sizeAuto/>
                    <w:default w:val="0"/>
                  </w:checkBox>
                </w:ffData>
              </w:fldChar>
            </w:r>
            <w:bookmarkStart w:id="33" w:name="Check35"/>
            <w:r w:rsidRPr="00485ED6">
              <w:instrText xml:space="preserve"> FORMCHECKBOX </w:instrText>
            </w:r>
            <w:r w:rsidR="00704996">
              <w:fldChar w:fldCharType="separate"/>
            </w:r>
            <w:r w:rsidRPr="00485ED6">
              <w:fldChar w:fldCharType="end"/>
            </w:r>
            <w:bookmarkEnd w:id="33"/>
          </w:p>
        </w:tc>
        <w:bookmarkStart w:id="34" w:name="Check8"/>
        <w:tc>
          <w:tcPr>
            <w:tcW w:w="1996" w:type="dxa"/>
          </w:tcPr>
          <w:p w14:paraId="25605924" w14:textId="77777777" w:rsidR="00485ED6" w:rsidRPr="00485ED6" w:rsidRDefault="00485ED6" w:rsidP="00485ED6">
            <w:pPr>
              <w:jc w:val="right"/>
            </w:pPr>
            <w:r w:rsidRPr="00485ED6">
              <w:fldChar w:fldCharType="begin">
                <w:ffData>
                  <w:name w:val="Check8"/>
                  <w:enabled/>
                  <w:calcOnExit w:val="0"/>
                  <w:statusText w:type="text" w:val="This is not your main audience, but may have access  to or interest in the proposed indicator"/>
                  <w:checkBox>
                    <w:sizeAuto/>
                    <w:default w:val="0"/>
                  </w:checkBox>
                </w:ffData>
              </w:fldChar>
            </w:r>
            <w:r w:rsidRPr="00485ED6">
              <w:instrText xml:space="preserve"> FORMCHECKBOX </w:instrText>
            </w:r>
            <w:r w:rsidR="00704996">
              <w:fldChar w:fldCharType="separate"/>
            </w:r>
            <w:r w:rsidRPr="00485ED6">
              <w:fldChar w:fldCharType="end"/>
            </w:r>
            <w:bookmarkEnd w:id="34"/>
          </w:p>
        </w:tc>
      </w:tr>
      <w:tr w:rsidR="00485ED6" w:rsidRPr="00485ED6" w14:paraId="673F92B7" w14:textId="77777777" w:rsidTr="00E03AD9">
        <w:trPr>
          <w:trHeight w:val="326"/>
        </w:trPr>
        <w:tc>
          <w:tcPr>
            <w:tcW w:w="3345" w:type="dxa"/>
          </w:tcPr>
          <w:p w14:paraId="066B1B0A" w14:textId="77777777" w:rsidR="00485ED6" w:rsidRPr="00485ED6" w:rsidRDefault="00485ED6" w:rsidP="00485ED6">
            <w:pPr>
              <w:jc w:val="right"/>
            </w:pPr>
            <w:r w:rsidRPr="00485ED6">
              <w:t>Clinicians</w:t>
            </w:r>
          </w:p>
        </w:tc>
        <w:bookmarkStart w:id="35" w:name="Check9"/>
        <w:tc>
          <w:tcPr>
            <w:tcW w:w="1849" w:type="dxa"/>
          </w:tcPr>
          <w:p w14:paraId="55F906C1" w14:textId="77777777" w:rsidR="00485ED6" w:rsidRPr="00485ED6" w:rsidRDefault="00485ED6" w:rsidP="00485ED6">
            <w:pPr>
              <w:jc w:val="right"/>
            </w:pPr>
            <w:r w:rsidRPr="00485ED6">
              <w:fldChar w:fldCharType="begin">
                <w:ffData>
                  <w:name w:val="Check9"/>
                  <w:enabled/>
                  <w:calcOnExit w:val="0"/>
                  <w:statusText w:type="text" w:val="This is your main target audience"/>
                  <w:checkBox>
                    <w:sizeAuto/>
                    <w:default w:val="0"/>
                  </w:checkBox>
                </w:ffData>
              </w:fldChar>
            </w:r>
            <w:r w:rsidRPr="00485ED6">
              <w:instrText xml:space="preserve"> FORMCHECKBOX </w:instrText>
            </w:r>
            <w:r w:rsidR="00704996">
              <w:fldChar w:fldCharType="separate"/>
            </w:r>
            <w:r w:rsidRPr="00485ED6">
              <w:fldChar w:fldCharType="end"/>
            </w:r>
            <w:bookmarkEnd w:id="35"/>
          </w:p>
        </w:tc>
        <w:tc>
          <w:tcPr>
            <w:tcW w:w="2640" w:type="dxa"/>
          </w:tcPr>
          <w:p w14:paraId="4D84F5D3" w14:textId="77777777" w:rsidR="00485ED6" w:rsidRPr="00485ED6" w:rsidRDefault="00485ED6" w:rsidP="00485ED6">
            <w:pPr>
              <w:jc w:val="right"/>
            </w:pPr>
            <w:r w:rsidRPr="00485ED6">
              <w:fldChar w:fldCharType="begin">
                <w:ffData>
                  <w:name w:val="Check36"/>
                  <w:enabled/>
                  <w:calcOnExit w:val="0"/>
                  <w:checkBox>
                    <w:sizeAuto/>
                    <w:default w:val="0"/>
                  </w:checkBox>
                </w:ffData>
              </w:fldChar>
            </w:r>
            <w:bookmarkStart w:id="36" w:name="Check36"/>
            <w:r w:rsidRPr="00485ED6">
              <w:instrText xml:space="preserve"> FORMCHECKBOX </w:instrText>
            </w:r>
            <w:r w:rsidR="00704996">
              <w:fldChar w:fldCharType="separate"/>
            </w:r>
            <w:r w:rsidRPr="00485ED6">
              <w:fldChar w:fldCharType="end"/>
            </w:r>
            <w:bookmarkEnd w:id="36"/>
          </w:p>
        </w:tc>
        <w:bookmarkStart w:id="37" w:name="Check10"/>
        <w:tc>
          <w:tcPr>
            <w:tcW w:w="1996" w:type="dxa"/>
          </w:tcPr>
          <w:p w14:paraId="00D78615" w14:textId="77777777" w:rsidR="00485ED6" w:rsidRPr="00485ED6" w:rsidRDefault="00485ED6" w:rsidP="00485ED6">
            <w:pPr>
              <w:jc w:val="right"/>
            </w:pPr>
            <w:r w:rsidRPr="00485ED6">
              <w:fldChar w:fldCharType="begin">
                <w:ffData>
                  <w:name w:val="Check10"/>
                  <w:enabled/>
                  <w:calcOnExit w:val="0"/>
                  <w:statusText w:type="text" w:val="This is not your main audience, but may have access  to or interest in the proposed indicator"/>
                  <w:checkBox>
                    <w:sizeAuto/>
                    <w:default w:val="0"/>
                  </w:checkBox>
                </w:ffData>
              </w:fldChar>
            </w:r>
            <w:r w:rsidRPr="00485ED6">
              <w:instrText xml:space="preserve"> FORMCHECKBOX </w:instrText>
            </w:r>
            <w:r w:rsidR="00704996">
              <w:fldChar w:fldCharType="separate"/>
            </w:r>
            <w:r w:rsidRPr="00485ED6">
              <w:fldChar w:fldCharType="end"/>
            </w:r>
            <w:bookmarkEnd w:id="37"/>
          </w:p>
        </w:tc>
      </w:tr>
      <w:tr w:rsidR="00485ED6" w:rsidRPr="00485ED6" w14:paraId="18444E86" w14:textId="77777777" w:rsidTr="00E03AD9">
        <w:trPr>
          <w:trHeight w:val="326"/>
        </w:trPr>
        <w:tc>
          <w:tcPr>
            <w:tcW w:w="3345" w:type="dxa"/>
          </w:tcPr>
          <w:p w14:paraId="0CEC7471" w14:textId="77777777" w:rsidR="00485ED6" w:rsidRPr="00485ED6" w:rsidRDefault="00485ED6" w:rsidP="00485ED6">
            <w:pPr>
              <w:jc w:val="right"/>
            </w:pPr>
            <w:r w:rsidRPr="00485ED6">
              <w:t>Patients</w:t>
            </w:r>
          </w:p>
        </w:tc>
        <w:bookmarkStart w:id="38" w:name="Check11"/>
        <w:tc>
          <w:tcPr>
            <w:tcW w:w="1849" w:type="dxa"/>
          </w:tcPr>
          <w:p w14:paraId="663BB896" w14:textId="77777777" w:rsidR="00485ED6" w:rsidRPr="00485ED6" w:rsidRDefault="00485ED6" w:rsidP="00485ED6">
            <w:pPr>
              <w:jc w:val="right"/>
            </w:pPr>
            <w:r w:rsidRPr="00485ED6">
              <w:fldChar w:fldCharType="begin">
                <w:ffData>
                  <w:name w:val="Check11"/>
                  <w:enabled/>
                  <w:calcOnExit w:val="0"/>
                  <w:statusText w:type="text" w:val="This is your main target audience"/>
                  <w:checkBox>
                    <w:sizeAuto/>
                    <w:default w:val="0"/>
                  </w:checkBox>
                </w:ffData>
              </w:fldChar>
            </w:r>
            <w:r w:rsidRPr="00485ED6">
              <w:instrText xml:space="preserve"> FORMCHECKBOX </w:instrText>
            </w:r>
            <w:r w:rsidR="00704996">
              <w:fldChar w:fldCharType="separate"/>
            </w:r>
            <w:r w:rsidRPr="00485ED6">
              <w:fldChar w:fldCharType="end"/>
            </w:r>
            <w:bookmarkEnd w:id="38"/>
          </w:p>
        </w:tc>
        <w:tc>
          <w:tcPr>
            <w:tcW w:w="2640" w:type="dxa"/>
          </w:tcPr>
          <w:p w14:paraId="1C2552C6" w14:textId="77777777" w:rsidR="00485ED6" w:rsidRPr="00485ED6" w:rsidRDefault="00485ED6" w:rsidP="00485ED6">
            <w:pPr>
              <w:jc w:val="right"/>
            </w:pPr>
            <w:r w:rsidRPr="00485ED6">
              <w:fldChar w:fldCharType="begin">
                <w:ffData>
                  <w:name w:val="Check37"/>
                  <w:enabled/>
                  <w:calcOnExit w:val="0"/>
                  <w:checkBox>
                    <w:sizeAuto/>
                    <w:default w:val="0"/>
                  </w:checkBox>
                </w:ffData>
              </w:fldChar>
            </w:r>
            <w:bookmarkStart w:id="39" w:name="Check37"/>
            <w:r w:rsidRPr="00485ED6">
              <w:instrText xml:space="preserve"> FORMCHECKBOX </w:instrText>
            </w:r>
            <w:r w:rsidR="00704996">
              <w:fldChar w:fldCharType="separate"/>
            </w:r>
            <w:r w:rsidRPr="00485ED6">
              <w:fldChar w:fldCharType="end"/>
            </w:r>
            <w:bookmarkEnd w:id="39"/>
          </w:p>
        </w:tc>
        <w:bookmarkStart w:id="40" w:name="Check12"/>
        <w:tc>
          <w:tcPr>
            <w:tcW w:w="1996" w:type="dxa"/>
          </w:tcPr>
          <w:p w14:paraId="5EE52834" w14:textId="77777777" w:rsidR="00485ED6" w:rsidRPr="00485ED6" w:rsidRDefault="00485ED6" w:rsidP="00485ED6">
            <w:pPr>
              <w:jc w:val="right"/>
            </w:pPr>
            <w:r w:rsidRPr="00485ED6">
              <w:fldChar w:fldCharType="begin">
                <w:ffData>
                  <w:name w:val="Check12"/>
                  <w:enabled/>
                  <w:calcOnExit w:val="0"/>
                  <w:statusText w:type="text" w:val="This is not your main audience, but may have access  to or interest in the proposed indicator"/>
                  <w:checkBox>
                    <w:sizeAuto/>
                    <w:default w:val="0"/>
                  </w:checkBox>
                </w:ffData>
              </w:fldChar>
            </w:r>
            <w:r w:rsidRPr="00485ED6">
              <w:instrText xml:space="preserve"> FORMCHECKBOX </w:instrText>
            </w:r>
            <w:r w:rsidR="00704996">
              <w:fldChar w:fldCharType="separate"/>
            </w:r>
            <w:r w:rsidRPr="00485ED6">
              <w:fldChar w:fldCharType="end"/>
            </w:r>
            <w:bookmarkEnd w:id="40"/>
          </w:p>
        </w:tc>
      </w:tr>
      <w:tr w:rsidR="00485ED6" w:rsidRPr="00485ED6" w14:paraId="539490EE" w14:textId="77777777" w:rsidTr="00E03AD9">
        <w:trPr>
          <w:trHeight w:val="326"/>
        </w:trPr>
        <w:tc>
          <w:tcPr>
            <w:tcW w:w="3345" w:type="dxa"/>
          </w:tcPr>
          <w:p w14:paraId="0F853948" w14:textId="77777777" w:rsidR="00485ED6" w:rsidRPr="00485ED6" w:rsidRDefault="00485ED6" w:rsidP="00485ED6">
            <w:pPr>
              <w:jc w:val="right"/>
            </w:pPr>
            <w:r w:rsidRPr="00485ED6">
              <w:t>Public</w:t>
            </w:r>
          </w:p>
        </w:tc>
        <w:bookmarkStart w:id="41" w:name="Check13"/>
        <w:tc>
          <w:tcPr>
            <w:tcW w:w="1849" w:type="dxa"/>
          </w:tcPr>
          <w:p w14:paraId="04F34764" w14:textId="77777777" w:rsidR="00485ED6" w:rsidRPr="00485ED6" w:rsidRDefault="00485ED6" w:rsidP="00485ED6">
            <w:pPr>
              <w:jc w:val="right"/>
            </w:pPr>
            <w:r w:rsidRPr="00485ED6">
              <w:fldChar w:fldCharType="begin">
                <w:ffData>
                  <w:name w:val="Check13"/>
                  <w:enabled/>
                  <w:calcOnExit w:val="0"/>
                  <w:statusText w:type="text" w:val="This is your main target audience"/>
                  <w:checkBox>
                    <w:sizeAuto/>
                    <w:default w:val="0"/>
                  </w:checkBox>
                </w:ffData>
              </w:fldChar>
            </w:r>
            <w:r w:rsidRPr="00485ED6">
              <w:instrText xml:space="preserve"> FORMCHECKBOX </w:instrText>
            </w:r>
            <w:r w:rsidR="00704996">
              <w:fldChar w:fldCharType="separate"/>
            </w:r>
            <w:r w:rsidRPr="00485ED6">
              <w:fldChar w:fldCharType="end"/>
            </w:r>
            <w:bookmarkEnd w:id="41"/>
          </w:p>
        </w:tc>
        <w:tc>
          <w:tcPr>
            <w:tcW w:w="2640" w:type="dxa"/>
          </w:tcPr>
          <w:p w14:paraId="04067EB4" w14:textId="77777777" w:rsidR="00485ED6" w:rsidRPr="00485ED6" w:rsidRDefault="00485ED6" w:rsidP="00485ED6">
            <w:pPr>
              <w:jc w:val="right"/>
            </w:pPr>
            <w:r w:rsidRPr="00485ED6">
              <w:fldChar w:fldCharType="begin">
                <w:ffData>
                  <w:name w:val="Check38"/>
                  <w:enabled/>
                  <w:calcOnExit w:val="0"/>
                  <w:checkBox>
                    <w:sizeAuto/>
                    <w:default w:val="1"/>
                  </w:checkBox>
                </w:ffData>
              </w:fldChar>
            </w:r>
            <w:bookmarkStart w:id="42" w:name="Check38"/>
            <w:r w:rsidRPr="00485ED6">
              <w:instrText xml:space="preserve"> FORMCHECKBOX </w:instrText>
            </w:r>
            <w:r w:rsidR="00704996">
              <w:fldChar w:fldCharType="separate"/>
            </w:r>
            <w:r w:rsidRPr="00485ED6">
              <w:fldChar w:fldCharType="end"/>
            </w:r>
            <w:bookmarkEnd w:id="42"/>
          </w:p>
        </w:tc>
        <w:bookmarkStart w:id="43" w:name="Check14"/>
        <w:tc>
          <w:tcPr>
            <w:tcW w:w="1996" w:type="dxa"/>
          </w:tcPr>
          <w:p w14:paraId="08377BC9" w14:textId="77777777" w:rsidR="00485ED6" w:rsidRPr="00485ED6" w:rsidRDefault="00485ED6" w:rsidP="00485ED6">
            <w:pPr>
              <w:jc w:val="right"/>
            </w:pPr>
            <w:r w:rsidRPr="00485ED6">
              <w:fldChar w:fldCharType="begin">
                <w:ffData>
                  <w:name w:val="Check14"/>
                  <w:enabled/>
                  <w:calcOnExit w:val="0"/>
                  <w:statusText w:type="text" w:val="This is not your main audience, but may have access  to or interest in the proposed indicator"/>
                  <w:checkBox>
                    <w:sizeAuto/>
                    <w:default w:val="0"/>
                  </w:checkBox>
                </w:ffData>
              </w:fldChar>
            </w:r>
            <w:r w:rsidRPr="00485ED6">
              <w:instrText xml:space="preserve"> FORMCHECKBOX </w:instrText>
            </w:r>
            <w:r w:rsidR="00704996">
              <w:fldChar w:fldCharType="separate"/>
            </w:r>
            <w:r w:rsidRPr="00485ED6">
              <w:fldChar w:fldCharType="end"/>
            </w:r>
            <w:bookmarkEnd w:id="43"/>
          </w:p>
        </w:tc>
      </w:tr>
      <w:tr w:rsidR="00485ED6" w:rsidRPr="00485ED6" w14:paraId="5292B20C" w14:textId="77777777" w:rsidTr="00E03AD9">
        <w:trPr>
          <w:trHeight w:val="326"/>
        </w:trPr>
        <w:tc>
          <w:tcPr>
            <w:tcW w:w="3345" w:type="dxa"/>
          </w:tcPr>
          <w:p w14:paraId="0588DC2C" w14:textId="77777777" w:rsidR="00485ED6" w:rsidRPr="00485ED6" w:rsidRDefault="00485ED6" w:rsidP="00485ED6">
            <w:pPr>
              <w:jc w:val="right"/>
            </w:pPr>
            <w:r w:rsidRPr="00485ED6">
              <w:t xml:space="preserve">Other (please specify) </w:t>
            </w:r>
            <w:r w:rsidRPr="00485ED6">
              <w:fldChar w:fldCharType="begin">
                <w:ffData>
                  <w:name w:val="Text10"/>
                  <w:enabled/>
                  <w:calcOnExit w:val="0"/>
                  <w:textInput/>
                </w:ffData>
              </w:fldChar>
            </w:r>
            <w:r w:rsidRPr="00485ED6">
              <w:instrText xml:space="preserve"> FORMTEXT </w:instrText>
            </w:r>
            <w:r w:rsidRPr="00485ED6">
              <w:fldChar w:fldCharType="separate"/>
            </w:r>
            <w:r w:rsidRPr="00485ED6">
              <w:rPr>
                <w:noProof/>
              </w:rPr>
              <w:t> </w:t>
            </w:r>
            <w:r w:rsidRPr="00485ED6">
              <w:rPr>
                <w:noProof/>
              </w:rPr>
              <w:t> </w:t>
            </w:r>
            <w:r w:rsidRPr="00485ED6">
              <w:rPr>
                <w:noProof/>
              </w:rPr>
              <w:t> </w:t>
            </w:r>
            <w:r w:rsidRPr="00485ED6">
              <w:rPr>
                <w:noProof/>
              </w:rPr>
              <w:t> </w:t>
            </w:r>
            <w:r w:rsidRPr="00485ED6">
              <w:rPr>
                <w:noProof/>
              </w:rPr>
              <w:t> </w:t>
            </w:r>
            <w:r w:rsidRPr="00485ED6">
              <w:fldChar w:fldCharType="end"/>
            </w:r>
          </w:p>
        </w:tc>
        <w:tc>
          <w:tcPr>
            <w:tcW w:w="1849" w:type="dxa"/>
          </w:tcPr>
          <w:p w14:paraId="6E733210" w14:textId="77777777" w:rsidR="00485ED6" w:rsidRPr="00485ED6" w:rsidRDefault="00485ED6" w:rsidP="00485ED6">
            <w:pPr>
              <w:jc w:val="right"/>
            </w:pPr>
            <w:r w:rsidRPr="00485ED6">
              <w:fldChar w:fldCharType="begin">
                <w:ffData>
                  <w:name w:val="Check79"/>
                  <w:enabled/>
                  <w:calcOnExit w:val="0"/>
                  <w:checkBox>
                    <w:sizeAuto/>
                    <w:default w:val="0"/>
                  </w:checkBox>
                </w:ffData>
              </w:fldChar>
            </w:r>
            <w:bookmarkStart w:id="44" w:name="Check79"/>
            <w:r w:rsidRPr="00485ED6">
              <w:instrText xml:space="preserve"> FORMCHECKBOX </w:instrText>
            </w:r>
            <w:r w:rsidR="00704996">
              <w:fldChar w:fldCharType="separate"/>
            </w:r>
            <w:r w:rsidRPr="00485ED6">
              <w:fldChar w:fldCharType="end"/>
            </w:r>
            <w:bookmarkEnd w:id="44"/>
          </w:p>
        </w:tc>
        <w:tc>
          <w:tcPr>
            <w:tcW w:w="2640" w:type="dxa"/>
          </w:tcPr>
          <w:p w14:paraId="545484D9" w14:textId="77777777" w:rsidR="00485ED6" w:rsidRPr="00485ED6" w:rsidRDefault="00485ED6" w:rsidP="00485ED6">
            <w:pPr>
              <w:jc w:val="right"/>
            </w:pPr>
            <w:r w:rsidRPr="00485ED6">
              <w:fldChar w:fldCharType="begin">
                <w:ffData>
                  <w:name w:val="Check80"/>
                  <w:enabled/>
                  <w:calcOnExit w:val="0"/>
                  <w:checkBox>
                    <w:sizeAuto/>
                    <w:default w:val="0"/>
                  </w:checkBox>
                </w:ffData>
              </w:fldChar>
            </w:r>
            <w:bookmarkStart w:id="45" w:name="Check80"/>
            <w:r w:rsidRPr="00485ED6">
              <w:instrText xml:space="preserve"> FORMCHECKBOX </w:instrText>
            </w:r>
            <w:r w:rsidR="00704996">
              <w:fldChar w:fldCharType="separate"/>
            </w:r>
            <w:r w:rsidRPr="00485ED6">
              <w:fldChar w:fldCharType="end"/>
            </w:r>
            <w:bookmarkEnd w:id="45"/>
          </w:p>
        </w:tc>
        <w:tc>
          <w:tcPr>
            <w:tcW w:w="1996" w:type="dxa"/>
          </w:tcPr>
          <w:p w14:paraId="49796E8B" w14:textId="77777777" w:rsidR="00485ED6" w:rsidRPr="00485ED6" w:rsidRDefault="00485ED6" w:rsidP="00485ED6">
            <w:pPr>
              <w:jc w:val="right"/>
            </w:pPr>
            <w:r w:rsidRPr="00485ED6">
              <w:fldChar w:fldCharType="begin">
                <w:ffData>
                  <w:name w:val="Check81"/>
                  <w:enabled/>
                  <w:calcOnExit w:val="0"/>
                  <w:checkBox>
                    <w:sizeAuto/>
                    <w:default w:val="0"/>
                  </w:checkBox>
                </w:ffData>
              </w:fldChar>
            </w:r>
            <w:bookmarkStart w:id="46" w:name="Check81"/>
            <w:r w:rsidRPr="00485ED6">
              <w:instrText xml:space="preserve"> FORMCHECKBOX </w:instrText>
            </w:r>
            <w:r w:rsidR="00704996">
              <w:fldChar w:fldCharType="separate"/>
            </w:r>
            <w:r w:rsidRPr="00485ED6">
              <w:fldChar w:fldCharType="end"/>
            </w:r>
            <w:bookmarkEnd w:id="46"/>
          </w:p>
        </w:tc>
      </w:tr>
      <w:tr w:rsidR="00485ED6" w:rsidRPr="00485ED6" w14:paraId="495B1480" w14:textId="77777777" w:rsidTr="00E03AD9">
        <w:trPr>
          <w:trHeight w:val="326"/>
        </w:trPr>
        <w:tc>
          <w:tcPr>
            <w:tcW w:w="3345" w:type="dxa"/>
          </w:tcPr>
          <w:p w14:paraId="60C5513F" w14:textId="77777777" w:rsidR="00485ED6" w:rsidRPr="00485ED6" w:rsidRDefault="00485ED6" w:rsidP="00485ED6">
            <w:pPr>
              <w:jc w:val="right"/>
            </w:pPr>
            <w:r w:rsidRPr="00485ED6">
              <w:t xml:space="preserve">Other (please specify) </w:t>
            </w:r>
            <w:r w:rsidRPr="00485ED6">
              <w:fldChar w:fldCharType="begin">
                <w:ffData>
                  <w:name w:val="Text10"/>
                  <w:enabled/>
                  <w:calcOnExit w:val="0"/>
                  <w:textInput/>
                </w:ffData>
              </w:fldChar>
            </w:r>
            <w:bookmarkStart w:id="47" w:name="Text10"/>
            <w:r w:rsidRPr="00485ED6">
              <w:instrText xml:space="preserve"> FORMTEXT </w:instrText>
            </w:r>
            <w:r w:rsidRPr="00485ED6">
              <w:fldChar w:fldCharType="separate"/>
            </w:r>
            <w:r w:rsidRPr="00485ED6">
              <w:rPr>
                <w:noProof/>
              </w:rPr>
              <w:t> </w:t>
            </w:r>
            <w:r w:rsidRPr="00485ED6">
              <w:rPr>
                <w:noProof/>
              </w:rPr>
              <w:t> </w:t>
            </w:r>
            <w:r w:rsidRPr="00485ED6">
              <w:rPr>
                <w:noProof/>
              </w:rPr>
              <w:t> </w:t>
            </w:r>
            <w:r w:rsidRPr="00485ED6">
              <w:rPr>
                <w:noProof/>
              </w:rPr>
              <w:t> </w:t>
            </w:r>
            <w:r w:rsidRPr="00485ED6">
              <w:rPr>
                <w:noProof/>
              </w:rPr>
              <w:t> </w:t>
            </w:r>
            <w:r w:rsidRPr="00485ED6">
              <w:fldChar w:fldCharType="end"/>
            </w:r>
            <w:bookmarkEnd w:id="47"/>
          </w:p>
        </w:tc>
        <w:bookmarkStart w:id="48" w:name="Check15"/>
        <w:tc>
          <w:tcPr>
            <w:tcW w:w="1849" w:type="dxa"/>
          </w:tcPr>
          <w:p w14:paraId="0CCAC464" w14:textId="77777777" w:rsidR="00485ED6" w:rsidRPr="00485ED6" w:rsidRDefault="00485ED6" w:rsidP="00485ED6">
            <w:pPr>
              <w:jc w:val="right"/>
            </w:pPr>
            <w:r w:rsidRPr="00485ED6">
              <w:fldChar w:fldCharType="begin">
                <w:ffData>
                  <w:name w:val="Check15"/>
                  <w:enabled/>
                  <w:calcOnExit w:val="0"/>
                  <w:statusText w:type="text" w:val="This is your main target audience"/>
                  <w:checkBox>
                    <w:sizeAuto/>
                    <w:default w:val="0"/>
                  </w:checkBox>
                </w:ffData>
              </w:fldChar>
            </w:r>
            <w:r w:rsidRPr="00485ED6">
              <w:instrText xml:space="preserve"> FORMCHECKBOX </w:instrText>
            </w:r>
            <w:r w:rsidR="00704996">
              <w:fldChar w:fldCharType="separate"/>
            </w:r>
            <w:r w:rsidRPr="00485ED6">
              <w:fldChar w:fldCharType="end"/>
            </w:r>
            <w:bookmarkEnd w:id="48"/>
          </w:p>
        </w:tc>
        <w:tc>
          <w:tcPr>
            <w:tcW w:w="2640" w:type="dxa"/>
          </w:tcPr>
          <w:p w14:paraId="59DCF663" w14:textId="77777777" w:rsidR="00485ED6" w:rsidRPr="00485ED6" w:rsidRDefault="00485ED6" w:rsidP="00485ED6">
            <w:pPr>
              <w:jc w:val="right"/>
            </w:pPr>
            <w:r w:rsidRPr="00485ED6">
              <w:fldChar w:fldCharType="begin">
                <w:ffData>
                  <w:name w:val="Check39"/>
                  <w:enabled/>
                  <w:calcOnExit w:val="0"/>
                  <w:checkBox>
                    <w:sizeAuto/>
                    <w:default w:val="0"/>
                  </w:checkBox>
                </w:ffData>
              </w:fldChar>
            </w:r>
            <w:bookmarkStart w:id="49" w:name="Check39"/>
            <w:r w:rsidRPr="00485ED6">
              <w:instrText xml:space="preserve"> FORMCHECKBOX </w:instrText>
            </w:r>
            <w:r w:rsidR="00704996">
              <w:fldChar w:fldCharType="separate"/>
            </w:r>
            <w:r w:rsidRPr="00485ED6">
              <w:fldChar w:fldCharType="end"/>
            </w:r>
            <w:bookmarkEnd w:id="49"/>
          </w:p>
        </w:tc>
        <w:bookmarkStart w:id="50" w:name="Check16"/>
        <w:tc>
          <w:tcPr>
            <w:tcW w:w="1996" w:type="dxa"/>
          </w:tcPr>
          <w:p w14:paraId="0CE50770" w14:textId="77777777" w:rsidR="00485ED6" w:rsidRPr="00485ED6" w:rsidRDefault="00485ED6" w:rsidP="00485ED6">
            <w:pPr>
              <w:jc w:val="right"/>
            </w:pPr>
            <w:r w:rsidRPr="00485ED6">
              <w:fldChar w:fldCharType="begin">
                <w:ffData>
                  <w:name w:val="Check16"/>
                  <w:enabled/>
                  <w:calcOnExit w:val="0"/>
                  <w:statusText w:type="text" w:val="This is not your main audience, but may have access  to or interest in the proposed indicator"/>
                  <w:checkBox>
                    <w:sizeAuto/>
                    <w:default w:val="0"/>
                  </w:checkBox>
                </w:ffData>
              </w:fldChar>
            </w:r>
            <w:r w:rsidRPr="00485ED6">
              <w:instrText xml:space="preserve"> FORMCHECKBOX </w:instrText>
            </w:r>
            <w:r w:rsidR="00704996">
              <w:fldChar w:fldCharType="separate"/>
            </w:r>
            <w:r w:rsidRPr="00485ED6">
              <w:fldChar w:fldCharType="end"/>
            </w:r>
            <w:bookmarkEnd w:id="50"/>
          </w:p>
        </w:tc>
      </w:tr>
    </w:tbl>
    <w:p w14:paraId="3E72115F" w14:textId="77777777" w:rsidR="00DB285E" w:rsidRDefault="00DB285E"/>
    <w:p w14:paraId="07086A22" w14:textId="404DB2B2" w:rsidR="00DB285E" w:rsidRDefault="00DB285E" w:rsidP="00DB285E">
      <w:pPr>
        <w:rPr>
          <w:b/>
        </w:rPr>
      </w:pPr>
      <w:r w:rsidRPr="00485ED6">
        <w:t xml:space="preserve">Indicator Applicant Review </w:t>
      </w:r>
      <w:r w:rsidRPr="00485ED6">
        <w:rPr>
          <w:b/>
        </w:rPr>
        <w:t>(IC use only)</w:t>
      </w:r>
    </w:p>
    <w:p w14:paraId="420F91AF" w14:textId="77777777" w:rsidR="005A779B" w:rsidRDefault="005A779B" w:rsidP="005A779B">
      <w:pPr>
        <w:rPr>
          <w:i/>
          <w:sz w:val="20"/>
          <w:szCs w:val="20"/>
        </w:rPr>
      </w:pPr>
    </w:p>
    <w:p w14:paraId="7AED9783" w14:textId="6065F25C" w:rsidR="005A779B" w:rsidRPr="00485ED6" w:rsidRDefault="005A779B" w:rsidP="005A779B">
      <w:pPr>
        <w:rPr>
          <w:i/>
          <w:sz w:val="20"/>
          <w:szCs w:val="20"/>
        </w:rPr>
      </w:pPr>
      <w:r w:rsidRPr="00485ED6">
        <w:rPr>
          <w:i/>
          <w:sz w:val="20"/>
          <w:szCs w:val="20"/>
        </w:rPr>
        <w:t xml:space="preserve">Indicator meets criteria </w:t>
      </w:r>
      <w:proofErr w:type="gramStart"/>
      <w:r w:rsidRPr="00485ED6">
        <w:rPr>
          <w:i/>
          <w:sz w:val="20"/>
          <w:szCs w:val="20"/>
        </w:rPr>
        <w:t>for :</w:t>
      </w:r>
      <w:proofErr w:type="gramEnd"/>
    </w:p>
    <w:p w14:paraId="7FCD1D65" w14:textId="07DA651E" w:rsidR="005A779B" w:rsidRPr="00485ED6" w:rsidRDefault="005A779B" w:rsidP="005A779B">
      <w:r w:rsidRPr="00485ED6">
        <w:rPr>
          <w:b/>
          <w:sz w:val="20"/>
          <w:szCs w:val="20"/>
        </w:rPr>
        <w:t>Information complete - proceed</w:t>
      </w:r>
    </w:p>
    <w:p w14:paraId="0E7E468A" w14:textId="77777777" w:rsidR="00DB285E" w:rsidRDefault="00DB285E"/>
    <w:p w14:paraId="7E6B5039" w14:textId="77777777" w:rsidR="00DB285E" w:rsidRDefault="00DB285E"/>
    <w:p w14:paraId="7A275887" w14:textId="77777777" w:rsidR="00DB285E" w:rsidRDefault="00DB285E"/>
    <w:tbl>
      <w:tblPr>
        <w:tblStyle w:val="TableGrid"/>
        <w:tblW w:w="0" w:type="auto"/>
        <w:tblLayout w:type="fixed"/>
        <w:tblLook w:val="04A0" w:firstRow="1" w:lastRow="0" w:firstColumn="1" w:lastColumn="0" w:noHBand="0" w:noVBand="1"/>
      </w:tblPr>
      <w:tblGrid>
        <w:gridCol w:w="9830"/>
      </w:tblGrid>
      <w:tr w:rsidR="00DB285E" w:rsidRPr="00485ED6" w14:paraId="6DBFF314" w14:textId="77777777" w:rsidTr="00E03AD9">
        <w:trPr>
          <w:trHeight w:val="330"/>
        </w:trPr>
        <w:tc>
          <w:tcPr>
            <w:tcW w:w="9830" w:type="dxa"/>
          </w:tcPr>
          <w:p w14:paraId="45A1DD9F" w14:textId="139D206C" w:rsidR="00DB285E" w:rsidRPr="00485ED6" w:rsidRDefault="00DB285E" w:rsidP="00DB285E">
            <w:pPr>
              <w:rPr>
                <w:b/>
              </w:rPr>
            </w:pPr>
            <w:r w:rsidRPr="00485ED6">
              <w:rPr>
                <w:b/>
              </w:rPr>
              <w:t>Rationale for indicators</w:t>
            </w:r>
          </w:p>
        </w:tc>
      </w:tr>
      <w:tr w:rsidR="00DB285E" w:rsidRPr="00485ED6" w14:paraId="7A956D00" w14:textId="77777777" w:rsidTr="00E03AD9">
        <w:trPr>
          <w:trHeight w:val="330"/>
        </w:trPr>
        <w:tc>
          <w:tcPr>
            <w:tcW w:w="9830" w:type="dxa"/>
          </w:tcPr>
          <w:p w14:paraId="77DD29B1" w14:textId="77777777" w:rsidR="00DB285E" w:rsidRPr="00485ED6" w:rsidRDefault="00DB285E" w:rsidP="00DB285E">
            <w:pPr>
              <w:rPr>
                <w:b/>
              </w:rPr>
            </w:pPr>
            <w:r w:rsidRPr="00485ED6">
              <w:rPr>
                <w:b/>
              </w:rPr>
              <w:t>Please list any relevant policies, strategies or programmes</w:t>
            </w:r>
          </w:p>
        </w:tc>
      </w:tr>
      <w:tr w:rsidR="00DB285E" w:rsidRPr="00485ED6" w14:paraId="3D4657EB" w14:textId="77777777" w:rsidTr="00E03AD9">
        <w:trPr>
          <w:trHeight w:val="330"/>
        </w:trPr>
        <w:tc>
          <w:tcPr>
            <w:tcW w:w="9830" w:type="dxa"/>
          </w:tcPr>
          <w:p w14:paraId="51838306" w14:textId="77777777" w:rsidR="00DB285E" w:rsidRPr="00485ED6" w:rsidRDefault="00DB285E" w:rsidP="00DB285E">
            <w:pPr>
              <w:rPr>
                <w:b/>
              </w:rPr>
            </w:pPr>
            <w:r w:rsidRPr="00485ED6">
              <w:rPr>
                <w:b/>
              </w:rPr>
              <w:t>NHS Outcomes Framework</w:t>
            </w:r>
          </w:p>
        </w:tc>
      </w:tr>
    </w:tbl>
    <w:p w14:paraId="21E2B29F" w14:textId="39FDB381" w:rsidR="00DB285E" w:rsidRDefault="00DB285E"/>
    <w:p w14:paraId="2E381EAE" w14:textId="6E8555B7" w:rsidR="00DB285E" w:rsidRPr="00DB285E" w:rsidRDefault="00DB285E">
      <w:pPr>
        <w:rPr>
          <w:b/>
          <w:bCs/>
        </w:rPr>
      </w:pPr>
      <w:r w:rsidRPr="00DB285E">
        <w:rPr>
          <w:b/>
          <w:bCs/>
        </w:rPr>
        <w:t>High level subject area</w:t>
      </w:r>
      <w:r>
        <w:rPr>
          <w:b/>
          <w:bCs/>
        </w:rPr>
        <w:t xml:space="preserve">: </w:t>
      </w:r>
      <w:r w:rsidRPr="00485ED6">
        <w:t>Preventing people from dying prematurely</w:t>
      </w:r>
    </w:p>
    <w:p w14:paraId="23FFDC6E" w14:textId="77777777" w:rsidR="00DB285E" w:rsidRDefault="00DB285E">
      <w:r>
        <w:br w:type="page"/>
      </w:r>
    </w:p>
    <w:tbl>
      <w:tblPr>
        <w:tblStyle w:val="TableGrid"/>
        <w:tblW w:w="0" w:type="auto"/>
        <w:tblLayout w:type="fixed"/>
        <w:tblLook w:val="0020" w:firstRow="1" w:lastRow="0" w:firstColumn="0" w:lastColumn="0" w:noHBand="0" w:noVBand="0"/>
      </w:tblPr>
      <w:tblGrid>
        <w:gridCol w:w="9830"/>
      </w:tblGrid>
      <w:tr w:rsidR="00DB285E" w:rsidRPr="00485ED6" w14:paraId="241BDC45" w14:textId="77777777" w:rsidTr="00E03AD9">
        <w:trPr>
          <w:trHeight w:hRule="exact" w:val="386"/>
        </w:trPr>
        <w:tc>
          <w:tcPr>
            <w:tcW w:w="9830" w:type="dxa"/>
          </w:tcPr>
          <w:p w14:paraId="1617A4D9" w14:textId="676D15DD" w:rsidR="00DB285E" w:rsidRPr="00485ED6" w:rsidRDefault="00DB285E" w:rsidP="00DB285E">
            <w:pPr>
              <w:rPr>
                <w:sz w:val="16"/>
                <w:szCs w:val="16"/>
              </w:rPr>
            </w:pPr>
            <w:r w:rsidRPr="00485ED6">
              <w:lastRenderedPageBreak/>
              <w:t>Evidence base for the indicator</w:t>
            </w:r>
          </w:p>
        </w:tc>
      </w:tr>
      <w:tr w:rsidR="00DB285E" w:rsidRPr="00485ED6" w14:paraId="132D484C" w14:textId="77777777" w:rsidTr="00E03AD9">
        <w:trPr>
          <w:trHeight w:hRule="exact" w:val="730"/>
        </w:trPr>
        <w:tc>
          <w:tcPr>
            <w:tcW w:w="9830" w:type="dxa"/>
          </w:tcPr>
          <w:p w14:paraId="32FF9CC0" w14:textId="77777777" w:rsidR="00DB285E" w:rsidRPr="00485ED6" w:rsidRDefault="00DB285E" w:rsidP="00DB285E">
            <w:r w:rsidRPr="00485ED6">
              <w:rPr>
                <w:sz w:val="16"/>
                <w:szCs w:val="16"/>
              </w:rPr>
              <w:t xml:space="preserve">Provide a paragraph summarising the evidence, noting quality of evidence where appropriate.  Do not list the relevant docs here, please extract </w:t>
            </w:r>
            <w:proofErr w:type="spellStart"/>
            <w:r w:rsidRPr="00485ED6">
              <w:rPr>
                <w:sz w:val="16"/>
                <w:szCs w:val="16"/>
              </w:rPr>
              <w:t>saliant</w:t>
            </w:r>
            <w:proofErr w:type="spellEnd"/>
            <w:r w:rsidRPr="00485ED6">
              <w:rPr>
                <w:sz w:val="16"/>
                <w:szCs w:val="16"/>
              </w:rPr>
              <w:t xml:space="preserve"> messages.  </w:t>
            </w:r>
            <w:r w:rsidRPr="00485ED6">
              <w:t xml:space="preserve">Indicator has been selected as part of the set of NHS Outcome indicators – evidence produced and considered for the set. </w:t>
            </w:r>
          </w:p>
        </w:tc>
      </w:tr>
      <w:tr w:rsidR="00DB285E" w:rsidRPr="00485ED6" w14:paraId="39C22E3E" w14:textId="77777777" w:rsidTr="00E03AD9">
        <w:trPr>
          <w:trHeight w:hRule="exact" w:val="340"/>
        </w:trPr>
        <w:tc>
          <w:tcPr>
            <w:tcW w:w="9830" w:type="dxa"/>
          </w:tcPr>
          <w:p w14:paraId="4B3B3738" w14:textId="77777777" w:rsidR="00DB285E" w:rsidRPr="00485ED6" w:rsidRDefault="00DB285E" w:rsidP="00DB285E">
            <w:r w:rsidRPr="00485ED6">
              <w:t>References</w:t>
            </w:r>
          </w:p>
        </w:tc>
      </w:tr>
      <w:tr w:rsidR="00DB285E" w:rsidRPr="00485ED6" w14:paraId="4473C1BD" w14:textId="77777777" w:rsidTr="00E03AD9">
        <w:trPr>
          <w:trHeight w:hRule="exact" w:val="889"/>
        </w:trPr>
        <w:tc>
          <w:tcPr>
            <w:tcW w:w="9830" w:type="dxa"/>
          </w:tcPr>
          <w:p w14:paraId="6974E4A0" w14:textId="77777777" w:rsidR="00DB285E" w:rsidRPr="00485ED6" w:rsidRDefault="00DB285E" w:rsidP="00DB285E">
            <w:r w:rsidRPr="00485ED6">
              <w:t>Extensive consultation – see transparency in outcomes – a framework for the NHS, The NHS Outcomes Framework 2011-12</w:t>
            </w:r>
          </w:p>
        </w:tc>
      </w:tr>
      <w:tr w:rsidR="00DB285E" w:rsidRPr="00485ED6" w14:paraId="4A8C1332" w14:textId="77777777" w:rsidTr="00E03AD9">
        <w:trPr>
          <w:trHeight w:hRule="exact" w:val="367"/>
        </w:trPr>
        <w:tc>
          <w:tcPr>
            <w:tcW w:w="9830" w:type="dxa"/>
          </w:tcPr>
          <w:p w14:paraId="27DC53EA" w14:textId="77777777" w:rsidR="00DB285E" w:rsidRPr="00485ED6" w:rsidRDefault="00DB285E" w:rsidP="00DB285E">
            <w:r w:rsidRPr="00485ED6">
              <w:t xml:space="preserve">Clinical advice </w:t>
            </w:r>
          </w:p>
        </w:tc>
      </w:tr>
      <w:tr w:rsidR="00DB285E" w:rsidRPr="00485ED6" w14:paraId="15D6374A" w14:textId="77777777" w:rsidTr="00E03AD9">
        <w:trPr>
          <w:trHeight w:hRule="exact" w:val="1046"/>
        </w:trPr>
        <w:tc>
          <w:tcPr>
            <w:tcW w:w="9830" w:type="dxa"/>
          </w:tcPr>
          <w:p w14:paraId="7AC9412C" w14:textId="77777777" w:rsidR="00DB285E" w:rsidRPr="00485ED6" w:rsidRDefault="00DB285E" w:rsidP="00DB285E">
            <w:pPr>
              <w:rPr>
                <w:sz w:val="16"/>
                <w:szCs w:val="16"/>
              </w:rPr>
            </w:pPr>
            <w:r w:rsidRPr="00485ED6">
              <w:rPr>
                <w:sz w:val="16"/>
                <w:szCs w:val="16"/>
              </w:rPr>
              <w:t xml:space="preserve">Provide details of any clinical </w:t>
            </w:r>
            <w:proofErr w:type="spellStart"/>
            <w:r w:rsidRPr="00485ED6">
              <w:rPr>
                <w:sz w:val="16"/>
                <w:szCs w:val="16"/>
              </w:rPr>
              <w:t>adivice</w:t>
            </w:r>
            <w:proofErr w:type="spellEnd"/>
            <w:r w:rsidRPr="00485ED6">
              <w:rPr>
                <w:sz w:val="16"/>
                <w:szCs w:val="16"/>
              </w:rPr>
              <w:t xml:space="preserve"> or support already given in development or preparation of indicator.  </w:t>
            </w:r>
          </w:p>
        </w:tc>
      </w:tr>
      <w:tr w:rsidR="00DB285E" w:rsidRPr="00485ED6" w14:paraId="7E18F51A" w14:textId="77777777" w:rsidTr="00E03AD9">
        <w:trPr>
          <w:trHeight w:hRule="exact" w:val="367"/>
        </w:trPr>
        <w:tc>
          <w:tcPr>
            <w:tcW w:w="9830" w:type="dxa"/>
          </w:tcPr>
          <w:p w14:paraId="5613C090" w14:textId="77777777" w:rsidR="00DB285E" w:rsidRPr="00485ED6" w:rsidRDefault="00DB285E" w:rsidP="00DB285E">
            <w:r w:rsidRPr="00485ED6">
              <w:t xml:space="preserve">Indicator Rationale Review </w:t>
            </w:r>
            <w:r w:rsidRPr="00485ED6">
              <w:rPr>
                <w:b/>
              </w:rPr>
              <w:t>(IC use only)</w:t>
            </w:r>
          </w:p>
          <w:p w14:paraId="4ECF345F" w14:textId="77777777" w:rsidR="00DB285E" w:rsidRPr="00485ED6" w:rsidRDefault="00DB285E" w:rsidP="00DB285E"/>
        </w:tc>
      </w:tr>
    </w:tbl>
    <w:p w14:paraId="59D1A2AB" w14:textId="77777777" w:rsidR="00DB285E" w:rsidRDefault="00DB285E"/>
    <w:p w14:paraId="49FE9750" w14:textId="77777777" w:rsidR="00DB285E" w:rsidRDefault="00DB285E"/>
    <w:tbl>
      <w:tblPr>
        <w:tblStyle w:val="TableGrid"/>
        <w:tblW w:w="0" w:type="auto"/>
        <w:tblLayout w:type="fixed"/>
        <w:tblLook w:val="04A0" w:firstRow="1" w:lastRow="0" w:firstColumn="1" w:lastColumn="0" w:noHBand="0" w:noVBand="1"/>
      </w:tblPr>
      <w:tblGrid>
        <w:gridCol w:w="4783"/>
        <w:gridCol w:w="1028"/>
        <w:gridCol w:w="3305"/>
        <w:gridCol w:w="714"/>
      </w:tblGrid>
      <w:tr w:rsidR="00DB285E" w:rsidRPr="00485ED6" w14:paraId="717590D3" w14:textId="77777777" w:rsidTr="005A779B">
        <w:trPr>
          <w:trHeight w:val="345"/>
        </w:trPr>
        <w:tc>
          <w:tcPr>
            <w:tcW w:w="4783" w:type="dxa"/>
          </w:tcPr>
          <w:p w14:paraId="117F385F" w14:textId="77777777" w:rsidR="00DB285E" w:rsidRPr="00485ED6" w:rsidRDefault="00DB285E" w:rsidP="00DB285E">
            <w:pPr>
              <w:rPr>
                <w:sz w:val="20"/>
                <w:szCs w:val="20"/>
              </w:rPr>
            </w:pPr>
            <w:r w:rsidRPr="00485ED6">
              <w:rPr>
                <w:sz w:val="20"/>
                <w:szCs w:val="20"/>
              </w:rPr>
              <w:t>Priority level linked to policy, strategy or programme</w:t>
            </w:r>
          </w:p>
          <w:p w14:paraId="58A25ACB" w14:textId="77777777" w:rsidR="00DB285E" w:rsidRPr="00485ED6" w:rsidRDefault="00DB285E" w:rsidP="00DB285E">
            <w:pPr>
              <w:rPr>
                <w:sz w:val="20"/>
                <w:szCs w:val="20"/>
              </w:rPr>
            </w:pPr>
            <w:r w:rsidRPr="00485ED6">
              <w:rPr>
                <w:sz w:val="20"/>
                <w:szCs w:val="20"/>
              </w:rPr>
              <w:t xml:space="preserve">Quality of evidence </w:t>
            </w:r>
          </w:p>
          <w:p w14:paraId="6782061E" w14:textId="77777777" w:rsidR="00DB285E" w:rsidRPr="00485ED6" w:rsidRDefault="00DB285E" w:rsidP="00DB285E">
            <w:pPr>
              <w:rPr>
                <w:sz w:val="20"/>
                <w:szCs w:val="20"/>
              </w:rPr>
            </w:pPr>
            <w:r w:rsidRPr="00485ED6">
              <w:rPr>
                <w:sz w:val="20"/>
                <w:szCs w:val="20"/>
              </w:rPr>
              <w:t xml:space="preserve"> - clinical trial / cohort studies/ meta-analysis </w:t>
            </w:r>
          </w:p>
          <w:p w14:paraId="0231AE14" w14:textId="77777777" w:rsidR="00DB285E" w:rsidRPr="00485ED6" w:rsidRDefault="00DB285E" w:rsidP="00DB285E">
            <w:pPr>
              <w:rPr>
                <w:sz w:val="20"/>
                <w:szCs w:val="20"/>
              </w:rPr>
            </w:pPr>
            <w:r w:rsidRPr="00485ED6">
              <w:rPr>
                <w:sz w:val="20"/>
                <w:szCs w:val="20"/>
              </w:rPr>
              <w:t xml:space="preserve"> - non-analytical studies</w:t>
            </w:r>
          </w:p>
          <w:p w14:paraId="46EFEE70" w14:textId="77777777" w:rsidR="00DB285E" w:rsidRPr="00485ED6" w:rsidRDefault="00DB285E" w:rsidP="00DB285E">
            <w:pPr>
              <w:rPr>
                <w:sz w:val="20"/>
                <w:szCs w:val="20"/>
              </w:rPr>
            </w:pPr>
            <w:r w:rsidRPr="00485ED6">
              <w:rPr>
                <w:sz w:val="20"/>
                <w:szCs w:val="20"/>
              </w:rPr>
              <w:t xml:space="preserve"> - best practice (clinical) </w:t>
            </w:r>
          </w:p>
          <w:p w14:paraId="7D9B08DE" w14:textId="77777777" w:rsidR="00DB285E" w:rsidRPr="00485ED6" w:rsidRDefault="00DB285E" w:rsidP="00DB285E">
            <w:pPr>
              <w:rPr>
                <w:sz w:val="20"/>
                <w:szCs w:val="20"/>
              </w:rPr>
            </w:pPr>
            <w:r w:rsidRPr="00485ED6">
              <w:rPr>
                <w:sz w:val="20"/>
                <w:szCs w:val="20"/>
              </w:rPr>
              <w:t xml:space="preserve"> - good practice for patient experience</w:t>
            </w:r>
          </w:p>
          <w:p w14:paraId="3FB016BF" w14:textId="77777777" w:rsidR="00DB285E" w:rsidRPr="00485ED6" w:rsidRDefault="00DB285E" w:rsidP="00DB285E">
            <w:pPr>
              <w:rPr>
                <w:b/>
                <w:sz w:val="20"/>
                <w:szCs w:val="20"/>
              </w:rPr>
            </w:pPr>
          </w:p>
          <w:p w14:paraId="3F6F4EF8" w14:textId="61657F04" w:rsidR="00DB285E" w:rsidRPr="00485ED6" w:rsidRDefault="00DB285E" w:rsidP="00DB285E">
            <w:pPr>
              <w:rPr>
                <w:sz w:val="20"/>
                <w:szCs w:val="20"/>
              </w:rPr>
            </w:pPr>
            <w:r w:rsidRPr="00485ED6">
              <w:rPr>
                <w:b/>
                <w:sz w:val="20"/>
                <w:szCs w:val="20"/>
              </w:rPr>
              <w:t>Information complete - proceed</w:t>
            </w:r>
            <w:r w:rsidRPr="00485ED6">
              <w:rPr>
                <w:sz w:val="20"/>
                <w:szCs w:val="20"/>
              </w:rPr>
              <w:t xml:space="preserve"> </w:t>
            </w:r>
          </w:p>
        </w:tc>
        <w:bookmarkStart w:id="51" w:name="Dropdown1"/>
        <w:tc>
          <w:tcPr>
            <w:tcW w:w="1028" w:type="dxa"/>
          </w:tcPr>
          <w:p w14:paraId="0DC6B04C" w14:textId="77777777" w:rsidR="00DB285E" w:rsidRPr="00485ED6" w:rsidRDefault="00DB285E" w:rsidP="00DB285E">
            <w:pPr>
              <w:ind w:left="60"/>
            </w:pPr>
            <w:r w:rsidRPr="00485ED6">
              <w:rPr>
                <w:sz w:val="20"/>
                <w:szCs w:val="20"/>
              </w:rPr>
              <w:fldChar w:fldCharType="begin">
                <w:ffData>
                  <w:name w:val="Dropdown1"/>
                  <w:enabled/>
                  <w:calcOnExit w:val="0"/>
                  <w:helpText w:type="text" w:val="Select relevant priority level, default is Medium, which will pass the application through Pipeline at next scheduled availability.  High only for urgent, Low where timescales are 6 months or more.  "/>
                  <w:ddList>
                    <w:listEntry w:val="Medium"/>
                    <w:listEntry w:val="High"/>
                    <w:listEntry w:val="Low"/>
                  </w:ddList>
                </w:ffData>
              </w:fldChar>
            </w:r>
            <w:r w:rsidRPr="00485ED6">
              <w:rPr>
                <w:sz w:val="20"/>
                <w:szCs w:val="20"/>
              </w:rPr>
              <w:instrText xml:space="preserve"> FORMDROPDOWN </w:instrText>
            </w:r>
            <w:r w:rsidR="00704996">
              <w:rPr>
                <w:sz w:val="20"/>
                <w:szCs w:val="20"/>
              </w:rPr>
            </w:r>
            <w:r w:rsidR="00704996">
              <w:rPr>
                <w:sz w:val="20"/>
                <w:szCs w:val="20"/>
              </w:rPr>
              <w:fldChar w:fldCharType="separate"/>
            </w:r>
            <w:r w:rsidRPr="00485ED6">
              <w:rPr>
                <w:sz w:val="20"/>
                <w:szCs w:val="20"/>
              </w:rPr>
              <w:fldChar w:fldCharType="end"/>
            </w:r>
            <w:bookmarkEnd w:id="51"/>
          </w:p>
          <w:p w14:paraId="1A66000B" w14:textId="77777777" w:rsidR="00DB285E" w:rsidRPr="00485ED6" w:rsidRDefault="00DB285E" w:rsidP="00DB285E">
            <w:pPr>
              <w:ind w:left="60"/>
            </w:pPr>
          </w:p>
          <w:p w14:paraId="561C74D2" w14:textId="77777777" w:rsidR="00DB285E" w:rsidRPr="00485ED6" w:rsidRDefault="00DB285E" w:rsidP="00DB285E">
            <w:pPr>
              <w:ind w:left="60"/>
            </w:pPr>
          </w:p>
          <w:p w14:paraId="1CBA796D" w14:textId="77777777" w:rsidR="00DB285E" w:rsidRPr="00485ED6" w:rsidRDefault="00DB285E" w:rsidP="00DB285E">
            <w:pPr>
              <w:jc w:val="center"/>
              <w:rPr>
                <w:sz w:val="20"/>
                <w:szCs w:val="20"/>
              </w:rPr>
            </w:pPr>
            <w:r w:rsidRPr="00485ED6">
              <w:rPr>
                <w:sz w:val="20"/>
                <w:szCs w:val="20"/>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p>
          <w:p w14:paraId="38D11BF8" w14:textId="77777777" w:rsidR="00DB285E" w:rsidRPr="00485ED6" w:rsidRDefault="00DB285E" w:rsidP="00DB285E">
            <w:pPr>
              <w:jc w:val="center"/>
              <w:rPr>
                <w:sz w:val="20"/>
                <w:szCs w:val="20"/>
              </w:rPr>
            </w:pPr>
            <w:r w:rsidRPr="00485ED6">
              <w:rPr>
                <w:sz w:val="20"/>
                <w:szCs w:val="20"/>
              </w:rPr>
              <w:fldChar w:fldCharType="begin">
                <w:ffData>
                  <w:name w:val="Check94"/>
                  <w:enabled/>
                  <w:calcOnExit w:val="0"/>
                  <w:checkBox>
                    <w:sizeAuto/>
                    <w:default w:val="0"/>
                  </w:checkBox>
                </w:ffData>
              </w:fldChar>
            </w:r>
            <w:bookmarkStart w:id="52" w:name="Check94"/>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52"/>
          </w:p>
          <w:p w14:paraId="492ADCF9" w14:textId="77777777" w:rsidR="00DB285E" w:rsidRPr="00485ED6" w:rsidRDefault="00DB285E" w:rsidP="00DB285E">
            <w:pPr>
              <w:jc w:val="center"/>
              <w:rPr>
                <w:sz w:val="20"/>
                <w:szCs w:val="20"/>
              </w:rPr>
            </w:pPr>
            <w:r w:rsidRPr="00485ED6">
              <w:rPr>
                <w:sz w:val="20"/>
                <w:szCs w:val="20"/>
              </w:rPr>
              <w:fldChar w:fldCharType="begin">
                <w:ffData>
                  <w:name w:val="Check95"/>
                  <w:enabled/>
                  <w:calcOnExit w:val="0"/>
                  <w:checkBox>
                    <w:sizeAuto/>
                    <w:default w:val="0"/>
                  </w:checkBox>
                </w:ffData>
              </w:fldChar>
            </w:r>
            <w:bookmarkStart w:id="53" w:name="Check95"/>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53"/>
          </w:p>
          <w:p w14:paraId="0C6C1B2B" w14:textId="77777777" w:rsidR="00DB285E" w:rsidRPr="00485ED6" w:rsidRDefault="00DB285E" w:rsidP="00DB285E">
            <w:pPr>
              <w:jc w:val="center"/>
              <w:rPr>
                <w:sz w:val="20"/>
                <w:szCs w:val="20"/>
              </w:rPr>
            </w:pPr>
            <w:r w:rsidRPr="00485ED6">
              <w:rPr>
                <w:sz w:val="20"/>
                <w:szCs w:val="20"/>
              </w:rPr>
              <w:fldChar w:fldCharType="begin">
                <w:ffData>
                  <w:name w:val="Check96"/>
                  <w:enabled/>
                  <w:calcOnExit w:val="0"/>
                  <w:checkBox>
                    <w:sizeAuto/>
                    <w:default w:val="0"/>
                  </w:checkBox>
                </w:ffData>
              </w:fldChar>
            </w:r>
            <w:bookmarkStart w:id="54" w:name="Check96"/>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54"/>
          </w:p>
          <w:p w14:paraId="2A5B0AE0" w14:textId="77777777" w:rsidR="00DB285E" w:rsidRPr="00485ED6" w:rsidRDefault="00DB285E" w:rsidP="00DB285E">
            <w:pPr>
              <w:jc w:val="center"/>
              <w:rPr>
                <w:sz w:val="20"/>
                <w:szCs w:val="20"/>
              </w:rPr>
            </w:pPr>
          </w:p>
          <w:p w14:paraId="2C355E35" w14:textId="6FB719A1" w:rsidR="00DB285E" w:rsidRPr="00485ED6" w:rsidRDefault="005A779B" w:rsidP="00DB285E">
            <w:pPr>
              <w:ind w:left="60"/>
              <w:rPr>
                <w:sz w:val="20"/>
                <w:szCs w:val="20"/>
              </w:rPr>
            </w:pPr>
            <w:bookmarkStart w:id="55" w:name="Check97"/>
            <w:r>
              <w:rPr>
                <w:sz w:val="20"/>
                <w:szCs w:val="20"/>
              </w:rPr>
              <w:t xml:space="preserve">    </w:t>
            </w:r>
            <w:r w:rsidR="00DB285E" w:rsidRPr="00485ED6">
              <w:rPr>
                <w:sz w:val="20"/>
                <w:szCs w:val="20"/>
              </w:rPr>
              <w:fldChar w:fldCharType="begin">
                <w:ffData>
                  <w:name w:val="Check97"/>
                  <w:enabled/>
                  <w:calcOnExit w:val="0"/>
                  <w:helpText w:type="text" w:val="This means we have enough information to proceed, not that the indicator will be rated as high quality"/>
                  <w:checkBox>
                    <w:sizeAuto/>
                    <w:default w:val="0"/>
                    <w:checked w:val="0"/>
                  </w:checkBox>
                </w:ffData>
              </w:fldChar>
            </w:r>
            <w:r w:rsidR="00DB285E" w:rsidRPr="00485ED6">
              <w:rPr>
                <w:sz w:val="20"/>
                <w:szCs w:val="20"/>
              </w:rPr>
              <w:instrText xml:space="preserve"> FORMCHECKBOX </w:instrText>
            </w:r>
            <w:r w:rsidR="00704996">
              <w:rPr>
                <w:sz w:val="20"/>
                <w:szCs w:val="20"/>
              </w:rPr>
            </w:r>
            <w:r w:rsidR="00704996">
              <w:rPr>
                <w:sz w:val="20"/>
                <w:szCs w:val="20"/>
              </w:rPr>
              <w:fldChar w:fldCharType="separate"/>
            </w:r>
            <w:r w:rsidR="00DB285E" w:rsidRPr="00485ED6">
              <w:rPr>
                <w:sz w:val="20"/>
                <w:szCs w:val="20"/>
              </w:rPr>
              <w:fldChar w:fldCharType="end"/>
            </w:r>
            <w:bookmarkEnd w:id="55"/>
          </w:p>
        </w:tc>
        <w:tc>
          <w:tcPr>
            <w:tcW w:w="3305" w:type="dxa"/>
          </w:tcPr>
          <w:p w14:paraId="4CB96844" w14:textId="77777777" w:rsidR="00DB285E" w:rsidRPr="00485ED6" w:rsidRDefault="00DB285E" w:rsidP="00DB285E">
            <w:pPr>
              <w:rPr>
                <w:i/>
                <w:sz w:val="20"/>
                <w:szCs w:val="20"/>
              </w:rPr>
            </w:pPr>
            <w:r w:rsidRPr="00485ED6">
              <w:rPr>
                <w:i/>
                <w:sz w:val="20"/>
                <w:szCs w:val="20"/>
              </w:rPr>
              <w:t>Requires revision for following reasons:</w:t>
            </w:r>
          </w:p>
          <w:p w14:paraId="7FE1C5BA" w14:textId="77777777" w:rsidR="00DB285E" w:rsidRPr="00485ED6" w:rsidRDefault="00DB285E" w:rsidP="00DB285E">
            <w:pPr>
              <w:rPr>
                <w:sz w:val="20"/>
                <w:szCs w:val="20"/>
              </w:rPr>
            </w:pPr>
            <w:r w:rsidRPr="00485ED6">
              <w:rPr>
                <w:sz w:val="20"/>
                <w:szCs w:val="20"/>
              </w:rPr>
              <w:t>Policy, strategy, programme information not complete</w:t>
            </w:r>
          </w:p>
          <w:p w14:paraId="166BD021" w14:textId="136B7D4A" w:rsidR="00DB285E" w:rsidRPr="00485ED6" w:rsidRDefault="00DB285E" w:rsidP="00DB285E">
            <w:pPr>
              <w:rPr>
                <w:i/>
                <w:sz w:val="20"/>
                <w:szCs w:val="20"/>
              </w:rPr>
            </w:pPr>
            <w:r w:rsidRPr="00485ED6">
              <w:rPr>
                <w:sz w:val="20"/>
                <w:szCs w:val="20"/>
              </w:rPr>
              <w:t>Evidence information not complete</w:t>
            </w:r>
          </w:p>
        </w:tc>
        <w:tc>
          <w:tcPr>
            <w:tcW w:w="714" w:type="dxa"/>
          </w:tcPr>
          <w:p w14:paraId="1DB23828" w14:textId="77777777" w:rsidR="00DB285E" w:rsidRPr="00485ED6" w:rsidRDefault="00DB285E" w:rsidP="00DB285E">
            <w:pPr>
              <w:jc w:val="center"/>
            </w:pPr>
          </w:p>
          <w:p w14:paraId="592119D1" w14:textId="77777777" w:rsidR="00DB285E" w:rsidRPr="00485ED6" w:rsidRDefault="00DB285E" w:rsidP="00DB285E">
            <w:pPr>
              <w:jc w:val="center"/>
              <w:rPr>
                <w:sz w:val="20"/>
                <w:szCs w:val="20"/>
              </w:rPr>
            </w:pPr>
          </w:p>
          <w:p w14:paraId="65E8451C" w14:textId="77777777" w:rsidR="00DB285E" w:rsidRPr="00485ED6" w:rsidRDefault="00DB285E" w:rsidP="00DB285E">
            <w:pPr>
              <w:jc w:val="center"/>
              <w:rPr>
                <w:sz w:val="20"/>
                <w:szCs w:val="20"/>
              </w:rPr>
            </w:pPr>
          </w:p>
          <w:p w14:paraId="1AB02960" w14:textId="77777777" w:rsidR="00DB285E" w:rsidRPr="00485ED6" w:rsidRDefault="00DB285E" w:rsidP="00DB285E">
            <w:pPr>
              <w:jc w:val="center"/>
              <w:rPr>
                <w:sz w:val="20"/>
                <w:szCs w:val="20"/>
              </w:rPr>
            </w:pPr>
            <w:r w:rsidRPr="00485ED6">
              <w:rPr>
                <w:sz w:val="20"/>
                <w:szCs w:val="20"/>
              </w:rPr>
              <w:fldChar w:fldCharType="begin">
                <w:ffData>
                  <w:name w:val="Check28"/>
                  <w:enabled/>
                  <w:calcOnExit w:val="0"/>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p>
          <w:p w14:paraId="411C304B" w14:textId="7330186C" w:rsidR="00DB285E" w:rsidRPr="00485ED6" w:rsidRDefault="00DB285E" w:rsidP="00DB285E">
            <w:pPr>
              <w:jc w:val="center"/>
            </w:pPr>
            <w:r w:rsidRPr="00485ED6">
              <w:rPr>
                <w:sz w:val="20"/>
                <w:szCs w:val="20"/>
              </w:rPr>
              <w:fldChar w:fldCharType="begin">
                <w:ffData>
                  <w:name w:val="Check29"/>
                  <w:enabled/>
                  <w:calcOnExit w:val="0"/>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p>
        </w:tc>
      </w:tr>
    </w:tbl>
    <w:p w14:paraId="4E357E92" w14:textId="77777777" w:rsidR="00DB285E" w:rsidRDefault="00DB285E"/>
    <w:tbl>
      <w:tblPr>
        <w:tblStyle w:val="TableGrid"/>
        <w:tblW w:w="0" w:type="auto"/>
        <w:tblLayout w:type="fixed"/>
        <w:tblLook w:val="0020" w:firstRow="1" w:lastRow="0" w:firstColumn="0" w:lastColumn="0" w:noHBand="0" w:noVBand="0"/>
      </w:tblPr>
      <w:tblGrid>
        <w:gridCol w:w="9830"/>
      </w:tblGrid>
      <w:tr w:rsidR="00DB285E" w:rsidRPr="00485ED6" w14:paraId="5CA72053" w14:textId="77777777" w:rsidTr="00E03AD9">
        <w:trPr>
          <w:trHeight w:val="180"/>
        </w:trPr>
        <w:tc>
          <w:tcPr>
            <w:tcW w:w="9830" w:type="dxa"/>
          </w:tcPr>
          <w:p w14:paraId="3783F6FD" w14:textId="1725CB31" w:rsidR="00DB285E" w:rsidRPr="00485ED6" w:rsidRDefault="00DB285E" w:rsidP="00DB285E">
            <w:pPr>
              <w:rPr>
                <w:b/>
              </w:rPr>
            </w:pPr>
            <w:r w:rsidRPr="00485ED6">
              <w:rPr>
                <w:b/>
              </w:rPr>
              <w:t>Indicator Methodology – information sources</w:t>
            </w:r>
          </w:p>
        </w:tc>
      </w:tr>
      <w:tr w:rsidR="00DB285E" w:rsidRPr="00485ED6" w14:paraId="37FEF0B4" w14:textId="77777777" w:rsidTr="00E03AD9">
        <w:trPr>
          <w:trHeight w:val="180"/>
        </w:trPr>
        <w:tc>
          <w:tcPr>
            <w:tcW w:w="9830" w:type="dxa"/>
          </w:tcPr>
          <w:p w14:paraId="128FF6E2" w14:textId="77777777" w:rsidR="00DB285E" w:rsidRPr="00485ED6" w:rsidRDefault="00DB285E" w:rsidP="00DB285E">
            <w:r w:rsidRPr="00485ED6">
              <w:t xml:space="preserve">Numerator definition   </w:t>
            </w:r>
            <w:r w:rsidRPr="00485ED6">
              <w:rPr>
                <w:sz w:val="16"/>
                <w:szCs w:val="16"/>
              </w:rPr>
              <w:t>Word description of the data source</w:t>
            </w:r>
          </w:p>
        </w:tc>
      </w:tr>
      <w:tr w:rsidR="00DB285E" w:rsidRPr="00485ED6" w14:paraId="647BF003" w14:textId="77777777" w:rsidTr="00E03AD9">
        <w:trPr>
          <w:trHeight w:val="180"/>
        </w:trPr>
        <w:tc>
          <w:tcPr>
            <w:tcW w:w="9830" w:type="dxa"/>
          </w:tcPr>
          <w:p w14:paraId="4A64F07F" w14:textId="77777777" w:rsidR="00DB285E" w:rsidRPr="00485ED6" w:rsidRDefault="00DB285E" w:rsidP="00DB285E">
            <w:pPr>
              <w:autoSpaceDE w:val="0"/>
              <w:autoSpaceDN w:val="0"/>
              <w:adjustRightInd w:val="0"/>
              <w:spacing w:before="240"/>
              <w:rPr>
                <w:b/>
                <w:bCs/>
                <w:szCs w:val="18"/>
              </w:rPr>
            </w:pPr>
            <w:r w:rsidRPr="00485ED6">
              <w:rPr>
                <w:b/>
                <w:bCs/>
                <w:szCs w:val="18"/>
              </w:rPr>
              <w:t>Numerator</w:t>
            </w:r>
          </w:p>
          <w:p w14:paraId="1D6B2070" w14:textId="77777777" w:rsidR="00DB285E" w:rsidRPr="00485ED6" w:rsidRDefault="00DB285E" w:rsidP="00DB285E">
            <w:pPr>
              <w:autoSpaceDE w:val="0"/>
              <w:autoSpaceDN w:val="0"/>
              <w:adjustRightInd w:val="0"/>
              <w:rPr>
                <w:szCs w:val="18"/>
              </w:rPr>
            </w:pPr>
            <w:r w:rsidRPr="00485ED6">
              <w:rPr>
                <w:szCs w:val="18"/>
              </w:rPr>
              <w:t>Number of deaths under 75 years from cardiovascular disease</w:t>
            </w:r>
          </w:p>
          <w:p w14:paraId="31C83C89" w14:textId="77777777" w:rsidR="00DB285E" w:rsidRPr="00485ED6" w:rsidRDefault="00DB285E" w:rsidP="00DB285E">
            <w:pPr>
              <w:autoSpaceDE w:val="0"/>
              <w:autoSpaceDN w:val="0"/>
              <w:adjustRightInd w:val="0"/>
              <w:rPr>
                <w:szCs w:val="18"/>
              </w:rPr>
            </w:pPr>
            <w:r w:rsidRPr="00485ED6">
              <w:rPr>
                <w:szCs w:val="18"/>
              </w:rPr>
              <w:t>Number of deaths under 75 years from respiratory disease</w:t>
            </w:r>
          </w:p>
          <w:p w14:paraId="69C7110F" w14:textId="77777777" w:rsidR="00DB285E" w:rsidRPr="00485ED6" w:rsidRDefault="00DB285E" w:rsidP="00DB285E">
            <w:pPr>
              <w:autoSpaceDE w:val="0"/>
              <w:autoSpaceDN w:val="0"/>
              <w:adjustRightInd w:val="0"/>
              <w:rPr>
                <w:szCs w:val="18"/>
              </w:rPr>
            </w:pPr>
            <w:r w:rsidRPr="00485ED6">
              <w:rPr>
                <w:szCs w:val="18"/>
              </w:rPr>
              <w:t>Number of deaths under 75 years from liver disease</w:t>
            </w:r>
          </w:p>
          <w:p w14:paraId="14E65C9F" w14:textId="77777777" w:rsidR="00DB285E" w:rsidRPr="00485ED6" w:rsidRDefault="00DB285E" w:rsidP="00DB285E">
            <w:pPr>
              <w:autoSpaceDE w:val="0"/>
              <w:autoSpaceDN w:val="0"/>
              <w:adjustRightInd w:val="0"/>
            </w:pPr>
          </w:p>
        </w:tc>
      </w:tr>
      <w:tr w:rsidR="00DB285E" w:rsidRPr="00485ED6" w14:paraId="6369C778" w14:textId="77777777" w:rsidTr="00E03AD9">
        <w:trPr>
          <w:trHeight w:val="180"/>
        </w:trPr>
        <w:tc>
          <w:tcPr>
            <w:tcW w:w="9830" w:type="dxa"/>
          </w:tcPr>
          <w:p w14:paraId="01B3A266" w14:textId="77777777" w:rsidR="00DB285E" w:rsidRPr="00485ED6" w:rsidRDefault="00DB285E" w:rsidP="00DB285E">
            <w:r w:rsidRPr="00485ED6">
              <w:t xml:space="preserve">Numerator source      </w:t>
            </w:r>
            <w:r w:rsidRPr="00485ED6">
              <w:rPr>
                <w:sz w:val="16"/>
                <w:szCs w:val="16"/>
              </w:rPr>
              <w:t>Organisation and data collection</w:t>
            </w:r>
          </w:p>
        </w:tc>
      </w:tr>
      <w:tr w:rsidR="00DB285E" w:rsidRPr="00485ED6" w14:paraId="297F58A3" w14:textId="77777777" w:rsidTr="00E03AD9">
        <w:trPr>
          <w:trHeight w:val="180"/>
        </w:trPr>
        <w:tc>
          <w:tcPr>
            <w:tcW w:w="9830" w:type="dxa"/>
          </w:tcPr>
          <w:p w14:paraId="6C162B13" w14:textId="7688973D" w:rsidR="00DB285E" w:rsidRPr="00485ED6" w:rsidRDefault="00DB285E" w:rsidP="00DB285E">
            <w:r w:rsidRPr="00485ED6">
              <w:t>Office for National Statistics mortality extracts</w:t>
            </w:r>
          </w:p>
        </w:tc>
      </w:tr>
      <w:tr w:rsidR="00DB285E" w:rsidRPr="00485ED6" w14:paraId="3E37EEDE" w14:textId="77777777" w:rsidTr="00E03AD9">
        <w:trPr>
          <w:trHeight w:val="180"/>
        </w:trPr>
        <w:tc>
          <w:tcPr>
            <w:tcW w:w="9830" w:type="dxa"/>
          </w:tcPr>
          <w:p w14:paraId="15782BE0" w14:textId="77777777" w:rsidR="00DB285E" w:rsidRPr="00485ED6" w:rsidRDefault="00DB285E" w:rsidP="00DB285E">
            <w:r w:rsidRPr="00485ED6">
              <w:t xml:space="preserve">Numerator </w:t>
            </w:r>
            <w:proofErr w:type="gramStart"/>
            <w:r w:rsidRPr="00485ED6">
              <w:t xml:space="preserve">construction  </w:t>
            </w:r>
            <w:r w:rsidRPr="00485ED6">
              <w:rPr>
                <w:sz w:val="16"/>
                <w:szCs w:val="16"/>
              </w:rPr>
              <w:t>Which</w:t>
            </w:r>
            <w:proofErr w:type="gramEnd"/>
            <w:r w:rsidRPr="00485ED6">
              <w:rPr>
                <w:sz w:val="16"/>
                <w:szCs w:val="16"/>
              </w:rPr>
              <w:t xml:space="preserve"> data fields (specify) and values (specify codes) are combined to arrive at the count.  Include any special rules.  </w:t>
            </w:r>
          </w:p>
        </w:tc>
      </w:tr>
      <w:tr w:rsidR="00DB285E" w:rsidRPr="00485ED6" w14:paraId="4E7ED2AA" w14:textId="77777777" w:rsidTr="00E03AD9">
        <w:trPr>
          <w:trHeight w:val="180"/>
        </w:trPr>
        <w:tc>
          <w:tcPr>
            <w:tcW w:w="9830" w:type="dxa"/>
          </w:tcPr>
          <w:p w14:paraId="02D380DC" w14:textId="77777777" w:rsidR="00DB285E" w:rsidRPr="00485ED6" w:rsidRDefault="00DB285E" w:rsidP="00DB285E">
            <w:r w:rsidRPr="00485ED6">
              <w:t>For NCHOD:</w:t>
            </w:r>
          </w:p>
          <w:p w14:paraId="070332F8" w14:textId="77777777" w:rsidR="00DB285E" w:rsidRPr="00485ED6" w:rsidRDefault="00DB285E" w:rsidP="00DB285E">
            <w:r w:rsidRPr="00485ED6">
              <w:t>Age (select infant deaths and deaths under 75 years of age):</w:t>
            </w:r>
          </w:p>
          <w:p w14:paraId="20C70CAB" w14:textId="77777777" w:rsidR="00DB285E" w:rsidRPr="00485ED6" w:rsidRDefault="00DB285E" w:rsidP="00DB285E">
            <w:pPr>
              <w:ind w:left="720"/>
            </w:pPr>
            <w:r w:rsidRPr="00485ED6">
              <w:t>([AGECUNIT] &gt; 1 OR ([AGEUNIT] = 1 AND [AGEC] &lt; 75))</w:t>
            </w:r>
          </w:p>
          <w:p w14:paraId="0F3DCBEA" w14:textId="77777777" w:rsidR="00DB285E" w:rsidRPr="00485ED6" w:rsidRDefault="00DB285E" w:rsidP="00DB285E"/>
          <w:p w14:paraId="50C48565" w14:textId="77777777" w:rsidR="00DB285E" w:rsidRPr="00485ED6" w:rsidRDefault="00DB285E" w:rsidP="00DB285E">
            <w:smartTag w:uri="urn:schemas-microsoft-com:office:smarttags" w:element="country-region">
              <w:smartTag w:uri="urn:schemas-microsoft-com:office:smarttags" w:element="place">
                <w:r w:rsidRPr="00485ED6">
                  <w:t>England</w:t>
                </w:r>
              </w:smartTag>
            </w:smartTag>
            <w:r w:rsidRPr="00485ED6">
              <w:t xml:space="preserve"> resident (select English GORs of residence):</w:t>
            </w:r>
          </w:p>
          <w:p w14:paraId="1E3E4A6C" w14:textId="77777777" w:rsidR="00DB285E" w:rsidRPr="00485ED6" w:rsidRDefault="00DB285E" w:rsidP="00DB285E">
            <w:pPr>
              <w:ind w:left="720"/>
            </w:pPr>
            <w:r w:rsidRPr="00485ED6">
              <w:t>([GORR] in (‘A’, ‘B’, ‘D’, ‘E’, ‘F’, ‘G’, ‘H’, ‘J’, ‘K’))</w:t>
            </w:r>
            <w:r w:rsidRPr="00485ED6">
              <w:br/>
            </w:r>
          </w:p>
          <w:p w14:paraId="56B9E168" w14:textId="711EF1CC" w:rsidR="00DB285E" w:rsidRPr="00485ED6" w:rsidRDefault="00DB285E" w:rsidP="00DB285E">
            <w:r w:rsidRPr="00485ED6">
              <w:t>Cause of death (select original underlying cause of death):</w:t>
            </w:r>
          </w:p>
          <w:p w14:paraId="34093A42" w14:textId="77777777" w:rsidR="00DB285E" w:rsidRPr="00485ED6" w:rsidRDefault="00DB285E" w:rsidP="00DB285E">
            <w:pPr>
              <w:ind w:left="720"/>
              <w:rPr>
                <w:b/>
                <w:i/>
              </w:rPr>
            </w:pPr>
            <w:r w:rsidRPr="00485ED6">
              <w:t xml:space="preserve">[ICD10U] = </w:t>
            </w:r>
            <w:r w:rsidRPr="00485ED6">
              <w:rPr>
                <w:b/>
                <w:i/>
              </w:rPr>
              <w:t>{Advice still required on ICD 10 codes to include}</w:t>
            </w:r>
          </w:p>
          <w:p w14:paraId="610CC9E5" w14:textId="77777777" w:rsidR="00DB285E" w:rsidRPr="00485ED6" w:rsidRDefault="00DB285E" w:rsidP="00DB285E"/>
          <w:p w14:paraId="42AA40D1" w14:textId="77777777" w:rsidR="00DB285E" w:rsidRPr="00485ED6" w:rsidRDefault="00DB285E" w:rsidP="00DB285E">
            <w:r w:rsidRPr="00485ED6">
              <w:t>Counts to be aggregated by gender ([Sex]) and area/organisation ([GORR], [HROR], [CTYDR], [CTYR], [HAUTR]) as appropriate.</w:t>
            </w:r>
          </w:p>
          <w:p w14:paraId="1885579D" w14:textId="77777777" w:rsidR="00DB285E" w:rsidRPr="00485ED6" w:rsidRDefault="00DB285E" w:rsidP="00DB285E"/>
        </w:tc>
      </w:tr>
      <w:tr w:rsidR="00DB285E" w:rsidRPr="00485ED6" w14:paraId="18552FE3" w14:textId="77777777" w:rsidTr="00E03AD9">
        <w:trPr>
          <w:trHeight w:val="180"/>
        </w:trPr>
        <w:tc>
          <w:tcPr>
            <w:tcW w:w="9830" w:type="dxa"/>
          </w:tcPr>
          <w:p w14:paraId="7264992C" w14:textId="77777777" w:rsidR="00DB285E" w:rsidRPr="00485ED6" w:rsidRDefault="00DB285E" w:rsidP="00DB285E">
            <w:r w:rsidRPr="00485ED6">
              <w:t xml:space="preserve">Numerator ascertainment   </w:t>
            </w:r>
            <w:r w:rsidRPr="00485ED6">
              <w:rPr>
                <w:sz w:val="16"/>
                <w:szCs w:val="16"/>
              </w:rPr>
              <w:t xml:space="preserve">Any known exclusions, shortfalls or collection issues which will </w:t>
            </w:r>
            <w:proofErr w:type="gramStart"/>
            <w:r w:rsidRPr="00485ED6">
              <w:rPr>
                <w:sz w:val="16"/>
                <w:szCs w:val="16"/>
              </w:rPr>
              <w:t>effect</w:t>
            </w:r>
            <w:proofErr w:type="gramEnd"/>
            <w:r w:rsidRPr="00485ED6">
              <w:rPr>
                <w:sz w:val="16"/>
                <w:szCs w:val="16"/>
              </w:rPr>
              <w:t xml:space="preserve"> the total amount of data collected.</w:t>
            </w:r>
          </w:p>
        </w:tc>
      </w:tr>
      <w:tr w:rsidR="00DB285E" w:rsidRPr="00485ED6" w14:paraId="767413EE" w14:textId="77777777" w:rsidTr="00E03AD9">
        <w:trPr>
          <w:trHeight w:val="180"/>
        </w:trPr>
        <w:tc>
          <w:tcPr>
            <w:tcW w:w="9830" w:type="dxa"/>
          </w:tcPr>
          <w:p w14:paraId="171AD788" w14:textId="77777777" w:rsidR="00DB285E" w:rsidRPr="00485ED6" w:rsidRDefault="00DB285E" w:rsidP="00DB285E">
            <w:r w:rsidRPr="00485ED6">
              <w:lastRenderedPageBreak/>
              <w:t xml:space="preserve">Numerator counts are based on: </w:t>
            </w:r>
          </w:p>
          <w:p w14:paraId="7BCB3B7E" w14:textId="77777777" w:rsidR="00DB285E" w:rsidRPr="00485ED6" w:rsidRDefault="00DB285E" w:rsidP="00DB285E">
            <w:pPr>
              <w:ind w:left="720"/>
            </w:pPr>
            <w:r w:rsidRPr="00485ED6">
              <w:t xml:space="preserve">Year of death </w:t>
            </w:r>
            <w:proofErr w:type="gramStart"/>
            <w:r w:rsidRPr="00485ED6">
              <w:t>registration;</w:t>
            </w:r>
            <w:proofErr w:type="gramEnd"/>
          </w:p>
          <w:p w14:paraId="3EB64EBA" w14:textId="77777777" w:rsidR="00DB285E" w:rsidRPr="00485ED6" w:rsidRDefault="00DB285E" w:rsidP="00DB285E">
            <w:pPr>
              <w:ind w:left="720"/>
            </w:pPr>
            <w:r w:rsidRPr="00485ED6">
              <w:t xml:space="preserve">Underlying cause of </w:t>
            </w:r>
            <w:proofErr w:type="gramStart"/>
            <w:r w:rsidRPr="00485ED6">
              <w:t>death;</w:t>
            </w:r>
            <w:proofErr w:type="gramEnd"/>
          </w:p>
          <w:p w14:paraId="72F71C72" w14:textId="77777777" w:rsidR="00DB285E" w:rsidRPr="00485ED6" w:rsidRDefault="00DB285E" w:rsidP="00DB285E">
            <w:pPr>
              <w:ind w:left="720"/>
            </w:pPr>
            <w:r w:rsidRPr="00485ED6">
              <w:t>Area/organisation of residence.</w:t>
            </w:r>
          </w:p>
          <w:p w14:paraId="0D0B2A51" w14:textId="77777777" w:rsidR="00DB285E" w:rsidRPr="00485ED6" w:rsidRDefault="00DB285E" w:rsidP="00DB285E"/>
          <w:p w14:paraId="0063244B" w14:textId="77777777" w:rsidR="00DB285E" w:rsidRPr="00485ED6" w:rsidRDefault="00DB285E" w:rsidP="00DB285E">
            <w:r w:rsidRPr="00485ED6">
              <w:t>Neonatal deaths excluded as they are not assigned an ICD10 code for the underlying cause of death.</w:t>
            </w:r>
          </w:p>
        </w:tc>
      </w:tr>
      <w:tr w:rsidR="00DB285E" w:rsidRPr="00485ED6" w14:paraId="1345DD66" w14:textId="77777777" w:rsidTr="00E03AD9">
        <w:trPr>
          <w:trHeight w:val="180"/>
        </w:trPr>
        <w:tc>
          <w:tcPr>
            <w:tcW w:w="9830" w:type="dxa"/>
          </w:tcPr>
          <w:p w14:paraId="5E2D84A0" w14:textId="77777777" w:rsidR="00DB285E" w:rsidRPr="00485ED6" w:rsidRDefault="00DB285E" w:rsidP="00DB285E">
            <w:r w:rsidRPr="00485ED6">
              <w:t xml:space="preserve">Numerator quality of </w:t>
            </w:r>
            <w:proofErr w:type="gramStart"/>
            <w:r w:rsidRPr="00485ED6">
              <w:t xml:space="preserve">data  </w:t>
            </w:r>
            <w:r w:rsidRPr="00485ED6">
              <w:rPr>
                <w:sz w:val="16"/>
                <w:szCs w:val="16"/>
              </w:rPr>
              <w:t>Issues</w:t>
            </w:r>
            <w:proofErr w:type="gramEnd"/>
            <w:r w:rsidRPr="00485ED6">
              <w:rPr>
                <w:sz w:val="16"/>
                <w:szCs w:val="16"/>
              </w:rPr>
              <w:t xml:space="preserve"> with accuracy or known variability of recording.  For </w:t>
            </w:r>
            <w:proofErr w:type="gramStart"/>
            <w:r w:rsidRPr="00485ED6">
              <w:rPr>
                <w:sz w:val="16"/>
                <w:szCs w:val="16"/>
              </w:rPr>
              <w:t>example</w:t>
            </w:r>
            <w:proofErr w:type="gramEnd"/>
            <w:r w:rsidRPr="00485ED6">
              <w:rPr>
                <w:sz w:val="16"/>
                <w:szCs w:val="16"/>
              </w:rPr>
              <w:t xml:space="preserve"> coding by untrained staff.  </w:t>
            </w:r>
          </w:p>
        </w:tc>
      </w:tr>
      <w:tr w:rsidR="00DB285E" w:rsidRPr="00485ED6" w14:paraId="3333358A" w14:textId="77777777" w:rsidTr="00E03AD9">
        <w:trPr>
          <w:trHeight w:val="180"/>
        </w:trPr>
        <w:tc>
          <w:tcPr>
            <w:tcW w:w="9830" w:type="dxa"/>
          </w:tcPr>
          <w:p w14:paraId="7A4B3B69" w14:textId="77777777" w:rsidR="00DB285E" w:rsidRPr="00485ED6" w:rsidRDefault="00DB285E" w:rsidP="00DB285E"/>
        </w:tc>
      </w:tr>
      <w:tr w:rsidR="00DB285E" w:rsidRPr="00485ED6" w14:paraId="79D46BC0" w14:textId="77777777" w:rsidTr="00E03AD9">
        <w:trPr>
          <w:trHeight w:val="180"/>
        </w:trPr>
        <w:tc>
          <w:tcPr>
            <w:tcW w:w="9830" w:type="dxa"/>
          </w:tcPr>
          <w:p w14:paraId="4E99B57D" w14:textId="77777777" w:rsidR="00DB285E" w:rsidRPr="00485ED6" w:rsidRDefault="00DB285E" w:rsidP="00DB285E">
            <w:r w:rsidRPr="00485ED6">
              <w:t xml:space="preserve">Numerator access to data </w:t>
            </w:r>
            <w:r w:rsidRPr="00485ED6">
              <w:rPr>
                <w:sz w:val="16"/>
                <w:szCs w:val="16"/>
              </w:rPr>
              <w:t>Is data publicly available / published.  Is it available only upon request, or even only to 'trusted' groups of people?</w:t>
            </w:r>
            <w:r w:rsidRPr="00485ED6">
              <w:t xml:space="preserve">  </w:t>
            </w:r>
          </w:p>
        </w:tc>
      </w:tr>
      <w:tr w:rsidR="00DB285E" w:rsidRPr="00485ED6" w14:paraId="7BEA3BD1" w14:textId="77777777" w:rsidTr="00E03AD9">
        <w:trPr>
          <w:trHeight w:val="180"/>
        </w:trPr>
        <w:tc>
          <w:tcPr>
            <w:tcW w:w="9830" w:type="dxa"/>
          </w:tcPr>
          <w:p w14:paraId="6536A1CE" w14:textId="77777777" w:rsidR="00DB285E" w:rsidRPr="00485ED6" w:rsidRDefault="00DB285E" w:rsidP="00DB285E">
            <w:r w:rsidRPr="00485ED6">
              <w:t>Mortality extracts are only available to the NHS: NHS IC, CQC, PHOs, PCOs, SHAs.</w:t>
            </w:r>
          </w:p>
        </w:tc>
      </w:tr>
      <w:tr w:rsidR="00DB285E" w:rsidRPr="00485ED6" w14:paraId="49FA55BD" w14:textId="77777777" w:rsidTr="00E03AD9">
        <w:trPr>
          <w:trHeight w:val="180"/>
        </w:trPr>
        <w:tc>
          <w:tcPr>
            <w:tcW w:w="9830" w:type="dxa"/>
          </w:tcPr>
          <w:p w14:paraId="6405B4EA" w14:textId="77777777" w:rsidR="00DB285E" w:rsidRPr="00485ED6" w:rsidRDefault="00DB285E" w:rsidP="00DB285E">
            <w:r w:rsidRPr="00485ED6">
              <w:t xml:space="preserve">Numerator </w:t>
            </w:r>
            <w:proofErr w:type="gramStart"/>
            <w:r w:rsidRPr="00485ED6">
              <w:t xml:space="preserve">timeliness  </w:t>
            </w:r>
            <w:r w:rsidRPr="00485ED6">
              <w:rPr>
                <w:sz w:val="16"/>
                <w:szCs w:val="16"/>
              </w:rPr>
              <w:t>Frequency</w:t>
            </w:r>
            <w:proofErr w:type="gramEnd"/>
            <w:r w:rsidRPr="00485ED6">
              <w:rPr>
                <w:sz w:val="16"/>
                <w:szCs w:val="16"/>
              </w:rPr>
              <w:t xml:space="preserve"> and timeliness of data.  State how the publication/release of data relates to indicator production timescales.</w:t>
            </w:r>
            <w:r w:rsidRPr="00485ED6">
              <w:t xml:space="preserve">  </w:t>
            </w:r>
          </w:p>
        </w:tc>
      </w:tr>
      <w:tr w:rsidR="00DB285E" w:rsidRPr="00485ED6" w14:paraId="4816FCE7" w14:textId="77777777" w:rsidTr="00E03AD9">
        <w:trPr>
          <w:trHeight w:val="180"/>
        </w:trPr>
        <w:tc>
          <w:tcPr>
            <w:tcW w:w="9830" w:type="dxa"/>
          </w:tcPr>
          <w:p w14:paraId="23B8209C" w14:textId="77777777" w:rsidR="00DB285E" w:rsidRPr="00485ED6" w:rsidRDefault="00DB285E" w:rsidP="00DB285E">
            <w:pPr>
              <w:autoSpaceDE w:val="0"/>
              <w:autoSpaceDN w:val="0"/>
              <w:adjustRightInd w:val="0"/>
              <w:rPr>
                <w:szCs w:val="18"/>
              </w:rPr>
            </w:pPr>
            <w:r w:rsidRPr="00485ED6">
              <w:rPr>
                <w:szCs w:val="18"/>
              </w:rPr>
              <w:t xml:space="preserve">Annual national mortality extracts are provided by ONS to the NHS Information Centre and the Care Quality Commission. Next scheduled publication is </w:t>
            </w:r>
            <w:r w:rsidRPr="00485ED6">
              <w:t>June 2011 for 2010 mortality data.</w:t>
            </w:r>
          </w:p>
          <w:p w14:paraId="69C7B831" w14:textId="77777777" w:rsidR="00DB285E" w:rsidRPr="00485ED6" w:rsidRDefault="00DB285E" w:rsidP="00DB285E">
            <w:pPr>
              <w:autoSpaceDE w:val="0"/>
              <w:autoSpaceDN w:val="0"/>
              <w:adjustRightInd w:val="0"/>
              <w:rPr>
                <w:szCs w:val="18"/>
              </w:rPr>
            </w:pPr>
          </w:p>
          <w:p w14:paraId="2DF2207F" w14:textId="77777777" w:rsidR="00DB285E" w:rsidRPr="00485ED6" w:rsidRDefault="00DB285E" w:rsidP="00DB285E">
            <w:pPr>
              <w:autoSpaceDE w:val="0"/>
              <w:autoSpaceDN w:val="0"/>
              <w:adjustRightInd w:val="0"/>
              <w:rPr>
                <w:szCs w:val="18"/>
              </w:rPr>
            </w:pPr>
            <w:r w:rsidRPr="00485ED6">
              <w:rPr>
                <w:szCs w:val="18"/>
              </w:rPr>
              <w:t>Quarterly national mortality extracts are provided by ONS to the NHS Information Centre.</w:t>
            </w:r>
          </w:p>
          <w:p w14:paraId="3CD562CE" w14:textId="77777777" w:rsidR="00DB285E" w:rsidRPr="00485ED6" w:rsidRDefault="00DB285E" w:rsidP="00DB285E">
            <w:pPr>
              <w:autoSpaceDE w:val="0"/>
              <w:autoSpaceDN w:val="0"/>
              <w:adjustRightInd w:val="0"/>
              <w:rPr>
                <w:b/>
                <w:i/>
                <w:szCs w:val="18"/>
              </w:rPr>
            </w:pPr>
            <w:proofErr w:type="gramStart"/>
            <w:r w:rsidRPr="00485ED6">
              <w:rPr>
                <w:b/>
                <w:i/>
                <w:szCs w:val="18"/>
              </w:rPr>
              <w:t>?timeliness</w:t>
            </w:r>
            <w:proofErr w:type="gramEnd"/>
            <w:r w:rsidRPr="00485ED6">
              <w:rPr>
                <w:b/>
                <w:i/>
                <w:szCs w:val="18"/>
              </w:rPr>
              <w:t>?</w:t>
            </w:r>
          </w:p>
          <w:p w14:paraId="613C5B4A" w14:textId="77777777" w:rsidR="00DB285E" w:rsidRPr="00485ED6" w:rsidRDefault="00DB285E" w:rsidP="00DB285E">
            <w:pPr>
              <w:autoSpaceDE w:val="0"/>
              <w:autoSpaceDN w:val="0"/>
              <w:adjustRightInd w:val="0"/>
              <w:rPr>
                <w:szCs w:val="18"/>
              </w:rPr>
            </w:pPr>
          </w:p>
          <w:p w14:paraId="638719A5" w14:textId="77777777" w:rsidR="00DB285E" w:rsidRPr="00485ED6" w:rsidRDefault="00DB285E" w:rsidP="00DB285E">
            <w:pPr>
              <w:autoSpaceDE w:val="0"/>
              <w:autoSpaceDN w:val="0"/>
              <w:adjustRightInd w:val="0"/>
              <w:rPr>
                <w:szCs w:val="18"/>
              </w:rPr>
            </w:pPr>
            <w:r w:rsidRPr="00485ED6">
              <w:rPr>
                <w:szCs w:val="18"/>
              </w:rPr>
              <w:t>Annual district mortality extracts are provided by ONS to the Primary Care Organisations and the Public Health Observatories.</w:t>
            </w:r>
          </w:p>
          <w:p w14:paraId="50EFC122" w14:textId="77777777" w:rsidR="00DB285E" w:rsidRPr="00485ED6" w:rsidRDefault="00DB285E" w:rsidP="00DB285E">
            <w:pPr>
              <w:autoSpaceDE w:val="0"/>
              <w:autoSpaceDN w:val="0"/>
              <w:adjustRightInd w:val="0"/>
              <w:rPr>
                <w:szCs w:val="18"/>
              </w:rPr>
            </w:pPr>
          </w:p>
          <w:p w14:paraId="18D1084D" w14:textId="77777777" w:rsidR="00DB285E" w:rsidRPr="00485ED6" w:rsidRDefault="00DB285E" w:rsidP="00DB285E">
            <w:pPr>
              <w:autoSpaceDE w:val="0"/>
              <w:autoSpaceDN w:val="0"/>
              <w:adjustRightInd w:val="0"/>
              <w:rPr>
                <w:szCs w:val="18"/>
              </w:rPr>
            </w:pPr>
            <w:r w:rsidRPr="00485ED6">
              <w:rPr>
                <w:szCs w:val="18"/>
              </w:rPr>
              <w:t xml:space="preserve">Another district level mortality extract, the Public Health Mortality File, is provided by ONS on a monthly or weekly basis to Primary Care Organisations. </w:t>
            </w:r>
            <w:proofErr w:type="gramStart"/>
            <w:r w:rsidRPr="00485ED6">
              <w:rPr>
                <w:b/>
                <w:i/>
                <w:szCs w:val="18"/>
              </w:rPr>
              <w:t>?timeliness</w:t>
            </w:r>
            <w:proofErr w:type="gramEnd"/>
            <w:r w:rsidRPr="00485ED6">
              <w:rPr>
                <w:b/>
                <w:i/>
                <w:szCs w:val="18"/>
              </w:rPr>
              <w:t>?</w:t>
            </w:r>
          </w:p>
          <w:p w14:paraId="2638285F" w14:textId="77777777" w:rsidR="00DB285E" w:rsidRPr="00485ED6" w:rsidRDefault="00DB285E" w:rsidP="00DB285E">
            <w:pPr>
              <w:autoSpaceDE w:val="0"/>
              <w:autoSpaceDN w:val="0"/>
              <w:adjustRightInd w:val="0"/>
              <w:rPr>
                <w:szCs w:val="18"/>
              </w:rPr>
            </w:pPr>
          </w:p>
          <w:p w14:paraId="53719968" w14:textId="0AA7F923" w:rsidR="00DB285E" w:rsidRPr="00485ED6" w:rsidRDefault="00DB285E" w:rsidP="00DB285E"/>
        </w:tc>
      </w:tr>
      <w:tr w:rsidR="00DB285E" w:rsidRPr="00485ED6" w14:paraId="1D9CF5FA" w14:textId="77777777" w:rsidTr="00E03AD9">
        <w:trPr>
          <w:trHeight w:val="180"/>
        </w:trPr>
        <w:tc>
          <w:tcPr>
            <w:tcW w:w="9830" w:type="dxa"/>
          </w:tcPr>
          <w:p w14:paraId="34F106C1" w14:textId="77777777" w:rsidR="00DB285E" w:rsidRPr="00485ED6" w:rsidRDefault="00DB285E" w:rsidP="00DB285E">
            <w:r w:rsidRPr="00485ED6">
              <w:t xml:space="preserve">Denominator </w:t>
            </w:r>
            <w:proofErr w:type="gramStart"/>
            <w:r w:rsidRPr="00485ED6">
              <w:t xml:space="preserve">definition  </w:t>
            </w:r>
            <w:r w:rsidRPr="00485ED6">
              <w:rPr>
                <w:sz w:val="16"/>
                <w:szCs w:val="16"/>
              </w:rPr>
              <w:t>Word</w:t>
            </w:r>
            <w:proofErr w:type="gramEnd"/>
            <w:r w:rsidRPr="00485ED6">
              <w:rPr>
                <w:sz w:val="16"/>
                <w:szCs w:val="16"/>
              </w:rPr>
              <w:t xml:space="preserve"> description of the data source</w:t>
            </w:r>
          </w:p>
        </w:tc>
      </w:tr>
      <w:tr w:rsidR="00DB285E" w:rsidRPr="00485ED6" w14:paraId="71720C5E" w14:textId="77777777" w:rsidTr="00E03AD9">
        <w:trPr>
          <w:trHeight w:val="180"/>
        </w:trPr>
        <w:tc>
          <w:tcPr>
            <w:tcW w:w="9830" w:type="dxa"/>
          </w:tcPr>
          <w:p w14:paraId="299545D3" w14:textId="77777777" w:rsidR="00DB285E" w:rsidRPr="00485ED6" w:rsidRDefault="00DB285E" w:rsidP="00DB285E">
            <w:pPr>
              <w:autoSpaceDE w:val="0"/>
              <w:autoSpaceDN w:val="0"/>
              <w:adjustRightInd w:val="0"/>
              <w:spacing w:before="240"/>
              <w:rPr>
                <w:b/>
                <w:bCs/>
                <w:szCs w:val="18"/>
              </w:rPr>
            </w:pPr>
            <w:r w:rsidRPr="00485ED6">
              <w:rPr>
                <w:b/>
                <w:bCs/>
                <w:szCs w:val="18"/>
              </w:rPr>
              <w:t>Denominator</w:t>
            </w:r>
          </w:p>
          <w:p w14:paraId="5EA46680" w14:textId="690D5AFA" w:rsidR="00DB285E" w:rsidRPr="00485ED6" w:rsidRDefault="00DB285E" w:rsidP="00DB285E">
            <w:pPr>
              <w:autoSpaceDE w:val="0"/>
              <w:autoSpaceDN w:val="0"/>
              <w:adjustRightInd w:val="0"/>
              <w:rPr>
                <w:szCs w:val="18"/>
              </w:rPr>
            </w:pPr>
            <w:r w:rsidRPr="00485ED6">
              <w:rPr>
                <w:szCs w:val="18"/>
              </w:rPr>
              <w:t xml:space="preserve">Resident population under 75 years </w:t>
            </w:r>
          </w:p>
          <w:p w14:paraId="7F155BDC" w14:textId="77777777" w:rsidR="00DB285E" w:rsidRPr="00485ED6" w:rsidRDefault="00DB285E" w:rsidP="00DB285E">
            <w:pPr>
              <w:autoSpaceDE w:val="0"/>
              <w:autoSpaceDN w:val="0"/>
              <w:adjustRightInd w:val="0"/>
            </w:pPr>
          </w:p>
        </w:tc>
      </w:tr>
      <w:tr w:rsidR="00DB285E" w:rsidRPr="00485ED6" w14:paraId="2FC2994B" w14:textId="77777777" w:rsidTr="00E03AD9">
        <w:trPr>
          <w:trHeight w:val="180"/>
        </w:trPr>
        <w:tc>
          <w:tcPr>
            <w:tcW w:w="9830" w:type="dxa"/>
          </w:tcPr>
          <w:p w14:paraId="3F515F52" w14:textId="77777777" w:rsidR="00DB285E" w:rsidRPr="00485ED6" w:rsidRDefault="00DB285E" w:rsidP="00DB285E">
            <w:r w:rsidRPr="00485ED6">
              <w:t xml:space="preserve">Denominator source    </w:t>
            </w:r>
            <w:r w:rsidRPr="00485ED6">
              <w:rPr>
                <w:sz w:val="16"/>
                <w:szCs w:val="16"/>
              </w:rPr>
              <w:t>Organisation and data collection</w:t>
            </w:r>
          </w:p>
        </w:tc>
      </w:tr>
      <w:tr w:rsidR="00DB285E" w:rsidRPr="00485ED6" w14:paraId="54D79DBF" w14:textId="77777777" w:rsidTr="00E03AD9">
        <w:trPr>
          <w:trHeight w:val="180"/>
        </w:trPr>
        <w:tc>
          <w:tcPr>
            <w:tcW w:w="9830" w:type="dxa"/>
          </w:tcPr>
          <w:p w14:paraId="577F972E" w14:textId="7243532A" w:rsidR="00DB285E" w:rsidRPr="00485ED6" w:rsidRDefault="00DB285E" w:rsidP="00DB285E">
            <w:r w:rsidRPr="00485ED6">
              <w:t>Office for National Statistics mid-year population estimates</w:t>
            </w:r>
          </w:p>
        </w:tc>
      </w:tr>
      <w:tr w:rsidR="00DB285E" w:rsidRPr="00485ED6" w14:paraId="10135F76" w14:textId="77777777" w:rsidTr="00E03AD9">
        <w:trPr>
          <w:trHeight w:val="180"/>
        </w:trPr>
        <w:tc>
          <w:tcPr>
            <w:tcW w:w="9830" w:type="dxa"/>
          </w:tcPr>
          <w:p w14:paraId="6ECB80A6" w14:textId="77777777" w:rsidR="00DB285E" w:rsidRPr="00485ED6" w:rsidRDefault="00DB285E" w:rsidP="00DB285E">
            <w:r w:rsidRPr="00485ED6">
              <w:t xml:space="preserve">Denominator construction   </w:t>
            </w:r>
            <w:r w:rsidRPr="00485ED6">
              <w:rPr>
                <w:sz w:val="16"/>
                <w:szCs w:val="16"/>
              </w:rPr>
              <w:t xml:space="preserve">Which data fields (specify) and values (specify codes) are combined to arrive at the count.  Include any special rules.  </w:t>
            </w:r>
          </w:p>
        </w:tc>
      </w:tr>
      <w:tr w:rsidR="00DB285E" w:rsidRPr="00485ED6" w14:paraId="46726258" w14:textId="77777777" w:rsidTr="00E03AD9">
        <w:trPr>
          <w:trHeight w:val="180"/>
        </w:trPr>
        <w:tc>
          <w:tcPr>
            <w:tcW w:w="9830" w:type="dxa"/>
          </w:tcPr>
          <w:p w14:paraId="5241EEC8" w14:textId="77777777" w:rsidR="00DB285E" w:rsidRPr="00485ED6" w:rsidRDefault="00DB285E" w:rsidP="00DB285E">
            <w:r w:rsidRPr="00485ED6">
              <w:t>NA</w:t>
            </w:r>
          </w:p>
        </w:tc>
      </w:tr>
      <w:tr w:rsidR="00DB285E" w:rsidRPr="00485ED6" w14:paraId="33BAEFDE" w14:textId="77777777" w:rsidTr="00E03AD9">
        <w:trPr>
          <w:trHeight w:val="180"/>
        </w:trPr>
        <w:tc>
          <w:tcPr>
            <w:tcW w:w="9830" w:type="dxa"/>
          </w:tcPr>
          <w:p w14:paraId="2D33B531" w14:textId="77777777" w:rsidR="00DB285E" w:rsidRPr="00485ED6" w:rsidRDefault="00DB285E" w:rsidP="00DB285E">
            <w:r w:rsidRPr="00485ED6">
              <w:t xml:space="preserve">Denominator </w:t>
            </w:r>
            <w:proofErr w:type="spellStart"/>
            <w:r w:rsidRPr="00485ED6">
              <w:t>acertainment</w:t>
            </w:r>
            <w:proofErr w:type="spellEnd"/>
            <w:r w:rsidRPr="00485ED6">
              <w:t xml:space="preserve"> </w:t>
            </w:r>
            <w:r w:rsidRPr="00485ED6">
              <w:rPr>
                <w:sz w:val="16"/>
                <w:szCs w:val="16"/>
              </w:rPr>
              <w:t xml:space="preserve">Any known exclusions, shortfalls or collection issues which will </w:t>
            </w:r>
            <w:proofErr w:type="gramStart"/>
            <w:r w:rsidRPr="00485ED6">
              <w:rPr>
                <w:sz w:val="16"/>
                <w:szCs w:val="16"/>
              </w:rPr>
              <w:t>effect</w:t>
            </w:r>
            <w:proofErr w:type="gramEnd"/>
            <w:r w:rsidRPr="00485ED6">
              <w:rPr>
                <w:sz w:val="16"/>
                <w:szCs w:val="16"/>
              </w:rPr>
              <w:t xml:space="preserve"> the total amount of data collected.</w:t>
            </w:r>
          </w:p>
        </w:tc>
      </w:tr>
      <w:tr w:rsidR="00DB285E" w:rsidRPr="00485ED6" w14:paraId="44EED5AF" w14:textId="77777777" w:rsidTr="00E03AD9">
        <w:trPr>
          <w:trHeight w:val="180"/>
        </w:trPr>
        <w:tc>
          <w:tcPr>
            <w:tcW w:w="9830" w:type="dxa"/>
          </w:tcPr>
          <w:p w14:paraId="2590F409" w14:textId="77777777" w:rsidR="00DB285E" w:rsidRPr="00485ED6" w:rsidRDefault="00DB285E" w:rsidP="00DB285E">
            <w:r w:rsidRPr="00485ED6">
              <w:t>NA</w:t>
            </w:r>
          </w:p>
        </w:tc>
      </w:tr>
      <w:tr w:rsidR="00DB285E" w:rsidRPr="00485ED6" w14:paraId="24D541F0" w14:textId="77777777" w:rsidTr="00E03AD9">
        <w:trPr>
          <w:trHeight w:val="180"/>
        </w:trPr>
        <w:tc>
          <w:tcPr>
            <w:tcW w:w="9830" w:type="dxa"/>
          </w:tcPr>
          <w:p w14:paraId="1988814E" w14:textId="77777777" w:rsidR="00DB285E" w:rsidRPr="00485ED6" w:rsidRDefault="00DB285E" w:rsidP="00DB285E">
            <w:r w:rsidRPr="00485ED6">
              <w:t xml:space="preserve">Denominator quality of data </w:t>
            </w:r>
            <w:r w:rsidRPr="00485ED6">
              <w:rPr>
                <w:sz w:val="16"/>
                <w:szCs w:val="16"/>
              </w:rPr>
              <w:t xml:space="preserve">Issues with accuracy or known variability of recording.  For </w:t>
            </w:r>
            <w:proofErr w:type="gramStart"/>
            <w:r w:rsidRPr="00485ED6">
              <w:rPr>
                <w:sz w:val="16"/>
                <w:szCs w:val="16"/>
              </w:rPr>
              <w:t>example</w:t>
            </w:r>
            <w:proofErr w:type="gramEnd"/>
            <w:r w:rsidRPr="00485ED6">
              <w:rPr>
                <w:sz w:val="16"/>
                <w:szCs w:val="16"/>
              </w:rPr>
              <w:t xml:space="preserve"> coding by untrained staff.  </w:t>
            </w:r>
          </w:p>
        </w:tc>
      </w:tr>
      <w:tr w:rsidR="00DB285E" w:rsidRPr="00485ED6" w14:paraId="136E348D" w14:textId="77777777" w:rsidTr="00E03AD9">
        <w:trPr>
          <w:trHeight w:val="180"/>
        </w:trPr>
        <w:tc>
          <w:tcPr>
            <w:tcW w:w="9830" w:type="dxa"/>
          </w:tcPr>
          <w:p w14:paraId="244F5B4C" w14:textId="77777777" w:rsidR="00DB285E" w:rsidRPr="00485ED6" w:rsidRDefault="00DB285E" w:rsidP="00DB285E"/>
        </w:tc>
      </w:tr>
      <w:tr w:rsidR="00DB285E" w:rsidRPr="00485ED6" w14:paraId="64EE870B" w14:textId="77777777" w:rsidTr="00E03AD9">
        <w:trPr>
          <w:trHeight w:val="180"/>
        </w:trPr>
        <w:tc>
          <w:tcPr>
            <w:tcW w:w="9830" w:type="dxa"/>
          </w:tcPr>
          <w:p w14:paraId="05E2B2B5" w14:textId="77777777" w:rsidR="00DB285E" w:rsidRPr="00485ED6" w:rsidRDefault="00DB285E" w:rsidP="00DB285E">
            <w:r w:rsidRPr="00485ED6">
              <w:t xml:space="preserve">Denominator access to </w:t>
            </w:r>
            <w:proofErr w:type="gramStart"/>
            <w:r w:rsidRPr="00485ED6">
              <w:t xml:space="preserve">data  </w:t>
            </w:r>
            <w:r w:rsidRPr="00485ED6">
              <w:rPr>
                <w:sz w:val="16"/>
                <w:szCs w:val="16"/>
              </w:rPr>
              <w:t>Is</w:t>
            </w:r>
            <w:proofErr w:type="gramEnd"/>
            <w:r w:rsidRPr="00485ED6">
              <w:rPr>
                <w:sz w:val="16"/>
                <w:szCs w:val="16"/>
              </w:rPr>
              <w:t xml:space="preserve"> data publicly available / published.  Is it available only upon request, or even only to 'trusted' groups of people?</w:t>
            </w:r>
            <w:r w:rsidRPr="00485ED6">
              <w:t xml:space="preserve">  </w:t>
            </w:r>
          </w:p>
        </w:tc>
      </w:tr>
      <w:tr w:rsidR="00DB285E" w:rsidRPr="00485ED6" w14:paraId="2B969EE0" w14:textId="77777777" w:rsidTr="00E03AD9">
        <w:trPr>
          <w:trHeight w:val="180"/>
        </w:trPr>
        <w:tc>
          <w:tcPr>
            <w:tcW w:w="9830" w:type="dxa"/>
          </w:tcPr>
          <w:p w14:paraId="2DBFA12A" w14:textId="77777777" w:rsidR="00DB285E" w:rsidRPr="00485ED6" w:rsidRDefault="00DB285E" w:rsidP="00DB285E">
            <w:r w:rsidRPr="00485ED6">
              <w:t xml:space="preserve">Data are </w:t>
            </w:r>
            <w:proofErr w:type="spellStart"/>
            <w:r w:rsidRPr="00485ED6">
              <w:t>publically</w:t>
            </w:r>
            <w:proofErr w:type="spellEnd"/>
            <w:r w:rsidRPr="00485ED6">
              <w:t xml:space="preserve"> available.</w:t>
            </w:r>
          </w:p>
        </w:tc>
      </w:tr>
      <w:tr w:rsidR="00DB285E" w:rsidRPr="00485ED6" w14:paraId="2C997E35" w14:textId="77777777" w:rsidTr="00E03AD9">
        <w:trPr>
          <w:trHeight w:val="180"/>
        </w:trPr>
        <w:tc>
          <w:tcPr>
            <w:tcW w:w="9830" w:type="dxa"/>
          </w:tcPr>
          <w:p w14:paraId="4C59D051" w14:textId="77777777" w:rsidR="00DB285E" w:rsidRPr="00485ED6" w:rsidRDefault="00DB285E" w:rsidP="00DB285E">
            <w:r w:rsidRPr="00485ED6">
              <w:t xml:space="preserve">Denominator </w:t>
            </w:r>
            <w:proofErr w:type="gramStart"/>
            <w:r w:rsidRPr="00485ED6">
              <w:t xml:space="preserve">timeliness  </w:t>
            </w:r>
            <w:r w:rsidRPr="00485ED6">
              <w:rPr>
                <w:sz w:val="16"/>
                <w:szCs w:val="16"/>
              </w:rPr>
              <w:t>Frequency</w:t>
            </w:r>
            <w:proofErr w:type="gramEnd"/>
            <w:r w:rsidRPr="00485ED6">
              <w:rPr>
                <w:sz w:val="16"/>
                <w:szCs w:val="16"/>
              </w:rPr>
              <w:t xml:space="preserve"> and timeliness of data.  State how the publication/release of data relates to indicator production timescales.</w:t>
            </w:r>
            <w:r w:rsidRPr="00485ED6">
              <w:t xml:space="preserve">  </w:t>
            </w:r>
          </w:p>
        </w:tc>
      </w:tr>
      <w:tr w:rsidR="00DB285E" w:rsidRPr="00485ED6" w14:paraId="3AA234D7" w14:textId="77777777" w:rsidTr="00E03AD9">
        <w:trPr>
          <w:trHeight w:val="180"/>
        </w:trPr>
        <w:tc>
          <w:tcPr>
            <w:tcW w:w="9830" w:type="dxa"/>
          </w:tcPr>
          <w:p w14:paraId="178B755F" w14:textId="77777777" w:rsidR="00DB285E" w:rsidRPr="00485ED6" w:rsidRDefault="00DB285E" w:rsidP="00DB285E">
            <w:r w:rsidRPr="00485ED6">
              <w:t>Mid-year population estimates are published annually by ONS, current schedules are:</w:t>
            </w:r>
          </w:p>
          <w:p w14:paraId="5C22873D" w14:textId="1BDA7682" w:rsidR="00DB285E" w:rsidRPr="00485ED6" w:rsidRDefault="00DB285E" w:rsidP="00DB285E">
            <w:r w:rsidRPr="00485ED6">
              <w:t>September 2011 for 2010 local authority mid-year population estimates</w:t>
            </w:r>
          </w:p>
          <w:p w14:paraId="33AB252C" w14:textId="77777777" w:rsidR="00DB285E" w:rsidRPr="00485ED6" w:rsidRDefault="00DB285E" w:rsidP="00DB285E">
            <w:r w:rsidRPr="00485ED6">
              <w:t>October 2011 for 2010 Primary Care Organisation mid-year population estimates</w:t>
            </w:r>
          </w:p>
          <w:p w14:paraId="47BDE60C" w14:textId="77777777" w:rsidR="00DB285E" w:rsidRPr="00485ED6" w:rsidRDefault="00DB285E" w:rsidP="00DB285E"/>
          <w:p w14:paraId="5B2F24C3" w14:textId="77777777" w:rsidR="00DB285E" w:rsidRPr="00485ED6" w:rsidRDefault="00DB285E" w:rsidP="00DB285E">
            <w:r w:rsidRPr="00485ED6">
              <w:t>Quarterly population estimates are available from ONS but are considered as experimental statistics.</w:t>
            </w:r>
          </w:p>
        </w:tc>
      </w:tr>
    </w:tbl>
    <w:p w14:paraId="3A099972" w14:textId="1D508561" w:rsidR="00DB285E" w:rsidRDefault="00DB285E">
      <w:r>
        <w:br w:type="page"/>
      </w:r>
    </w:p>
    <w:p w14:paraId="0F1E4BEA" w14:textId="77777777" w:rsidR="00DB285E" w:rsidRPr="00485ED6" w:rsidRDefault="00DB285E" w:rsidP="00DB285E">
      <w:r w:rsidRPr="00485ED6">
        <w:lastRenderedPageBreak/>
        <w:t xml:space="preserve">Indicator Applicant Review </w:t>
      </w:r>
      <w:r w:rsidRPr="00485ED6">
        <w:rPr>
          <w:b/>
        </w:rPr>
        <w:t>(IC use only)</w:t>
      </w:r>
    </w:p>
    <w:p w14:paraId="3519A159" w14:textId="77777777" w:rsidR="00DB285E" w:rsidRDefault="00DB285E"/>
    <w:tbl>
      <w:tblPr>
        <w:tblStyle w:val="TableGrid"/>
        <w:tblW w:w="0" w:type="auto"/>
        <w:tblLayout w:type="fixed"/>
        <w:tblLook w:val="04A0" w:firstRow="1" w:lastRow="0" w:firstColumn="1" w:lastColumn="0" w:noHBand="0" w:noVBand="1"/>
      </w:tblPr>
      <w:tblGrid>
        <w:gridCol w:w="6120"/>
        <w:gridCol w:w="540"/>
        <w:gridCol w:w="2456"/>
        <w:gridCol w:w="714"/>
      </w:tblGrid>
      <w:tr w:rsidR="00DB285E" w:rsidRPr="00485ED6" w14:paraId="76D62CEC" w14:textId="77777777" w:rsidTr="005A779B">
        <w:trPr>
          <w:trHeight w:val="345"/>
        </w:trPr>
        <w:tc>
          <w:tcPr>
            <w:tcW w:w="6120" w:type="dxa"/>
          </w:tcPr>
          <w:p w14:paraId="3FEB7202" w14:textId="77777777" w:rsidR="00DB285E" w:rsidRPr="00485ED6" w:rsidRDefault="00DB285E" w:rsidP="00DB285E">
            <w:pPr>
              <w:rPr>
                <w:sz w:val="20"/>
                <w:szCs w:val="20"/>
              </w:rPr>
            </w:pPr>
            <w:r w:rsidRPr="00485ED6">
              <w:rPr>
                <w:sz w:val="20"/>
                <w:szCs w:val="20"/>
              </w:rPr>
              <w:t>Are raw data universally available for others to recreate indicator?</w:t>
            </w:r>
          </w:p>
          <w:p w14:paraId="46818AA5" w14:textId="77777777" w:rsidR="00DB285E" w:rsidRPr="00485ED6" w:rsidRDefault="00DB285E" w:rsidP="00DB285E">
            <w:pPr>
              <w:rPr>
                <w:sz w:val="20"/>
                <w:szCs w:val="20"/>
              </w:rPr>
            </w:pPr>
            <w:r w:rsidRPr="00485ED6">
              <w:rPr>
                <w:sz w:val="20"/>
                <w:szCs w:val="20"/>
              </w:rPr>
              <w:t>Are data available in a suitable timeframe and frequency?</w:t>
            </w:r>
          </w:p>
          <w:p w14:paraId="72B0C690" w14:textId="77777777" w:rsidR="00DB285E" w:rsidRPr="00485ED6" w:rsidRDefault="00DB285E" w:rsidP="00DB285E">
            <w:pPr>
              <w:rPr>
                <w:sz w:val="20"/>
                <w:szCs w:val="20"/>
              </w:rPr>
            </w:pPr>
            <w:r w:rsidRPr="00485ED6">
              <w:rPr>
                <w:sz w:val="20"/>
                <w:szCs w:val="20"/>
              </w:rPr>
              <w:t>Are data quality issues well documented and acknowledged?</w:t>
            </w:r>
          </w:p>
          <w:p w14:paraId="02BE6E5D" w14:textId="77777777" w:rsidR="00DB285E" w:rsidRPr="00485ED6" w:rsidRDefault="00DB285E" w:rsidP="00DB285E">
            <w:pPr>
              <w:rPr>
                <w:sz w:val="20"/>
                <w:szCs w:val="20"/>
              </w:rPr>
            </w:pPr>
            <w:r w:rsidRPr="00485ED6">
              <w:rPr>
                <w:sz w:val="20"/>
                <w:szCs w:val="20"/>
              </w:rPr>
              <w:t>Are data robust enough to support indicator and derivations?</w:t>
            </w:r>
          </w:p>
          <w:p w14:paraId="5E9C9690" w14:textId="77777777" w:rsidR="00DB285E" w:rsidRPr="00485ED6" w:rsidRDefault="00DB285E" w:rsidP="00DB285E">
            <w:pPr>
              <w:rPr>
                <w:sz w:val="20"/>
                <w:szCs w:val="20"/>
              </w:rPr>
            </w:pPr>
            <w:r w:rsidRPr="00485ED6">
              <w:rPr>
                <w:sz w:val="20"/>
                <w:szCs w:val="20"/>
              </w:rPr>
              <w:t>Are data consistent over the required time?</w:t>
            </w:r>
          </w:p>
          <w:p w14:paraId="3848F5AC" w14:textId="77777777" w:rsidR="00DB285E" w:rsidRPr="00485ED6" w:rsidRDefault="00DB285E" w:rsidP="00DB285E">
            <w:pPr>
              <w:rPr>
                <w:sz w:val="20"/>
                <w:szCs w:val="20"/>
              </w:rPr>
            </w:pPr>
            <w:r w:rsidRPr="00485ED6">
              <w:rPr>
                <w:sz w:val="20"/>
                <w:szCs w:val="20"/>
              </w:rPr>
              <w:t>Are construction of numerator and denominator robust and comparable with other sources</w:t>
            </w:r>
          </w:p>
          <w:p w14:paraId="144F4046" w14:textId="62058C6B" w:rsidR="00DB285E" w:rsidRPr="00485ED6" w:rsidRDefault="00DB285E" w:rsidP="00DB285E">
            <w:pPr>
              <w:rPr>
                <w:sz w:val="20"/>
                <w:szCs w:val="20"/>
              </w:rPr>
            </w:pPr>
            <w:r w:rsidRPr="00485ED6">
              <w:rPr>
                <w:b/>
                <w:sz w:val="20"/>
                <w:szCs w:val="20"/>
              </w:rPr>
              <w:t>Information complete - proceed</w:t>
            </w:r>
            <w:r w:rsidRPr="00485ED6">
              <w:rPr>
                <w:sz w:val="20"/>
                <w:szCs w:val="20"/>
              </w:rPr>
              <w:t xml:space="preserve"> </w:t>
            </w:r>
          </w:p>
        </w:tc>
        <w:tc>
          <w:tcPr>
            <w:tcW w:w="540" w:type="dxa"/>
          </w:tcPr>
          <w:p w14:paraId="09E8C2E9" w14:textId="77777777" w:rsidR="00DB285E" w:rsidRPr="00485ED6" w:rsidRDefault="00DB285E" w:rsidP="00DB285E">
            <w:pPr>
              <w:jc w:val="center"/>
              <w:rPr>
                <w:sz w:val="20"/>
                <w:szCs w:val="20"/>
              </w:rPr>
            </w:pPr>
            <w:r w:rsidRPr="00485ED6">
              <w:rPr>
                <w:sz w:val="20"/>
                <w:szCs w:val="20"/>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p>
          <w:p w14:paraId="418A168C" w14:textId="77777777" w:rsidR="00DB285E" w:rsidRPr="00485ED6" w:rsidRDefault="00DB285E" w:rsidP="00DB285E">
            <w:pPr>
              <w:jc w:val="center"/>
              <w:rPr>
                <w:sz w:val="20"/>
                <w:szCs w:val="20"/>
              </w:rPr>
            </w:pPr>
          </w:p>
          <w:p w14:paraId="698FD1A6" w14:textId="77777777" w:rsidR="00DB285E" w:rsidRPr="00485ED6" w:rsidRDefault="00DB285E" w:rsidP="00DB285E">
            <w:pPr>
              <w:jc w:val="center"/>
              <w:rPr>
                <w:sz w:val="20"/>
                <w:szCs w:val="20"/>
              </w:rPr>
            </w:pPr>
            <w:r w:rsidRPr="00485ED6">
              <w:rPr>
                <w:sz w:val="20"/>
                <w:szCs w:val="20"/>
              </w:rPr>
              <w:fldChar w:fldCharType="begin">
                <w:ffData>
                  <w:name w:val="Check98"/>
                  <w:enabled/>
                  <w:calcOnExit w:val="0"/>
                  <w:checkBox>
                    <w:sizeAuto/>
                    <w:default w:val="0"/>
                  </w:checkBox>
                </w:ffData>
              </w:fldChar>
            </w:r>
            <w:bookmarkStart w:id="56" w:name="Check98"/>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56"/>
          </w:p>
          <w:p w14:paraId="4D6AB082" w14:textId="77777777" w:rsidR="00DB285E" w:rsidRPr="00485ED6" w:rsidRDefault="00DB285E" w:rsidP="00DB285E">
            <w:pPr>
              <w:jc w:val="center"/>
              <w:rPr>
                <w:sz w:val="20"/>
                <w:szCs w:val="20"/>
              </w:rPr>
            </w:pPr>
            <w:r w:rsidRPr="00485ED6">
              <w:rPr>
                <w:sz w:val="20"/>
                <w:szCs w:val="20"/>
              </w:rPr>
              <w:fldChar w:fldCharType="begin">
                <w:ffData>
                  <w:name w:val="Check99"/>
                  <w:enabled/>
                  <w:calcOnExit w:val="0"/>
                  <w:checkBox>
                    <w:sizeAuto/>
                    <w:default w:val="0"/>
                  </w:checkBox>
                </w:ffData>
              </w:fldChar>
            </w:r>
            <w:bookmarkStart w:id="57" w:name="Check99"/>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57"/>
          </w:p>
          <w:p w14:paraId="110257F3" w14:textId="77777777" w:rsidR="00DB285E" w:rsidRPr="00485ED6" w:rsidRDefault="00DB285E" w:rsidP="00DB285E">
            <w:pPr>
              <w:jc w:val="center"/>
              <w:rPr>
                <w:sz w:val="20"/>
                <w:szCs w:val="20"/>
              </w:rPr>
            </w:pPr>
            <w:r w:rsidRPr="00485ED6">
              <w:rPr>
                <w:sz w:val="20"/>
                <w:szCs w:val="20"/>
              </w:rPr>
              <w:fldChar w:fldCharType="begin">
                <w:ffData>
                  <w:name w:val="Check100"/>
                  <w:enabled/>
                  <w:calcOnExit w:val="0"/>
                  <w:checkBox>
                    <w:sizeAuto/>
                    <w:default w:val="0"/>
                  </w:checkBox>
                </w:ffData>
              </w:fldChar>
            </w:r>
            <w:bookmarkStart w:id="58" w:name="Check100"/>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58"/>
          </w:p>
          <w:p w14:paraId="21F4CE42" w14:textId="77777777" w:rsidR="00DB285E" w:rsidRPr="00485ED6" w:rsidRDefault="00DB285E" w:rsidP="00DB285E">
            <w:pPr>
              <w:jc w:val="center"/>
              <w:rPr>
                <w:sz w:val="20"/>
                <w:szCs w:val="20"/>
              </w:rPr>
            </w:pPr>
            <w:r w:rsidRPr="00485ED6">
              <w:rPr>
                <w:sz w:val="20"/>
                <w:szCs w:val="20"/>
              </w:rPr>
              <w:fldChar w:fldCharType="begin">
                <w:ffData>
                  <w:name w:val="Check101"/>
                  <w:enabled/>
                  <w:calcOnExit w:val="0"/>
                  <w:checkBox>
                    <w:sizeAuto/>
                    <w:default w:val="0"/>
                  </w:checkBox>
                </w:ffData>
              </w:fldChar>
            </w:r>
            <w:bookmarkStart w:id="59" w:name="Check101"/>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59"/>
          </w:p>
          <w:p w14:paraId="479990AB" w14:textId="77777777" w:rsidR="00DB285E" w:rsidRPr="00485ED6" w:rsidRDefault="00DB285E" w:rsidP="00DB285E">
            <w:pPr>
              <w:jc w:val="center"/>
              <w:rPr>
                <w:sz w:val="20"/>
                <w:szCs w:val="20"/>
              </w:rPr>
            </w:pPr>
            <w:r w:rsidRPr="00485ED6">
              <w:rPr>
                <w:sz w:val="20"/>
                <w:szCs w:val="20"/>
              </w:rPr>
              <w:fldChar w:fldCharType="begin">
                <w:ffData>
                  <w:name w:val="Check102"/>
                  <w:enabled/>
                  <w:calcOnExit w:val="0"/>
                  <w:checkBox>
                    <w:sizeAuto/>
                    <w:default w:val="0"/>
                  </w:checkBox>
                </w:ffData>
              </w:fldChar>
            </w:r>
            <w:bookmarkStart w:id="60" w:name="Check102"/>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60"/>
          </w:p>
          <w:p w14:paraId="3F617B8C" w14:textId="694FD007" w:rsidR="00DB285E" w:rsidRPr="00485ED6" w:rsidRDefault="00DB285E" w:rsidP="00DB285E">
            <w:pPr>
              <w:jc w:val="center"/>
              <w:rPr>
                <w:sz w:val="20"/>
                <w:szCs w:val="20"/>
              </w:rPr>
            </w:pPr>
            <w:r w:rsidRPr="00485ED6">
              <w:rPr>
                <w:sz w:val="20"/>
                <w:szCs w:val="20"/>
              </w:rPr>
              <w:fldChar w:fldCharType="begin">
                <w:ffData>
                  <w:name w:val="Check103"/>
                  <w:enabled/>
                  <w:calcOnExit w:val="0"/>
                  <w:checkBox>
                    <w:sizeAuto/>
                    <w:default w:val="0"/>
                  </w:checkBox>
                </w:ffData>
              </w:fldChar>
            </w:r>
            <w:bookmarkStart w:id="61" w:name="Check103"/>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61"/>
          </w:p>
        </w:tc>
        <w:tc>
          <w:tcPr>
            <w:tcW w:w="2456" w:type="dxa"/>
          </w:tcPr>
          <w:p w14:paraId="35EC8991" w14:textId="77777777" w:rsidR="00DB285E" w:rsidRPr="00485ED6" w:rsidRDefault="00DB285E" w:rsidP="00DB285E">
            <w:pPr>
              <w:rPr>
                <w:i/>
                <w:sz w:val="20"/>
                <w:szCs w:val="20"/>
              </w:rPr>
            </w:pPr>
            <w:r w:rsidRPr="00485ED6">
              <w:rPr>
                <w:i/>
                <w:sz w:val="20"/>
                <w:szCs w:val="20"/>
              </w:rPr>
              <w:t>Requires revision for following reasons:</w:t>
            </w:r>
          </w:p>
          <w:p w14:paraId="4E663E2A" w14:textId="77777777" w:rsidR="00DB285E" w:rsidRPr="00485ED6" w:rsidRDefault="00DB285E" w:rsidP="00DB285E">
            <w:pPr>
              <w:rPr>
                <w:sz w:val="20"/>
                <w:szCs w:val="20"/>
              </w:rPr>
            </w:pPr>
            <w:r w:rsidRPr="00485ED6">
              <w:rPr>
                <w:sz w:val="20"/>
                <w:szCs w:val="20"/>
              </w:rPr>
              <w:t>Numerator info not complete</w:t>
            </w:r>
          </w:p>
          <w:p w14:paraId="19CD7397" w14:textId="436BBDD4" w:rsidR="00DB285E" w:rsidRPr="00485ED6" w:rsidRDefault="00DB285E" w:rsidP="00DB285E">
            <w:pPr>
              <w:rPr>
                <w:i/>
                <w:sz w:val="20"/>
                <w:szCs w:val="20"/>
              </w:rPr>
            </w:pPr>
            <w:r w:rsidRPr="00485ED6">
              <w:rPr>
                <w:sz w:val="20"/>
                <w:szCs w:val="20"/>
              </w:rPr>
              <w:t>Denominator info not complete</w:t>
            </w:r>
          </w:p>
        </w:tc>
        <w:tc>
          <w:tcPr>
            <w:tcW w:w="714" w:type="dxa"/>
          </w:tcPr>
          <w:p w14:paraId="175E4F6D" w14:textId="77777777" w:rsidR="00DB285E" w:rsidRPr="00485ED6" w:rsidRDefault="00DB285E" w:rsidP="00DB285E">
            <w:pPr>
              <w:jc w:val="center"/>
            </w:pPr>
          </w:p>
          <w:p w14:paraId="1819C12C" w14:textId="77777777" w:rsidR="00DB285E" w:rsidRPr="00485ED6" w:rsidRDefault="00DB285E" w:rsidP="00DB285E">
            <w:pPr>
              <w:jc w:val="center"/>
              <w:rPr>
                <w:sz w:val="20"/>
                <w:szCs w:val="20"/>
              </w:rPr>
            </w:pPr>
          </w:p>
          <w:p w14:paraId="2F146DC8" w14:textId="77777777" w:rsidR="00DB285E" w:rsidRPr="00485ED6" w:rsidRDefault="00DB285E" w:rsidP="00DB285E">
            <w:pPr>
              <w:jc w:val="center"/>
              <w:rPr>
                <w:sz w:val="20"/>
                <w:szCs w:val="20"/>
              </w:rPr>
            </w:pPr>
          </w:p>
          <w:p w14:paraId="3DC45F5B" w14:textId="77777777" w:rsidR="00DB285E" w:rsidRPr="00485ED6" w:rsidRDefault="00DB285E" w:rsidP="00DB285E">
            <w:pPr>
              <w:jc w:val="center"/>
              <w:rPr>
                <w:sz w:val="20"/>
                <w:szCs w:val="20"/>
              </w:rPr>
            </w:pPr>
            <w:r w:rsidRPr="00485ED6">
              <w:rPr>
                <w:sz w:val="20"/>
                <w:szCs w:val="20"/>
              </w:rPr>
              <w:fldChar w:fldCharType="begin">
                <w:ffData>
                  <w:name w:val="Check28"/>
                  <w:enabled/>
                  <w:calcOnExit w:val="0"/>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p>
          <w:p w14:paraId="318B0DC3" w14:textId="77777777" w:rsidR="00DB285E" w:rsidRPr="00485ED6" w:rsidRDefault="00DB285E" w:rsidP="00DB285E">
            <w:pPr>
              <w:jc w:val="center"/>
              <w:rPr>
                <w:sz w:val="20"/>
                <w:szCs w:val="20"/>
              </w:rPr>
            </w:pPr>
          </w:p>
          <w:p w14:paraId="79D83780" w14:textId="3E9BB44D" w:rsidR="00DB285E" w:rsidRPr="00485ED6" w:rsidRDefault="00DB285E" w:rsidP="00DB285E">
            <w:pPr>
              <w:jc w:val="center"/>
            </w:pPr>
            <w:r w:rsidRPr="00485ED6">
              <w:rPr>
                <w:sz w:val="20"/>
                <w:szCs w:val="20"/>
              </w:rPr>
              <w:fldChar w:fldCharType="begin">
                <w:ffData>
                  <w:name w:val="Check29"/>
                  <w:enabled/>
                  <w:calcOnExit w:val="0"/>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p>
        </w:tc>
      </w:tr>
    </w:tbl>
    <w:p w14:paraId="4835D624" w14:textId="77777777" w:rsidR="00DB285E" w:rsidRDefault="00DB285E"/>
    <w:p w14:paraId="7534FE92" w14:textId="77777777" w:rsidR="00DB285E" w:rsidRDefault="00DB285E"/>
    <w:tbl>
      <w:tblPr>
        <w:tblStyle w:val="TableGrid"/>
        <w:tblW w:w="0" w:type="auto"/>
        <w:tblLayout w:type="fixed"/>
        <w:tblLook w:val="0020" w:firstRow="1" w:lastRow="0" w:firstColumn="0" w:lastColumn="0" w:noHBand="0" w:noVBand="0"/>
      </w:tblPr>
      <w:tblGrid>
        <w:gridCol w:w="9830"/>
      </w:tblGrid>
      <w:tr w:rsidR="00DB285E" w:rsidRPr="00485ED6" w14:paraId="1966A30B" w14:textId="77777777" w:rsidTr="005A779B">
        <w:trPr>
          <w:trHeight w:val="180"/>
        </w:trPr>
        <w:tc>
          <w:tcPr>
            <w:tcW w:w="9830" w:type="dxa"/>
          </w:tcPr>
          <w:p w14:paraId="6AD21B1A" w14:textId="7660CC3B" w:rsidR="00DB285E" w:rsidRPr="00485ED6" w:rsidRDefault="00DB285E" w:rsidP="00DB285E">
            <w:pPr>
              <w:rPr>
                <w:b/>
              </w:rPr>
            </w:pPr>
            <w:r w:rsidRPr="00485ED6">
              <w:rPr>
                <w:b/>
              </w:rPr>
              <w:t>Indicator methodology - statistical methods</w:t>
            </w:r>
          </w:p>
        </w:tc>
      </w:tr>
      <w:tr w:rsidR="00DB285E" w:rsidRPr="00485ED6" w14:paraId="660DBCE7" w14:textId="77777777" w:rsidTr="005A779B">
        <w:trPr>
          <w:trHeight w:val="180"/>
        </w:trPr>
        <w:tc>
          <w:tcPr>
            <w:tcW w:w="9830" w:type="dxa"/>
          </w:tcPr>
          <w:p w14:paraId="1189945F" w14:textId="77777777" w:rsidR="00DB285E" w:rsidRPr="00485ED6" w:rsidRDefault="00DB285E" w:rsidP="00DB285E">
            <w:r w:rsidRPr="00485ED6">
              <w:t xml:space="preserve">Statistical support </w:t>
            </w:r>
          </w:p>
        </w:tc>
      </w:tr>
      <w:tr w:rsidR="00DB285E" w:rsidRPr="00485ED6" w14:paraId="3FD32829" w14:textId="77777777" w:rsidTr="005A779B">
        <w:trPr>
          <w:trHeight w:val="180"/>
        </w:trPr>
        <w:tc>
          <w:tcPr>
            <w:tcW w:w="9830" w:type="dxa"/>
          </w:tcPr>
          <w:p w14:paraId="3814D331" w14:textId="77777777" w:rsidR="00DB285E" w:rsidRPr="00485ED6" w:rsidRDefault="00DB285E" w:rsidP="00DB285E">
            <w:pPr>
              <w:rPr>
                <w:sz w:val="16"/>
                <w:szCs w:val="16"/>
              </w:rPr>
            </w:pPr>
            <w:r w:rsidRPr="00485ED6">
              <w:rPr>
                <w:sz w:val="16"/>
                <w:szCs w:val="16"/>
              </w:rPr>
              <w:t xml:space="preserve">Summarise involvement of statistician involvement in developing indicator so far, and ongoing support for indicator when rolled out.  </w:t>
            </w:r>
          </w:p>
          <w:p w14:paraId="11F6E083" w14:textId="77777777" w:rsidR="00DB285E" w:rsidRPr="00485ED6" w:rsidRDefault="00DB285E" w:rsidP="00DB285E">
            <w:r w:rsidRPr="00485ED6">
              <w:t>Statisticians have led the process for developing the indicators</w:t>
            </w:r>
          </w:p>
          <w:p w14:paraId="470FAFAC" w14:textId="77777777" w:rsidR="00DB285E" w:rsidRPr="00485ED6" w:rsidRDefault="00DB285E" w:rsidP="00DB285E"/>
        </w:tc>
      </w:tr>
      <w:tr w:rsidR="00DB285E" w:rsidRPr="00485ED6" w14:paraId="1A7D7E56" w14:textId="77777777" w:rsidTr="005A779B">
        <w:trPr>
          <w:trHeight w:val="180"/>
        </w:trPr>
        <w:tc>
          <w:tcPr>
            <w:tcW w:w="9830" w:type="dxa"/>
          </w:tcPr>
          <w:p w14:paraId="22B87C19" w14:textId="77777777" w:rsidR="00DB285E" w:rsidRPr="00485ED6" w:rsidRDefault="00DB285E" w:rsidP="00DB285E">
            <w:r w:rsidRPr="00485ED6">
              <w:t>Risk adjustment variables</w:t>
            </w:r>
          </w:p>
        </w:tc>
      </w:tr>
      <w:tr w:rsidR="00DB285E" w:rsidRPr="00485ED6" w14:paraId="5F787BC9" w14:textId="77777777" w:rsidTr="005A779B">
        <w:trPr>
          <w:trHeight w:val="180"/>
        </w:trPr>
        <w:tc>
          <w:tcPr>
            <w:tcW w:w="9830" w:type="dxa"/>
          </w:tcPr>
          <w:p w14:paraId="5B646602" w14:textId="77777777" w:rsidR="00DB285E" w:rsidRPr="00485ED6" w:rsidRDefault="00DB285E" w:rsidP="00DB285E">
            <w:r w:rsidRPr="00485ED6">
              <w:t>Age</w:t>
            </w:r>
          </w:p>
          <w:p w14:paraId="35AA407B" w14:textId="77777777" w:rsidR="00DB285E" w:rsidRPr="00485ED6" w:rsidRDefault="00DB285E" w:rsidP="00DB285E"/>
        </w:tc>
      </w:tr>
      <w:tr w:rsidR="00DB285E" w:rsidRPr="00485ED6" w14:paraId="077A5AAD" w14:textId="77777777" w:rsidTr="005A779B">
        <w:trPr>
          <w:trHeight w:val="180"/>
        </w:trPr>
        <w:tc>
          <w:tcPr>
            <w:tcW w:w="9830" w:type="dxa"/>
          </w:tcPr>
          <w:p w14:paraId="2C31A457" w14:textId="77777777" w:rsidR="00DB285E" w:rsidRPr="00485ED6" w:rsidRDefault="00DB285E" w:rsidP="00DB285E">
            <w:r w:rsidRPr="00485ED6">
              <w:t>Statistical methods</w:t>
            </w:r>
          </w:p>
        </w:tc>
      </w:tr>
      <w:tr w:rsidR="00DB285E" w:rsidRPr="00485ED6" w14:paraId="31CF9C7D" w14:textId="77777777" w:rsidTr="005A779B">
        <w:trPr>
          <w:trHeight w:val="180"/>
        </w:trPr>
        <w:tc>
          <w:tcPr>
            <w:tcW w:w="9830" w:type="dxa"/>
          </w:tcPr>
          <w:p w14:paraId="7BF553BE" w14:textId="77777777" w:rsidR="00DB285E" w:rsidRPr="00485ED6" w:rsidRDefault="00DB285E" w:rsidP="00DB285E">
            <w:pPr>
              <w:rPr>
                <w:sz w:val="16"/>
                <w:szCs w:val="16"/>
              </w:rPr>
            </w:pPr>
            <w:r w:rsidRPr="00485ED6">
              <w:rPr>
                <w:sz w:val="16"/>
                <w:szCs w:val="16"/>
              </w:rPr>
              <w:t>Type of analysis (any methods used), risk adjustment (predictive power of model), special techniques (dealing with dispersion, constant risk), statistical process control</w:t>
            </w:r>
          </w:p>
          <w:p w14:paraId="0D9AA95F" w14:textId="77777777" w:rsidR="00DB285E" w:rsidRPr="00485ED6" w:rsidRDefault="00DB285E" w:rsidP="00DB285E">
            <w:pPr>
              <w:rPr>
                <w:b/>
              </w:rPr>
            </w:pPr>
            <w:r w:rsidRPr="00485ED6">
              <w:rPr>
                <w:b/>
              </w:rPr>
              <w:t>Directly age-standardised rates.</w:t>
            </w:r>
          </w:p>
          <w:p w14:paraId="0160530B" w14:textId="77777777" w:rsidR="00DB285E" w:rsidRPr="00485ED6" w:rsidRDefault="00DB285E" w:rsidP="00DB285E"/>
          <w:p w14:paraId="675E82F1" w14:textId="77777777" w:rsidR="00DB285E" w:rsidRPr="00485ED6" w:rsidRDefault="00DB285E" w:rsidP="00DB285E">
            <w:r w:rsidRPr="00485ED6">
              <w:t>The directly age-standardised rate is the rate of events that would occur in a standard population if that population were to experience the age-specific rates of the subject population. Explicitly:</w:t>
            </w:r>
          </w:p>
          <w:p w14:paraId="2FD24F5D" w14:textId="77777777" w:rsidR="00DB285E" w:rsidRPr="00485ED6" w:rsidRDefault="00DB285E" w:rsidP="00DB285E"/>
          <w:p w14:paraId="323B72BC" w14:textId="79583F3F" w:rsidR="00DB285E" w:rsidRPr="00485ED6" w:rsidRDefault="00DB285E" w:rsidP="00DB285E">
            <w:pPr>
              <w:ind w:firstLine="720"/>
            </w:pPr>
            <m:oMath>
              <m:r>
                <w:rPr>
                  <w:rFonts w:ascii="Cambria Math"/>
                  <w:sz w:val="20"/>
                </w:rPr>
                <m:t>DSR=</m:t>
              </m:r>
              <m:f>
                <m:fPr>
                  <m:ctrlPr>
                    <w:rPr>
                      <w:rFonts w:ascii="Cambria Math" w:hAnsi="Cambria Math"/>
                      <w:i/>
                      <w:sz w:val="20"/>
                    </w:rPr>
                  </m:ctrlPr>
                </m:fPr>
                <m:num>
                  <m:nary>
                    <m:naryPr>
                      <m:chr m:val="∑"/>
                      <m:supHide m:val="1"/>
                      <m:ctrlPr>
                        <w:rPr>
                          <w:rFonts w:ascii="Cambria Math" w:hAnsi="Cambria Math"/>
                          <w:i/>
                          <w:sz w:val="20"/>
                        </w:rPr>
                      </m:ctrlPr>
                    </m:naryPr>
                    <m:sub>
                      <m:r>
                        <w:rPr>
                          <w:rFonts w:ascii="Cambria Math"/>
                          <w:sz w:val="20"/>
                        </w:rPr>
                        <m:t>i</m:t>
                      </m:r>
                    </m:sub>
                    <m:sup/>
                    <m:e>
                      <m:sSub>
                        <m:sSubPr>
                          <m:ctrlPr>
                            <w:rPr>
                              <w:rFonts w:ascii="Cambria Math" w:hAnsi="Cambria Math"/>
                              <w:i/>
                              <w:sz w:val="20"/>
                            </w:rPr>
                          </m:ctrlPr>
                        </m:sSubPr>
                        <m:e>
                          <m:r>
                            <w:rPr>
                              <w:rFonts w:ascii="Cambria Math"/>
                              <w:sz w:val="20"/>
                            </w:rPr>
                            <m:t>w</m:t>
                          </m:r>
                        </m:e>
                        <m:sub>
                          <m:r>
                            <w:rPr>
                              <w:rFonts w:ascii="Cambria Math"/>
                              <w:sz w:val="20"/>
                            </w:rPr>
                            <m:t>i</m:t>
                          </m:r>
                        </m:sub>
                      </m:sSub>
                      <m:sSub>
                        <m:sSubPr>
                          <m:ctrlPr>
                            <w:rPr>
                              <w:rFonts w:ascii="Cambria Math" w:hAnsi="Cambria Math"/>
                              <w:i/>
                              <w:sz w:val="20"/>
                            </w:rPr>
                          </m:ctrlPr>
                        </m:sSubPr>
                        <m:e>
                          <m:r>
                            <w:rPr>
                              <w:rFonts w:ascii="Cambria Math"/>
                              <w:sz w:val="20"/>
                            </w:rPr>
                            <m:t>r</m:t>
                          </m:r>
                        </m:e>
                        <m:sub>
                          <m:r>
                            <w:rPr>
                              <w:rFonts w:ascii="Cambria Math"/>
                              <w:sz w:val="20"/>
                            </w:rPr>
                            <m:t>i</m:t>
                          </m:r>
                        </m:sub>
                      </m:sSub>
                    </m:e>
                  </m:nary>
                </m:num>
                <m:den>
                  <m:nary>
                    <m:naryPr>
                      <m:chr m:val="∑"/>
                      <m:supHide m:val="1"/>
                      <m:ctrlPr>
                        <w:rPr>
                          <w:rFonts w:ascii="Cambria Math" w:hAnsi="Cambria Math"/>
                          <w:i/>
                          <w:sz w:val="20"/>
                        </w:rPr>
                      </m:ctrlPr>
                    </m:naryPr>
                    <m:sub>
                      <m:r>
                        <w:rPr>
                          <w:rFonts w:ascii="Cambria Math"/>
                          <w:sz w:val="20"/>
                        </w:rPr>
                        <m:t>i</m:t>
                      </m:r>
                    </m:sub>
                    <m:sup/>
                    <m:e>
                      <m:sSub>
                        <m:sSubPr>
                          <m:ctrlPr>
                            <w:rPr>
                              <w:rFonts w:ascii="Cambria Math" w:hAnsi="Cambria Math"/>
                              <w:i/>
                              <w:sz w:val="20"/>
                            </w:rPr>
                          </m:ctrlPr>
                        </m:sSubPr>
                        <m:e>
                          <m:r>
                            <w:rPr>
                              <w:rFonts w:ascii="Cambria Math"/>
                              <w:sz w:val="20"/>
                            </w:rPr>
                            <m:t>w</m:t>
                          </m:r>
                        </m:e>
                        <m:sub>
                          <m:r>
                            <w:rPr>
                              <w:rFonts w:ascii="Cambria Math"/>
                              <w:sz w:val="20"/>
                            </w:rPr>
                            <m:t>i</m:t>
                          </m:r>
                        </m:sub>
                      </m:sSub>
                    </m:e>
                  </m:nary>
                </m:den>
              </m:f>
              <m:r>
                <w:rPr>
                  <w:rFonts w:ascii="Cambria Math"/>
                  <w:sz w:val="20"/>
                </w:rPr>
                <m:t>×</m:t>
              </m:r>
              <m:r>
                <w:rPr>
                  <w:rFonts w:ascii="Cambria Math"/>
                  <w:sz w:val="20"/>
                </w:rPr>
                <m:t>100,000</m:t>
              </m:r>
            </m:oMath>
            <w:r w:rsidRPr="00485ED6">
              <w:t xml:space="preserve">  (expressed per 100,000 population)</w:t>
            </w:r>
          </w:p>
          <w:p w14:paraId="2DAD68DF" w14:textId="77777777" w:rsidR="00DB285E" w:rsidRPr="00485ED6" w:rsidRDefault="00DB285E" w:rsidP="00DB285E"/>
          <w:p w14:paraId="709CECEE" w14:textId="77777777" w:rsidR="00DB285E" w:rsidRPr="00485ED6" w:rsidRDefault="00DB285E" w:rsidP="00DB285E">
            <w:r w:rsidRPr="00485ED6">
              <w:t>where:</w:t>
            </w:r>
          </w:p>
          <w:p w14:paraId="4F3A4FF6" w14:textId="77777777" w:rsidR="00DB285E" w:rsidRPr="00485ED6" w:rsidRDefault="00DB285E" w:rsidP="00DB285E">
            <w:proofErr w:type="spellStart"/>
            <w:r w:rsidRPr="00485ED6">
              <w:rPr>
                <w:i/>
              </w:rPr>
              <w:t>w</w:t>
            </w:r>
            <w:r w:rsidRPr="00485ED6">
              <w:rPr>
                <w:i/>
                <w:vertAlign w:val="subscript"/>
              </w:rPr>
              <w:t>i</w:t>
            </w:r>
            <w:proofErr w:type="spellEnd"/>
            <w:r w:rsidRPr="00485ED6">
              <w:rPr>
                <w:i/>
              </w:rPr>
              <w:t xml:space="preserve"> </w:t>
            </w:r>
            <w:r w:rsidRPr="00485ED6">
              <w:t xml:space="preserve">is the number, or proportion, of individuals in the standard population in age group </w:t>
            </w:r>
            <w:proofErr w:type="spellStart"/>
            <w:r w:rsidRPr="00485ED6">
              <w:rPr>
                <w:i/>
              </w:rPr>
              <w:t>i</w:t>
            </w:r>
            <w:proofErr w:type="spellEnd"/>
            <w:r w:rsidRPr="00485ED6">
              <w:t>.</w:t>
            </w:r>
          </w:p>
          <w:p w14:paraId="0B1A609E" w14:textId="77777777" w:rsidR="00DB285E" w:rsidRPr="00485ED6" w:rsidRDefault="00DB285E" w:rsidP="00DB285E">
            <w:proofErr w:type="spellStart"/>
            <w:r w:rsidRPr="00485ED6">
              <w:rPr>
                <w:i/>
              </w:rPr>
              <w:t>r</w:t>
            </w:r>
            <w:r w:rsidRPr="00485ED6">
              <w:rPr>
                <w:i/>
                <w:vertAlign w:val="subscript"/>
              </w:rPr>
              <w:t>i</w:t>
            </w:r>
            <w:proofErr w:type="spellEnd"/>
            <w:r w:rsidRPr="00485ED6">
              <w:t xml:space="preserve"> is the crude age-specific rate in the subject population in age group </w:t>
            </w:r>
            <w:proofErr w:type="spellStart"/>
            <w:r w:rsidRPr="00485ED6">
              <w:rPr>
                <w:i/>
              </w:rPr>
              <w:t>i</w:t>
            </w:r>
            <w:proofErr w:type="spellEnd"/>
            <w:r w:rsidRPr="00485ED6">
              <w:t>, given by:</w:t>
            </w:r>
          </w:p>
          <w:p w14:paraId="0DF9557C" w14:textId="77777777" w:rsidR="00DB285E" w:rsidRPr="00485ED6" w:rsidRDefault="00DB285E" w:rsidP="00DB285E"/>
          <w:p w14:paraId="31511F7C" w14:textId="0F87C7F7" w:rsidR="00DB285E" w:rsidRPr="00485ED6" w:rsidRDefault="00704996" w:rsidP="00DB285E">
            <w:pPr>
              <w:ind w:firstLine="720"/>
            </w:pPr>
            <m:oMathPara>
              <m:oMath>
                <m:sSub>
                  <m:sSubPr>
                    <m:ctrlPr>
                      <w:rPr>
                        <w:rFonts w:ascii="Cambria Math" w:hAnsi="Cambria Math"/>
                        <w:i/>
                        <w:sz w:val="20"/>
                      </w:rPr>
                    </m:ctrlPr>
                  </m:sSubPr>
                  <m:e>
                    <m:r>
                      <w:rPr>
                        <w:rFonts w:ascii="Cambria Math"/>
                        <w:sz w:val="20"/>
                      </w:rPr>
                      <m:t>r</m:t>
                    </m:r>
                  </m:e>
                  <m:sub>
                    <m:r>
                      <w:rPr>
                        <w:rFonts w:ascii="Cambria Math"/>
                        <w:sz w:val="20"/>
                      </w:rPr>
                      <m:t>i</m:t>
                    </m:r>
                  </m:sub>
                </m:sSub>
                <m:r>
                  <w:rPr>
                    <w:rFonts w:ascii="Cambria Math"/>
                    <w:sz w:val="20"/>
                  </w:rPr>
                  <m:t>=</m:t>
                </m:r>
                <m:f>
                  <m:fPr>
                    <m:ctrlPr>
                      <w:rPr>
                        <w:rFonts w:ascii="Cambria Math" w:hAnsi="Cambria Math"/>
                        <w:i/>
                        <w:sz w:val="20"/>
                      </w:rPr>
                    </m:ctrlPr>
                  </m:fPr>
                  <m:num>
                    <m:sSub>
                      <m:sSubPr>
                        <m:ctrlPr>
                          <w:rPr>
                            <w:rFonts w:ascii="Cambria Math" w:hAnsi="Cambria Math"/>
                            <w:i/>
                            <w:sz w:val="20"/>
                          </w:rPr>
                        </m:ctrlPr>
                      </m:sSubPr>
                      <m:e>
                        <m:r>
                          <w:rPr>
                            <w:rFonts w:ascii="Cambria Math"/>
                            <w:sz w:val="20"/>
                          </w:rPr>
                          <m:t>O</m:t>
                        </m:r>
                      </m:e>
                      <m:sub>
                        <m:r>
                          <w:rPr>
                            <w:rFonts w:ascii="Cambria Math"/>
                            <w:sz w:val="20"/>
                          </w:rPr>
                          <m:t>i</m:t>
                        </m:r>
                      </m:sub>
                    </m:sSub>
                  </m:num>
                  <m:den>
                    <m:sSub>
                      <m:sSubPr>
                        <m:ctrlPr>
                          <w:rPr>
                            <w:rFonts w:ascii="Cambria Math" w:hAnsi="Cambria Math"/>
                            <w:i/>
                            <w:sz w:val="20"/>
                          </w:rPr>
                        </m:ctrlPr>
                      </m:sSubPr>
                      <m:e>
                        <m:r>
                          <w:rPr>
                            <w:rFonts w:ascii="Cambria Math"/>
                            <w:sz w:val="20"/>
                          </w:rPr>
                          <m:t>n</m:t>
                        </m:r>
                      </m:e>
                      <m:sub>
                        <m:r>
                          <w:rPr>
                            <w:rFonts w:ascii="Cambria Math"/>
                            <w:sz w:val="20"/>
                          </w:rPr>
                          <m:t>i</m:t>
                        </m:r>
                      </m:sub>
                    </m:sSub>
                  </m:den>
                </m:f>
              </m:oMath>
            </m:oMathPara>
          </w:p>
          <w:p w14:paraId="10319CAF" w14:textId="77777777" w:rsidR="00DB285E" w:rsidRPr="00485ED6" w:rsidRDefault="00DB285E" w:rsidP="00DB285E"/>
          <w:p w14:paraId="5A54A7BC" w14:textId="77777777" w:rsidR="00DB285E" w:rsidRPr="00485ED6" w:rsidRDefault="00DB285E" w:rsidP="00DB285E">
            <w:r w:rsidRPr="00485ED6">
              <w:t>where:</w:t>
            </w:r>
          </w:p>
          <w:p w14:paraId="7CB3C00B" w14:textId="77777777" w:rsidR="00DB285E" w:rsidRPr="00485ED6" w:rsidRDefault="00DB285E" w:rsidP="00DB285E">
            <w:r w:rsidRPr="00485ED6">
              <w:rPr>
                <w:i/>
              </w:rPr>
              <w:t>O</w:t>
            </w:r>
            <w:r w:rsidRPr="00485ED6">
              <w:rPr>
                <w:i/>
                <w:vertAlign w:val="subscript"/>
              </w:rPr>
              <w:t>i</w:t>
            </w:r>
            <w:r w:rsidRPr="00485ED6">
              <w:t xml:space="preserve"> is the observed number of events in the subject population in age group </w:t>
            </w:r>
            <w:proofErr w:type="spellStart"/>
            <w:r w:rsidRPr="00485ED6">
              <w:rPr>
                <w:i/>
              </w:rPr>
              <w:t>i</w:t>
            </w:r>
            <w:proofErr w:type="spellEnd"/>
            <w:r w:rsidRPr="00485ED6">
              <w:t>.</w:t>
            </w:r>
          </w:p>
          <w:p w14:paraId="16DB63A7" w14:textId="77777777" w:rsidR="00DB285E" w:rsidRPr="00485ED6" w:rsidRDefault="00DB285E" w:rsidP="00DB285E">
            <w:proofErr w:type="spellStart"/>
            <w:r w:rsidRPr="00485ED6">
              <w:rPr>
                <w:i/>
              </w:rPr>
              <w:t>n</w:t>
            </w:r>
            <w:r w:rsidRPr="00485ED6">
              <w:rPr>
                <w:i/>
                <w:vertAlign w:val="subscript"/>
              </w:rPr>
              <w:t>i</w:t>
            </w:r>
            <w:proofErr w:type="spellEnd"/>
            <w:r w:rsidRPr="00485ED6">
              <w:t xml:space="preserve"> is the number of individuals in the subject population in age group </w:t>
            </w:r>
            <w:proofErr w:type="spellStart"/>
            <w:r w:rsidRPr="00485ED6">
              <w:rPr>
                <w:i/>
              </w:rPr>
              <w:t>i</w:t>
            </w:r>
            <w:proofErr w:type="spellEnd"/>
            <w:r w:rsidRPr="00485ED6">
              <w:t>.</w:t>
            </w:r>
          </w:p>
          <w:p w14:paraId="798AC8AB" w14:textId="77777777" w:rsidR="00DB285E" w:rsidRPr="00485ED6" w:rsidRDefault="00DB285E" w:rsidP="00DB285E"/>
          <w:p w14:paraId="5C414181" w14:textId="77777777" w:rsidR="00DB285E" w:rsidRPr="00485ED6" w:rsidRDefault="00DB285E" w:rsidP="00DB285E">
            <w:pPr>
              <w:rPr>
                <w:b/>
                <w:i/>
              </w:rPr>
            </w:pPr>
            <w:proofErr w:type="gramStart"/>
            <w:r w:rsidRPr="00485ED6">
              <w:rPr>
                <w:b/>
                <w:i/>
              </w:rPr>
              <w:t>?Query</w:t>
            </w:r>
            <w:proofErr w:type="gramEnd"/>
            <w:r w:rsidRPr="00485ED6">
              <w:rPr>
                <w:b/>
                <w:i/>
              </w:rPr>
              <w:t xml:space="preserve"> – would rates be presented with confidence intervals? If so, should provide CI methodology. Below is methodology used in Compendium.</w:t>
            </w:r>
          </w:p>
          <w:p w14:paraId="4E7AD598" w14:textId="77777777" w:rsidR="00DB285E" w:rsidRPr="00485ED6" w:rsidRDefault="00DB285E" w:rsidP="00DB285E"/>
          <w:p w14:paraId="5960F8FD" w14:textId="77777777" w:rsidR="00DB285E" w:rsidRPr="00485ED6" w:rsidRDefault="00DB285E" w:rsidP="00DB285E">
            <w:pPr>
              <w:pStyle w:val="Heading3"/>
              <w:numPr>
                <w:ilvl w:val="0"/>
                <w:numId w:val="0"/>
              </w:numPr>
              <w:tabs>
                <w:tab w:val="clear" w:pos="2553"/>
                <w:tab w:val="left" w:pos="0"/>
              </w:tabs>
              <w:rPr>
                <w:rFonts w:cs="Arial"/>
              </w:rPr>
            </w:pPr>
            <w:r w:rsidRPr="00485ED6">
              <w:rPr>
                <w:rFonts w:cs="Arial"/>
              </w:rPr>
              <w:t>Confidence intervals for directly standardised rates</w:t>
            </w:r>
          </w:p>
          <w:p w14:paraId="783CFAC4" w14:textId="77777777" w:rsidR="00DB285E" w:rsidRPr="00485ED6" w:rsidRDefault="00DB285E" w:rsidP="00DB285E">
            <w:pPr>
              <w:tabs>
                <w:tab w:val="left" w:pos="567"/>
              </w:tabs>
              <w:rPr>
                <w:sz w:val="18"/>
              </w:rPr>
            </w:pPr>
          </w:p>
          <w:p w14:paraId="566D30E1" w14:textId="77777777" w:rsidR="00DB285E" w:rsidRPr="00485ED6" w:rsidRDefault="00DB285E" w:rsidP="00DB285E">
            <w:pPr>
              <w:tabs>
                <w:tab w:val="left" w:pos="567"/>
              </w:tabs>
            </w:pPr>
            <w:r w:rsidRPr="00485ED6">
              <w:t>95% confidence intervals for the age-standardised rates were calculated using a normal approximation. Standard errors are obtained using the method described by Breslow and Day,</w:t>
            </w:r>
            <w:r w:rsidRPr="00485ED6">
              <w:endnoteReference w:id="3"/>
            </w:r>
            <w:r w:rsidRPr="00485ED6">
              <w:t xml:space="preserve"> but modified to use the binomial variance for a proportion to estimate the variances of the crude age-specific rates.</w:t>
            </w:r>
            <w:r w:rsidRPr="00485ED6">
              <w:endnoteReference w:id="4"/>
            </w:r>
            <w:r w:rsidRPr="00485ED6">
              <w:t xml:space="preserve"> This method is likely to be unreliable when there are fewer than 50 cases in an area, hence confidence intervals for rates based on less than 50 cases should be viewed with caution. The lower and upper limits for the rates are denoted by DSR</w:t>
            </w:r>
            <w:r w:rsidRPr="00485ED6">
              <w:rPr>
                <w:vertAlign w:val="subscript"/>
              </w:rPr>
              <w:t>LL</w:t>
            </w:r>
            <w:r w:rsidRPr="00485ED6">
              <w:t xml:space="preserve"> and DSR</w:t>
            </w:r>
            <w:r w:rsidRPr="00485ED6">
              <w:rPr>
                <w:vertAlign w:val="subscript"/>
              </w:rPr>
              <w:t>UL</w:t>
            </w:r>
            <w:r w:rsidRPr="00485ED6">
              <w:t xml:space="preserve"> respectively.</w:t>
            </w:r>
          </w:p>
          <w:p w14:paraId="35F9155C" w14:textId="77777777" w:rsidR="00DB285E" w:rsidRPr="00485ED6" w:rsidRDefault="00DB285E" w:rsidP="00DB285E">
            <w:pPr>
              <w:tabs>
                <w:tab w:val="left" w:pos="0"/>
              </w:tabs>
            </w:pPr>
          </w:p>
          <w:p w14:paraId="2FB53A4C" w14:textId="4D700E4F" w:rsidR="00DB285E" w:rsidRPr="00485ED6" w:rsidRDefault="00DB285E" w:rsidP="00DB285E">
            <w:pPr>
              <w:tabs>
                <w:tab w:val="left" w:pos="0"/>
              </w:tabs>
            </w:pPr>
            <w:r w:rsidRPr="00485ED6">
              <w:lastRenderedPageBreak/>
              <w:tab/>
            </w:r>
            <m:oMath>
              <m:r>
                <w:rPr>
                  <w:rFonts w:ascii="Cambria Math"/>
                  <w:sz w:val="20"/>
                </w:rPr>
                <m:t>DS</m:t>
              </m:r>
              <m:sSub>
                <m:sSubPr>
                  <m:ctrlPr>
                    <w:rPr>
                      <w:rFonts w:ascii="Cambria Math" w:hAnsi="Cambria Math"/>
                      <w:i/>
                      <w:sz w:val="20"/>
                    </w:rPr>
                  </m:ctrlPr>
                </m:sSubPr>
                <m:e>
                  <m:r>
                    <w:rPr>
                      <w:rFonts w:ascii="Cambria Math"/>
                      <w:sz w:val="20"/>
                    </w:rPr>
                    <m:t>R</m:t>
                  </m:r>
                </m:e>
                <m:sub>
                  <m:r>
                    <w:rPr>
                      <w:rFonts w:ascii="Cambria Math"/>
                      <w:sz w:val="20"/>
                    </w:rPr>
                    <m:t>LL/UL</m:t>
                  </m:r>
                </m:sub>
              </m:sSub>
              <m:r>
                <w:rPr>
                  <w:rFonts w:ascii="Cambria Math"/>
                  <w:sz w:val="20"/>
                </w:rPr>
                <m:t>=DSR</m:t>
              </m:r>
              <m:r>
                <w:rPr>
                  <w:rFonts w:ascii="Cambria Math"/>
                  <w:sz w:val="20"/>
                </w:rPr>
                <m:t>±</m:t>
              </m:r>
              <m:r>
                <w:rPr>
                  <w:rFonts w:ascii="Cambria Math"/>
                  <w:sz w:val="20"/>
                </w:rPr>
                <m:t>1.96</m:t>
              </m:r>
              <m:r>
                <w:rPr>
                  <w:rFonts w:ascii="Cambria Math"/>
                  <w:sz w:val="20"/>
                </w:rPr>
                <m:t>×</m:t>
              </m:r>
              <m:r>
                <w:rPr>
                  <w:rFonts w:ascii="Cambria Math"/>
                  <w:sz w:val="20"/>
                </w:rPr>
                <m:t>100,000</m:t>
              </m:r>
              <m:r>
                <w:rPr>
                  <w:rFonts w:ascii="Cambria Math"/>
                  <w:sz w:val="20"/>
                </w:rPr>
                <m:t>×</m:t>
              </m:r>
              <m:rad>
                <m:radPr>
                  <m:degHide m:val="1"/>
                  <m:ctrlPr>
                    <w:rPr>
                      <w:rFonts w:ascii="Cambria Math" w:hAnsi="Cambria Math"/>
                      <w:i/>
                      <w:sz w:val="20"/>
                    </w:rPr>
                  </m:ctrlPr>
                </m:radPr>
                <m:deg/>
                <m:e>
                  <m:f>
                    <m:fPr>
                      <m:ctrlPr>
                        <w:rPr>
                          <w:rFonts w:ascii="Cambria Math" w:hAnsi="Cambria Math"/>
                          <w:i/>
                          <w:sz w:val="20"/>
                        </w:rPr>
                      </m:ctrlPr>
                    </m:fPr>
                    <m:num>
                      <m:r>
                        <w:rPr>
                          <w:rFonts w:ascii="Cambria Math"/>
                          <w:sz w:val="20"/>
                        </w:rPr>
                        <m:t>1</m:t>
                      </m:r>
                    </m:num>
                    <m:den>
                      <m:sSup>
                        <m:sSupPr>
                          <m:ctrlPr>
                            <w:rPr>
                              <w:rFonts w:ascii="Cambria Math" w:hAnsi="Cambria Math"/>
                              <w:i/>
                              <w:sz w:val="20"/>
                            </w:rPr>
                          </m:ctrlPr>
                        </m:sSupPr>
                        <m:e>
                          <m:d>
                            <m:dPr>
                              <m:ctrlPr>
                                <w:rPr>
                                  <w:rFonts w:ascii="Cambria Math" w:hAnsi="Cambria Math"/>
                                  <w:i/>
                                  <w:sz w:val="20"/>
                                </w:rPr>
                              </m:ctrlPr>
                            </m:dPr>
                            <m:e>
                              <m:nary>
                                <m:naryPr>
                                  <m:chr m:val="∑"/>
                                  <m:supHide m:val="1"/>
                                  <m:ctrlPr>
                                    <w:rPr>
                                      <w:rFonts w:ascii="Cambria Math" w:hAnsi="Cambria Math"/>
                                      <w:i/>
                                      <w:sz w:val="20"/>
                                    </w:rPr>
                                  </m:ctrlPr>
                                </m:naryPr>
                                <m:sub>
                                  <m:r>
                                    <w:rPr>
                                      <w:rFonts w:ascii="Cambria Math"/>
                                      <w:sz w:val="20"/>
                                    </w:rPr>
                                    <m:t>ij</m:t>
                                  </m:r>
                                </m:sub>
                                <m:sup/>
                                <m:e>
                                  <m:sSub>
                                    <m:sSubPr>
                                      <m:ctrlPr>
                                        <w:rPr>
                                          <w:rFonts w:ascii="Cambria Math" w:hAnsi="Cambria Math"/>
                                          <w:i/>
                                          <w:sz w:val="20"/>
                                        </w:rPr>
                                      </m:ctrlPr>
                                    </m:sSubPr>
                                    <m:e>
                                      <m:r>
                                        <w:rPr>
                                          <w:rFonts w:ascii="Cambria Math"/>
                                          <w:sz w:val="20"/>
                                        </w:rPr>
                                        <m:t>w</m:t>
                                      </m:r>
                                    </m:e>
                                    <m:sub>
                                      <m:r>
                                        <w:rPr>
                                          <w:rFonts w:ascii="Cambria Math"/>
                                          <w:sz w:val="20"/>
                                        </w:rPr>
                                        <m:t>i</m:t>
                                      </m:r>
                                    </m:sub>
                                  </m:sSub>
                                </m:e>
                              </m:nary>
                            </m:e>
                          </m:d>
                        </m:e>
                        <m:sup>
                          <m:r>
                            <w:rPr>
                              <w:rFonts w:ascii="Cambria Math"/>
                              <w:sz w:val="20"/>
                            </w:rPr>
                            <m:t>2</m:t>
                          </m:r>
                        </m:sup>
                      </m:sSup>
                    </m:den>
                  </m:f>
                  <m:r>
                    <w:rPr>
                      <w:rFonts w:ascii="Cambria Math"/>
                      <w:sz w:val="20"/>
                    </w:rPr>
                    <m:t>×</m:t>
                  </m:r>
                  <m:nary>
                    <m:naryPr>
                      <m:chr m:val="∑"/>
                      <m:supHide m:val="1"/>
                      <m:ctrlPr>
                        <w:rPr>
                          <w:rFonts w:ascii="Cambria Math" w:hAnsi="Cambria Math"/>
                          <w:i/>
                          <w:sz w:val="20"/>
                        </w:rPr>
                      </m:ctrlPr>
                    </m:naryPr>
                    <m:sub>
                      <m:r>
                        <w:rPr>
                          <w:rFonts w:ascii="Cambria Math"/>
                          <w:sz w:val="20"/>
                        </w:rPr>
                        <m:t>ij</m:t>
                      </m:r>
                    </m:sub>
                    <m:sup/>
                    <m:e>
                      <m:f>
                        <m:fPr>
                          <m:ctrlPr>
                            <w:rPr>
                              <w:rFonts w:ascii="Cambria Math" w:hAnsi="Cambria Math"/>
                              <w:i/>
                              <w:sz w:val="20"/>
                            </w:rPr>
                          </m:ctrlPr>
                        </m:fPr>
                        <m:num>
                          <m:sSubSup>
                            <m:sSubSupPr>
                              <m:ctrlPr>
                                <w:rPr>
                                  <w:rFonts w:ascii="Cambria Math" w:hAnsi="Cambria Math"/>
                                  <w:i/>
                                  <w:sz w:val="20"/>
                                </w:rPr>
                              </m:ctrlPr>
                            </m:sSubSupPr>
                            <m:e>
                              <m:r>
                                <w:rPr>
                                  <w:rFonts w:ascii="Cambria Math"/>
                                  <w:sz w:val="20"/>
                                </w:rPr>
                                <m:t>w</m:t>
                              </m:r>
                            </m:e>
                            <m:sub>
                              <m:r>
                                <w:rPr>
                                  <w:rFonts w:ascii="Cambria Math"/>
                                  <w:sz w:val="20"/>
                                </w:rPr>
                                <m:t>i</m:t>
                              </m:r>
                            </m:sub>
                            <m:sup>
                              <m:r>
                                <w:rPr>
                                  <w:rFonts w:ascii="Cambria Math"/>
                                  <w:sz w:val="20"/>
                                </w:rPr>
                                <m:t>2</m:t>
                              </m:r>
                            </m:sup>
                          </m:sSubSup>
                          <m:r>
                            <w:rPr>
                              <w:rFonts w:ascii="Cambria Math" w:hAnsi="Cambria Math" w:cs="Cambria Math"/>
                              <w:sz w:val="20"/>
                            </w:rPr>
                            <m:t>⋅</m:t>
                          </m:r>
                          <m:sSub>
                            <m:sSubPr>
                              <m:ctrlPr>
                                <w:rPr>
                                  <w:rFonts w:ascii="Cambria Math" w:hAnsi="Cambria Math"/>
                                  <w:i/>
                                  <w:sz w:val="20"/>
                                </w:rPr>
                              </m:ctrlPr>
                            </m:sSubPr>
                            <m:e>
                              <m:r>
                                <w:rPr>
                                  <w:rFonts w:ascii="Cambria Math"/>
                                  <w:sz w:val="20"/>
                                </w:rPr>
                                <m:t>r</m:t>
                              </m:r>
                            </m:e>
                            <m:sub>
                              <m:r>
                                <w:rPr>
                                  <w:rFonts w:ascii="Cambria Math"/>
                                  <w:sz w:val="20"/>
                                </w:rPr>
                                <m:t>ij</m:t>
                              </m:r>
                            </m:sub>
                          </m:sSub>
                          <m:d>
                            <m:dPr>
                              <m:ctrlPr>
                                <w:rPr>
                                  <w:rFonts w:ascii="Cambria Math" w:hAnsi="Cambria Math"/>
                                  <w:i/>
                                  <w:sz w:val="20"/>
                                </w:rPr>
                              </m:ctrlPr>
                            </m:dPr>
                            <m:e>
                              <m:r>
                                <w:rPr>
                                  <w:rFonts w:ascii="Cambria Math"/>
                                  <w:sz w:val="20"/>
                                </w:rPr>
                                <m:t>1</m:t>
                              </m:r>
                              <m:r>
                                <w:rPr>
                                  <w:rFonts w:ascii="Cambria Math"/>
                                  <w:sz w:val="20"/>
                                </w:rPr>
                                <m:t>-</m:t>
                              </m:r>
                              <m:sSub>
                                <m:sSubPr>
                                  <m:ctrlPr>
                                    <w:rPr>
                                      <w:rFonts w:ascii="Cambria Math" w:hAnsi="Cambria Math"/>
                                      <w:i/>
                                      <w:sz w:val="20"/>
                                    </w:rPr>
                                  </m:ctrlPr>
                                </m:sSubPr>
                                <m:e>
                                  <m:r>
                                    <w:rPr>
                                      <w:rFonts w:ascii="Cambria Math"/>
                                      <w:sz w:val="20"/>
                                    </w:rPr>
                                    <m:t>r</m:t>
                                  </m:r>
                                </m:e>
                                <m:sub>
                                  <m:r>
                                    <w:rPr>
                                      <w:rFonts w:ascii="Cambria Math"/>
                                      <w:sz w:val="20"/>
                                    </w:rPr>
                                    <m:t>ij</m:t>
                                  </m:r>
                                </m:sub>
                              </m:sSub>
                            </m:e>
                          </m:d>
                        </m:num>
                        <m:den>
                          <m:sSub>
                            <m:sSubPr>
                              <m:ctrlPr>
                                <w:rPr>
                                  <w:rFonts w:ascii="Cambria Math" w:hAnsi="Cambria Math"/>
                                  <w:i/>
                                  <w:sz w:val="20"/>
                                </w:rPr>
                              </m:ctrlPr>
                            </m:sSubPr>
                            <m:e>
                              <m:r>
                                <w:rPr>
                                  <w:rFonts w:ascii="Cambria Math"/>
                                  <w:sz w:val="20"/>
                                </w:rPr>
                                <m:t>n</m:t>
                              </m:r>
                            </m:e>
                            <m:sub>
                              <m:r>
                                <w:rPr>
                                  <w:rFonts w:ascii="Cambria Math"/>
                                  <w:sz w:val="20"/>
                                </w:rPr>
                                <m:t>ij</m:t>
                              </m:r>
                            </m:sub>
                          </m:sSub>
                        </m:den>
                      </m:f>
                    </m:e>
                  </m:nary>
                </m:e>
              </m:rad>
            </m:oMath>
            <w:r w:rsidRPr="00485ED6">
              <w:t xml:space="preserve"> </w:t>
            </w:r>
          </w:p>
          <w:p w14:paraId="568A4136" w14:textId="77777777" w:rsidR="00DB285E" w:rsidRPr="00485ED6" w:rsidRDefault="00DB285E" w:rsidP="00DB285E">
            <w:pPr>
              <w:tabs>
                <w:tab w:val="left" w:pos="0"/>
              </w:tabs>
            </w:pPr>
            <w:r w:rsidRPr="00485ED6">
              <w:tab/>
              <w:t>(expressed per 100,000 population)</w:t>
            </w:r>
          </w:p>
          <w:p w14:paraId="10F49906" w14:textId="77777777" w:rsidR="00DB285E" w:rsidRPr="00485ED6" w:rsidRDefault="00DB285E" w:rsidP="00DB285E">
            <w:pPr>
              <w:tabs>
                <w:tab w:val="left" w:pos="2552"/>
              </w:tabs>
            </w:pPr>
          </w:p>
          <w:p w14:paraId="129F3DF2" w14:textId="77777777" w:rsidR="00DB285E" w:rsidRPr="00485ED6" w:rsidRDefault="00DB285E" w:rsidP="00DB285E">
            <w:pPr>
              <w:tabs>
                <w:tab w:val="left" w:pos="0"/>
              </w:tabs>
            </w:pPr>
            <w:r w:rsidRPr="00485ED6">
              <w:t>where:</w:t>
            </w:r>
          </w:p>
          <w:p w14:paraId="02181A53" w14:textId="77777777" w:rsidR="00DB285E" w:rsidRPr="00485ED6" w:rsidRDefault="00DB285E" w:rsidP="00DB285E">
            <w:pPr>
              <w:tabs>
                <w:tab w:val="left" w:pos="2552"/>
              </w:tabs>
              <w:rPr>
                <w:i/>
              </w:rPr>
            </w:pPr>
            <w:proofErr w:type="spellStart"/>
            <w:r w:rsidRPr="00485ED6">
              <w:rPr>
                <w:i/>
              </w:rPr>
              <w:t>w</w:t>
            </w:r>
            <w:r w:rsidRPr="00485ED6">
              <w:rPr>
                <w:i/>
                <w:vertAlign w:val="subscript"/>
              </w:rPr>
              <w:t>i</w:t>
            </w:r>
            <w:proofErr w:type="spellEnd"/>
            <w:r w:rsidRPr="00485ED6">
              <w:t xml:space="preserve"> is the number, or proportion, of individuals in the standard population in age group </w:t>
            </w:r>
            <w:proofErr w:type="spellStart"/>
            <w:r w:rsidRPr="00485ED6">
              <w:rPr>
                <w:i/>
              </w:rPr>
              <w:t>i</w:t>
            </w:r>
            <w:proofErr w:type="spellEnd"/>
            <w:r w:rsidRPr="00485ED6">
              <w:t>.</w:t>
            </w:r>
          </w:p>
          <w:p w14:paraId="71B69879" w14:textId="77777777" w:rsidR="00DB285E" w:rsidRPr="00485ED6" w:rsidRDefault="00DB285E" w:rsidP="00DB285E">
            <w:pPr>
              <w:tabs>
                <w:tab w:val="left" w:pos="2552"/>
              </w:tabs>
            </w:pPr>
            <w:proofErr w:type="spellStart"/>
            <w:r w:rsidRPr="00485ED6">
              <w:rPr>
                <w:i/>
              </w:rPr>
              <w:t>r</w:t>
            </w:r>
            <w:r w:rsidRPr="00485ED6">
              <w:rPr>
                <w:i/>
                <w:vertAlign w:val="subscript"/>
              </w:rPr>
              <w:t>ij</w:t>
            </w:r>
            <w:proofErr w:type="spellEnd"/>
            <w:r w:rsidRPr="00485ED6">
              <w:t xml:space="preserve"> is the crude age-specific rate in the subject population in age group </w:t>
            </w:r>
            <w:proofErr w:type="spellStart"/>
            <w:r w:rsidRPr="00485ED6">
              <w:t>i</w:t>
            </w:r>
            <w:proofErr w:type="spellEnd"/>
            <w:r w:rsidRPr="00485ED6">
              <w:t>, in year</w:t>
            </w:r>
            <w:r w:rsidRPr="00485ED6">
              <w:rPr>
                <w:i/>
              </w:rPr>
              <w:t xml:space="preserve"> j</w:t>
            </w:r>
            <w:r w:rsidRPr="00485ED6">
              <w:t>.</w:t>
            </w:r>
          </w:p>
          <w:p w14:paraId="05044E41" w14:textId="77777777" w:rsidR="00DB285E" w:rsidRPr="00485ED6" w:rsidRDefault="00DB285E" w:rsidP="00DB285E">
            <w:proofErr w:type="spellStart"/>
            <w:r w:rsidRPr="00485ED6">
              <w:rPr>
                <w:i/>
              </w:rPr>
              <w:t>n</w:t>
            </w:r>
            <w:r w:rsidRPr="00485ED6">
              <w:rPr>
                <w:i/>
                <w:vertAlign w:val="subscript"/>
              </w:rPr>
              <w:t>ij</w:t>
            </w:r>
            <w:proofErr w:type="spellEnd"/>
            <w:r w:rsidRPr="00485ED6">
              <w:t xml:space="preserve"> is the number of individuals in the subject population in age group </w:t>
            </w:r>
            <w:proofErr w:type="spellStart"/>
            <w:r w:rsidRPr="00485ED6">
              <w:t>i</w:t>
            </w:r>
            <w:proofErr w:type="spellEnd"/>
            <w:r w:rsidRPr="00485ED6">
              <w:t>, in year</w:t>
            </w:r>
            <w:r w:rsidRPr="00485ED6">
              <w:rPr>
                <w:i/>
              </w:rPr>
              <w:t xml:space="preserve"> j</w:t>
            </w:r>
            <w:r w:rsidRPr="00485ED6">
              <w:t>.</w:t>
            </w:r>
          </w:p>
          <w:p w14:paraId="113AB436" w14:textId="77777777" w:rsidR="00DB285E" w:rsidRPr="00485ED6" w:rsidRDefault="00DB285E" w:rsidP="00DB285E"/>
          <w:p w14:paraId="14202F9F" w14:textId="77777777" w:rsidR="00DB285E" w:rsidRPr="00485ED6" w:rsidRDefault="00DB285E" w:rsidP="00DB285E">
            <w:pPr>
              <w:rPr>
                <w:b/>
                <w:i/>
              </w:rPr>
            </w:pPr>
            <w:proofErr w:type="gramStart"/>
            <w:r w:rsidRPr="00485ED6">
              <w:rPr>
                <w:b/>
                <w:i/>
              </w:rPr>
              <w:t>?Query</w:t>
            </w:r>
            <w:proofErr w:type="gramEnd"/>
            <w:r w:rsidRPr="00485ED6">
              <w:rPr>
                <w:b/>
                <w:i/>
              </w:rPr>
              <w:t>? The above is the methodology for the construction of the indicator. Depending on the use to which the indicator is being put thought must be given to the methodologies used for presentation, comparison and/or assessment of inequalities, e.g. SPC methods such as control charts, inequality measures such as LORENZ curves &amp; GINI coefficient.</w:t>
            </w:r>
          </w:p>
        </w:tc>
      </w:tr>
      <w:tr w:rsidR="00DB285E" w:rsidRPr="00485ED6" w14:paraId="6777187C" w14:textId="77777777" w:rsidTr="005A779B">
        <w:trPr>
          <w:trHeight w:val="180"/>
        </w:trPr>
        <w:tc>
          <w:tcPr>
            <w:tcW w:w="9830" w:type="dxa"/>
          </w:tcPr>
          <w:p w14:paraId="04B323F5" w14:textId="77777777" w:rsidR="00DB285E" w:rsidRPr="00485ED6" w:rsidRDefault="00DB285E" w:rsidP="00DB285E">
            <w:r w:rsidRPr="00485ED6">
              <w:lastRenderedPageBreak/>
              <w:t>Quality assurance processes</w:t>
            </w:r>
          </w:p>
        </w:tc>
      </w:tr>
      <w:tr w:rsidR="00DB285E" w:rsidRPr="00485ED6" w14:paraId="608A2CD6" w14:textId="77777777" w:rsidTr="005A779B">
        <w:trPr>
          <w:trHeight w:val="180"/>
        </w:trPr>
        <w:tc>
          <w:tcPr>
            <w:tcW w:w="9830" w:type="dxa"/>
          </w:tcPr>
          <w:p w14:paraId="5EF34CDF" w14:textId="77777777" w:rsidR="00DB285E" w:rsidRPr="00485ED6" w:rsidRDefault="00DB285E" w:rsidP="00DB285E">
            <w:pPr>
              <w:rPr>
                <w:sz w:val="16"/>
                <w:szCs w:val="16"/>
              </w:rPr>
            </w:pPr>
            <w:r w:rsidRPr="00485ED6">
              <w:rPr>
                <w:sz w:val="16"/>
                <w:szCs w:val="16"/>
              </w:rPr>
              <w:t>Detail the quality assurance processes in place to check data, identify anomalies, and explore these further with providers.</w:t>
            </w:r>
          </w:p>
          <w:p w14:paraId="36D90292" w14:textId="77777777" w:rsidR="00DB285E" w:rsidRPr="00485ED6" w:rsidRDefault="00DB285E" w:rsidP="00DB285E">
            <w:pPr>
              <w:rPr>
                <w:b/>
                <w:i/>
              </w:rPr>
            </w:pPr>
            <w:r w:rsidRPr="00485ED6">
              <w:rPr>
                <w:b/>
                <w:i/>
              </w:rPr>
              <w:t>Query? QA processes depend on who produces the data?</w:t>
            </w:r>
          </w:p>
          <w:p w14:paraId="3E4462AC" w14:textId="77777777" w:rsidR="00DB285E" w:rsidRPr="00485ED6" w:rsidRDefault="00DB285E" w:rsidP="00DB285E"/>
        </w:tc>
      </w:tr>
      <w:tr w:rsidR="00DB285E" w:rsidRPr="00485ED6" w14:paraId="48D62AB9" w14:textId="77777777" w:rsidTr="005A779B">
        <w:trPr>
          <w:trHeight w:val="180"/>
        </w:trPr>
        <w:tc>
          <w:tcPr>
            <w:tcW w:w="9830" w:type="dxa"/>
          </w:tcPr>
          <w:p w14:paraId="2FE6EB1B" w14:textId="77777777" w:rsidR="00DB285E" w:rsidRPr="00485ED6" w:rsidRDefault="00DB285E" w:rsidP="00DB285E">
            <w:r w:rsidRPr="00485ED6">
              <w:t xml:space="preserve">Test data or sample data </w:t>
            </w:r>
          </w:p>
        </w:tc>
      </w:tr>
      <w:tr w:rsidR="00DB285E" w:rsidRPr="00485ED6" w14:paraId="4F3E0E8C" w14:textId="77777777" w:rsidTr="005A779B">
        <w:trPr>
          <w:trHeight w:val="180"/>
        </w:trPr>
        <w:tc>
          <w:tcPr>
            <w:tcW w:w="9830" w:type="dxa"/>
          </w:tcPr>
          <w:p w14:paraId="5B31D2B9" w14:textId="77777777" w:rsidR="00DB285E" w:rsidRPr="00485ED6" w:rsidRDefault="00DB285E" w:rsidP="00DB285E">
            <w:pPr>
              <w:rPr>
                <w:sz w:val="16"/>
                <w:szCs w:val="16"/>
              </w:rPr>
            </w:pPr>
            <w:r w:rsidRPr="00485ED6">
              <w:rPr>
                <w:sz w:val="16"/>
                <w:szCs w:val="16"/>
              </w:rPr>
              <w:t xml:space="preserve">During course of pipeline application, test or sample data will be required to give proof of concept.  Insert table of raw data.  </w:t>
            </w:r>
          </w:p>
          <w:p w14:paraId="216DE30B" w14:textId="77777777" w:rsidR="00DB285E" w:rsidRPr="00485ED6" w:rsidRDefault="00DB285E" w:rsidP="00DB285E">
            <w:pPr>
              <w:rPr>
                <w:b/>
                <w:i/>
              </w:rPr>
            </w:pPr>
            <w:proofErr w:type="gramStart"/>
            <w:r w:rsidRPr="00485ED6">
              <w:rPr>
                <w:b/>
                <w:i/>
              </w:rPr>
              <w:t>?Query</w:t>
            </w:r>
            <w:proofErr w:type="gramEnd"/>
            <w:r w:rsidRPr="00485ED6">
              <w:rPr>
                <w:b/>
                <w:i/>
              </w:rPr>
              <w:t xml:space="preserve">? can use the NCHOD/NHSIC Compendium mortality indicators production database to run off sample data once ICD10 </w:t>
            </w:r>
            <w:proofErr w:type="spellStart"/>
            <w:r w:rsidRPr="00485ED6">
              <w:rPr>
                <w:b/>
                <w:i/>
              </w:rPr>
              <w:t>defintions</w:t>
            </w:r>
            <w:proofErr w:type="spellEnd"/>
            <w:r w:rsidRPr="00485ED6">
              <w:rPr>
                <w:b/>
                <w:i/>
              </w:rPr>
              <w:t xml:space="preserve"> have been agreed.</w:t>
            </w:r>
          </w:p>
          <w:p w14:paraId="0FABDCB0" w14:textId="77777777" w:rsidR="00DB285E" w:rsidRPr="00485ED6" w:rsidRDefault="00DB285E" w:rsidP="00DB285E"/>
        </w:tc>
      </w:tr>
      <w:tr w:rsidR="00DB285E" w:rsidRPr="00485ED6" w14:paraId="78B8E703" w14:textId="77777777" w:rsidTr="005A779B">
        <w:trPr>
          <w:trHeight w:val="180"/>
        </w:trPr>
        <w:tc>
          <w:tcPr>
            <w:tcW w:w="9830" w:type="dxa"/>
          </w:tcPr>
          <w:p w14:paraId="1AC0FD0F" w14:textId="77777777" w:rsidR="00DB285E" w:rsidRPr="00485ED6" w:rsidRDefault="00DB285E" w:rsidP="00DB285E">
            <w:r w:rsidRPr="00485ED6">
              <w:t>Interpretation</w:t>
            </w:r>
          </w:p>
        </w:tc>
      </w:tr>
      <w:tr w:rsidR="00DB285E" w:rsidRPr="00485ED6" w14:paraId="6D658C94" w14:textId="77777777" w:rsidTr="005A779B">
        <w:trPr>
          <w:trHeight w:val="180"/>
        </w:trPr>
        <w:tc>
          <w:tcPr>
            <w:tcW w:w="9830" w:type="dxa"/>
          </w:tcPr>
          <w:p w14:paraId="688351A1" w14:textId="77777777" w:rsidR="00DB285E" w:rsidRPr="00485ED6" w:rsidRDefault="00DB285E" w:rsidP="00DB285E">
            <w:pPr>
              <w:rPr>
                <w:sz w:val="16"/>
                <w:szCs w:val="16"/>
              </w:rPr>
            </w:pPr>
            <w:r w:rsidRPr="00485ED6">
              <w:rPr>
                <w:sz w:val="16"/>
                <w:szCs w:val="16"/>
              </w:rPr>
              <w:t>Describe how this indicator is planned to be used and what questions the indicator is planned to answer, and any known limitation</w:t>
            </w:r>
          </w:p>
          <w:p w14:paraId="10DF6AED" w14:textId="77777777" w:rsidR="00DB285E" w:rsidRPr="00485ED6" w:rsidRDefault="00DB285E" w:rsidP="00DB285E">
            <w:r w:rsidRPr="00485ED6">
              <w:t xml:space="preserve">See ‘The NHS Outcomes Framework 2011-12’ document </w:t>
            </w:r>
          </w:p>
          <w:p w14:paraId="6615CCFA" w14:textId="77777777" w:rsidR="00DB285E" w:rsidRPr="00485ED6" w:rsidRDefault="00DB285E" w:rsidP="00DB285E"/>
        </w:tc>
      </w:tr>
      <w:tr w:rsidR="00DB285E" w:rsidRPr="00485ED6" w14:paraId="7BF2D7FC" w14:textId="77777777" w:rsidTr="005A779B">
        <w:trPr>
          <w:trHeight w:val="180"/>
        </w:trPr>
        <w:tc>
          <w:tcPr>
            <w:tcW w:w="9830" w:type="dxa"/>
          </w:tcPr>
          <w:p w14:paraId="6BCEE9F9" w14:textId="77777777" w:rsidR="00DB285E" w:rsidRPr="00485ED6" w:rsidRDefault="00DB285E" w:rsidP="00DB285E">
            <w:r w:rsidRPr="00485ED6">
              <w:t>Format of presentation</w:t>
            </w:r>
          </w:p>
        </w:tc>
      </w:tr>
      <w:tr w:rsidR="00DB285E" w:rsidRPr="00485ED6" w14:paraId="5652B0B7" w14:textId="77777777" w:rsidTr="005A779B">
        <w:trPr>
          <w:trHeight w:val="180"/>
        </w:trPr>
        <w:tc>
          <w:tcPr>
            <w:tcW w:w="9830" w:type="dxa"/>
          </w:tcPr>
          <w:p w14:paraId="2E54D95B" w14:textId="77777777" w:rsidR="00DB285E" w:rsidRPr="00485ED6" w:rsidRDefault="00DB285E" w:rsidP="00DB285E">
            <w:pPr>
              <w:rPr>
                <w:sz w:val="20"/>
                <w:szCs w:val="20"/>
              </w:rPr>
            </w:pPr>
            <w:r w:rsidRPr="00485ED6">
              <w:rPr>
                <w:sz w:val="16"/>
                <w:szCs w:val="16"/>
              </w:rPr>
              <w:t>Describe published format, such as interactive website, csv file, etc.  Provide table or screenshot (or mock version) of how the final presentation of data will appear.  Include any interpretative text as well as figures</w:t>
            </w:r>
          </w:p>
          <w:p w14:paraId="082346D0" w14:textId="77777777" w:rsidR="00DB285E" w:rsidRPr="00485ED6" w:rsidRDefault="00DB285E" w:rsidP="00DB285E">
            <w:pPr>
              <w:rPr>
                <w:sz w:val="20"/>
                <w:szCs w:val="20"/>
              </w:rPr>
            </w:pPr>
            <w:proofErr w:type="gramStart"/>
            <w:r w:rsidRPr="00485ED6">
              <w:rPr>
                <w:sz w:val="20"/>
                <w:szCs w:val="20"/>
              </w:rPr>
              <w:t>?Query</w:t>
            </w:r>
            <w:proofErr w:type="gramEnd"/>
            <w:r w:rsidRPr="00485ED6">
              <w:rPr>
                <w:sz w:val="20"/>
                <w:szCs w:val="20"/>
              </w:rPr>
              <w:t xml:space="preserve">? </w:t>
            </w:r>
          </w:p>
          <w:p w14:paraId="4C60495E" w14:textId="77777777" w:rsidR="00DB285E" w:rsidRPr="00485ED6" w:rsidRDefault="00DB285E" w:rsidP="00DB285E">
            <w:pPr>
              <w:rPr>
                <w:b/>
                <w:i/>
                <w:sz w:val="20"/>
                <w:szCs w:val="20"/>
              </w:rPr>
            </w:pPr>
            <w:r w:rsidRPr="00485ED6">
              <w:rPr>
                <w:b/>
                <w:i/>
                <w:sz w:val="20"/>
                <w:szCs w:val="20"/>
              </w:rPr>
              <w:t>Single time period: annual or 3-yr average?</w:t>
            </w:r>
          </w:p>
          <w:p w14:paraId="24EB70A5" w14:textId="77777777" w:rsidR="00DB285E" w:rsidRPr="00485ED6" w:rsidRDefault="00DB285E" w:rsidP="00DB285E">
            <w:pPr>
              <w:rPr>
                <w:b/>
                <w:i/>
                <w:sz w:val="20"/>
                <w:szCs w:val="20"/>
              </w:rPr>
            </w:pPr>
            <w:r w:rsidRPr="00485ED6">
              <w:rPr>
                <w:b/>
                <w:i/>
              </w:rPr>
              <w:t xml:space="preserve">Trends? Annual or rolling </w:t>
            </w:r>
            <w:r w:rsidRPr="00485ED6">
              <w:rPr>
                <w:b/>
                <w:i/>
                <w:sz w:val="20"/>
                <w:szCs w:val="20"/>
              </w:rPr>
              <w:t>3-yr average?</w:t>
            </w:r>
          </w:p>
          <w:p w14:paraId="774D2714" w14:textId="77777777" w:rsidR="00DB285E" w:rsidRPr="00485ED6" w:rsidRDefault="00DB285E" w:rsidP="00DB285E">
            <w:pPr>
              <w:rPr>
                <w:b/>
                <w:i/>
                <w:sz w:val="20"/>
                <w:szCs w:val="20"/>
              </w:rPr>
            </w:pPr>
            <w:r w:rsidRPr="00485ED6">
              <w:rPr>
                <w:b/>
                <w:i/>
                <w:sz w:val="20"/>
                <w:szCs w:val="20"/>
              </w:rPr>
              <w:t>Gender?</w:t>
            </w:r>
          </w:p>
          <w:p w14:paraId="65E132DC" w14:textId="77777777" w:rsidR="00DB285E" w:rsidRPr="00485ED6" w:rsidRDefault="00DB285E" w:rsidP="00DB285E">
            <w:pPr>
              <w:rPr>
                <w:b/>
                <w:i/>
                <w:sz w:val="20"/>
                <w:szCs w:val="20"/>
              </w:rPr>
            </w:pPr>
            <w:r w:rsidRPr="00485ED6">
              <w:rPr>
                <w:b/>
                <w:i/>
                <w:sz w:val="20"/>
                <w:szCs w:val="20"/>
              </w:rPr>
              <w:t xml:space="preserve">National only or by </w:t>
            </w:r>
            <w:smartTag w:uri="urn:schemas-microsoft-com:office:smarttags" w:element="place">
              <w:smartTag w:uri="urn:schemas-microsoft-com:office:smarttags" w:element="City">
                <w:r w:rsidRPr="00485ED6">
                  <w:rPr>
                    <w:b/>
                    <w:i/>
                    <w:sz w:val="20"/>
                    <w:szCs w:val="20"/>
                  </w:rPr>
                  <w:t>GOR</w:t>
                </w:r>
              </w:smartTag>
              <w:r w:rsidRPr="00485ED6">
                <w:rPr>
                  <w:b/>
                  <w:i/>
                  <w:sz w:val="20"/>
                  <w:szCs w:val="20"/>
                </w:rPr>
                <w:t xml:space="preserve">, </w:t>
              </w:r>
              <w:smartTag w:uri="urn:schemas-microsoft-com:office:smarttags" w:element="State">
                <w:r w:rsidRPr="00485ED6">
                  <w:rPr>
                    <w:b/>
                    <w:i/>
                    <w:sz w:val="20"/>
                    <w:szCs w:val="20"/>
                  </w:rPr>
                  <w:t>LA</w:t>
                </w:r>
              </w:smartTag>
            </w:smartTag>
            <w:r w:rsidRPr="00485ED6">
              <w:rPr>
                <w:b/>
                <w:i/>
                <w:sz w:val="20"/>
                <w:szCs w:val="20"/>
              </w:rPr>
              <w:t>, PCO?</w:t>
            </w:r>
          </w:p>
          <w:p w14:paraId="0B6900DC" w14:textId="77777777" w:rsidR="00DB285E" w:rsidRPr="00485ED6" w:rsidRDefault="00DB285E" w:rsidP="00DB285E">
            <w:r w:rsidRPr="00485ED6">
              <w:rPr>
                <w:b/>
                <w:i/>
                <w:sz w:val="20"/>
                <w:szCs w:val="20"/>
              </w:rPr>
              <w:t>Inequality measure? ONS Area Groups? LAs by deprivation quintile? Deprivation quintiles by ward of residence?</w:t>
            </w:r>
          </w:p>
        </w:tc>
      </w:tr>
    </w:tbl>
    <w:p w14:paraId="5A30024D" w14:textId="77777777" w:rsidR="005A779B" w:rsidRDefault="005A779B"/>
    <w:p w14:paraId="045A66D4" w14:textId="77777777" w:rsidR="005A779B" w:rsidRDefault="005A779B" w:rsidP="005A779B">
      <w:pPr>
        <w:rPr>
          <w:b/>
        </w:rPr>
      </w:pPr>
      <w:r w:rsidRPr="00DB285E">
        <w:rPr>
          <w:b/>
          <w:bCs/>
        </w:rPr>
        <w:t>Indicator Methodology Review (IC use</w:t>
      </w:r>
      <w:r w:rsidRPr="00485ED6">
        <w:rPr>
          <w:b/>
        </w:rPr>
        <w:t xml:space="preserve"> only)</w:t>
      </w:r>
    </w:p>
    <w:p w14:paraId="1B278DB0" w14:textId="77777777" w:rsidR="005A779B" w:rsidRDefault="005A779B" w:rsidP="005A779B">
      <w:pPr>
        <w:rPr>
          <w:b/>
        </w:rPr>
      </w:pPr>
    </w:p>
    <w:p w14:paraId="57735507" w14:textId="77777777" w:rsidR="005A779B" w:rsidRPr="00485ED6" w:rsidRDefault="005A779B" w:rsidP="005A779B">
      <w:r w:rsidRPr="00485ED6">
        <w:rPr>
          <w:b/>
          <w:sz w:val="20"/>
          <w:szCs w:val="20"/>
        </w:rPr>
        <w:t>Information complete - proceed</w:t>
      </w:r>
    </w:p>
    <w:p w14:paraId="1482B550" w14:textId="5379BAC8" w:rsidR="005A779B" w:rsidRDefault="005A779B">
      <w:r>
        <w:br w:type="page"/>
      </w:r>
    </w:p>
    <w:p w14:paraId="7F1643FC" w14:textId="77777777" w:rsidR="005A779B" w:rsidRDefault="005A779B"/>
    <w:tbl>
      <w:tblPr>
        <w:tblStyle w:val="TableGrid"/>
        <w:tblW w:w="0" w:type="auto"/>
        <w:tblLayout w:type="fixed"/>
        <w:tblLook w:val="0020" w:firstRow="1" w:lastRow="0" w:firstColumn="0" w:lastColumn="0" w:noHBand="0" w:noVBand="0"/>
      </w:tblPr>
      <w:tblGrid>
        <w:gridCol w:w="9830"/>
      </w:tblGrid>
      <w:tr w:rsidR="00DB285E" w:rsidRPr="00485ED6" w14:paraId="3C84605D" w14:textId="77777777" w:rsidTr="00E03AD9">
        <w:trPr>
          <w:trHeight w:val="390"/>
        </w:trPr>
        <w:tc>
          <w:tcPr>
            <w:tcW w:w="9830" w:type="dxa"/>
          </w:tcPr>
          <w:p w14:paraId="05EBA778" w14:textId="46E9DAFB" w:rsidR="00DB285E" w:rsidRPr="00485ED6" w:rsidRDefault="00DB285E" w:rsidP="00DB285E">
            <w:pPr>
              <w:rPr>
                <w:b/>
              </w:rPr>
            </w:pPr>
            <w:r w:rsidRPr="00485ED6">
              <w:rPr>
                <w:b/>
              </w:rPr>
              <w:t>Indicator production and management</w:t>
            </w:r>
          </w:p>
        </w:tc>
      </w:tr>
      <w:tr w:rsidR="00DB285E" w:rsidRPr="00485ED6" w14:paraId="4CC74DD2" w14:textId="77777777" w:rsidTr="00E03AD9">
        <w:trPr>
          <w:trHeight w:val="390"/>
        </w:trPr>
        <w:tc>
          <w:tcPr>
            <w:tcW w:w="9830" w:type="dxa"/>
          </w:tcPr>
          <w:p w14:paraId="3D71AB59" w14:textId="77777777" w:rsidR="00DB285E" w:rsidRPr="00485ED6" w:rsidRDefault="00DB285E" w:rsidP="00DB285E">
            <w:r w:rsidRPr="00485ED6">
              <w:t>Commissioner of indicator (this may be the same as the stakeholder)</w:t>
            </w:r>
          </w:p>
        </w:tc>
      </w:tr>
      <w:tr w:rsidR="00DB285E" w:rsidRPr="00485ED6" w14:paraId="70A5C063" w14:textId="77777777" w:rsidTr="00E03AD9">
        <w:trPr>
          <w:trHeight w:val="390"/>
        </w:trPr>
        <w:tc>
          <w:tcPr>
            <w:tcW w:w="9830" w:type="dxa"/>
          </w:tcPr>
          <w:p w14:paraId="15015EFD" w14:textId="77777777" w:rsidR="00DB285E" w:rsidRPr="00485ED6" w:rsidRDefault="00DB285E" w:rsidP="00DB285E"/>
        </w:tc>
      </w:tr>
      <w:tr w:rsidR="00DB285E" w:rsidRPr="00485ED6" w14:paraId="24178121" w14:textId="77777777" w:rsidTr="00E03AD9">
        <w:trPr>
          <w:trHeight w:val="390"/>
        </w:trPr>
        <w:tc>
          <w:tcPr>
            <w:tcW w:w="9830" w:type="dxa"/>
          </w:tcPr>
          <w:p w14:paraId="21D283D0" w14:textId="77777777" w:rsidR="00DB285E" w:rsidRPr="00485ED6" w:rsidRDefault="00DB285E" w:rsidP="00DB285E">
            <w:r w:rsidRPr="00485ED6">
              <w:t>Producer of indicator (this may be the same as the proposer)</w:t>
            </w:r>
          </w:p>
        </w:tc>
      </w:tr>
      <w:tr w:rsidR="00DB285E" w:rsidRPr="00485ED6" w14:paraId="0290D48C" w14:textId="77777777" w:rsidTr="00E03AD9">
        <w:trPr>
          <w:trHeight w:val="390"/>
        </w:trPr>
        <w:tc>
          <w:tcPr>
            <w:tcW w:w="9830" w:type="dxa"/>
          </w:tcPr>
          <w:p w14:paraId="34C19C2A" w14:textId="77777777" w:rsidR="00DB285E" w:rsidRPr="00485ED6" w:rsidRDefault="00DB285E" w:rsidP="00DB285E">
            <w:pPr>
              <w:rPr>
                <w:b/>
              </w:rPr>
            </w:pPr>
          </w:p>
        </w:tc>
      </w:tr>
      <w:tr w:rsidR="00DB285E" w:rsidRPr="00485ED6" w14:paraId="1336357B" w14:textId="77777777" w:rsidTr="00E03AD9">
        <w:trPr>
          <w:trHeight w:val="390"/>
        </w:trPr>
        <w:tc>
          <w:tcPr>
            <w:tcW w:w="9830" w:type="dxa"/>
          </w:tcPr>
          <w:p w14:paraId="0936B7CF" w14:textId="77777777" w:rsidR="00DB285E" w:rsidRPr="00485ED6" w:rsidRDefault="00DB285E" w:rsidP="00DB285E">
            <w:r w:rsidRPr="00485ED6">
              <w:t>Expected ‘improvement actions’ as a result of this indicator</w:t>
            </w:r>
          </w:p>
        </w:tc>
      </w:tr>
      <w:tr w:rsidR="00DB285E" w:rsidRPr="00485ED6" w14:paraId="42027607" w14:textId="77777777" w:rsidTr="00E03AD9">
        <w:trPr>
          <w:trHeight w:val="390"/>
        </w:trPr>
        <w:tc>
          <w:tcPr>
            <w:tcW w:w="9830" w:type="dxa"/>
          </w:tcPr>
          <w:p w14:paraId="21AE5969" w14:textId="77777777" w:rsidR="00DB285E" w:rsidRPr="00485ED6" w:rsidRDefault="00DB285E" w:rsidP="00DB285E">
            <w:pPr>
              <w:rPr>
                <w:sz w:val="16"/>
                <w:szCs w:val="16"/>
              </w:rPr>
            </w:pPr>
            <w:r w:rsidRPr="00485ED6">
              <w:rPr>
                <w:sz w:val="16"/>
                <w:szCs w:val="16"/>
              </w:rPr>
              <w:t xml:space="preserve">State where responsibility will lie, and what actions will be expected as the result of a 'poor' rating of this indicator.  </w:t>
            </w:r>
          </w:p>
          <w:p w14:paraId="38A8E268" w14:textId="77777777" w:rsidR="00DB285E" w:rsidRPr="00485ED6" w:rsidRDefault="00DB285E" w:rsidP="00DB285E"/>
        </w:tc>
      </w:tr>
      <w:tr w:rsidR="00DB285E" w:rsidRPr="00485ED6" w14:paraId="283401D0" w14:textId="77777777" w:rsidTr="00E03AD9">
        <w:trPr>
          <w:trHeight w:val="390"/>
        </w:trPr>
        <w:tc>
          <w:tcPr>
            <w:tcW w:w="9830" w:type="dxa"/>
          </w:tcPr>
          <w:p w14:paraId="2D1F635F" w14:textId="3F44C510" w:rsidR="00DB285E" w:rsidRPr="00485ED6" w:rsidRDefault="00DB285E" w:rsidP="00DB285E">
            <w:pPr>
              <w:jc w:val="center"/>
            </w:pPr>
            <w:r w:rsidRPr="00485ED6">
              <w:t>Have costs of collection, construction, dissemination and presentation been fully identified?  NHS Outcomes Framework impact assessment</w:t>
            </w:r>
          </w:p>
        </w:tc>
      </w:tr>
      <w:tr w:rsidR="00DB285E" w:rsidRPr="00485ED6" w14:paraId="3658C760" w14:textId="77777777" w:rsidTr="00E03AD9">
        <w:trPr>
          <w:trHeight w:val="390"/>
        </w:trPr>
        <w:tc>
          <w:tcPr>
            <w:tcW w:w="9830" w:type="dxa"/>
          </w:tcPr>
          <w:p w14:paraId="6E365B48" w14:textId="77777777" w:rsidR="00DB285E" w:rsidRPr="00485ED6" w:rsidRDefault="00DB285E" w:rsidP="00DB285E">
            <w:r w:rsidRPr="00485ED6">
              <w:t xml:space="preserve">Funding status </w:t>
            </w:r>
          </w:p>
        </w:tc>
      </w:tr>
      <w:tr w:rsidR="00DB285E" w:rsidRPr="00485ED6" w14:paraId="04542E74" w14:textId="77777777" w:rsidTr="00E03AD9">
        <w:trPr>
          <w:trHeight w:val="390"/>
        </w:trPr>
        <w:tc>
          <w:tcPr>
            <w:tcW w:w="9830" w:type="dxa"/>
          </w:tcPr>
          <w:p w14:paraId="06E58F36" w14:textId="032C56A0" w:rsidR="00DB285E" w:rsidRPr="00485ED6" w:rsidRDefault="00DB285E" w:rsidP="00DB285E">
            <w:r w:rsidRPr="00485ED6">
              <w:t>Secured / being s</w:t>
            </w:r>
            <w:r>
              <w:t>ou</w:t>
            </w:r>
            <w:r w:rsidRPr="00485ED6">
              <w:t>ght / not identified</w:t>
            </w:r>
          </w:p>
          <w:p w14:paraId="2FB3BC39" w14:textId="77777777" w:rsidR="00DB285E" w:rsidRPr="00485ED6" w:rsidRDefault="00DB285E" w:rsidP="00DB285E">
            <w:pPr>
              <w:rPr>
                <w:sz w:val="16"/>
                <w:szCs w:val="16"/>
              </w:rPr>
            </w:pPr>
            <w:r w:rsidRPr="00485ED6">
              <w:rPr>
                <w:sz w:val="16"/>
                <w:szCs w:val="16"/>
              </w:rPr>
              <w:t>Please add comments</w:t>
            </w:r>
          </w:p>
          <w:p w14:paraId="1D4893A0" w14:textId="77777777" w:rsidR="00DB285E" w:rsidRPr="00485ED6" w:rsidRDefault="00DB285E" w:rsidP="00DB285E"/>
        </w:tc>
      </w:tr>
      <w:tr w:rsidR="00DB285E" w:rsidRPr="00485ED6" w14:paraId="4CD92011" w14:textId="77777777" w:rsidTr="00E03AD9">
        <w:trPr>
          <w:trHeight w:val="457"/>
        </w:trPr>
        <w:tc>
          <w:tcPr>
            <w:tcW w:w="9830" w:type="dxa"/>
          </w:tcPr>
          <w:p w14:paraId="2C86DD00" w14:textId="77777777" w:rsidR="00DB285E" w:rsidRPr="00485ED6" w:rsidRDefault="00DB285E" w:rsidP="00DB285E">
            <w:r w:rsidRPr="00485ED6">
              <w:t>What timescales do you envisage for developing / producing this indicator</w:t>
            </w:r>
          </w:p>
        </w:tc>
      </w:tr>
      <w:tr w:rsidR="00DB285E" w:rsidRPr="00485ED6" w14:paraId="4AD04A4C" w14:textId="77777777" w:rsidTr="00E03AD9">
        <w:trPr>
          <w:trHeight w:val="345"/>
        </w:trPr>
        <w:tc>
          <w:tcPr>
            <w:tcW w:w="9830" w:type="dxa"/>
          </w:tcPr>
          <w:p w14:paraId="40B00890" w14:textId="77777777" w:rsidR="00DB285E" w:rsidRPr="00485ED6" w:rsidRDefault="00DB285E" w:rsidP="00DB285E">
            <w:pPr>
              <w:rPr>
                <w:sz w:val="16"/>
                <w:szCs w:val="16"/>
              </w:rPr>
            </w:pPr>
            <w:r w:rsidRPr="00485ED6">
              <w:rPr>
                <w:sz w:val="16"/>
                <w:szCs w:val="16"/>
              </w:rPr>
              <w:t>Give specific dates for key stages or publication or development of indicator</w:t>
            </w:r>
          </w:p>
          <w:p w14:paraId="3C4554BA" w14:textId="77777777" w:rsidR="00DB285E" w:rsidRPr="00485ED6" w:rsidRDefault="00DB285E" w:rsidP="00DB285E">
            <w:r w:rsidRPr="00485ED6">
              <w:t>To be ready/ published April 2011</w:t>
            </w:r>
          </w:p>
        </w:tc>
      </w:tr>
      <w:tr w:rsidR="00DB285E" w:rsidRPr="00485ED6" w14:paraId="46516E82" w14:textId="77777777" w:rsidTr="00E03AD9">
        <w:trPr>
          <w:trHeight w:val="345"/>
        </w:trPr>
        <w:tc>
          <w:tcPr>
            <w:tcW w:w="9830" w:type="dxa"/>
          </w:tcPr>
          <w:p w14:paraId="33BF2093" w14:textId="77777777" w:rsidR="00DB285E" w:rsidRPr="00485ED6" w:rsidRDefault="00DB285E" w:rsidP="00DB285E">
            <w:r w:rsidRPr="00485ED6">
              <w:t>Risks, assumptions and impact of producing indicator</w:t>
            </w:r>
          </w:p>
        </w:tc>
      </w:tr>
      <w:tr w:rsidR="00DB285E" w:rsidRPr="00485ED6" w14:paraId="2ABC63E4" w14:textId="77777777" w:rsidTr="00E03AD9">
        <w:trPr>
          <w:trHeight w:val="345"/>
        </w:trPr>
        <w:tc>
          <w:tcPr>
            <w:tcW w:w="9830" w:type="dxa"/>
          </w:tcPr>
          <w:p w14:paraId="3D095987" w14:textId="77777777" w:rsidR="00DB285E" w:rsidRPr="00485ED6" w:rsidRDefault="00DB285E" w:rsidP="00DB285E"/>
        </w:tc>
      </w:tr>
      <w:tr w:rsidR="00DB285E" w:rsidRPr="00485ED6" w14:paraId="718C7210" w14:textId="77777777" w:rsidTr="00E03AD9">
        <w:trPr>
          <w:trHeight w:val="345"/>
        </w:trPr>
        <w:tc>
          <w:tcPr>
            <w:tcW w:w="9830" w:type="dxa"/>
          </w:tcPr>
          <w:p w14:paraId="1850DF1F" w14:textId="77777777" w:rsidR="00DB285E" w:rsidRPr="00485ED6" w:rsidRDefault="00DB285E" w:rsidP="00DB285E">
            <w:r w:rsidRPr="00485ED6">
              <w:t>Risk of perverse incentive and gaming by healthcare providers</w:t>
            </w:r>
          </w:p>
        </w:tc>
      </w:tr>
      <w:tr w:rsidR="00DB285E" w:rsidRPr="00485ED6" w14:paraId="05330AB8" w14:textId="77777777" w:rsidTr="00E03AD9">
        <w:trPr>
          <w:trHeight w:val="345"/>
        </w:trPr>
        <w:tc>
          <w:tcPr>
            <w:tcW w:w="9830" w:type="dxa"/>
          </w:tcPr>
          <w:p w14:paraId="3400CCCB" w14:textId="77777777" w:rsidR="00DB285E" w:rsidRPr="00485ED6" w:rsidRDefault="00DB285E" w:rsidP="00DB285E">
            <w:pPr>
              <w:rPr>
                <w:sz w:val="16"/>
                <w:szCs w:val="16"/>
              </w:rPr>
            </w:pPr>
            <w:r w:rsidRPr="00485ED6">
              <w:rPr>
                <w:sz w:val="16"/>
                <w:szCs w:val="16"/>
              </w:rPr>
              <w:t xml:space="preserve">To what extent can organisations influence the value of the indicator in ways which may not benefit patients?  </w:t>
            </w:r>
          </w:p>
          <w:p w14:paraId="1DBD60B0" w14:textId="77777777" w:rsidR="00DB285E" w:rsidRPr="00485ED6" w:rsidRDefault="00DB285E" w:rsidP="00DB285E"/>
        </w:tc>
      </w:tr>
      <w:tr w:rsidR="00DB285E" w:rsidRPr="00485ED6" w14:paraId="2E2B9119" w14:textId="77777777" w:rsidTr="00E03AD9">
        <w:trPr>
          <w:trHeight w:val="345"/>
        </w:trPr>
        <w:tc>
          <w:tcPr>
            <w:tcW w:w="9830" w:type="dxa"/>
          </w:tcPr>
          <w:p w14:paraId="122EF2F6" w14:textId="77777777" w:rsidR="00DB285E" w:rsidRPr="00485ED6" w:rsidRDefault="00DB285E" w:rsidP="00DB285E">
            <w:r w:rsidRPr="00485ED6">
              <w:t xml:space="preserve">Risks, assumptions and impact of </w:t>
            </w:r>
            <w:r w:rsidRPr="00485ED6">
              <w:rPr>
                <w:u w:val="single"/>
              </w:rPr>
              <w:t>not</w:t>
            </w:r>
            <w:r w:rsidRPr="00485ED6">
              <w:t xml:space="preserve"> producing indicator</w:t>
            </w:r>
          </w:p>
        </w:tc>
      </w:tr>
      <w:tr w:rsidR="00DB285E" w:rsidRPr="00485ED6" w14:paraId="7E8251FE" w14:textId="77777777" w:rsidTr="00E03AD9">
        <w:trPr>
          <w:trHeight w:val="345"/>
        </w:trPr>
        <w:tc>
          <w:tcPr>
            <w:tcW w:w="9830" w:type="dxa"/>
          </w:tcPr>
          <w:p w14:paraId="586A3BBB" w14:textId="77777777" w:rsidR="00DB285E" w:rsidRPr="00485ED6" w:rsidRDefault="00DB285E" w:rsidP="00DB285E">
            <w:r w:rsidRPr="00485ED6">
              <w:t xml:space="preserve">Not an option as public commitment made to doing so.  Part of the NHS Outcome Framework 2011-12 indicator set </w:t>
            </w:r>
          </w:p>
        </w:tc>
      </w:tr>
    </w:tbl>
    <w:p w14:paraId="5D909418" w14:textId="77777777" w:rsidR="00DB285E" w:rsidRDefault="00DB285E"/>
    <w:p w14:paraId="5127BA3D" w14:textId="77777777" w:rsidR="00DB285E" w:rsidRPr="00485ED6" w:rsidRDefault="00DB285E" w:rsidP="00DB285E">
      <w:r w:rsidRPr="00DB285E">
        <w:rPr>
          <w:b/>
          <w:bCs/>
        </w:rPr>
        <w:t>Indicator Production Review</w:t>
      </w:r>
      <w:r w:rsidRPr="00485ED6">
        <w:t xml:space="preserve"> </w:t>
      </w:r>
      <w:r w:rsidRPr="00485ED6">
        <w:rPr>
          <w:b/>
        </w:rPr>
        <w:t>(IC use only)</w:t>
      </w:r>
    </w:p>
    <w:p w14:paraId="2D842C7A" w14:textId="77777777" w:rsidR="00DB285E" w:rsidRDefault="00DB285E"/>
    <w:tbl>
      <w:tblPr>
        <w:tblStyle w:val="TableGrid"/>
        <w:tblW w:w="0" w:type="auto"/>
        <w:tblLayout w:type="fixed"/>
        <w:tblLook w:val="04A0" w:firstRow="1" w:lastRow="0" w:firstColumn="1" w:lastColumn="0" w:noHBand="0" w:noVBand="1"/>
      </w:tblPr>
      <w:tblGrid>
        <w:gridCol w:w="4783"/>
        <w:gridCol w:w="1028"/>
        <w:gridCol w:w="3305"/>
        <w:gridCol w:w="714"/>
      </w:tblGrid>
      <w:tr w:rsidR="00DB285E" w:rsidRPr="00485ED6" w14:paraId="6FBE015A" w14:textId="77777777" w:rsidTr="00E03AD9">
        <w:trPr>
          <w:trHeight w:val="345"/>
        </w:trPr>
        <w:tc>
          <w:tcPr>
            <w:tcW w:w="4783" w:type="dxa"/>
          </w:tcPr>
          <w:p w14:paraId="47A16B44" w14:textId="77777777" w:rsidR="00DB285E" w:rsidRPr="00485ED6" w:rsidRDefault="00DB285E" w:rsidP="00DB285E">
            <w:pPr>
              <w:rPr>
                <w:sz w:val="20"/>
                <w:szCs w:val="20"/>
              </w:rPr>
            </w:pPr>
            <w:r w:rsidRPr="00485ED6">
              <w:rPr>
                <w:sz w:val="20"/>
                <w:szCs w:val="20"/>
              </w:rPr>
              <w:t>Action-ability</w:t>
            </w:r>
          </w:p>
          <w:p w14:paraId="169CDADC" w14:textId="77777777" w:rsidR="00DB285E" w:rsidRPr="00485ED6" w:rsidRDefault="00DB285E" w:rsidP="00DB285E">
            <w:pPr>
              <w:rPr>
                <w:sz w:val="20"/>
                <w:szCs w:val="20"/>
              </w:rPr>
            </w:pPr>
            <w:r w:rsidRPr="00485ED6">
              <w:rPr>
                <w:sz w:val="20"/>
                <w:szCs w:val="20"/>
              </w:rPr>
              <w:t>Funding capacity identified</w:t>
            </w:r>
          </w:p>
          <w:p w14:paraId="1A84E485" w14:textId="77777777" w:rsidR="00DB285E" w:rsidRPr="00485ED6" w:rsidRDefault="00DB285E" w:rsidP="00DB285E">
            <w:pPr>
              <w:rPr>
                <w:sz w:val="20"/>
                <w:szCs w:val="20"/>
              </w:rPr>
            </w:pPr>
            <w:r w:rsidRPr="00485ED6">
              <w:rPr>
                <w:sz w:val="20"/>
                <w:szCs w:val="20"/>
              </w:rPr>
              <w:t>Risks sufficiently explored</w:t>
            </w:r>
          </w:p>
          <w:p w14:paraId="5FE0B496" w14:textId="773F7770" w:rsidR="00DB285E" w:rsidRPr="00485ED6" w:rsidRDefault="00DB285E" w:rsidP="00DB285E">
            <w:pPr>
              <w:rPr>
                <w:sz w:val="20"/>
                <w:szCs w:val="20"/>
              </w:rPr>
            </w:pPr>
            <w:r w:rsidRPr="00485ED6">
              <w:rPr>
                <w:b/>
                <w:sz w:val="20"/>
                <w:szCs w:val="20"/>
              </w:rPr>
              <w:t>Information complete - proceed</w:t>
            </w:r>
            <w:r w:rsidRPr="00485ED6">
              <w:rPr>
                <w:sz w:val="20"/>
                <w:szCs w:val="20"/>
              </w:rPr>
              <w:t xml:space="preserve"> </w:t>
            </w:r>
          </w:p>
        </w:tc>
        <w:tc>
          <w:tcPr>
            <w:tcW w:w="1028" w:type="dxa"/>
          </w:tcPr>
          <w:p w14:paraId="58D5FB92" w14:textId="77777777" w:rsidR="00DB285E" w:rsidRPr="00485ED6" w:rsidRDefault="00DB285E" w:rsidP="00DB285E">
            <w:pPr>
              <w:jc w:val="center"/>
              <w:rPr>
                <w:sz w:val="20"/>
                <w:szCs w:val="20"/>
              </w:rPr>
            </w:pPr>
            <w:r w:rsidRPr="00485ED6">
              <w:rPr>
                <w:sz w:val="20"/>
                <w:szCs w:val="20"/>
              </w:rPr>
              <w:fldChar w:fldCharType="begin">
                <w:ffData>
                  <w:name w:val=""/>
                  <w:enabled/>
                  <w:calcOnExit w:val="0"/>
                  <w:statusText w:type="text" w:val="Does indicator have clear purpose and process for driving and influencing postive change?  "/>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p>
          <w:p w14:paraId="242101DB" w14:textId="77777777" w:rsidR="00DB285E" w:rsidRPr="00485ED6" w:rsidRDefault="00DB285E" w:rsidP="00DB285E">
            <w:pPr>
              <w:jc w:val="center"/>
              <w:rPr>
                <w:sz w:val="20"/>
                <w:szCs w:val="20"/>
              </w:rPr>
            </w:pPr>
            <w:r w:rsidRPr="00485ED6">
              <w:rPr>
                <w:sz w:val="20"/>
                <w:szCs w:val="20"/>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p>
          <w:p w14:paraId="21510507" w14:textId="77777777" w:rsidR="00DB285E" w:rsidRPr="00485ED6" w:rsidRDefault="00DB285E" w:rsidP="00DB285E">
            <w:pPr>
              <w:jc w:val="center"/>
              <w:rPr>
                <w:sz w:val="20"/>
                <w:szCs w:val="20"/>
              </w:rPr>
            </w:pPr>
            <w:r w:rsidRPr="00485ED6">
              <w:rPr>
                <w:sz w:val="20"/>
                <w:szCs w:val="20"/>
              </w:rPr>
              <w:fldChar w:fldCharType="begin">
                <w:ffData>
                  <w:name w:val=""/>
                  <w:enabled/>
                  <w:calcOnExit w:val="0"/>
                  <w:helpText w:type="text" w:val="This means we have enough information to proceed, not that the indicator will be rated as high quality"/>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p>
          <w:p w14:paraId="4A7CC5AB" w14:textId="3C3AA88C" w:rsidR="00DB285E" w:rsidRPr="00485ED6" w:rsidRDefault="00DB285E" w:rsidP="00DB285E">
            <w:pPr>
              <w:jc w:val="center"/>
              <w:rPr>
                <w:sz w:val="20"/>
                <w:szCs w:val="20"/>
              </w:rPr>
            </w:pPr>
            <w:r w:rsidRPr="00485ED6">
              <w:rPr>
                <w:sz w:val="20"/>
                <w:szCs w:val="20"/>
              </w:rPr>
              <w:fldChar w:fldCharType="begin">
                <w:ffData>
                  <w:name w:val="Check119"/>
                  <w:enabled/>
                  <w:calcOnExit w:val="0"/>
                  <w:checkBox>
                    <w:sizeAuto/>
                    <w:default w:val="0"/>
                  </w:checkBox>
                </w:ffData>
              </w:fldChar>
            </w:r>
            <w:bookmarkStart w:id="62" w:name="Check119"/>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62"/>
          </w:p>
        </w:tc>
        <w:tc>
          <w:tcPr>
            <w:tcW w:w="3305" w:type="dxa"/>
          </w:tcPr>
          <w:p w14:paraId="3160D5E2" w14:textId="77777777" w:rsidR="00DB285E" w:rsidRPr="00485ED6" w:rsidRDefault="00DB285E" w:rsidP="00DB285E">
            <w:pPr>
              <w:rPr>
                <w:i/>
                <w:sz w:val="20"/>
                <w:szCs w:val="20"/>
              </w:rPr>
            </w:pPr>
            <w:r w:rsidRPr="00485ED6">
              <w:rPr>
                <w:i/>
                <w:sz w:val="20"/>
                <w:szCs w:val="20"/>
              </w:rPr>
              <w:t>Requires revision for following reasons:</w:t>
            </w:r>
          </w:p>
          <w:p w14:paraId="6AF9FC77" w14:textId="77777777" w:rsidR="00DB285E" w:rsidRPr="00485ED6" w:rsidRDefault="00DB285E" w:rsidP="00DB285E">
            <w:pPr>
              <w:rPr>
                <w:sz w:val="20"/>
                <w:szCs w:val="20"/>
              </w:rPr>
            </w:pPr>
            <w:r w:rsidRPr="00485ED6">
              <w:rPr>
                <w:sz w:val="20"/>
                <w:szCs w:val="20"/>
              </w:rPr>
              <w:t>Commissioner information not complete</w:t>
            </w:r>
          </w:p>
          <w:p w14:paraId="1357585F" w14:textId="77777777" w:rsidR="00DB285E" w:rsidRPr="00485ED6" w:rsidRDefault="00DB285E" w:rsidP="00DB285E">
            <w:pPr>
              <w:rPr>
                <w:sz w:val="20"/>
                <w:szCs w:val="20"/>
              </w:rPr>
            </w:pPr>
            <w:r w:rsidRPr="00485ED6">
              <w:rPr>
                <w:sz w:val="20"/>
                <w:szCs w:val="20"/>
              </w:rPr>
              <w:t>Producer information not complete</w:t>
            </w:r>
          </w:p>
          <w:p w14:paraId="18E5E0CC" w14:textId="77777777" w:rsidR="00DB285E" w:rsidRPr="00485ED6" w:rsidRDefault="00DB285E" w:rsidP="00DB285E">
            <w:pPr>
              <w:rPr>
                <w:sz w:val="20"/>
                <w:szCs w:val="20"/>
              </w:rPr>
            </w:pPr>
            <w:r w:rsidRPr="00485ED6">
              <w:rPr>
                <w:sz w:val="20"/>
                <w:szCs w:val="20"/>
              </w:rPr>
              <w:t>Improvement actions not complete</w:t>
            </w:r>
          </w:p>
          <w:p w14:paraId="45EDB2FF" w14:textId="77777777" w:rsidR="00DB285E" w:rsidRPr="00485ED6" w:rsidRDefault="00DB285E" w:rsidP="00DB285E">
            <w:pPr>
              <w:rPr>
                <w:sz w:val="20"/>
                <w:szCs w:val="20"/>
              </w:rPr>
            </w:pPr>
            <w:r w:rsidRPr="00485ED6">
              <w:rPr>
                <w:sz w:val="20"/>
                <w:szCs w:val="20"/>
              </w:rPr>
              <w:t>Funding status not complete</w:t>
            </w:r>
          </w:p>
          <w:p w14:paraId="4AF8C604" w14:textId="77777777" w:rsidR="00DB285E" w:rsidRPr="00485ED6" w:rsidRDefault="00DB285E" w:rsidP="00DB285E">
            <w:pPr>
              <w:rPr>
                <w:sz w:val="20"/>
                <w:szCs w:val="20"/>
              </w:rPr>
            </w:pPr>
            <w:r w:rsidRPr="00485ED6">
              <w:rPr>
                <w:sz w:val="20"/>
                <w:szCs w:val="20"/>
              </w:rPr>
              <w:t>Timescale info not complete</w:t>
            </w:r>
          </w:p>
          <w:p w14:paraId="2FB80F88" w14:textId="44D15813" w:rsidR="00DB285E" w:rsidRPr="00485ED6" w:rsidRDefault="00DB285E" w:rsidP="00DB285E">
            <w:pPr>
              <w:rPr>
                <w:i/>
                <w:sz w:val="20"/>
                <w:szCs w:val="20"/>
              </w:rPr>
            </w:pPr>
            <w:r w:rsidRPr="00485ED6">
              <w:rPr>
                <w:sz w:val="20"/>
                <w:szCs w:val="20"/>
              </w:rPr>
              <w:t>Risk assessment not complete</w:t>
            </w:r>
          </w:p>
        </w:tc>
        <w:tc>
          <w:tcPr>
            <w:tcW w:w="714" w:type="dxa"/>
          </w:tcPr>
          <w:p w14:paraId="2E2CBBD4" w14:textId="77777777" w:rsidR="00DB285E" w:rsidRPr="00485ED6" w:rsidRDefault="00DB285E" w:rsidP="00DB285E">
            <w:pPr>
              <w:jc w:val="center"/>
              <w:rPr>
                <w:sz w:val="20"/>
                <w:szCs w:val="20"/>
              </w:rPr>
            </w:pPr>
          </w:p>
          <w:p w14:paraId="052E6F37" w14:textId="77777777" w:rsidR="00DB285E" w:rsidRPr="00485ED6" w:rsidRDefault="00DB285E" w:rsidP="00DB285E">
            <w:pPr>
              <w:jc w:val="center"/>
              <w:rPr>
                <w:sz w:val="20"/>
                <w:szCs w:val="20"/>
              </w:rPr>
            </w:pPr>
          </w:p>
          <w:p w14:paraId="616D311F" w14:textId="77777777" w:rsidR="00DB285E" w:rsidRPr="00485ED6" w:rsidRDefault="00DB285E" w:rsidP="00DB285E">
            <w:pPr>
              <w:jc w:val="center"/>
              <w:rPr>
                <w:sz w:val="20"/>
                <w:szCs w:val="20"/>
              </w:rPr>
            </w:pPr>
          </w:p>
          <w:p w14:paraId="35026F8B" w14:textId="77777777" w:rsidR="00DB285E" w:rsidRPr="00485ED6" w:rsidRDefault="00DB285E" w:rsidP="00DB285E">
            <w:pPr>
              <w:jc w:val="center"/>
              <w:rPr>
                <w:sz w:val="20"/>
                <w:szCs w:val="20"/>
              </w:rPr>
            </w:pPr>
            <w:r w:rsidRPr="00485ED6">
              <w:rPr>
                <w:sz w:val="20"/>
                <w:szCs w:val="20"/>
              </w:rPr>
              <w:fldChar w:fldCharType="begin">
                <w:ffData>
                  <w:name w:val="Check28"/>
                  <w:enabled/>
                  <w:calcOnExit w:val="0"/>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p>
          <w:p w14:paraId="397DF5F2" w14:textId="77777777" w:rsidR="00DB285E" w:rsidRPr="00485ED6" w:rsidRDefault="00DB285E" w:rsidP="00DB285E">
            <w:pPr>
              <w:jc w:val="center"/>
              <w:rPr>
                <w:sz w:val="20"/>
                <w:szCs w:val="20"/>
              </w:rPr>
            </w:pPr>
            <w:r w:rsidRPr="00485ED6">
              <w:rPr>
                <w:sz w:val="20"/>
                <w:szCs w:val="20"/>
              </w:rPr>
              <w:fldChar w:fldCharType="begin">
                <w:ffData>
                  <w:name w:val="Check29"/>
                  <w:enabled/>
                  <w:calcOnExit w:val="0"/>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p>
          <w:p w14:paraId="30512593" w14:textId="77777777" w:rsidR="00DB285E" w:rsidRPr="00485ED6" w:rsidRDefault="00DB285E" w:rsidP="00DB285E">
            <w:pPr>
              <w:jc w:val="center"/>
              <w:rPr>
                <w:sz w:val="20"/>
                <w:szCs w:val="20"/>
              </w:rPr>
            </w:pPr>
            <w:r w:rsidRPr="00485ED6">
              <w:rPr>
                <w:sz w:val="20"/>
                <w:szCs w:val="20"/>
              </w:rPr>
              <w:fldChar w:fldCharType="begin">
                <w:ffData>
                  <w:name w:val="Check110"/>
                  <w:enabled/>
                  <w:calcOnExit w:val="0"/>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p>
          <w:p w14:paraId="341B3804" w14:textId="77777777" w:rsidR="00DB285E" w:rsidRPr="00485ED6" w:rsidRDefault="00DB285E" w:rsidP="00DB285E">
            <w:pPr>
              <w:jc w:val="center"/>
              <w:rPr>
                <w:sz w:val="20"/>
                <w:szCs w:val="20"/>
              </w:rPr>
            </w:pPr>
            <w:r w:rsidRPr="00485ED6">
              <w:rPr>
                <w:sz w:val="20"/>
                <w:szCs w:val="20"/>
              </w:rPr>
              <w:fldChar w:fldCharType="begin">
                <w:ffData>
                  <w:name w:val="Check111"/>
                  <w:enabled/>
                  <w:calcOnExit w:val="0"/>
                  <w:checkBox>
                    <w:sizeAuto/>
                    <w:default w:val="0"/>
                  </w:checkBox>
                </w:ffData>
              </w:fldChar>
            </w:r>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p>
          <w:p w14:paraId="1340D376" w14:textId="77777777" w:rsidR="00DB285E" w:rsidRPr="00485ED6" w:rsidRDefault="00DB285E" w:rsidP="00DB285E">
            <w:pPr>
              <w:jc w:val="center"/>
              <w:rPr>
                <w:sz w:val="20"/>
                <w:szCs w:val="20"/>
              </w:rPr>
            </w:pPr>
            <w:r w:rsidRPr="00485ED6">
              <w:rPr>
                <w:sz w:val="20"/>
                <w:szCs w:val="20"/>
              </w:rPr>
              <w:fldChar w:fldCharType="begin">
                <w:ffData>
                  <w:name w:val="Check116"/>
                  <w:enabled/>
                  <w:calcOnExit w:val="0"/>
                  <w:checkBox>
                    <w:sizeAuto/>
                    <w:default w:val="0"/>
                  </w:checkBox>
                </w:ffData>
              </w:fldChar>
            </w:r>
            <w:bookmarkStart w:id="63" w:name="Check116"/>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63"/>
          </w:p>
          <w:p w14:paraId="4338A926" w14:textId="38FD1FD2" w:rsidR="00DB285E" w:rsidRPr="00485ED6" w:rsidRDefault="00DB285E" w:rsidP="00DB285E">
            <w:pPr>
              <w:jc w:val="center"/>
              <w:rPr>
                <w:sz w:val="20"/>
                <w:szCs w:val="20"/>
              </w:rPr>
            </w:pPr>
            <w:r w:rsidRPr="00485ED6">
              <w:rPr>
                <w:sz w:val="20"/>
                <w:szCs w:val="20"/>
              </w:rPr>
              <w:fldChar w:fldCharType="begin">
                <w:ffData>
                  <w:name w:val="Check118"/>
                  <w:enabled/>
                  <w:calcOnExit w:val="0"/>
                  <w:checkBox>
                    <w:sizeAuto/>
                    <w:default w:val="0"/>
                  </w:checkBox>
                </w:ffData>
              </w:fldChar>
            </w:r>
            <w:bookmarkStart w:id="64" w:name="Check118"/>
            <w:r w:rsidRPr="00485ED6">
              <w:rPr>
                <w:sz w:val="20"/>
                <w:szCs w:val="20"/>
              </w:rPr>
              <w:instrText xml:space="preserve"> FORMCHECKBOX </w:instrText>
            </w:r>
            <w:r w:rsidR="00704996">
              <w:rPr>
                <w:sz w:val="20"/>
                <w:szCs w:val="20"/>
              </w:rPr>
            </w:r>
            <w:r w:rsidR="00704996">
              <w:rPr>
                <w:sz w:val="20"/>
                <w:szCs w:val="20"/>
              </w:rPr>
              <w:fldChar w:fldCharType="separate"/>
            </w:r>
            <w:r w:rsidRPr="00485ED6">
              <w:rPr>
                <w:sz w:val="20"/>
                <w:szCs w:val="20"/>
              </w:rPr>
              <w:fldChar w:fldCharType="end"/>
            </w:r>
            <w:bookmarkEnd w:id="64"/>
          </w:p>
        </w:tc>
      </w:tr>
    </w:tbl>
    <w:p w14:paraId="7BAC22C4" w14:textId="77777777" w:rsidR="00C209D9" w:rsidRPr="00485ED6" w:rsidRDefault="00C209D9" w:rsidP="00F323F9">
      <w:pPr>
        <w:jc w:val="right"/>
      </w:pPr>
    </w:p>
    <w:p w14:paraId="4C148512" w14:textId="246E68FC" w:rsidR="00C209D9" w:rsidRPr="00485ED6" w:rsidRDefault="00C209D9" w:rsidP="00CF0232">
      <w:pPr>
        <w:rPr>
          <w:b/>
          <w:sz w:val="24"/>
          <w:szCs w:val="24"/>
        </w:rPr>
      </w:pPr>
    </w:p>
    <w:p w14:paraId="1AFB68F2" w14:textId="77777777" w:rsidR="00CF0232" w:rsidRPr="00485ED6" w:rsidRDefault="00CF0232" w:rsidP="00F323F9">
      <w:pPr>
        <w:jc w:val="center"/>
        <w:rPr>
          <w:b/>
          <w:sz w:val="48"/>
          <w:szCs w:val="48"/>
        </w:rPr>
        <w:sectPr w:rsidR="00CF0232" w:rsidRPr="00485ED6" w:rsidSect="00F323F9">
          <w:pgSz w:w="11906" w:h="16838"/>
          <w:pgMar w:top="1440" w:right="851" w:bottom="1440" w:left="851" w:header="709" w:footer="709" w:gutter="0"/>
          <w:cols w:space="708"/>
          <w:docGrid w:linePitch="360"/>
        </w:sectPr>
      </w:pPr>
    </w:p>
    <w:p w14:paraId="4A41DC41" w14:textId="11B65584" w:rsidR="00C209D9" w:rsidRPr="00485ED6" w:rsidRDefault="00C209D9" w:rsidP="00F323F9">
      <w:pPr>
        <w:jc w:val="center"/>
        <w:rPr>
          <w:b/>
          <w:sz w:val="48"/>
          <w:szCs w:val="48"/>
        </w:rPr>
      </w:pPr>
      <w:r w:rsidRPr="00485ED6">
        <w:rPr>
          <w:b/>
          <w:sz w:val="48"/>
          <w:szCs w:val="48"/>
        </w:rPr>
        <w:lastRenderedPageBreak/>
        <w:t>Clinical Indicator Methodology Review Working Group</w:t>
      </w:r>
    </w:p>
    <w:p w14:paraId="5BAB85D9" w14:textId="77777777" w:rsidR="00C209D9" w:rsidRPr="00485ED6" w:rsidRDefault="00C209D9" w:rsidP="00F323F9">
      <w:pPr>
        <w:jc w:val="center"/>
        <w:rPr>
          <w:b/>
          <w:sz w:val="48"/>
          <w:szCs w:val="48"/>
        </w:rPr>
      </w:pPr>
    </w:p>
    <w:p w14:paraId="5E3AC6AC" w14:textId="77777777" w:rsidR="00C209D9" w:rsidRPr="00485ED6" w:rsidRDefault="00C209D9" w:rsidP="00F323F9">
      <w:pPr>
        <w:jc w:val="center"/>
        <w:rPr>
          <w:b/>
          <w:sz w:val="48"/>
          <w:szCs w:val="48"/>
        </w:rPr>
      </w:pPr>
      <w:r w:rsidRPr="00485ED6">
        <w:rPr>
          <w:b/>
          <w:sz w:val="48"/>
          <w:szCs w:val="48"/>
        </w:rPr>
        <w:t>Recommendations update for 12 April 2011</w:t>
      </w:r>
    </w:p>
    <w:p w14:paraId="0FE4A375" w14:textId="77777777" w:rsidR="00C209D9" w:rsidRPr="00485ED6" w:rsidRDefault="00C209D9" w:rsidP="00F323F9"/>
    <w:p w14:paraId="515F735B" w14:textId="77777777" w:rsidR="00C209D9" w:rsidRPr="00485ED6" w:rsidRDefault="00C209D9" w:rsidP="00F323F9"/>
    <w:tbl>
      <w:tblPr>
        <w:tblStyle w:val="TableGrid"/>
        <w:tblW w:w="5000" w:type="pct"/>
        <w:tblLook w:val="01E0" w:firstRow="1" w:lastRow="1" w:firstColumn="1" w:lastColumn="1" w:noHBand="0" w:noVBand="0"/>
      </w:tblPr>
      <w:tblGrid>
        <w:gridCol w:w="5821"/>
        <w:gridCol w:w="4373"/>
      </w:tblGrid>
      <w:tr w:rsidR="00F323F9" w:rsidRPr="00485ED6" w14:paraId="183D2385" w14:textId="77777777" w:rsidTr="00485ED6">
        <w:tc>
          <w:tcPr>
            <w:tcW w:w="2855" w:type="pct"/>
          </w:tcPr>
          <w:p w14:paraId="55D93835" w14:textId="77777777" w:rsidR="00C209D9" w:rsidRPr="00485ED6" w:rsidRDefault="00C209D9" w:rsidP="00F323F9">
            <w:pPr>
              <w:spacing w:before="120" w:after="120"/>
              <w:jc w:val="center"/>
              <w:rPr>
                <w:b/>
              </w:rPr>
            </w:pPr>
            <w:r w:rsidRPr="00485ED6">
              <w:rPr>
                <w:b/>
              </w:rPr>
              <w:t>Document Author:</w:t>
            </w:r>
          </w:p>
        </w:tc>
        <w:tc>
          <w:tcPr>
            <w:tcW w:w="2145" w:type="pct"/>
          </w:tcPr>
          <w:p w14:paraId="094E3468" w14:textId="77777777" w:rsidR="00C209D9" w:rsidRPr="00485ED6" w:rsidRDefault="00C209D9" w:rsidP="00F323F9">
            <w:pPr>
              <w:spacing w:before="120" w:after="120"/>
              <w:jc w:val="right"/>
              <w:rPr>
                <w:i/>
              </w:rPr>
            </w:pPr>
            <w:r w:rsidRPr="00485ED6">
              <w:rPr>
                <w:i/>
              </w:rPr>
              <w:t>A Whitmarsh</w:t>
            </w:r>
          </w:p>
        </w:tc>
      </w:tr>
      <w:tr w:rsidR="00F323F9" w:rsidRPr="00485ED6" w14:paraId="535FF39B" w14:textId="77777777" w:rsidTr="00485ED6">
        <w:tc>
          <w:tcPr>
            <w:tcW w:w="2855" w:type="pct"/>
          </w:tcPr>
          <w:p w14:paraId="7C885F75" w14:textId="77777777" w:rsidR="00C209D9" w:rsidRPr="00485ED6" w:rsidRDefault="00C209D9" w:rsidP="00F323F9">
            <w:pPr>
              <w:spacing w:before="120" w:after="120"/>
              <w:jc w:val="center"/>
              <w:rPr>
                <w:b/>
              </w:rPr>
            </w:pPr>
            <w:r w:rsidRPr="00485ED6">
              <w:rPr>
                <w:b/>
              </w:rPr>
              <w:t>Document Owner:</w:t>
            </w:r>
          </w:p>
        </w:tc>
        <w:tc>
          <w:tcPr>
            <w:tcW w:w="2145" w:type="pct"/>
          </w:tcPr>
          <w:p w14:paraId="16C309E9" w14:textId="77777777" w:rsidR="00C209D9" w:rsidRPr="00485ED6" w:rsidRDefault="00C209D9" w:rsidP="00F323F9">
            <w:pPr>
              <w:spacing w:before="120" w:after="120"/>
              <w:jc w:val="right"/>
              <w:rPr>
                <w:i/>
              </w:rPr>
            </w:pPr>
            <w:r w:rsidRPr="00485ED6">
              <w:rPr>
                <w:i/>
              </w:rPr>
              <w:t>A Whitmarsh</w:t>
            </w:r>
          </w:p>
        </w:tc>
      </w:tr>
      <w:tr w:rsidR="00F323F9" w:rsidRPr="00485ED6" w14:paraId="5C9ECFD0" w14:textId="77777777" w:rsidTr="00485ED6">
        <w:tc>
          <w:tcPr>
            <w:tcW w:w="2855" w:type="pct"/>
          </w:tcPr>
          <w:p w14:paraId="2311517C" w14:textId="77777777" w:rsidR="00C209D9" w:rsidRPr="00485ED6" w:rsidRDefault="00C209D9" w:rsidP="00F323F9">
            <w:pPr>
              <w:spacing w:before="120" w:after="120"/>
              <w:jc w:val="center"/>
              <w:rPr>
                <w:b/>
              </w:rPr>
            </w:pPr>
            <w:r w:rsidRPr="00485ED6">
              <w:rPr>
                <w:b/>
              </w:rPr>
              <w:t>Created Date:</w:t>
            </w:r>
          </w:p>
        </w:tc>
        <w:tc>
          <w:tcPr>
            <w:tcW w:w="2145" w:type="pct"/>
          </w:tcPr>
          <w:p w14:paraId="6A6FC328" w14:textId="77777777" w:rsidR="00C209D9" w:rsidRPr="00485ED6" w:rsidRDefault="00C209D9" w:rsidP="00F323F9">
            <w:pPr>
              <w:spacing w:before="120" w:after="120"/>
              <w:jc w:val="right"/>
              <w:rPr>
                <w:i/>
              </w:rPr>
            </w:pPr>
            <w:r w:rsidRPr="00485ED6">
              <w:rPr>
                <w:i/>
              </w:rPr>
              <w:t>11 April 2011</w:t>
            </w:r>
          </w:p>
        </w:tc>
      </w:tr>
      <w:tr w:rsidR="00F323F9" w:rsidRPr="00485ED6" w14:paraId="31A98841" w14:textId="77777777" w:rsidTr="00485ED6">
        <w:tc>
          <w:tcPr>
            <w:tcW w:w="2855" w:type="pct"/>
          </w:tcPr>
          <w:p w14:paraId="5397492F" w14:textId="77777777" w:rsidR="00C209D9" w:rsidRPr="00485ED6" w:rsidRDefault="00C209D9" w:rsidP="00F323F9">
            <w:pPr>
              <w:spacing w:before="120" w:after="120"/>
              <w:jc w:val="center"/>
              <w:rPr>
                <w:b/>
              </w:rPr>
            </w:pPr>
            <w:r w:rsidRPr="00485ED6">
              <w:rPr>
                <w:b/>
              </w:rPr>
              <w:t>Current Issue Date:</w:t>
            </w:r>
          </w:p>
        </w:tc>
        <w:tc>
          <w:tcPr>
            <w:tcW w:w="2145" w:type="pct"/>
          </w:tcPr>
          <w:p w14:paraId="6DDF7C1E" w14:textId="77777777" w:rsidR="00C209D9" w:rsidRPr="00485ED6" w:rsidRDefault="00C209D9" w:rsidP="00F323F9">
            <w:pPr>
              <w:spacing w:before="120" w:after="120"/>
              <w:jc w:val="right"/>
              <w:rPr>
                <w:i/>
              </w:rPr>
            </w:pPr>
            <w:r w:rsidRPr="00485ED6">
              <w:rPr>
                <w:i/>
              </w:rPr>
              <w:t>12 April 2011</w:t>
            </w:r>
          </w:p>
        </w:tc>
      </w:tr>
      <w:tr w:rsidR="00F323F9" w:rsidRPr="00485ED6" w14:paraId="1289C54C" w14:textId="77777777" w:rsidTr="00485ED6">
        <w:tc>
          <w:tcPr>
            <w:tcW w:w="2855" w:type="pct"/>
          </w:tcPr>
          <w:p w14:paraId="4FDCFB1B" w14:textId="77777777" w:rsidR="00C209D9" w:rsidRPr="00485ED6" w:rsidRDefault="00C209D9" w:rsidP="00F323F9">
            <w:pPr>
              <w:spacing w:before="120" w:after="120"/>
              <w:jc w:val="center"/>
              <w:rPr>
                <w:b/>
              </w:rPr>
            </w:pPr>
            <w:r w:rsidRPr="00485ED6">
              <w:rPr>
                <w:b/>
              </w:rPr>
              <w:t>Responses expected by:</w:t>
            </w:r>
          </w:p>
        </w:tc>
        <w:tc>
          <w:tcPr>
            <w:tcW w:w="2145" w:type="pct"/>
          </w:tcPr>
          <w:p w14:paraId="6B9A1E50" w14:textId="77777777" w:rsidR="00C209D9" w:rsidRPr="00485ED6" w:rsidRDefault="00C209D9" w:rsidP="00F323F9">
            <w:pPr>
              <w:spacing w:before="120" w:after="120"/>
              <w:jc w:val="right"/>
              <w:rPr>
                <w:i/>
              </w:rPr>
            </w:pPr>
          </w:p>
        </w:tc>
      </w:tr>
      <w:tr w:rsidR="00F323F9" w:rsidRPr="00485ED6" w14:paraId="3480E4B7" w14:textId="77777777" w:rsidTr="00485ED6">
        <w:tc>
          <w:tcPr>
            <w:tcW w:w="2855" w:type="pct"/>
          </w:tcPr>
          <w:p w14:paraId="4A62AD2E" w14:textId="77777777" w:rsidR="00C209D9" w:rsidRPr="00485ED6" w:rsidRDefault="00C209D9" w:rsidP="00F323F9">
            <w:pPr>
              <w:spacing w:before="120" w:after="120"/>
              <w:jc w:val="center"/>
              <w:rPr>
                <w:b/>
              </w:rPr>
            </w:pPr>
            <w:r w:rsidRPr="00485ED6">
              <w:rPr>
                <w:b/>
              </w:rPr>
              <w:t>Version Number:</w:t>
            </w:r>
          </w:p>
        </w:tc>
        <w:tc>
          <w:tcPr>
            <w:tcW w:w="2145" w:type="pct"/>
          </w:tcPr>
          <w:p w14:paraId="469A9CDF" w14:textId="77777777" w:rsidR="00C209D9" w:rsidRPr="00485ED6" w:rsidRDefault="00C209D9" w:rsidP="00F323F9">
            <w:pPr>
              <w:spacing w:before="120" w:after="120"/>
              <w:jc w:val="right"/>
              <w:rPr>
                <w:i/>
              </w:rPr>
            </w:pPr>
            <w:r w:rsidRPr="00485ED6">
              <w:rPr>
                <w:i/>
              </w:rPr>
              <w:t>V 0.1</w:t>
            </w:r>
          </w:p>
        </w:tc>
      </w:tr>
    </w:tbl>
    <w:p w14:paraId="4FD301D1" w14:textId="77777777" w:rsidR="00C209D9" w:rsidRPr="00485ED6" w:rsidRDefault="00C209D9" w:rsidP="00F323F9"/>
    <w:p w14:paraId="3E3F7F03" w14:textId="19D5DB0D" w:rsidR="00C209D9" w:rsidRPr="00485ED6" w:rsidRDefault="00C209D9" w:rsidP="00DB285E">
      <w:pPr>
        <w:rPr>
          <w:i/>
          <w:sz w:val="20"/>
        </w:rPr>
      </w:pPr>
      <w:bookmarkStart w:id="65" w:name="_Toc198517719"/>
      <w:bookmarkStart w:id="66" w:name="_Toc198518226"/>
      <w:bookmarkStart w:id="67" w:name="_Toc288043341"/>
      <w:r w:rsidRPr="00485ED6">
        <w:rPr>
          <w:sz w:val="20"/>
        </w:rPr>
        <w:t>Version History</w:t>
      </w:r>
      <w:bookmarkEnd w:id="65"/>
      <w:bookmarkEnd w:id="66"/>
      <w:bookmarkEnd w:id="67"/>
    </w:p>
    <w:p w14:paraId="24F85D0D" w14:textId="77777777" w:rsidR="00C209D9" w:rsidRPr="00485ED6" w:rsidRDefault="00C209D9" w:rsidP="00F323F9"/>
    <w:tbl>
      <w:tblPr>
        <w:tblStyle w:val="TableGrid"/>
        <w:tblW w:w="8568" w:type="dxa"/>
        <w:tblLook w:val="01E0" w:firstRow="1" w:lastRow="1" w:firstColumn="1" w:lastColumn="1" w:noHBand="0" w:noVBand="0"/>
      </w:tblPr>
      <w:tblGrid>
        <w:gridCol w:w="1230"/>
        <w:gridCol w:w="1398"/>
        <w:gridCol w:w="1871"/>
        <w:gridCol w:w="4069"/>
      </w:tblGrid>
      <w:tr w:rsidR="00F323F9" w:rsidRPr="00485ED6" w14:paraId="46A87FEB" w14:textId="77777777" w:rsidTr="00DB285E">
        <w:tc>
          <w:tcPr>
            <w:tcW w:w="1230" w:type="dxa"/>
          </w:tcPr>
          <w:p w14:paraId="67166FB9" w14:textId="77777777" w:rsidR="00C209D9" w:rsidRPr="00485ED6" w:rsidRDefault="00C209D9" w:rsidP="00F323F9">
            <w:pPr>
              <w:rPr>
                <w:b/>
                <w:bCs/>
                <w:sz w:val="20"/>
                <w:szCs w:val="20"/>
              </w:rPr>
            </w:pPr>
            <w:r w:rsidRPr="00485ED6">
              <w:rPr>
                <w:b/>
                <w:bCs/>
                <w:sz w:val="20"/>
                <w:szCs w:val="20"/>
              </w:rPr>
              <w:t>Version</w:t>
            </w:r>
          </w:p>
        </w:tc>
        <w:tc>
          <w:tcPr>
            <w:tcW w:w="1398" w:type="dxa"/>
          </w:tcPr>
          <w:p w14:paraId="62C8E84B" w14:textId="77777777" w:rsidR="00C209D9" w:rsidRPr="00485ED6" w:rsidRDefault="00C209D9" w:rsidP="00F323F9">
            <w:pPr>
              <w:rPr>
                <w:b/>
                <w:bCs/>
                <w:sz w:val="20"/>
                <w:szCs w:val="20"/>
              </w:rPr>
            </w:pPr>
            <w:r w:rsidRPr="00485ED6">
              <w:rPr>
                <w:b/>
                <w:bCs/>
                <w:sz w:val="20"/>
                <w:szCs w:val="20"/>
              </w:rPr>
              <w:t>Date</w:t>
            </w:r>
          </w:p>
        </w:tc>
        <w:tc>
          <w:tcPr>
            <w:tcW w:w="1871" w:type="dxa"/>
          </w:tcPr>
          <w:p w14:paraId="50846827" w14:textId="77777777" w:rsidR="00C209D9" w:rsidRPr="00485ED6" w:rsidRDefault="00C209D9" w:rsidP="00F323F9">
            <w:pPr>
              <w:rPr>
                <w:b/>
                <w:bCs/>
                <w:sz w:val="20"/>
                <w:szCs w:val="20"/>
              </w:rPr>
            </w:pPr>
            <w:r w:rsidRPr="00485ED6">
              <w:rPr>
                <w:b/>
                <w:bCs/>
                <w:sz w:val="20"/>
                <w:szCs w:val="20"/>
              </w:rPr>
              <w:t>Changed By</w:t>
            </w:r>
          </w:p>
        </w:tc>
        <w:tc>
          <w:tcPr>
            <w:tcW w:w="4069" w:type="dxa"/>
          </w:tcPr>
          <w:p w14:paraId="029C7105" w14:textId="77777777" w:rsidR="00C209D9" w:rsidRPr="00485ED6" w:rsidRDefault="00C209D9" w:rsidP="00F323F9">
            <w:pPr>
              <w:rPr>
                <w:b/>
                <w:bCs/>
                <w:sz w:val="20"/>
                <w:szCs w:val="20"/>
              </w:rPr>
            </w:pPr>
            <w:r w:rsidRPr="00485ED6">
              <w:rPr>
                <w:b/>
                <w:bCs/>
                <w:sz w:val="20"/>
                <w:szCs w:val="20"/>
              </w:rPr>
              <w:t>Summary of Changes</w:t>
            </w:r>
          </w:p>
        </w:tc>
      </w:tr>
      <w:tr w:rsidR="00F323F9" w:rsidRPr="00485ED6" w14:paraId="4E10AE28" w14:textId="77777777" w:rsidTr="00DB285E">
        <w:tc>
          <w:tcPr>
            <w:tcW w:w="1230" w:type="dxa"/>
          </w:tcPr>
          <w:p w14:paraId="49402F91" w14:textId="77777777" w:rsidR="00C209D9" w:rsidRPr="00485ED6" w:rsidRDefault="00C209D9" w:rsidP="00F323F9">
            <w:pPr>
              <w:rPr>
                <w:sz w:val="20"/>
                <w:szCs w:val="20"/>
              </w:rPr>
            </w:pPr>
            <w:r w:rsidRPr="00485ED6">
              <w:rPr>
                <w:sz w:val="20"/>
                <w:szCs w:val="20"/>
              </w:rPr>
              <w:t>V 0.1</w:t>
            </w:r>
          </w:p>
        </w:tc>
        <w:tc>
          <w:tcPr>
            <w:tcW w:w="1398" w:type="dxa"/>
          </w:tcPr>
          <w:p w14:paraId="3E6DAC50" w14:textId="77777777" w:rsidR="00C209D9" w:rsidRPr="00485ED6" w:rsidRDefault="00C209D9" w:rsidP="00F323F9">
            <w:pPr>
              <w:rPr>
                <w:sz w:val="20"/>
                <w:szCs w:val="20"/>
              </w:rPr>
            </w:pPr>
            <w:r w:rsidRPr="00485ED6">
              <w:rPr>
                <w:sz w:val="20"/>
                <w:szCs w:val="20"/>
              </w:rPr>
              <w:t>11/04/2011</w:t>
            </w:r>
          </w:p>
        </w:tc>
        <w:tc>
          <w:tcPr>
            <w:tcW w:w="1871" w:type="dxa"/>
          </w:tcPr>
          <w:p w14:paraId="10783C5A" w14:textId="77777777" w:rsidR="00C209D9" w:rsidRPr="00485ED6" w:rsidRDefault="00C209D9" w:rsidP="00F323F9">
            <w:pPr>
              <w:rPr>
                <w:sz w:val="20"/>
                <w:szCs w:val="20"/>
              </w:rPr>
            </w:pPr>
            <w:r w:rsidRPr="00485ED6">
              <w:rPr>
                <w:sz w:val="20"/>
                <w:szCs w:val="20"/>
              </w:rPr>
              <w:t>A Whitmarsh</w:t>
            </w:r>
          </w:p>
        </w:tc>
        <w:tc>
          <w:tcPr>
            <w:tcW w:w="4069" w:type="dxa"/>
          </w:tcPr>
          <w:p w14:paraId="6FB00084" w14:textId="77777777" w:rsidR="00C209D9" w:rsidRPr="00485ED6" w:rsidRDefault="00C209D9" w:rsidP="00F323F9">
            <w:pPr>
              <w:rPr>
                <w:sz w:val="20"/>
                <w:szCs w:val="20"/>
              </w:rPr>
            </w:pPr>
            <w:r w:rsidRPr="00485ED6">
              <w:rPr>
                <w:sz w:val="20"/>
                <w:szCs w:val="20"/>
              </w:rPr>
              <w:t>Initial Draft</w:t>
            </w:r>
          </w:p>
        </w:tc>
      </w:tr>
      <w:tr w:rsidR="00F323F9" w:rsidRPr="00485ED6" w14:paraId="6302C548" w14:textId="77777777" w:rsidTr="00DB285E">
        <w:tc>
          <w:tcPr>
            <w:tcW w:w="1230" w:type="dxa"/>
          </w:tcPr>
          <w:p w14:paraId="70F60514" w14:textId="77777777" w:rsidR="00C209D9" w:rsidRPr="00485ED6" w:rsidRDefault="00C209D9" w:rsidP="00F323F9">
            <w:pPr>
              <w:rPr>
                <w:sz w:val="20"/>
                <w:szCs w:val="20"/>
              </w:rPr>
            </w:pPr>
          </w:p>
        </w:tc>
        <w:tc>
          <w:tcPr>
            <w:tcW w:w="1398" w:type="dxa"/>
          </w:tcPr>
          <w:p w14:paraId="292DB439" w14:textId="77777777" w:rsidR="00C209D9" w:rsidRPr="00485ED6" w:rsidRDefault="00C209D9" w:rsidP="00F323F9">
            <w:pPr>
              <w:rPr>
                <w:sz w:val="20"/>
                <w:szCs w:val="20"/>
              </w:rPr>
            </w:pPr>
          </w:p>
        </w:tc>
        <w:tc>
          <w:tcPr>
            <w:tcW w:w="1871" w:type="dxa"/>
          </w:tcPr>
          <w:p w14:paraId="5967AE2C" w14:textId="77777777" w:rsidR="00C209D9" w:rsidRPr="00485ED6" w:rsidRDefault="00C209D9" w:rsidP="00F323F9">
            <w:pPr>
              <w:rPr>
                <w:sz w:val="20"/>
                <w:szCs w:val="20"/>
              </w:rPr>
            </w:pPr>
          </w:p>
        </w:tc>
        <w:tc>
          <w:tcPr>
            <w:tcW w:w="4069" w:type="dxa"/>
          </w:tcPr>
          <w:p w14:paraId="7991A20D" w14:textId="77777777" w:rsidR="00C209D9" w:rsidRPr="00485ED6" w:rsidRDefault="00C209D9" w:rsidP="00F323F9">
            <w:pPr>
              <w:rPr>
                <w:sz w:val="20"/>
                <w:szCs w:val="20"/>
              </w:rPr>
            </w:pPr>
          </w:p>
        </w:tc>
      </w:tr>
      <w:tr w:rsidR="00C209D9" w:rsidRPr="00485ED6" w14:paraId="3969E754" w14:textId="77777777" w:rsidTr="00DB285E">
        <w:tc>
          <w:tcPr>
            <w:tcW w:w="1230" w:type="dxa"/>
          </w:tcPr>
          <w:p w14:paraId="7C573F08" w14:textId="77777777" w:rsidR="00C209D9" w:rsidRPr="00485ED6" w:rsidRDefault="00C209D9" w:rsidP="00F323F9">
            <w:pPr>
              <w:rPr>
                <w:sz w:val="20"/>
                <w:szCs w:val="20"/>
              </w:rPr>
            </w:pPr>
          </w:p>
        </w:tc>
        <w:tc>
          <w:tcPr>
            <w:tcW w:w="1398" w:type="dxa"/>
          </w:tcPr>
          <w:p w14:paraId="3A1A1AFB" w14:textId="77777777" w:rsidR="00C209D9" w:rsidRPr="00485ED6" w:rsidRDefault="00C209D9" w:rsidP="00F323F9">
            <w:pPr>
              <w:rPr>
                <w:sz w:val="20"/>
                <w:szCs w:val="20"/>
              </w:rPr>
            </w:pPr>
          </w:p>
        </w:tc>
        <w:tc>
          <w:tcPr>
            <w:tcW w:w="1871" w:type="dxa"/>
          </w:tcPr>
          <w:p w14:paraId="1689D971" w14:textId="77777777" w:rsidR="00C209D9" w:rsidRPr="00485ED6" w:rsidRDefault="00C209D9" w:rsidP="00F323F9">
            <w:pPr>
              <w:rPr>
                <w:sz w:val="20"/>
                <w:szCs w:val="20"/>
              </w:rPr>
            </w:pPr>
          </w:p>
        </w:tc>
        <w:tc>
          <w:tcPr>
            <w:tcW w:w="4069" w:type="dxa"/>
          </w:tcPr>
          <w:p w14:paraId="416777C0" w14:textId="77777777" w:rsidR="00C209D9" w:rsidRPr="00485ED6" w:rsidRDefault="00C209D9" w:rsidP="00F323F9">
            <w:pPr>
              <w:rPr>
                <w:sz w:val="20"/>
                <w:szCs w:val="20"/>
              </w:rPr>
            </w:pPr>
          </w:p>
        </w:tc>
      </w:tr>
    </w:tbl>
    <w:p w14:paraId="2EDC4E8B" w14:textId="77777777" w:rsidR="00C209D9" w:rsidRPr="00485ED6" w:rsidRDefault="00C209D9" w:rsidP="00F323F9">
      <w:pPr>
        <w:pStyle w:val="Heading2"/>
        <w:numPr>
          <w:ilvl w:val="0"/>
          <w:numId w:val="0"/>
        </w:numPr>
        <w:rPr>
          <w:rFonts w:cs="Arial"/>
          <w:i/>
          <w:sz w:val="20"/>
        </w:rPr>
      </w:pPr>
      <w:bookmarkStart w:id="68" w:name="_Toc198517720"/>
      <w:bookmarkStart w:id="69" w:name="_Toc198518227"/>
    </w:p>
    <w:p w14:paraId="54BDF9D8" w14:textId="77777777" w:rsidR="00C209D9" w:rsidRPr="00485ED6" w:rsidRDefault="00C209D9" w:rsidP="00C209D9">
      <w:pPr>
        <w:pStyle w:val="Heading2"/>
        <w:numPr>
          <w:ilvl w:val="1"/>
          <w:numId w:val="12"/>
        </w:numPr>
        <w:tabs>
          <w:tab w:val="clear" w:pos="0"/>
          <w:tab w:val="clear" w:pos="851"/>
        </w:tabs>
        <w:overflowPunct/>
        <w:autoSpaceDE/>
        <w:autoSpaceDN/>
        <w:adjustRightInd/>
        <w:spacing w:before="240" w:after="60"/>
        <w:jc w:val="both"/>
        <w:textAlignment w:val="auto"/>
        <w:rPr>
          <w:rFonts w:cs="Arial"/>
          <w:i/>
          <w:sz w:val="20"/>
        </w:rPr>
      </w:pPr>
      <w:bookmarkStart w:id="70" w:name="_Toc288043342"/>
      <w:r w:rsidRPr="00485ED6">
        <w:rPr>
          <w:rFonts w:cs="Arial"/>
          <w:sz w:val="20"/>
        </w:rPr>
        <w:t>Approvals</w:t>
      </w:r>
      <w:bookmarkEnd w:id="68"/>
      <w:bookmarkEnd w:id="69"/>
      <w:bookmarkEnd w:id="70"/>
    </w:p>
    <w:p w14:paraId="1726BB06" w14:textId="77777777" w:rsidR="00C209D9" w:rsidRPr="00485ED6" w:rsidRDefault="00C209D9" w:rsidP="00F323F9">
      <w:pPr>
        <w:rPr>
          <w:sz w:val="20"/>
          <w:szCs w:val="20"/>
        </w:rPr>
      </w:pPr>
    </w:p>
    <w:tbl>
      <w:tblPr>
        <w:tblStyle w:val="TableGrid"/>
        <w:tblW w:w="0" w:type="auto"/>
        <w:tblLook w:val="01E0" w:firstRow="1" w:lastRow="1" w:firstColumn="1" w:lastColumn="1" w:noHBand="0" w:noVBand="0"/>
      </w:tblPr>
      <w:tblGrid>
        <w:gridCol w:w="1705"/>
        <w:gridCol w:w="1705"/>
        <w:gridCol w:w="1706"/>
        <w:gridCol w:w="1706"/>
        <w:gridCol w:w="1706"/>
      </w:tblGrid>
      <w:tr w:rsidR="00F323F9" w:rsidRPr="00485ED6" w14:paraId="554A813A" w14:textId="77777777" w:rsidTr="00DB285E">
        <w:tc>
          <w:tcPr>
            <w:tcW w:w="1705" w:type="dxa"/>
          </w:tcPr>
          <w:p w14:paraId="43E189B4" w14:textId="77777777" w:rsidR="00C209D9" w:rsidRPr="00485ED6" w:rsidRDefault="00C209D9" w:rsidP="00F323F9">
            <w:pPr>
              <w:rPr>
                <w:b/>
                <w:bCs/>
                <w:sz w:val="20"/>
                <w:szCs w:val="20"/>
              </w:rPr>
            </w:pPr>
            <w:r w:rsidRPr="00485ED6">
              <w:rPr>
                <w:b/>
                <w:bCs/>
                <w:sz w:val="20"/>
                <w:szCs w:val="20"/>
              </w:rPr>
              <w:t>Name</w:t>
            </w:r>
          </w:p>
        </w:tc>
        <w:tc>
          <w:tcPr>
            <w:tcW w:w="1705" w:type="dxa"/>
          </w:tcPr>
          <w:p w14:paraId="3E6CA4E5" w14:textId="77777777" w:rsidR="00C209D9" w:rsidRPr="00485ED6" w:rsidRDefault="00C209D9" w:rsidP="00F323F9">
            <w:pPr>
              <w:rPr>
                <w:b/>
                <w:bCs/>
                <w:sz w:val="20"/>
                <w:szCs w:val="20"/>
              </w:rPr>
            </w:pPr>
            <w:r w:rsidRPr="00485ED6">
              <w:rPr>
                <w:b/>
                <w:bCs/>
                <w:sz w:val="20"/>
                <w:szCs w:val="20"/>
              </w:rPr>
              <w:t>Title</w:t>
            </w:r>
          </w:p>
        </w:tc>
        <w:tc>
          <w:tcPr>
            <w:tcW w:w="1706" w:type="dxa"/>
          </w:tcPr>
          <w:p w14:paraId="68FEAB3F" w14:textId="77777777" w:rsidR="00C209D9" w:rsidRPr="00485ED6" w:rsidRDefault="00C209D9" w:rsidP="00F323F9">
            <w:pPr>
              <w:rPr>
                <w:b/>
                <w:bCs/>
                <w:sz w:val="20"/>
                <w:szCs w:val="20"/>
              </w:rPr>
            </w:pPr>
            <w:r w:rsidRPr="00485ED6">
              <w:rPr>
                <w:b/>
                <w:bCs/>
                <w:sz w:val="20"/>
                <w:szCs w:val="20"/>
              </w:rPr>
              <w:t>Date</w:t>
            </w:r>
          </w:p>
        </w:tc>
        <w:tc>
          <w:tcPr>
            <w:tcW w:w="1706" w:type="dxa"/>
          </w:tcPr>
          <w:p w14:paraId="0CFC89B9" w14:textId="77777777" w:rsidR="00C209D9" w:rsidRPr="00485ED6" w:rsidRDefault="00C209D9" w:rsidP="00F323F9">
            <w:pPr>
              <w:rPr>
                <w:b/>
                <w:bCs/>
                <w:sz w:val="20"/>
                <w:szCs w:val="20"/>
              </w:rPr>
            </w:pPr>
            <w:r w:rsidRPr="00485ED6">
              <w:rPr>
                <w:b/>
                <w:bCs/>
                <w:sz w:val="20"/>
                <w:szCs w:val="20"/>
              </w:rPr>
              <w:t>Version</w:t>
            </w:r>
          </w:p>
        </w:tc>
        <w:tc>
          <w:tcPr>
            <w:tcW w:w="1706" w:type="dxa"/>
          </w:tcPr>
          <w:p w14:paraId="4F3C3F05" w14:textId="77777777" w:rsidR="00C209D9" w:rsidRPr="00485ED6" w:rsidRDefault="00C209D9" w:rsidP="00F323F9">
            <w:pPr>
              <w:rPr>
                <w:b/>
                <w:bCs/>
                <w:sz w:val="20"/>
                <w:szCs w:val="20"/>
              </w:rPr>
            </w:pPr>
            <w:r w:rsidRPr="00485ED6">
              <w:rPr>
                <w:b/>
                <w:bCs/>
                <w:sz w:val="20"/>
                <w:szCs w:val="20"/>
              </w:rPr>
              <w:t>Signature</w:t>
            </w:r>
          </w:p>
        </w:tc>
      </w:tr>
      <w:tr w:rsidR="00C209D9" w:rsidRPr="00485ED6" w14:paraId="7C9B7E25" w14:textId="77777777" w:rsidTr="00DB285E">
        <w:tc>
          <w:tcPr>
            <w:tcW w:w="1705" w:type="dxa"/>
          </w:tcPr>
          <w:p w14:paraId="264C62D1" w14:textId="77777777" w:rsidR="00C209D9" w:rsidRPr="00485ED6" w:rsidRDefault="00C209D9" w:rsidP="00F323F9">
            <w:pPr>
              <w:rPr>
                <w:sz w:val="20"/>
                <w:szCs w:val="20"/>
              </w:rPr>
            </w:pPr>
          </w:p>
        </w:tc>
        <w:tc>
          <w:tcPr>
            <w:tcW w:w="1705" w:type="dxa"/>
          </w:tcPr>
          <w:p w14:paraId="5B77B01C" w14:textId="77777777" w:rsidR="00C209D9" w:rsidRPr="00485ED6" w:rsidRDefault="00C209D9" w:rsidP="00F323F9">
            <w:pPr>
              <w:rPr>
                <w:sz w:val="20"/>
                <w:szCs w:val="20"/>
              </w:rPr>
            </w:pPr>
          </w:p>
        </w:tc>
        <w:tc>
          <w:tcPr>
            <w:tcW w:w="1706" w:type="dxa"/>
          </w:tcPr>
          <w:p w14:paraId="19AC0741" w14:textId="77777777" w:rsidR="00C209D9" w:rsidRPr="00485ED6" w:rsidRDefault="00C209D9" w:rsidP="00F323F9">
            <w:pPr>
              <w:rPr>
                <w:sz w:val="20"/>
                <w:szCs w:val="20"/>
              </w:rPr>
            </w:pPr>
          </w:p>
        </w:tc>
        <w:tc>
          <w:tcPr>
            <w:tcW w:w="1706" w:type="dxa"/>
          </w:tcPr>
          <w:p w14:paraId="779EFD5C" w14:textId="77777777" w:rsidR="00C209D9" w:rsidRPr="00485ED6" w:rsidRDefault="00C209D9" w:rsidP="00F323F9">
            <w:pPr>
              <w:rPr>
                <w:sz w:val="20"/>
                <w:szCs w:val="20"/>
              </w:rPr>
            </w:pPr>
          </w:p>
        </w:tc>
        <w:tc>
          <w:tcPr>
            <w:tcW w:w="1706" w:type="dxa"/>
          </w:tcPr>
          <w:p w14:paraId="296AADD5" w14:textId="77777777" w:rsidR="00C209D9" w:rsidRPr="00485ED6" w:rsidRDefault="00C209D9" w:rsidP="00F323F9">
            <w:pPr>
              <w:rPr>
                <w:sz w:val="20"/>
                <w:szCs w:val="20"/>
              </w:rPr>
            </w:pPr>
          </w:p>
        </w:tc>
      </w:tr>
    </w:tbl>
    <w:p w14:paraId="7443535D" w14:textId="77777777" w:rsidR="00C209D9" w:rsidRPr="00485ED6" w:rsidRDefault="00C209D9" w:rsidP="00F323F9">
      <w:pPr>
        <w:rPr>
          <w:sz w:val="20"/>
          <w:szCs w:val="20"/>
        </w:rPr>
      </w:pPr>
    </w:p>
    <w:p w14:paraId="55E215CA" w14:textId="77777777" w:rsidR="00C209D9" w:rsidRPr="00485ED6" w:rsidRDefault="00C209D9" w:rsidP="00C209D9">
      <w:pPr>
        <w:pStyle w:val="Heading2"/>
        <w:numPr>
          <w:ilvl w:val="1"/>
          <w:numId w:val="12"/>
        </w:numPr>
        <w:tabs>
          <w:tab w:val="clear" w:pos="0"/>
          <w:tab w:val="clear" w:pos="851"/>
        </w:tabs>
        <w:overflowPunct/>
        <w:autoSpaceDE/>
        <w:autoSpaceDN/>
        <w:adjustRightInd/>
        <w:spacing w:before="240" w:after="60"/>
        <w:jc w:val="both"/>
        <w:textAlignment w:val="auto"/>
        <w:rPr>
          <w:rFonts w:cs="Arial"/>
          <w:i/>
          <w:sz w:val="20"/>
        </w:rPr>
      </w:pPr>
      <w:bookmarkStart w:id="71" w:name="_Toc198517721"/>
      <w:bookmarkStart w:id="72" w:name="_Toc198518228"/>
      <w:bookmarkStart w:id="73" w:name="_Toc288043343"/>
      <w:r w:rsidRPr="00485ED6">
        <w:rPr>
          <w:rFonts w:cs="Arial"/>
          <w:sz w:val="20"/>
        </w:rPr>
        <w:t>Distribution</w:t>
      </w:r>
      <w:bookmarkEnd w:id="71"/>
      <w:bookmarkEnd w:id="72"/>
      <w:bookmarkEnd w:id="73"/>
    </w:p>
    <w:p w14:paraId="5D6ABBBA" w14:textId="77777777" w:rsidR="00C209D9" w:rsidRPr="00485ED6" w:rsidRDefault="00C209D9" w:rsidP="00F323F9">
      <w:pPr>
        <w:rPr>
          <w:sz w:val="20"/>
          <w:szCs w:val="20"/>
        </w:rPr>
      </w:pPr>
    </w:p>
    <w:tbl>
      <w:tblPr>
        <w:tblStyle w:val="TableGrid"/>
        <w:tblW w:w="8951" w:type="dxa"/>
        <w:tblLook w:val="01E0" w:firstRow="1" w:lastRow="1" w:firstColumn="1" w:lastColumn="1" w:noHBand="0" w:noVBand="0"/>
      </w:tblPr>
      <w:tblGrid>
        <w:gridCol w:w="2080"/>
        <w:gridCol w:w="1217"/>
        <w:gridCol w:w="5654"/>
      </w:tblGrid>
      <w:tr w:rsidR="00F323F9" w:rsidRPr="00485ED6" w14:paraId="45BFB218" w14:textId="77777777" w:rsidTr="00DB285E">
        <w:tc>
          <w:tcPr>
            <w:tcW w:w="2080" w:type="dxa"/>
          </w:tcPr>
          <w:p w14:paraId="62B0A423" w14:textId="77777777" w:rsidR="00C209D9" w:rsidRPr="00485ED6" w:rsidRDefault="00C209D9" w:rsidP="00F323F9">
            <w:pPr>
              <w:rPr>
                <w:b/>
                <w:bCs/>
                <w:sz w:val="20"/>
                <w:szCs w:val="20"/>
              </w:rPr>
            </w:pPr>
            <w:r w:rsidRPr="00485ED6">
              <w:rPr>
                <w:b/>
                <w:bCs/>
                <w:sz w:val="20"/>
                <w:szCs w:val="20"/>
              </w:rPr>
              <w:t>Version</w:t>
            </w:r>
          </w:p>
        </w:tc>
        <w:tc>
          <w:tcPr>
            <w:tcW w:w="1217" w:type="dxa"/>
          </w:tcPr>
          <w:p w14:paraId="2D95BD30" w14:textId="77777777" w:rsidR="00C209D9" w:rsidRPr="00485ED6" w:rsidRDefault="00C209D9" w:rsidP="00F323F9">
            <w:pPr>
              <w:rPr>
                <w:b/>
                <w:bCs/>
                <w:sz w:val="20"/>
                <w:szCs w:val="20"/>
              </w:rPr>
            </w:pPr>
            <w:r w:rsidRPr="00485ED6">
              <w:rPr>
                <w:b/>
                <w:bCs/>
                <w:sz w:val="20"/>
                <w:szCs w:val="20"/>
              </w:rPr>
              <w:t>Date</w:t>
            </w:r>
          </w:p>
        </w:tc>
        <w:tc>
          <w:tcPr>
            <w:tcW w:w="5654" w:type="dxa"/>
          </w:tcPr>
          <w:p w14:paraId="6487B88C" w14:textId="77777777" w:rsidR="00C209D9" w:rsidRPr="00485ED6" w:rsidRDefault="00C209D9" w:rsidP="00F323F9">
            <w:pPr>
              <w:rPr>
                <w:b/>
                <w:bCs/>
                <w:sz w:val="20"/>
                <w:szCs w:val="20"/>
              </w:rPr>
            </w:pPr>
            <w:r w:rsidRPr="00485ED6">
              <w:rPr>
                <w:b/>
                <w:bCs/>
                <w:sz w:val="20"/>
                <w:szCs w:val="20"/>
              </w:rPr>
              <w:t>Distribution List</w:t>
            </w:r>
          </w:p>
        </w:tc>
      </w:tr>
      <w:tr w:rsidR="00F323F9" w:rsidRPr="00485ED6" w14:paraId="640F1BFB" w14:textId="77777777" w:rsidTr="00DB285E">
        <w:tc>
          <w:tcPr>
            <w:tcW w:w="2080" w:type="dxa"/>
          </w:tcPr>
          <w:p w14:paraId="66201763" w14:textId="77777777" w:rsidR="00C209D9" w:rsidRPr="00485ED6" w:rsidRDefault="00C209D9" w:rsidP="00F323F9">
            <w:pPr>
              <w:rPr>
                <w:sz w:val="20"/>
                <w:szCs w:val="20"/>
              </w:rPr>
            </w:pPr>
            <w:r w:rsidRPr="00485ED6">
              <w:rPr>
                <w:sz w:val="20"/>
                <w:szCs w:val="20"/>
              </w:rPr>
              <w:t>V 0.1</w:t>
            </w:r>
          </w:p>
        </w:tc>
        <w:tc>
          <w:tcPr>
            <w:tcW w:w="1217" w:type="dxa"/>
          </w:tcPr>
          <w:p w14:paraId="782E148B" w14:textId="77777777" w:rsidR="00C209D9" w:rsidRPr="00485ED6" w:rsidRDefault="00C209D9" w:rsidP="00F323F9">
            <w:pPr>
              <w:rPr>
                <w:sz w:val="20"/>
                <w:szCs w:val="20"/>
              </w:rPr>
            </w:pPr>
            <w:r w:rsidRPr="00485ED6">
              <w:rPr>
                <w:sz w:val="20"/>
                <w:szCs w:val="20"/>
              </w:rPr>
              <w:t>11/04/2011</w:t>
            </w:r>
          </w:p>
          <w:p w14:paraId="1AD701B3" w14:textId="77777777" w:rsidR="00C209D9" w:rsidRPr="00485ED6" w:rsidRDefault="00C209D9" w:rsidP="00F323F9">
            <w:pPr>
              <w:rPr>
                <w:sz w:val="20"/>
                <w:szCs w:val="20"/>
              </w:rPr>
            </w:pPr>
          </w:p>
        </w:tc>
        <w:tc>
          <w:tcPr>
            <w:tcW w:w="5654" w:type="dxa"/>
          </w:tcPr>
          <w:p w14:paraId="4568E467" w14:textId="77777777" w:rsidR="00C209D9" w:rsidRPr="00485ED6" w:rsidRDefault="00C209D9" w:rsidP="00F323F9">
            <w:pPr>
              <w:rPr>
                <w:sz w:val="20"/>
                <w:szCs w:val="20"/>
              </w:rPr>
            </w:pPr>
            <w:r w:rsidRPr="00485ED6">
              <w:rPr>
                <w:sz w:val="20"/>
                <w:szCs w:val="20"/>
              </w:rPr>
              <w:t xml:space="preserve">John </w:t>
            </w:r>
            <w:proofErr w:type="spellStart"/>
            <w:r w:rsidRPr="00485ED6">
              <w:rPr>
                <w:sz w:val="20"/>
                <w:szCs w:val="20"/>
              </w:rPr>
              <w:t>Varlow</w:t>
            </w:r>
            <w:proofErr w:type="spellEnd"/>
            <w:r w:rsidRPr="00485ED6">
              <w:rPr>
                <w:sz w:val="20"/>
                <w:szCs w:val="20"/>
              </w:rPr>
              <w:t xml:space="preserve">, Azim Lakhani, Heather Dawe, Andy Sutherland, Alyson Whitmarsh, Arun </w:t>
            </w:r>
            <w:proofErr w:type="spellStart"/>
            <w:r w:rsidRPr="00485ED6">
              <w:rPr>
                <w:sz w:val="20"/>
                <w:szCs w:val="20"/>
              </w:rPr>
              <w:t>Bhoopal</w:t>
            </w:r>
            <w:proofErr w:type="spellEnd"/>
            <w:r w:rsidRPr="00485ED6">
              <w:rPr>
                <w:sz w:val="20"/>
                <w:szCs w:val="20"/>
              </w:rPr>
              <w:t xml:space="preserve">, Peter Knighton, Alison </w:t>
            </w:r>
            <w:proofErr w:type="gramStart"/>
            <w:r w:rsidRPr="00485ED6">
              <w:rPr>
                <w:sz w:val="20"/>
                <w:szCs w:val="20"/>
              </w:rPr>
              <w:t>Kirby,  Dawn</w:t>
            </w:r>
            <w:proofErr w:type="gramEnd"/>
            <w:r w:rsidRPr="00485ED6">
              <w:rPr>
                <w:sz w:val="20"/>
                <w:szCs w:val="20"/>
              </w:rPr>
              <w:t xml:space="preserve"> </w:t>
            </w:r>
            <w:proofErr w:type="spellStart"/>
            <w:r w:rsidRPr="00485ED6">
              <w:rPr>
                <w:sz w:val="20"/>
                <w:szCs w:val="20"/>
              </w:rPr>
              <w:t>Fagence</w:t>
            </w:r>
            <w:proofErr w:type="spellEnd"/>
            <w:r w:rsidRPr="00485ED6">
              <w:rPr>
                <w:sz w:val="20"/>
                <w:szCs w:val="20"/>
              </w:rPr>
              <w:t xml:space="preserve">, Candy </w:t>
            </w:r>
            <w:proofErr w:type="spellStart"/>
            <w:r w:rsidRPr="00485ED6">
              <w:rPr>
                <w:sz w:val="20"/>
                <w:szCs w:val="20"/>
              </w:rPr>
              <w:t>Ballentyne</w:t>
            </w:r>
            <w:proofErr w:type="spellEnd"/>
            <w:r w:rsidRPr="00485ED6">
              <w:rPr>
                <w:sz w:val="20"/>
                <w:szCs w:val="20"/>
              </w:rPr>
              <w:t>, Alison Crawford, Simone Chung</w:t>
            </w:r>
          </w:p>
        </w:tc>
      </w:tr>
      <w:tr w:rsidR="00F323F9" w:rsidRPr="00485ED6" w14:paraId="6E02724E" w14:textId="77777777" w:rsidTr="00DB285E">
        <w:tc>
          <w:tcPr>
            <w:tcW w:w="2080" w:type="dxa"/>
          </w:tcPr>
          <w:p w14:paraId="32B160D9" w14:textId="77777777" w:rsidR="00C209D9" w:rsidRPr="00485ED6" w:rsidRDefault="00C209D9" w:rsidP="00F323F9">
            <w:pPr>
              <w:rPr>
                <w:sz w:val="20"/>
                <w:szCs w:val="20"/>
              </w:rPr>
            </w:pPr>
          </w:p>
        </w:tc>
        <w:tc>
          <w:tcPr>
            <w:tcW w:w="1217" w:type="dxa"/>
          </w:tcPr>
          <w:p w14:paraId="59DD378D" w14:textId="77777777" w:rsidR="00C209D9" w:rsidRPr="00485ED6" w:rsidRDefault="00C209D9" w:rsidP="00F323F9">
            <w:pPr>
              <w:rPr>
                <w:sz w:val="20"/>
                <w:szCs w:val="20"/>
              </w:rPr>
            </w:pPr>
          </w:p>
        </w:tc>
        <w:tc>
          <w:tcPr>
            <w:tcW w:w="5654" w:type="dxa"/>
          </w:tcPr>
          <w:p w14:paraId="16A90A72" w14:textId="77777777" w:rsidR="00C209D9" w:rsidRPr="00485ED6" w:rsidRDefault="00C209D9" w:rsidP="00F323F9">
            <w:pPr>
              <w:rPr>
                <w:sz w:val="20"/>
                <w:szCs w:val="20"/>
              </w:rPr>
            </w:pPr>
          </w:p>
        </w:tc>
      </w:tr>
      <w:tr w:rsidR="00F323F9" w:rsidRPr="00485ED6" w14:paraId="164BE222" w14:textId="77777777" w:rsidTr="00DB285E">
        <w:tc>
          <w:tcPr>
            <w:tcW w:w="2080" w:type="dxa"/>
          </w:tcPr>
          <w:p w14:paraId="6EE811B2" w14:textId="77777777" w:rsidR="00C209D9" w:rsidRPr="00485ED6" w:rsidRDefault="00C209D9" w:rsidP="00F323F9">
            <w:pPr>
              <w:rPr>
                <w:sz w:val="20"/>
                <w:szCs w:val="20"/>
              </w:rPr>
            </w:pPr>
          </w:p>
        </w:tc>
        <w:tc>
          <w:tcPr>
            <w:tcW w:w="1217" w:type="dxa"/>
          </w:tcPr>
          <w:p w14:paraId="57FBC124" w14:textId="77777777" w:rsidR="00C209D9" w:rsidRPr="00485ED6" w:rsidRDefault="00C209D9" w:rsidP="00F323F9">
            <w:pPr>
              <w:rPr>
                <w:sz w:val="20"/>
                <w:szCs w:val="20"/>
              </w:rPr>
            </w:pPr>
          </w:p>
        </w:tc>
        <w:tc>
          <w:tcPr>
            <w:tcW w:w="5654" w:type="dxa"/>
          </w:tcPr>
          <w:p w14:paraId="702D5612" w14:textId="77777777" w:rsidR="00C209D9" w:rsidRPr="00485ED6" w:rsidRDefault="00C209D9" w:rsidP="00F323F9">
            <w:pPr>
              <w:rPr>
                <w:sz w:val="20"/>
                <w:szCs w:val="20"/>
              </w:rPr>
            </w:pPr>
          </w:p>
        </w:tc>
      </w:tr>
    </w:tbl>
    <w:p w14:paraId="5E4E3505" w14:textId="77777777" w:rsidR="00DB285E" w:rsidRDefault="00DB285E" w:rsidP="00F323F9">
      <w:pPr>
        <w:pStyle w:val="Heading1"/>
        <w:numPr>
          <w:ilvl w:val="0"/>
          <w:numId w:val="0"/>
        </w:numPr>
        <w:rPr>
          <w:rFonts w:cs="Arial"/>
        </w:rPr>
      </w:pPr>
      <w:bookmarkStart w:id="74" w:name="_Toc288043344"/>
    </w:p>
    <w:p w14:paraId="473B51DE" w14:textId="77777777" w:rsidR="00DB285E" w:rsidRDefault="00DB285E">
      <w:pPr>
        <w:rPr>
          <w:rFonts w:eastAsia="Times New Roman"/>
          <w:b/>
          <w:kern w:val="28"/>
          <w:sz w:val="28"/>
          <w:szCs w:val="20"/>
          <w:lang w:eastAsia="en-GB"/>
        </w:rPr>
      </w:pPr>
      <w:r>
        <w:br w:type="page"/>
      </w:r>
    </w:p>
    <w:p w14:paraId="782EF3E9" w14:textId="7954D9FA" w:rsidR="00C209D9" w:rsidRPr="00485ED6" w:rsidRDefault="00C209D9" w:rsidP="00F323F9">
      <w:pPr>
        <w:pStyle w:val="Heading1"/>
        <w:numPr>
          <w:ilvl w:val="0"/>
          <w:numId w:val="0"/>
        </w:numPr>
        <w:rPr>
          <w:rFonts w:cs="Arial"/>
        </w:rPr>
      </w:pPr>
      <w:r w:rsidRPr="00485ED6">
        <w:rPr>
          <w:rFonts w:cs="Arial"/>
        </w:rPr>
        <w:lastRenderedPageBreak/>
        <w:t>Introduction</w:t>
      </w:r>
      <w:bookmarkEnd w:id="74"/>
      <w:r w:rsidRPr="00485ED6">
        <w:rPr>
          <w:rFonts w:cs="Arial"/>
        </w:rPr>
        <w:t xml:space="preserve"> and recommendations update</w:t>
      </w:r>
    </w:p>
    <w:p w14:paraId="3C502F60" w14:textId="77777777" w:rsidR="00C209D9" w:rsidRPr="00485ED6" w:rsidRDefault="00C209D9" w:rsidP="00F323F9"/>
    <w:p w14:paraId="6B3647EB" w14:textId="77777777" w:rsidR="00C209D9" w:rsidRPr="00485ED6" w:rsidRDefault="00C209D9" w:rsidP="00F323F9">
      <w:pPr>
        <w:ind w:left="60"/>
      </w:pPr>
      <w:r w:rsidRPr="00485ED6">
        <w:t>This note describes updates on recommendations from the two MRG meeting which took place in March 2011. Both these meeting dealt with indicators proposed for the NHS Outcomes Framework.  Note that some recommendations have been split and re-numbered ‘a’ and ‘b’.</w:t>
      </w:r>
    </w:p>
    <w:p w14:paraId="4D5DECD4" w14:textId="3C412ED4" w:rsidR="00C209D9" w:rsidRPr="00485ED6" w:rsidRDefault="00C209D9" w:rsidP="00F323F9">
      <w:r w:rsidRPr="00485ED6">
        <w:t xml:space="preserve">General issue across </w:t>
      </w:r>
      <w:r w:rsidRPr="00485ED6">
        <w:rPr>
          <w:b/>
        </w:rPr>
        <w:t>Domain 1</w:t>
      </w:r>
      <w:r w:rsidRPr="00485ED6">
        <w:t xml:space="preserve">: </w:t>
      </w:r>
    </w:p>
    <w:p w14:paraId="27535982" w14:textId="77777777" w:rsidR="00C209D9" w:rsidRPr="00485ED6" w:rsidRDefault="00C209D9" w:rsidP="00F323F9">
      <w:r w:rsidRPr="00485ED6">
        <w:t xml:space="preserve">Time periods – if a </w:t>
      </w:r>
      <w:proofErr w:type="gramStart"/>
      <w:r w:rsidRPr="00485ED6">
        <w:t>3 year</w:t>
      </w:r>
      <w:proofErr w:type="gramEnd"/>
      <w:r w:rsidRPr="00485ED6">
        <w:t xml:space="preserve"> average is used in the indicator calculation should a rolling 3 year average be used for time series or should the series run with no overlap? (e.g. 2004-06, 2005-08, 2006-09, 2007-10 or 2004-06, 2007-10.) Where the indicators are currently produced with 3 year averages the possibility of using just 1 year will be investigated.</w:t>
      </w:r>
    </w:p>
    <w:p w14:paraId="439D978F" w14:textId="77777777" w:rsidR="00C209D9" w:rsidRPr="00485ED6" w:rsidRDefault="00C209D9" w:rsidP="00F323F9"/>
    <w:p w14:paraId="0FCC1FCB" w14:textId="77777777" w:rsidR="00C209D9" w:rsidRPr="00485ED6" w:rsidRDefault="00C209D9"/>
    <w:tbl>
      <w:tblPr>
        <w:tblStyle w:val="TableGrid"/>
        <w:tblW w:w="0" w:type="auto"/>
        <w:tblLook w:val="01E0" w:firstRow="1" w:lastRow="1" w:firstColumn="1" w:lastColumn="1" w:noHBand="0" w:noVBand="0"/>
      </w:tblPr>
      <w:tblGrid>
        <w:gridCol w:w="2405"/>
        <w:gridCol w:w="4820"/>
        <w:gridCol w:w="2969"/>
      </w:tblGrid>
      <w:tr w:rsidR="00F323F9" w:rsidRPr="00485ED6" w14:paraId="06360DC2" w14:textId="77777777" w:rsidTr="005A779B">
        <w:tc>
          <w:tcPr>
            <w:tcW w:w="2405" w:type="dxa"/>
          </w:tcPr>
          <w:p w14:paraId="24EC763B" w14:textId="77777777" w:rsidR="00C209D9" w:rsidRPr="00485ED6" w:rsidRDefault="00C209D9" w:rsidP="00F323F9">
            <w:pPr>
              <w:rPr>
                <w:b/>
              </w:rPr>
            </w:pPr>
            <w:r w:rsidRPr="00485ED6">
              <w:rPr>
                <w:b/>
              </w:rPr>
              <w:t>Recommendation 2a</w:t>
            </w:r>
          </w:p>
        </w:tc>
        <w:tc>
          <w:tcPr>
            <w:tcW w:w="4820" w:type="dxa"/>
          </w:tcPr>
          <w:p w14:paraId="1E8073DA" w14:textId="77777777" w:rsidR="00C209D9" w:rsidRPr="00485ED6" w:rsidRDefault="00C209D9" w:rsidP="00F323F9">
            <w:r w:rsidRPr="00485ED6">
              <w:t xml:space="preserve">Where possible use </w:t>
            </w:r>
            <w:proofErr w:type="gramStart"/>
            <w:r w:rsidRPr="00485ED6">
              <w:t>one year</w:t>
            </w:r>
            <w:proofErr w:type="gramEnd"/>
            <w:r w:rsidRPr="00485ED6">
              <w:t xml:space="preserve"> data</w:t>
            </w:r>
          </w:p>
        </w:tc>
        <w:tc>
          <w:tcPr>
            <w:tcW w:w="2969" w:type="dxa"/>
          </w:tcPr>
          <w:p w14:paraId="40E9316F" w14:textId="77777777" w:rsidR="00C209D9" w:rsidRPr="00485ED6" w:rsidRDefault="00C209D9" w:rsidP="00F323F9">
            <w:r w:rsidRPr="00485ED6">
              <w:t>CLOSED</w:t>
            </w:r>
          </w:p>
          <w:p w14:paraId="4D1A54DA" w14:textId="77777777" w:rsidR="00C209D9" w:rsidRPr="00485ED6" w:rsidRDefault="00C209D9" w:rsidP="00F323F9">
            <w:r w:rsidRPr="00485ED6">
              <w:t>Done so for national level. Caveat from ONS regarding life expectancy. Add to indicator specification/indicator quality summary.</w:t>
            </w:r>
          </w:p>
        </w:tc>
      </w:tr>
      <w:tr w:rsidR="00F323F9" w:rsidRPr="00485ED6" w14:paraId="0A4D6572" w14:textId="77777777" w:rsidTr="005A779B">
        <w:tc>
          <w:tcPr>
            <w:tcW w:w="2405" w:type="dxa"/>
          </w:tcPr>
          <w:p w14:paraId="62BA87CB" w14:textId="5A0E8983" w:rsidR="00C209D9" w:rsidRPr="00485ED6" w:rsidRDefault="00C209D9" w:rsidP="00F323F9">
            <w:pPr>
              <w:rPr>
                <w:b/>
              </w:rPr>
            </w:pPr>
            <w:r w:rsidRPr="00485ED6">
              <w:rPr>
                <w:b/>
              </w:rPr>
              <w:t>Recommendation 2b</w:t>
            </w:r>
          </w:p>
        </w:tc>
        <w:tc>
          <w:tcPr>
            <w:tcW w:w="4820" w:type="dxa"/>
          </w:tcPr>
          <w:p w14:paraId="28F8590E" w14:textId="77777777" w:rsidR="00C209D9" w:rsidRPr="00485ED6" w:rsidRDefault="00C209D9" w:rsidP="00F323F9">
            <w:r w:rsidRPr="00485ED6">
              <w:t>Research alternative methods to rolling averages where numbers not large enough to single year analyses to avoid difficulties with interpretation of trends and confidence internals. Report to back to MRG and QIC.</w:t>
            </w:r>
          </w:p>
        </w:tc>
        <w:tc>
          <w:tcPr>
            <w:tcW w:w="2969" w:type="dxa"/>
          </w:tcPr>
          <w:p w14:paraId="5A7D2D8D" w14:textId="77777777" w:rsidR="00C209D9" w:rsidRPr="00485ED6" w:rsidRDefault="00C209D9" w:rsidP="00F323F9">
            <w:r w:rsidRPr="00485ED6">
              <w:t>ONGOING</w:t>
            </w:r>
          </w:p>
          <w:p w14:paraId="0F494E4C" w14:textId="77777777" w:rsidR="00C209D9" w:rsidRPr="00485ED6" w:rsidRDefault="00C209D9" w:rsidP="00F323F9">
            <w:r w:rsidRPr="00485ED6">
              <w:t>May still be needed for disaggregated analyses.</w:t>
            </w:r>
          </w:p>
        </w:tc>
      </w:tr>
    </w:tbl>
    <w:p w14:paraId="563983DB" w14:textId="77777777" w:rsidR="00C209D9" w:rsidRPr="00485ED6" w:rsidRDefault="00C209D9" w:rsidP="00F323F9"/>
    <w:p w14:paraId="7784404C" w14:textId="77777777" w:rsidR="00C209D9" w:rsidRPr="00485ED6" w:rsidRDefault="00C209D9" w:rsidP="00F323F9">
      <w:r w:rsidRPr="00485ED6">
        <w:t>Life expectancy at age 75</w:t>
      </w:r>
    </w:p>
    <w:p w14:paraId="27A39859" w14:textId="77777777" w:rsidR="00C209D9" w:rsidRPr="00485ED6" w:rsidRDefault="00C209D9" w:rsidP="00F323F9">
      <w:r w:rsidRPr="00485ED6">
        <w:t xml:space="preserve">Under 75 mortality </w:t>
      </w:r>
      <w:proofErr w:type="gramStart"/>
      <w:r w:rsidRPr="00485ED6">
        <w:t>rate</w:t>
      </w:r>
      <w:proofErr w:type="gramEnd"/>
      <w:r w:rsidRPr="00485ED6">
        <w:t xml:space="preserve"> from cardiovascular /respiratory/liver disease</w:t>
      </w:r>
    </w:p>
    <w:p w14:paraId="4A18682C" w14:textId="77777777" w:rsidR="00C209D9" w:rsidRPr="00485ED6" w:rsidRDefault="00C209D9" w:rsidP="00F323F9">
      <w:r w:rsidRPr="00485ED6">
        <w:t>Perinatal and infant mortality</w:t>
      </w:r>
    </w:p>
    <w:p w14:paraId="256131A8" w14:textId="77777777" w:rsidR="00C209D9" w:rsidRPr="00485ED6" w:rsidRDefault="00C209D9" w:rsidP="00F323F9"/>
    <w:tbl>
      <w:tblPr>
        <w:tblStyle w:val="TableGrid"/>
        <w:tblW w:w="5000" w:type="pct"/>
        <w:tblLook w:val="01E0" w:firstRow="1" w:lastRow="1" w:firstColumn="1" w:lastColumn="1" w:noHBand="0" w:noVBand="0"/>
      </w:tblPr>
      <w:tblGrid>
        <w:gridCol w:w="2406"/>
        <w:gridCol w:w="4820"/>
        <w:gridCol w:w="2968"/>
      </w:tblGrid>
      <w:tr w:rsidR="00F323F9" w:rsidRPr="00485ED6" w14:paraId="6BB4F48A" w14:textId="77777777" w:rsidTr="005A779B">
        <w:tc>
          <w:tcPr>
            <w:tcW w:w="1180" w:type="pct"/>
          </w:tcPr>
          <w:p w14:paraId="1CBAD36C" w14:textId="77777777" w:rsidR="00C209D9" w:rsidRPr="00485ED6" w:rsidRDefault="00C209D9" w:rsidP="00F323F9">
            <w:pPr>
              <w:rPr>
                <w:b/>
              </w:rPr>
            </w:pPr>
            <w:r w:rsidRPr="00485ED6">
              <w:rPr>
                <w:b/>
              </w:rPr>
              <w:t>Recommendation 5</w:t>
            </w:r>
          </w:p>
        </w:tc>
        <w:tc>
          <w:tcPr>
            <w:tcW w:w="2364" w:type="pct"/>
          </w:tcPr>
          <w:p w14:paraId="464DA476" w14:textId="77777777" w:rsidR="00C209D9" w:rsidRPr="00485ED6" w:rsidRDefault="00C209D9" w:rsidP="00F323F9">
            <w:r w:rsidRPr="00485ED6">
              <w:t xml:space="preserve">Unadjusted national figures should be suitable for first delivery. When geographical </w:t>
            </w:r>
            <w:proofErr w:type="spellStart"/>
            <w:r w:rsidRPr="00485ED6">
              <w:t>disaggregations</w:t>
            </w:r>
            <w:proofErr w:type="spellEnd"/>
            <w:r w:rsidRPr="00485ED6">
              <w:t xml:space="preserve"> are required direct standardisation should be used where possible to allow for such comparisons to be made.  A UK/England population to be used for this standardisation as a European Standard Population may not be reflective of the age/gender structure of the </w:t>
            </w:r>
            <w:smartTag w:uri="urn:schemas-microsoft-com:office:smarttags" w:element="country-region">
              <w:smartTag w:uri="urn:schemas-microsoft-com:office:smarttags" w:element="place">
                <w:r w:rsidRPr="00485ED6">
                  <w:t>England</w:t>
                </w:r>
              </w:smartTag>
            </w:smartTag>
            <w:r w:rsidRPr="00485ED6">
              <w:t xml:space="preserve"> population.</w:t>
            </w:r>
          </w:p>
        </w:tc>
        <w:tc>
          <w:tcPr>
            <w:tcW w:w="1456" w:type="pct"/>
          </w:tcPr>
          <w:p w14:paraId="2BAB0E9F" w14:textId="77777777" w:rsidR="00C209D9" w:rsidRPr="00485ED6" w:rsidRDefault="00C209D9" w:rsidP="00F323F9">
            <w:r w:rsidRPr="00485ED6">
              <w:t>ONGOING</w:t>
            </w:r>
          </w:p>
          <w:p w14:paraId="5C5CB5BD" w14:textId="77777777" w:rsidR="00C209D9" w:rsidRPr="00485ED6" w:rsidRDefault="00C209D9" w:rsidP="00F323F9">
            <w:r w:rsidRPr="00485ED6">
              <w:t>Refer to Outcomes Framework Technical group.</w:t>
            </w:r>
          </w:p>
        </w:tc>
      </w:tr>
      <w:tr w:rsidR="00F323F9" w:rsidRPr="00485ED6" w14:paraId="74D265B5" w14:textId="77777777" w:rsidTr="005A779B">
        <w:tc>
          <w:tcPr>
            <w:tcW w:w="1180" w:type="pct"/>
          </w:tcPr>
          <w:p w14:paraId="18164D05" w14:textId="77777777" w:rsidR="00C209D9" w:rsidRPr="00485ED6" w:rsidRDefault="00C209D9" w:rsidP="00F323F9">
            <w:r w:rsidRPr="00485ED6">
              <w:rPr>
                <w:b/>
              </w:rPr>
              <w:t>Recommendation 6</w:t>
            </w:r>
          </w:p>
        </w:tc>
        <w:tc>
          <w:tcPr>
            <w:tcW w:w="2364" w:type="pct"/>
          </w:tcPr>
          <w:p w14:paraId="2A956819" w14:textId="77777777" w:rsidR="00C209D9" w:rsidRPr="00485ED6" w:rsidRDefault="00C209D9" w:rsidP="00F323F9">
            <w:r w:rsidRPr="00485ED6">
              <w:t xml:space="preserve">Where figures are needed to be compared internationally, a European population can be used to standardise. This may lead to three national figures being available for use depending on the use they are to be put to. In addition, a  time series requiring standardisation may introduce a further national value. </w:t>
            </w:r>
          </w:p>
        </w:tc>
        <w:tc>
          <w:tcPr>
            <w:tcW w:w="1456" w:type="pct"/>
          </w:tcPr>
          <w:p w14:paraId="40C75229" w14:textId="77777777" w:rsidR="00C209D9" w:rsidRPr="00485ED6" w:rsidRDefault="00C209D9" w:rsidP="00F323F9">
            <w:r w:rsidRPr="00485ED6">
              <w:t>ONGOING</w:t>
            </w:r>
          </w:p>
          <w:p w14:paraId="39A7C8E2" w14:textId="77777777" w:rsidR="00C209D9" w:rsidRPr="00485ED6" w:rsidRDefault="00C209D9" w:rsidP="00F323F9">
            <w:r w:rsidRPr="00485ED6">
              <w:t>Refer to Outcomes Framework Technical group.</w:t>
            </w:r>
          </w:p>
        </w:tc>
      </w:tr>
      <w:tr w:rsidR="00F323F9" w:rsidRPr="00485ED6" w14:paraId="3370331E" w14:textId="77777777" w:rsidTr="005A779B">
        <w:tc>
          <w:tcPr>
            <w:tcW w:w="1180" w:type="pct"/>
          </w:tcPr>
          <w:p w14:paraId="4694C844" w14:textId="77777777" w:rsidR="00C209D9" w:rsidRPr="00485ED6" w:rsidRDefault="00C209D9" w:rsidP="00F323F9">
            <w:r w:rsidRPr="00485ED6">
              <w:rPr>
                <w:b/>
              </w:rPr>
              <w:t>Recommendation 7</w:t>
            </w:r>
          </w:p>
        </w:tc>
        <w:tc>
          <w:tcPr>
            <w:tcW w:w="2364" w:type="pct"/>
          </w:tcPr>
          <w:p w14:paraId="54D3A7C0" w14:textId="77777777" w:rsidR="00C209D9" w:rsidRPr="00485ED6" w:rsidRDefault="00C209D9" w:rsidP="00F323F9">
            <w:r w:rsidRPr="00485ED6">
              <w:t>MRG to review ICD10 selection when available</w:t>
            </w:r>
          </w:p>
        </w:tc>
        <w:tc>
          <w:tcPr>
            <w:tcW w:w="1456" w:type="pct"/>
          </w:tcPr>
          <w:p w14:paraId="56D762CA" w14:textId="77777777" w:rsidR="00C209D9" w:rsidRPr="00485ED6" w:rsidRDefault="00C209D9" w:rsidP="00F323F9">
            <w:r w:rsidRPr="00485ED6">
              <w:t>CLOSED</w:t>
            </w:r>
          </w:p>
          <w:p w14:paraId="1FF5CAC2" w14:textId="77777777" w:rsidR="00C209D9" w:rsidRPr="00485ED6" w:rsidRDefault="00C209D9" w:rsidP="00F323F9">
            <w:r w:rsidRPr="00485ED6">
              <w:t>See recommendation 2011/16</w:t>
            </w:r>
          </w:p>
        </w:tc>
      </w:tr>
      <w:tr w:rsidR="00F323F9" w:rsidRPr="00485ED6" w14:paraId="731B329F" w14:textId="77777777" w:rsidTr="005A779B">
        <w:tc>
          <w:tcPr>
            <w:tcW w:w="1180" w:type="pct"/>
          </w:tcPr>
          <w:p w14:paraId="7265DA0A" w14:textId="77777777" w:rsidR="00C209D9" w:rsidRPr="00485ED6" w:rsidRDefault="00C209D9" w:rsidP="00F323F9">
            <w:pPr>
              <w:rPr>
                <w:b/>
              </w:rPr>
            </w:pPr>
            <w:r w:rsidRPr="00485ED6">
              <w:rPr>
                <w:b/>
              </w:rPr>
              <w:lastRenderedPageBreak/>
              <w:t>Recommendation 9</w:t>
            </w:r>
          </w:p>
        </w:tc>
        <w:tc>
          <w:tcPr>
            <w:tcW w:w="2364" w:type="pct"/>
          </w:tcPr>
          <w:p w14:paraId="486AB129" w14:textId="77777777" w:rsidR="00C209D9" w:rsidRPr="00485ED6" w:rsidRDefault="00C209D9" w:rsidP="00F323F9">
            <w:r w:rsidRPr="00485ED6">
              <w:t>Investigate whether would benefit from standardisation (gender and/or deprivation). Report back to MRG.</w:t>
            </w:r>
          </w:p>
        </w:tc>
        <w:tc>
          <w:tcPr>
            <w:tcW w:w="1456" w:type="pct"/>
          </w:tcPr>
          <w:p w14:paraId="401B51BA" w14:textId="77777777" w:rsidR="00C209D9" w:rsidRPr="00485ED6" w:rsidRDefault="00C209D9" w:rsidP="00F323F9">
            <w:r w:rsidRPr="00485ED6">
              <w:t>ONGOING</w:t>
            </w:r>
          </w:p>
        </w:tc>
      </w:tr>
    </w:tbl>
    <w:p w14:paraId="7571E6BC" w14:textId="77777777" w:rsidR="00C209D9" w:rsidRPr="00485ED6" w:rsidRDefault="00C209D9" w:rsidP="00F323F9"/>
    <w:p w14:paraId="2DADA692" w14:textId="77777777" w:rsidR="00C209D9" w:rsidRPr="00485ED6" w:rsidRDefault="00C209D9" w:rsidP="00F323F9">
      <w:r w:rsidRPr="00485ED6">
        <w:rPr>
          <w:b/>
        </w:rPr>
        <w:t>Domain 2</w:t>
      </w:r>
      <w:r w:rsidRPr="00485ED6">
        <w:t xml:space="preserve"> - Unplanned hospitalisation for asthma, diabetes and epilepsy in under 19s   </w:t>
      </w:r>
    </w:p>
    <w:p w14:paraId="79DBF4A5" w14:textId="77777777" w:rsidR="00C209D9" w:rsidRPr="00485ED6" w:rsidRDefault="00C209D9" w:rsidP="00F323F9"/>
    <w:tbl>
      <w:tblPr>
        <w:tblStyle w:val="TableGrid"/>
        <w:tblW w:w="5000" w:type="pct"/>
        <w:tblLook w:val="01E0" w:firstRow="1" w:lastRow="1" w:firstColumn="1" w:lastColumn="1" w:noHBand="0" w:noVBand="0"/>
      </w:tblPr>
      <w:tblGrid>
        <w:gridCol w:w="2406"/>
        <w:gridCol w:w="4820"/>
        <w:gridCol w:w="2968"/>
      </w:tblGrid>
      <w:tr w:rsidR="00F323F9" w:rsidRPr="00485ED6" w14:paraId="12A8D892" w14:textId="77777777" w:rsidTr="005A779B">
        <w:tc>
          <w:tcPr>
            <w:tcW w:w="1180" w:type="pct"/>
          </w:tcPr>
          <w:p w14:paraId="06455455" w14:textId="77777777" w:rsidR="00C209D9" w:rsidRPr="00485ED6" w:rsidRDefault="00C209D9" w:rsidP="00F323F9">
            <w:pPr>
              <w:spacing w:before="120" w:after="120"/>
              <w:rPr>
                <w:b/>
              </w:rPr>
            </w:pPr>
            <w:r w:rsidRPr="00485ED6">
              <w:rPr>
                <w:b/>
              </w:rPr>
              <w:t>Recommendation 10</w:t>
            </w:r>
          </w:p>
        </w:tc>
        <w:tc>
          <w:tcPr>
            <w:tcW w:w="2364" w:type="pct"/>
          </w:tcPr>
          <w:p w14:paraId="2CC0F40E" w14:textId="77777777" w:rsidR="00C209D9" w:rsidRPr="00485ED6" w:rsidRDefault="00C209D9" w:rsidP="00F323F9">
            <w:r w:rsidRPr="00485ED6">
              <w:t xml:space="preserve">See earlier recommendations on use of direct standardisation and </w:t>
            </w:r>
            <w:smartTag w:uri="urn:schemas-microsoft-com:office:smarttags" w:element="country-region">
              <w:smartTag w:uri="urn:schemas-microsoft-com:office:smarttags" w:element="place">
                <w:r w:rsidRPr="00485ED6">
                  <w:t>UK</w:t>
                </w:r>
              </w:smartTag>
            </w:smartTag>
            <w:r w:rsidRPr="00485ED6">
              <w:t xml:space="preserve"> population.</w:t>
            </w:r>
          </w:p>
        </w:tc>
        <w:tc>
          <w:tcPr>
            <w:tcW w:w="1456" w:type="pct"/>
          </w:tcPr>
          <w:p w14:paraId="015F9940" w14:textId="77777777" w:rsidR="00C209D9" w:rsidRPr="00485ED6" w:rsidRDefault="00C209D9" w:rsidP="00F323F9">
            <w:r w:rsidRPr="00485ED6">
              <w:t>ONGOING</w:t>
            </w:r>
          </w:p>
          <w:p w14:paraId="4B86EFC3" w14:textId="77777777" w:rsidR="00C209D9" w:rsidRPr="00485ED6" w:rsidRDefault="00C209D9" w:rsidP="00F323F9">
            <w:r w:rsidRPr="00485ED6">
              <w:t>Refer to Outcomes Framework Technical group.</w:t>
            </w:r>
          </w:p>
        </w:tc>
      </w:tr>
      <w:tr w:rsidR="00F323F9" w:rsidRPr="00485ED6" w14:paraId="5D27C3CF" w14:textId="77777777" w:rsidTr="005A779B">
        <w:tc>
          <w:tcPr>
            <w:tcW w:w="1180" w:type="pct"/>
          </w:tcPr>
          <w:p w14:paraId="728917FA" w14:textId="77777777" w:rsidR="00C209D9" w:rsidRPr="00485ED6" w:rsidRDefault="00C209D9" w:rsidP="00F323F9">
            <w:pPr>
              <w:spacing w:before="120" w:after="120"/>
              <w:rPr>
                <w:b/>
              </w:rPr>
            </w:pPr>
            <w:r w:rsidRPr="00485ED6">
              <w:rPr>
                <w:b/>
              </w:rPr>
              <w:t>Recommendation 11</w:t>
            </w:r>
          </w:p>
        </w:tc>
        <w:tc>
          <w:tcPr>
            <w:tcW w:w="2364" w:type="pct"/>
          </w:tcPr>
          <w:p w14:paraId="1069C1D7" w14:textId="77777777" w:rsidR="00C209D9" w:rsidRPr="00485ED6" w:rsidRDefault="00C209D9" w:rsidP="00F323F9">
            <w:r w:rsidRPr="00485ED6">
              <w:t>Investigate construction of CIP spells and ensure same construction used throughout this indicator set. Report back to MRG if necessary.</w:t>
            </w:r>
          </w:p>
        </w:tc>
        <w:tc>
          <w:tcPr>
            <w:tcW w:w="1456" w:type="pct"/>
          </w:tcPr>
          <w:p w14:paraId="443E1DDC" w14:textId="77777777" w:rsidR="00C209D9" w:rsidRPr="00485ED6" w:rsidRDefault="00C209D9" w:rsidP="00F323F9">
            <w:r w:rsidRPr="00485ED6">
              <w:t>CLOSED</w:t>
            </w:r>
          </w:p>
          <w:p w14:paraId="1E0C6913" w14:textId="77777777" w:rsidR="00C209D9" w:rsidRPr="00485ED6" w:rsidRDefault="00C209D9" w:rsidP="00F323F9">
            <w:r w:rsidRPr="00485ED6">
              <w:t>See recommendation 2011/17</w:t>
            </w:r>
          </w:p>
        </w:tc>
      </w:tr>
      <w:tr w:rsidR="00F323F9" w:rsidRPr="00485ED6" w14:paraId="04967289" w14:textId="77777777" w:rsidTr="005A779B">
        <w:tc>
          <w:tcPr>
            <w:tcW w:w="1180" w:type="pct"/>
          </w:tcPr>
          <w:p w14:paraId="598FC818" w14:textId="77777777" w:rsidR="00C209D9" w:rsidRPr="00485ED6" w:rsidRDefault="00C209D9" w:rsidP="00F323F9">
            <w:pPr>
              <w:spacing w:before="120" w:after="120"/>
              <w:rPr>
                <w:b/>
              </w:rPr>
            </w:pPr>
            <w:r w:rsidRPr="00485ED6">
              <w:rPr>
                <w:b/>
              </w:rPr>
              <w:t>Recommendation 12</w:t>
            </w:r>
          </w:p>
        </w:tc>
        <w:tc>
          <w:tcPr>
            <w:tcW w:w="2364" w:type="pct"/>
          </w:tcPr>
          <w:p w14:paraId="7BFC3022" w14:textId="77777777" w:rsidR="00C209D9" w:rsidRPr="00485ED6" w:rsidRDefault="00C209D9" w:rsidP="00F323F9">
            <w:r w:rsidRPr="00485ED6">
              <w:t>Investigate definition of emergency, report back to MRG on any lack of inconsistency with exiting indicators if no apparent reasoning</w:t>
            </w:r>
          </w:p>
        </w:tc>
        <w:tc>
          <w:tcPr>
            <w:tcW w:w="1456" w:type="pct"/>
          </w:tcPr>
          <w:p w14:paraId="14CF8C61" w14:textId="77777777" w:rsidR="00C209D9" w:rsidRPr="00485ED6" w:rsidRDefault="00C209D9" w:rsidP="00F323F9">
            <w:r w:rsidRPr="00485ED6">
              <w:t>CLOSED</w:t>
            </w:r>
          </w:p>
          <w:p w14:paraId="79491ACF" w14:textId="77777777" w:rsidR="00C209D9" w:rsidRPr="00485ED6" w:rsidRDefault="00C209D9" w:rsidP="00F323F9">
            <w:r w:rsidRPr="00485ED6">
              <w:t>Consistency in definition exists.</w:t>
            </w:r>
          </w:p>
        </w:tc>
      </w:tr>
    </w:tbl>
    <w:p w14:paraId="1AB4A4A6" w14:textId="77777777" w:rsidR="00C209D9" w:rsidRPr="00485ED6" w:rsidRDefault="00C209D9" w:rsidP="00F323F9"/>
    <w:p w14:paraId="1F1D3498" w14:textId="77777777" w:rsidR="00C209D9" w:rsidRPr="00485ED6" w:rsidRDefault="00C209D9" w:rsidP="00F323F9"/>
    <w:p w14:paraId="3E777F37" w14:textId="77777777" w:rsidR="00C209D9" w:rsidRPr="00485ED6" w:rsidRDefault="00C209D9" w:rsidP="00F323F9">
      <w:pPr>
        <w:rPr>
          <w:b/>
        </w:rPr>
      </w:pPr>
      <w:r w:rsidRPr="00485ED6">
        <w:rPr>
          <w:b/>
        </w:rPr>
        <w:t>Domain 5</w:t>
      </w:r>
    </w:p>
    <w:p w14:paraId="09582C36" w14:textId="77777777" w:rsidR="00C209D9" w:rsidRPr="00485ED6" w:rsidRDefault="00C209D9" w:rsidP="00F323F9">
      <w:r w:rsidRPr="00485ED6">
        <w:t>Patient Safety Incidents Reported</w:t>
      </w:r>
    </w:p>
    <w:p w14:paraId="16A4D52F" w14:textId="77777777" w:rsidR="00C209D9" w:rsidRPr="00485ED6" w:rsidRDefault="00C209D9" w:rsidP="00F323F9">
      <w:r w:rsidRPr="00485ED6">
        <w:t>Severity of harm of patient safety incidents reported</w:t>
      </w:r>
    </w:p>
    <w:p w14:paraId="4C931D14" w14:textId="77777777" w:rsidR="00C209D9" w:rsidRPr="00485ED6" w:rsidRDefault="00C209D9" w:rsidP="00F323F9"/>
    <w:tbl>
      <w:tblPr>
        <w:tblStyle w:val="TableGrid"/>
        <w:tblW w:w="10227" w:type="dxa"/>
        <w:tblLook w:val="04A0" w:firstRow="1" w:lastRow="0" w:firstColumn="1" w:lastColumn="0" w:noHBand="0" w:noVBand="1"/>
      </w:tblPr>
      <w:tblGrid>
        <w:gridCol w:w="2405"/>
        <w:gridCol w:w="4820"/>
        <w:gridCol w:w="3002"/>
      </w:tblGrid>
      <w:tr w:rsidR="00F323F9" w:rsidRPr="00485ED6" w14:paraId="7C74F6A5" w14:textId="77777777" w:rsidTr="005A779B">
        <w:trPr>
          <w:trHeight w:val="747"/>
        </w:trPr>
        <w:tc>
          <w:tcPr>
            <w:tcW w:w="2405" w:type="dxa"/>
          </w:tcPr>
          <w:p w14:paraId="42CF5A2A" w14:textId="77777777" w:rsidR="00C209D9" w:rsidRPr="00485ED6" w:rsidRDefault="00C209D9" w:rsidP="00F323F9">
            <w:r w:rsidRPr="00485ED6">
              <w:rPr>
                <w:b/>
              </w:rPr>
              <w:t>Recommendation 13</w:t>
            </w:r>
          </w:p>
        </w:tc>
        <w:tc>
          <w:tcPr>
            <w:tcW w:w="4820" w:type="dxa"/>
          </w:tcPr>
          <w:p w14:paraId="27C2C531" w14:textId="77777777" w:rsidR="00C209D9" w:rsidRPr="00485ED6" w:rsidRDefault="00C209D9" w:rsidP="005A779B">
            <w:r w:rsidRPr="00485ED6">
              <w:t>Ensure caveats around this data source are made clear:</w:t>
            </w:r>
          </w:p>
          <w:p w14:paraId="7613AAA9" w14:textId="77777777" w:rsidR="00C209D9" w:rsidRPr="00485ED6" w:rsidRDefault="00C209D9" w:rsidP="005A779B">
            <w:pPr>
              <w:numPr>
                <w:ilvl w:val="0"/>
                <w:numId w:val="14"/>
              </w:numPr>
              <w:spacing w:after="60"/>
            </w:pPr>
            <w:r w:rsidRPr="00485ED6">
              <w:t>Under reporting and any likely effect on summary data</w:t>
            </w:r>
          </w:p>
          <w:p w14:paraId="6B8708A2" w14:textId="77777777" w:rsidR="00C209D9" w:rsidRPr="00485ED6" w:rsidRDefault="00C209D9" w:rsidP="005A779B">
            <w:pPr>
              <w:numPr>
                <w:ilvl w:val="0"/>
                <w:numId w:val="14"/>
              </w:numPr>
              <w:spacing w:after="60"/>
            </w:pPr>
            <w:r w:rsidRPr="00485ED6">
              <w:t>Whether present at admission – dealt with differently by different organisations</w:t>
            </w:r>
          </w:p>
          <w:p w14:paraId="366316C7" w14:textId="77777777" w:rsidR="00C209D9" w:rsidRPr="00485ED6" w:rsidRDefault="00C209D9" w:rsidP="005A779B">
            <w:pPr>
              <w:numPr>
                <w:ilvl w:val="0"/>
                <w:numId w:val="14"/>
              </w:numPr>
              <w:spacing w:after="60"/>
            </w:pPr>
            <w:r w:rsidRPr="00485ED6">
              <w:t>Whether avoidable or not</w:t>
            </w:r>
          </w:p>
          <w:p w14:paraId="126DA7BD" w14:textId="77777777" w:rsidR="00C209D9" w:rsidRPr="00485ED6" w:rsidRDefault="00C209D9" w:rsidP="005A779B">
            <w:pPr>
              <w:numPr>
                <w:ilvl w:val="0"/>
                <w:numId w:val="14"/>
              </w:numPr>
              <w:spacing w:after="60"/>
            </w:pPr>
            <w:r w:rsidRPr="00485ED6">
              <w:t>Some incidents will occur after discharge</w:t>
            </w:r>
          </w:p>
          <w:p w14:paraId="13C8B02A" w14:textId="77777777" w:rsidR="00C209D9" w:rsidRPr="00485ED6" w:rsidRDefault="00C209D9" w:rsidP="00F323F9"/>
        </w:tc>
        <w:tc>
          <w:tcPr>
            <w:tcW w:w="3002" w:type="dxa"/>
          </w:tcPr>
          <w:p w14:paraId="151AFF12" w14:textId="77777777" w:rsidR="00C209D9" w:rsidRPr="00485ED6" w:rsidRDefault="00C209D9" w:rsidP="00F323F9">
            <w:r w:rsidRPr="00485ED6">
              <w:t>CLOSED</w:t>
            </w:r>
          </w:p>
          <w:p w14:paraId="47B817C7" w14:textId="51582D79" w:rsidR="00C209D9" w:rsidRPr="00485ED6" w:rsidRDefault="00C209D9" w:rsidP="00F323F9">
            <w:r w:rsidRPr="00485ED6">
              <w:t xml:space="preserve">Include in </w:t>
            </w:r>
            <w:r w:rsidR="005A779B">
              <w:t>i</w:t>
            </w:r>
            <w:r w:rsidRPr="00485ED6">
              <w:t>ndicator specification/indicator quality summary.</w:t>
            </w:r>
          </w:p>
        </w:tc>
      </w:tr>
      <w:tr w:rsidR="00F323F9" w:rsidRPr="00485ED6" w14:paraId="7D22E752" w14:textId="77777777" w:rsidTr="005A779B">
        <w:trPr>
          <w:trHeight w:val="585"/>
        </w:trPr>
        <w:tc>
          <w:tcPr>
            <w:tcW w:w="2405" w:type="dxa"/>
          </w:tcPr>
          <w:p w14:paraId="2E27117A" w14:textId="77777777" w:rsidR="00C209D9" w:rsidRPr="00485ED6" w:rsidRDefault="00C209D9" w:rsidP="00F323F9">
            <w:r w:rsidRPr="00485ED6">
              <w:rPr>
                <w:b/>
              </w:rPr>
              <w:t>Recommendation 14a</w:t>
            </w:r>
          </w:p>
        </w:tc>
        <w:tc>
          <w:tcPr>
            <w:tcW w:w="4820" w:type="dxa"/>
          </w:tcPr>
          <w:p w14:paraId="2BD640C6" w14:textId="77777777" w:rsidR="00C209D9" w:rsidRPr="00485ED6" w:rsidRDefault="00C209D9" w:rsidP="00F323F9">
            <w:r w:rsidRPr="00485ED6">
              <w:t xml:space="preserve">Review alternative denominators to bed days as a measure of exposure to risk </w:t>
            </w:r>
            <w:proofErr w:type="spellStart"/>
            <w:r w:rsidRPr="00485ED6">
              <w:t>ie</w:t>
            </w:r>
            <w:proofErr w:type="spellEnd"/>
            <w:r w:rsidRPr="00485ED6">
              <w:t xml:space="preserve"> admission and population. Report back to MRG and QIC.</w:t>
            </w:r>
          </w:p>
          <w:p w14:paraId="557FC265" w14:textId="77777777" w:rsidR="00C209D9" w:rsidRPr="00485ED6" w:rsidRDefault="00C209D9" w:rsidP="00F323F9"/>
        </w:tc>
        <w:tc>
          <w:tcPr>
            <w:tcW w:w="3002" w:type="dxa"/>
          </w:tcPr>
          <w:p w14:paraId="21518E0F" w14:textId="77777777" w:rsidR="00C209D9" w:rsidRPr="00485ED6" w:rsidRDefault="00C209D9" w:rsidP="00F323F9">
            <w:r w:rsidRPr="00485ED6">
              <w:t>CLOSED</w:t>
            </w:r>
          </w:p>
          <w:p w14:paraId="50C3A878" w14:textId="77777777" w:rsidR="00C209D9" w:rsidRPr="00485ED6" w:rsidRDefault="00C209D9" w:rsidP="00F323F9">
            <w:r w:rsidRPr="00485ED6">
              <w:t xml:space="preserve">Agreed (with DH and NPSA) population will be used. </w:t>
            </w:r>
          </w:p>
        </w:tc>
      </w:tr>
      <w:tr w:rsidR="00F323F9" w:rsidRPr="00485ED6" w14:paraId="65BE9FCE" w14:textId="77777777" w:rsidTr="005A779B">
        <w:trPr>
          <w:trHeight w:val="585"/>
        </w:trPr>
        <w:tc>
          <w:tcPr>
            <w:tcW w:w="2405" w:type="dxa"/>
          </w:tcPr>
          <w:p w14:paraId="3F112BED" w14:textId="77777777" w:rsidR="00C209D9" w:rsidRPr="00485ED6" w:rsidRDefault="00C209D9" w:rsidP="00F323F9">
            <w:pPr>
              <w:rPr>
                <w:b/>
              </w:rPr>
            </w:pPr>
            <w:r w:rsidRPr="00485ED6">
              <w:rPr>
                <w:b/>
              </w:rPr>
              <w:t>Recommendation 14b</w:t>
            </w:r>
          </w:p>
        </w:tc>
        <w:tc>
          <w:tcPr>
            <w:tcW w:w="4820" w:type="dxa"/>
          </w:tcPr>
          <w:p w14:paraId="10CEF5BF" w14:textId="77777777" w:rsidR="00C209D9" w:rsidRPr="00485ED6" w:rsidRDefault="00C209D9" w:rsidP="00F323F9">
            <w:r w:rsidRPr="00485ED6">
              <w:t>Clarify occurrence of multiple incidents for the same patient reflecting if and how these should be treated</w:t>
            </w:r>
          </w:p>
        </w:tc>
        <w:tc>
          <w:tcPr>
            <w:tcW w:w="3002" w:type="dxa"/>
          </w:tcPr>
          <w:p w14:paraId="6EB66146" w14:textId="77777777" w:rsidR="00C209D9" w:rsidRPr="00485ED6" w:rsidRDefault="00C209D9" w:rsidP="00F323F9"/>
        </w:tc>
      </w:tr>
    </w:tbl>
    <w:p w14:paraId="5D0598E5" w14:textId="77777777" w:rsidR="00C209D9" w:rsidRPr="00485ED6" w:rsidRDefault="00C209D9"/>
    <w:p w14:paraId="3AC77B15" w14:textId="77777777" w:rsidR="00C209D9" w:rsidRPr="00485ED6" w:rsidRDefault="00C209D9">
      <w:r w:rsidRPr="00485ED6">
        <w:t>Incidence of healthcare associated infections – MRSA</w:t>
      </w:r>
    </w:p>
    <w:p w14:paraId="11C9B211" w14:textId="77777777" w:rsidR="00C209D9" w:rsidRPr="00485ED6" w:rsidRDefault="00C209D9">
      <w:r w:rsidRPr="00485ED6">
        <w:t xml:space="preserve">Incidence of healthcare associated infections – </w:t>
      </w:r>
      <w:r w:rsidRPr="00485ED6">
        <w:rPr>
          <w:i/>
        </w:rPr>
        <w:t>C difficile</w:t>
      </w:r>
    </w:p>
    <w:tbl>
      <w:tblPr>
        <w:tblStyle w:val="TableGrid"/>
        <w:tblW w:w="10177" w:type="dxa"/>
        <w:tblLook w:val="04A0" w:firstRow="1" w:lastRow="0" w:firstColumn="1" w:lastColumn="0" w:noHBand="0" w:noVBand="1"/>
      </w:tblPr>
      <w:tblGrid>
        <w:gridCol w:w="2547"/>
        <w:gridCol w:w="4678"/>
        <w:gridCol w:w="2952"/>
      </w:tblGrid>
      <w:tr w:rsidR="00F323F9" w:rsidRPr="00485ED6" w14:paraId="5CF395CF" w14:textId="77777777" w:rsidTr="005A779B">
        <w:trPr>
          <w:trHeight w:val="758"/>
        </w:trPr>
        <w:tc>
          <w:tcPr>
            <w:tcW w:w="2547" w:type="dxa"/>
          </w:tcPr>
          <w:p w14:paraId="01C0FD10" w14:textId="77777777" w:rsidR="00C209D9" w:rsidRPr="00485ED6" w:rsidRDefault="00C209D9" w:rsidP="00F323F9">
            <w:r w:rsidRPr="00485ED6">
              <w:rPr>
                <w:b/>
              </w:rPr>
              <w:t>Recommendation 15a</w:t>
            </w:r>
          </w:p>
        </w:tc>
        <w:tc>
          <w:tcPr>
            <w:tcW w:w="4678" w:type="dxa"/>
          </w:tcPr>
          <w:p w14:paraId="63B8FBD8" w14:textId="77777777" w:rsidR="00C209D9" w:rsidRPr="00485ED6" w:rsidRDefault="00C209D9" w:rsidP="00F323F9">
            <w:r w:rsidRPr="00485ED6">
              <w:t xml:space="preserve">Review use of bed days as denominator and ability of KH03 to provide this (aggregate return?). </w:t>
            </w:r>
          </w:p>
          <w:p w14:paraId="4AA26DAE" w14:textId="77777777" w:rsidR="00C209D9" w:rsidRPr="00485ED6" w:rsidRDefault="00C209D9" w:rsidP="00F323F9"/>
        </w:tc>
        <w:tc>
          <w:tcPr>
            <w:tcW w:w="2952" w:type="dxa"/>
          </w:tcPr>
          <w:p w14:paraId="54567F61" w14:textId="77777777" w:rsidR="00C209D9" w:rsidRPr="00485ED6" w:rsidRDefault="00C209D9" w:rsidP="00F323F9">
            <w:r w:rsidRPr="00485ED6">
              <w:t>ONGOING</w:t>
            </w:r>
          </w:p>
          <w:p w14:paraId="15619DE8" w14:textId="77777777" w:rsidR="00C209D9" w:rsidRPr="00485ED6" w:rsidRDefault="00C209D9" w:rsidP="00F323F9">
            <w:r w:rsidRPr="00485ED6">
              <w:t>Likely that population will be used. Seeking HPA agreement.</w:t>
            </w:r>
          </w:p>
        </w:tc>
      </w:tr>
      <w:tr w:rsidR="00F323F9" w:rsidRPr="00485ED6" w14:paraId="6BBAE1D7" w14:textId="77777777" w:rsidTr="005A779B">
        <w:trPr>
          <w:trHeight w:val="758"/>
        </w:trPr>
        <w:tc>
          <w:tcPr>
            <w:tcW w:w="2547" w:type="dxa"/>
          </w:tcPr>
          <w:p w14:paraId="07C71FD0" w14:textId="77777777" w:rsidR="00C209D9" w:rsidRPr="00485ED6" w:rsidRDefault="00C209D9" w:rsidP="00F323F9">
            <w:r w:rsidRPr="00485ED6">
              <w:rPr>
                <w:b/>
              </w:rPr>
              <w:t>Recommendation 15b</w:t>
            </w:r>
          </w:p>
        </w:tc>
        <w:tc>
          <w:tcPr>
            <w:tcW w:w="4678" w:type="dxa"/>
          </w:tcPr>
          <w:p w14:paraId="7D1C1A78" w14:textId="77777777" w:rsidR="00C209D9" w:rsidRPr="00485ED6" w:rsidRDefault="00C209D9" w:rsidP="00F323F9">
            <w:r w:rsidRPr="00485ED6">
              <w:t>Investigate suitability of SPC based on numbers or rates to see variation from expected. Report back to MRG and QIC.</w:t>
            </w:r>
          </w:p>
        </w:tc>
        <w:tc>
          <w:tcPr>
            <w:tcW w:w="2952" w:type="dxa"/>
          </w:tcPr>
          <w:p w14:paraId="3A30585E" w14:textId="77777777" w:rsidR="00C209D9" w:rsidRPr="00485ED6" w:rsidRDefault="00C209D9" w:rsidP="00F323F9">
            <w:r w:rsidRPr="00485ED6">
              <w:t>ONGOING</w:t>
            </w:r>
          </w:p>
        </w:tc>
      </w:tr>
      <w:tr w:rsidR="00F323F9" w:rsidRPr="00485ED6" w14:paraId="043D81F2" w14:textId="77777777" w:rsidTr="005A779B">
        <w:trPr>
          <w:trHeight w:val="758"/>
        </w:trPr>
        <w:tc>
          <w:tcPr>
            <w:tcW w:w="2547" w:type="dxa"/>
          </w:tcPr>
          <w:p w14:paraId="7B76F12F" w14:textId="77777777" w:rsidR="00C209D9" w:rsidRPr="00485ED6" w:rsidRDefault="00C209D9" w:rsidP="00F323F9">
            <w:pPr>
              <w:rPr>
                <w:b/>
              </w:rPr>
            </w:pPr>
            <w:r w:rsidRPr="00485ED6">
              <w:rPr>
                <w:b/>
              </w:rPr>
              <w:lastRenderedPageBreak/>
              <w:t>*NEW* Recommendation 15c</w:t>
            </w:r>
          </w:p>
        </w:tc>
        <w:tc>
          <w:tcPr>
            <w:tcW w:w="4678" w:type="dxa"/>
          </w:tcPr>
          <w:p w14:paraId="1D0F907D" w14:textId="77777777" w:rsidR="00C209D9" w:rsidRPr="00485ED6" w:rsidRDefault="00C209D9" w:rsidP="00F323F9">
            <w:r w:rsidRPr="00485ED6">
              <w:t>Use total count or counts that can be apportioned to trusts? HPA publish both.</w:t>
            </w:r>
          </w:p>
        </w:tc>
        <w:tc>
          <w:tcPr>
            <w:tcW w:w="2952" w:type="dxa"/>
          </w:tcPr>
          <w:p w14:paraId="7926BAFD" w14:textId="77777777" w:rsidR="00C209D9" w:rsidRPr="00485ED6" w:rsidRDefault="00C209D9" w:rsidP="00F323F9">
            <w:r w:rsidRPr="00485ED6">
              <w:t>ONGOING</w:t>
            </w:r>
          </w:p>
          <w:p w14:paraId="5DE062DC" w14:textId="77777777" w:rsidR="00C209D9" w:rsidRPr="00485ED6" w:rsidRDefault="00C209D9" w:rsidP="00F323F9">
            <w:r w:rsidRPr="00485ED6">
              <w:t>DH and HPA advice to be sought.</w:t>
            </w:r>
          </w:p>
        </w:tc>
      </w:tr>
    </w:tbl>
    <w:p w14:paraId="46AEC33B" w14:textId="77777777" w:rsidR="00C209D9" w:rsidRPr="00485ED6" w:rsidRDefault="00C209D9" w:rsidP="00F323F9"/>
    <w:p w14:paraId="39848F9E" w14:textId="77777777" w:rsidR="00C209D9" w:rsidRPr="00485ED6" w:rsidRDefault="00C209D9" w:rsidP="00F323F9">
      <w:r w:rsidRPr="00485ED6">
        <w:t xml:space="preserve">All domains but with particular reference to </w:t>
      </w:r>
      <w:r w:rsidRPr="00485ED6">
        <w:rPr>
          <w:b/>
        </w:rPr>
        <w:t>Domain 1</w:t>
      </w:r>
    </w:p>
    <w:p w14:paraId="2D866A6E" w14:textId="77777777" w:rsidR="00C209D9" w:rsidRPr="00485ED6" w:rsidRDefault="00C209D9" w:rsidP="00F323F9"/>
    <w:tbl>
      <w:tblPr>
        <w:tblStyle w:val="TableGrid"/>
        <w:tblW w:w="0" w:type="auto"/>
        <w:tblLayout w:type="fixed"/>
        <w:tblLook w:val="01E0" w:firstRow="1" w:lastRow="1" w:firstColumn="1" w:lastColumn="1" w:noHBand="0" w:noVBand="0"/>
      </w:tblPr>
      <w:tblGrid>
        <w:gridCol w:w="2547"/>
        <w:gridCol w:w="3544"/>
        <w:gridCol w:w="4103"/>
      </w:tblGrid>
      <w:tr w:rsidR="00F323F9" w:rsidRPr="00485ED6" w14:paraId="2ACCC638" w14:textId="77777777" w:rsidTr="005A779B">
        <w:trPr>
          <w:trHeight w:val="6363"/>
        </w:trPr>
        <w:tc>
          <w:tcPr>
            <w:tcW w:w="2547" w:type="dxa"/>
          </w:tcPr>
          <w:p w14:paraId="18ADC31F" w14:textId="77777777" w:rsidR="00C209D9" w:rsidRPr="00485ED6" w:rsidRDefault="00C209D9" w:rsidP="00F323F9">
            <w:pPr>
              <w:rPr>
                <w:b/>
              </w:rPr>
            </w:pPr>
            <w:r w:rsidRPr="00485ED6">
              <w:rPr>
                <w:b/>
              </w:rPr>
              <w:t>Recommendation 2011/16</w:t>
            </w:r>
          </w:p>
        </w:tc>
        <w:tc>
          <w:tcPr>
            <w:tcW w:w="3544" w:type="dxa"/>
          </w:tcPr>
          <w:p w14:paraId="5D2348D6" w14:textId="77777777" w:rsidR="00C209D9" w:rsidRPr="00485ED6" w:rsidRDefault="00C209D9" w:rsidP="00F323F9">
            <w:r w:rsidRPr="00485ED6">
              <w:t>As the outcomes framework is to measure the performance of the NHS, the ICD10 codes should only be for conditions that the health service can have an impact on. The selection of each code should be driven by evidence that death due to the condition is potentially avoidable. Seek feedback from DH and refer back to MRG.</w:t>
            </w:r>
          </w:p>
        </w:tc>
        <w:tc>
          <w:tcPr>
            <w:tcW w:w="4103" w:type="dxa"/>
          </w:tcPr>
          <w:p w14:paraId="2DAE2C02" w14:textId="77777777" w:rsidR="00C209D9" w:rsidRPr="00485ED6" w:rsidRDefault="00C209D9" w:rsidP="005A779B">
            <w:r w:rsidRPr="00485ED6">
              <w:t>CLOSED</w:t>
            </w:r>
          </w:p>
          <w:p w14:paraId="0DDB22A5" w14:textId="77777777" w:rsidR="00C209D9" w:rsidRPr="00485ED6" w:rsidRDefault="00C209D9" w:rsidP="005A779B">
            <w:r w:rsidRPr="00485ED6">
              <w:t>Explanation from DH - The indicators in question are joint  indicators  with the Public Health Outcomes Framework and as such relate  to  both conditions that the NHS can have an impact on and those that  Public  Health  can  have  an impact on.   In fact we decided that '</w:t>
            </w:r>
            <w:proofErr w:type="spellStart"/>
            <w:r w:rsidRPr="00485ED6">
              <w:t>avoidability</w:t>
            </w:r>
            <w:proofErr w:type="spellEnd"/>
            <w:r w:rsidRPr="00485ED6">
              <w:t xml:space="preserve">'  was not going to be the criterion for inclusion of these ICD10  codes,  rather that </w:t>
            </w:r>
            <w:proofErr w:type="spellStart"/>
            <w:r w:rsidRPr="00485ED6">
              <w:t>SofS</w:t>
            </w:r>
            <w:proofErr w:type="spellEnd"/>
            <w:r w:rsidRPr="00485ED6">
              <w:t xml:space="preserve"> wants to monitor deaths from these three major  diseases  at  high  level. The  availability  of  international  comparisons was also an important factor.</w:t>
            </w:r>
          </w:p>
        </w:tc>
      </w:tr>
    </w:tbl>
    <w:p w14:paraId="0CDD279E" w14:textId="77777777" w:rsidR="00C209D9" w:rsidRPr="00485ED6" w:rsidRDefault="00C209D9" w:rsidP="00F323F9">
      <w:pPr>
        <w:rPr>
          <w:b/>
        </w:rPr>
      </w:pPr>
    </w:p>
    <w:p w14:paraId="1B4580A3" w14:textId="77777777" w:rsidR="00C209D9" w:rsidRPr="00485ED6" w:rsidRDefault="00C209D9" w:rsidP="00F323F9">
      <w:pPr>
        <w:rPr>
          <w:b/>
        </w:rPr>
      </w:pPr>
      <w:r w:rsidRPr="00485ED6">
        <w:rPr>
          <w:b/>
        </w:rPr>
        <w:t xml:space="preserve">Domain 2 - </w:t>
      </w:r>
      <w:r w:rsidRPr="00485ED6">
        <w:t xml:space="preserve">Unplanned hospitalisation for asthma, diabetes and epilepsy in under 19s   </w:t>
      </w:r>
    </w:p>
    <w:p w14:paraId="5464B572" w14:textId="77777777" w:rsidR="00C209D9" w:rsidRPr="00485ED6" w:rsidRDefault="00C209D9" w:rsidP="00F323F9">
      <w:r w:rsidRPr="00485ED6">
        <w:rPr>
          <w:b/>
        </w:rPr>
        <w:t xml:space="preserve"> </w:t>
      </w:r>
      <w:r w:rsidRPr="00485ED6">
        <w:t xml:space="preserve">Follow up from recommendation 11: </w:t>
      </w:r>
    </w:p>
    <w:p w14:paraId="3691B426" w14:textId="77777777" w:rsidR="00C209D9" w:rsidRPr="00485ED6" w:rsidRDefault="00C209D9" w:rsidP="00F323F9"/>
    <w:tbl>
      <w:tblPr>
        <w:tblStyle w:val="TableGrid"/>
        <w:tblW w:w="10006" w:type="dxa"/>
        <w:tblLook w:val="01E0" w:firstRow="1" w:lastRow="1" w:firstColumn="1" w:lastColumn="1" w:noHBand="0" w:noVBand="0"/>
      </w:tblPr>
      <w:tblGrid>
        <w:gridCol w:w="2547"/>
        <w:gridCol w:w="3544"/>
        <w:gridCol w:w="3915"/>
      </w:tblGrid>
      <w:tr w:rsidR="00C209D9" w:rsidRPr="00485ED6" w14:paraId="619F7450" w14:textId="77777777" w:rsidTr="005A779B">
        <w:trPr>
          <w:trHeight w:val="1308"/>
        </w:trPr>
        <w:tc>
          <w:tcPr>
            <w:tcW w:w="2547" w:type="dxa"/>
          </w:tcPr>
          <w:p w14:paraId="0EB8F890" w14:textId="77777777" w:rsidR="00C209D9" w:rsidRPr="00485ED6" w:rsidRDefault="00C209D9" w:rsidP="00F323F9">
            <w:pPr>
              <w:rPr>
                <w:b/>
              </w:rPr>
            </w:pPr>
            <w:r w:rsidRPr="00485ED6">
              <w:rPr>
                <w:b/>
              </w:rPr>
              <w:t>Recommendation 2011/17</w:t>
            </w:r>
          </w:p>
        </w:tc>
        <w:tc>
          <w:tcPr>
            <w:tcW w:w="3544" w:type="dxa"/>
          </w:tcPr>
          <w:p w14:paraId="69246F39" w14:textId="77777777" w:rsidR="00C209D9" w:rsidRPr="00485ED6" w:rsidRDefault="00C209D9" w:rsidP="00F323F9">
            <w:r w:rsidRPr="00485ED6">
              <w:t>Consistency across framework is important. Indicators based on admissions should use finished and unfinished spells. Indicators based on outcome and follow up of spells should use finished spells only. Seek agreement from DH to this approach.</w:t>
            </w:r>
          </w:p>
        </w:tc>
        <w:tc>
          <w:tcPr>
            <w:tcW w:w="3915" w:type="dxa"/>
          </w:tcPr>
          <w:p w14:paraId="35CBBF6A" w14:textId="77777777" w:rsidR="00C209D9" w:rsidRPr="00485ED6" w:rsidRDefault="00C209D9" w:rsidP="00F323F9">
            <w:r w:rsidRPr="00485ED6">
              <w:t>CLOSED</w:t>
            </w:r>
          </w:p>
          <w:p w14:paraId="647B19F3" w14:textId="77777777" w:rsidR="00C209D9" w:rsidRPr="00485ED6" w:rsidRDefault="00C209D9" w:rsidP="00F323F9">
            <w:r w:rsidRPr="00485ED6">
              <w:t>Agreement as recommended.</w:t>
            </w:r>
          </w:p>
        </w:tc>
      </w:tr>
    </w:tbl>
    <w:p w14:paraId="3D3E16A0" w14:textId="77777777" w:rsidR="00C209D9" w:rsidRPr="00485ED6" w:rsidRDefault="00C209D9"/>
    <w:p w14:paraId="11F6D1BE" w14:textId="77777777" w:rsidR="00C209D9" w:rsidRPr="00485ED6" w:rsidRDefault="00C209D9">
      <w:r w:rsidRPr="00485ED6">
        <w:t>Recommendation 12 closed</w:t>
      </w:r>
    </w:p>
    <w:p w14:paraId="44D922CA" w14:textId="77777777" w:rsidR="00C209D9" w:rsidRPr="00485ED6" w:rsidRDefault="00C209D9"/>
    <w:p w14:paraId="59188522" w14:textId="77777777" w:rsidR="00C209D9" w:rsidRPr="00485ED6" w:rsidRDefault="00C209D9">
      <w:pPr>
        <w:rPr>
          <w:b/>
        </w:rPr>
      </w:pPr>
      <w:r w:rsidRPr="00485ED6">
        <w:rPr>
          <w:b/>
        </w:rPr>
        <w:t>Domain 4</w:t>
      </w:r>
    </w:p>
    <w:p w14:paraId="1CB85CD2" w14:textId="77777777" w:rsidR="00C209D9" w:rsidRPr="00485ED6" w:rsidRDefault="00C209D9">
      <w:r w:rsidRPr="00485ED6">
        <w:t>Patient experience of hospital care</w:t>
      </w:r>
    </w:p>
    <w:p w14:paraId="67CD943E" w14:textId="77777777" w:rsidR="00C209D9" w:rsidRPr="00485ED6" w:rsidRDefault="00C209D9">
      <w:r w:rsidRPr="00485ED6">
        <w:t>Responsiveness to in-patients’ personal needs</w:t>
      </w:r>
    </w:p>
    <w:p w14:paraId="54BCF1F4" w14:textId="77777777" w:rsidR="00C209D9" w:rsidRPr="00485ED6" w:rsidRDefault="00C209D9"/>
    <w:tbl>
      <w:tblPr>
        <w:tblStyle w:val="TableGrid"/>
        <w:tblW w:w="9918" w:type="dxa"/>
        <w:tblLook w:val="01E0" w:firstRow="1" w:lastRow="1" w:firstColumn="1" w:lastColumn="1" w:noHBand="0" w:noVBand="0"/>
      </w:tblPr>
      <w:tblGrid>
        <w:gridCol w:w="2547"/>
        <w:gridCol w:w="3544"/>
        <w:gridCol w:w="3827"/>
      </w:tblGrid>
      <w:tr w:rsidR="00F323F9" w:rsidRPr="00485ED6" w14:paraId="38813D05" w14:textId="77777777" w:rsidTr="005A779B">
        <w:tc>
          <w:tcPr>
            <w:tcW w:w="2547" w:type="dxa"/>
          </w:tcPr>
          <w:p w14:paraId="6F9AF8E7" w14:textId="77777777" w:rsidR="00C209D9" w:rsidRPr="00485ED6" w:rsidRDefault="00C209D9" w:rsidP="00F323F9">
            <w:pPr>
              <w:rPr>
                <w:b/>
              </w:rPr>
            </w:pPr>
            <w:r w:rsidRPr="00485ED6">
              <w:rPr>
                <w:b/>
              </w:rPr>
              <w:t>Recommendation 2011/19</w:t>
            </w:r>
          </w:p>
        </w:tc>
        <w:tc>
          <w:tcPr>
            <w:tcW w:w="3544" w:type="dxa"/>
          </w:tcPr>
          <w:p w14:paraId="274B98E6" w14:textId="77777777" w:rsidR="00C209D9" w:rsidRPr="00485ED6" w:rsidRDefault="00C209D9" w:rsidP="00F323F9">
            <w:r w:rsidRPr="00485ED6">
              <w:t xml:space="preserve">National level indicator should be constructed from the lowest level data rather than from combining trust scores. The availability of </w:t>
            </w:r>
            <w:r w:rsidRPr="00485ED6">
              <w:lastRenderedPageBreak/>
              <w:t>this data should be investigated. DH to inform IC. Report back to MRG if not possible.</w:t>
            </w:r>
          </w:p>
        </w:tc>
        <w:tc>
          <w:tcPr>
            <w:tcW w:w="3827" w:type="dxa"/>
          </w:tcPr>
          <w:p w14:paraId="1A358773" w14:textId="77777777" w:rsidR="00C209D9" w:rsidRPr="00485ED6" w:rsidRDefault="00C209D9" w:rsidP="00F323F9">
            <w:r w:rsidRPr="00485ED6">
              <w:lastRenderedPageBreak/>
              <w:t>ONGOING</w:t>
            </w:r>
          </w:p>
          <w:p w14:paraId="1299FCBB" w14:textId="77777777" w:rsidR="00C209D9" w:rsidRPr="00485ED6" w:rsidRDefault="00C209D9" w:rsidP="00F323F9">
            <w:r w:rsidRPr="00485ED6">
              <w:t xml:space="preserve">Response from DH highlighted the methodology statement to be published with new data release in </w:t>
            </w:r>
            <w:r w:rsidRPr="00485ED6">
              <w:lastRenderedPageBreak/>
              <w:t>May which will address these issues in full. In the interim data supply will be based on national indicators a currently published.</w:t>
            </w:r>
          </w:p>
        </w:tc>
      </w:tr>
      <w:tr w:rsidR="00C209D9" w:rsidRPr="00485ED6" w14:paraId="45A30DB1" w14:textId="77777777" w:rsidTr="005A779B">
        <w:tc>
          <w:tcPr>
            <w:tcW w:w="2547" w:type="dxa"/>
          </w:tcPr>
          <w:p w14:paraId="510EAD4D" w14:textId="77777777" w:rsidR="00C209D9" w:rsidRPr="00485ED6" w:rsidRDefault="00C209D9" w:rsidP="00F323F9">
            <w:pPr>
              <w:rPr>
                <w:b/>
              </w:rPr>
            </w:pPr>
            <w:r w:rsidRPr="00485ED6">
              <w:rPr>
                <w:b/>
              </w:rPr>
              <w:lastRenderedPageBreak/>
              <w:t>Recommendation 2011/20</w:t>
            </w:r>
          </w:p>
        </w:tc>
        <w:tc>
          <w:tcPr>
            <w:tcW w:w="3544" w:type="dxa"/>
          </w:tcPr>
          <w:p w14:paraId="3B1B3D90" w14:textId="77777777" w:rsidR="00C209D9" w:rsidRPr="00485ED6" w:rsidRDefault="00C209D9" w:rsidP="00F323F9">
            <w:r w:rsidRPr="00485ED6">
              <w:t>Variation in response rates between trusts should be considered when aggregating to national level. DH to provide information. Report back to MRG if problems arise.</w:t>
            </w:r>
          </w:p>
        </w:tc>
        <w:tc>
          <w:tcPr>
            <w:tcW w:w="3827" w:type="dxa"/>
          </w:tcPr>
          <w:p w14:paraId="1F1587F2" w14:textId="77777777" w:rsidR="00C209D9" w:rsidRPr="00485ED6" w:rsidRDefault="00C209D9" w:rsidP="00F323F9">
            <w:r w:rsidRPr="00485ED6">
              <w:t>ONGOING</w:t>
            </w:r>
          </w:p>
          <w:p w14:paraId="180CFF19" w14:textId="77777777" w:rsidR="00C209D9" w:rsidRPr="00485ED6" w:rsidRDefault="00C209D9" w:rsidP="00F323F9">
            <w:r w:rsidRPr="00485ED6">
              <w:t>See above.</w:t>
            </w:r>
          </w:p>
        </w:tc>
      </w:tr>
    </w:tbl>
    <w:p w14:paraId="1B510E34" w14:textId="77777777" w:rsidR="00C209D9" w:rsidRPr="00485ED6" w:rsidRDefault="00C209D9"/>
    <w:p w14:paraId="0F9A9EA3" w14:textId="77777777" w:rsidR="00C209D9" w:rsidRPr="00485ED6" w:rsidRDefault="00C209D9"/>
    <w:p w14:paraId="39C47A1A" w14:textId="77777777" w:rsidR="00C209D9" w:rsidRPr="00485ED6" w:rsidRDefault="00C209D9">
      <w:pPr>
        <w:rPr>
          <w:b/>
        </w:rPr>
      </w:pPr>
      <w:r w:rsidRPr="00485ED6">
        <w:rPr>
          <w:b/>
        </w:rPr>
        <w:t>Domain 5</w:t>
      </w:r>
    </w:p>
    <w:p w14:paraId="418D1BB3" w14:textId="77777777" w:rsidR="00C209D9" w:rsidRPr="00485ED6" w:rsidRDefault="00C209D9">
      <w:r w:rsidRPr="00485ED6">
        <w:t>Incidence of medication errors causing serious harm</w:t>
      </w:r>
    </w:p>
    <w:p w14:paraId="5D6C7D37" w14:textId="77777777" w:rsidR="00C209D9" w:rsidRPr="00485ED6" w:rsidRDefault="00C209D9">
      <w:r w:rsidRPr="00485ED6">
        <w:t>Admission of full-term babies to neonatal care</w:t>
      </w:r>
    </w:p>
    <w:p w14:paraId="260C82FF" w14:textId="77777777" w:rsidR="00C209D9" w:rsidRPr="00485ED6" w:rsidRDefault="00C209D9">
      <w:pPr>
        <w:rPr>
          <w:b/>
        </w:rPr>
      </w:pPr>
    </w:p>
    <w:tbl>
      <w:tblPr>
        <w:tblStyle w:val="TableGrid"/>
        <w:tblW w:w="9856" w:type="dxa"/>
        <w:tblLook w:val="01E0" w:firstRow="1" w:lastRow="1" w:firstColumn="1" w:lastColumn="1" w:noHBand="0" w:noVBand="0"/>
      </w:tblPr>
      <w:tblGrid>
        <w:gridCol w:w="2547"/>
        <w:gridCol w:w="3544"/>
        <w:gridCol w:w="3765"/>
      </w:tblGrid>
      <w:tr w:rsidR="00F323F9" w:rsidRPr="005A779B" w14:paraId="607E2367" w14:textId="77777777" w:rsidTr="005A779B">
        <w:trPr>
          <w:trHeight w:val="3052"/>
        </w:trPr>
        <w:tc>
          <w:tcPr>
            <w:tcW w:w="2547" w:type="dxa"/>
          </w:tcPr>
          <w:p w14:paraId="490A2636" w14:textId="77777777" w:rsidR="00C209D9" w:rsidRPr="005A779B" w:rsidRDefault="00C209D9" w:rsidP="00F323F9">
            <w:pPr>
              <w:rPr>
                <w:b/>
              </w:rPr>
            </w:pPr>
            <w:r w:rsidRPr="005A779B">
              <w:rPr>
                <w:b/>
              </w:rPr>
              <w:t>Recommendation 2011/21</w:t>
            </w:r>
          </w:p>
        </w:tc>
        <w:tc>
          <w:tcPr>
            <w:tcW w:w="3544" w:type="dxa"/>
          </w:tcPr>
          <w:p w14:paraId="2568BA96" w14:textId="77777777" w:rsidR="00C209D9" w:rsidRPr="005A779B" w:rsidRDefault="00C209D9" w:rsidP="00F323F9">
            <w:r w:rsidRPr="005A779B">
              <w:t>Justification is requested on why medication has been selected as the incident type. DH to provide.</w:t>
            </w:r>
          </w:p>
        </w:tc>
        <w:tc>
          <w:tcPr>
            <w:tcW w:w="3765" w:type="dxa"/>
          </w:tcPr>
          <w:p w14:paraId="3DCAE595" w14:textId="77777777" w:rsidR="00C209D9" w:rsidRPr="005A779B" w:rsidRDefault="00C209D9" w:rsidP="00F323F9">
            <w:r w:rsidRPr="005A779B">
              <w:t>CLOSED</w:t>
            </w:r>
          </w:p>
          <w:p w14:paraId="2BD65DD8" w14:textId="77777777" w:rsidR="00C209D9" w:rsidRPr="005A779B" w:rsidRDefault="00C209D9" w:rsidP="00F323F9">
            <w:pPr>
              <w:pStyle w:val="PlainText"/>
              <w:rPr>
                <w:rFonts w:ascii="Arial" w:hAnsi="Arial"/>
                <w:sz w:val="22"/>
                <w:szCs w:val="22"/>
              </w:rPr>
            </w:pPr>
            <w:r w:rsidRPr="005A779B">
              <w:rPr>
                <w:rFonts w:ascii="Arial" w:hAnsi="Arial"/>
                <w:sz w:val="22"/>
                <w:szCs w:val="22"/>
              </w:rPr>
              <w:t>Response from DH - we considered medication errors to be of a reasonable volume to consider, an issue that was reasonably generic</w:t>
            </w:r>
          </w:p>
          <w:p w14:paraId="59DB03B4" w14:textId="77777777" w:rsidR="00C209D9" w:rsidRPr="005A779B" w:rsidRDefault="00C209D9" w:rsidP="00F323F9">
            <w:pPr>
              <w:pStyle w:val="PlainText"/>
              <w:rPr>
                <w:rFonts w:ascii="Arial" w:hAnsi="Arial"/>
                <w:sz w:val="22"/>
                <w:szCs w:val="22"/>
              </w:rPr>
            </w:pPr>
            <w:r w:rsidRPr="005A779B">
              <w:rPr>
                <w:rFonts w:ascii="Arial" w:hAnsi="Arial"/>
                <w:sz w:val="22"/>
                <w:szCs w:val="22"/>
              </w:rPr>
              <w:t>in terms of safety (given the frequency with which medication</w:t>
            </w:r>
          </w:p>
          <w:p w14:paraId="422A013C" w14:textId="77777777" w:rsidR="00C209D9" w:rsidRPr="005A779B" w:rsidRDefault="00C209D9" w:rsidP="00F323F9">
            <w:r w:rsidRPr="005A779B">
              <w:t>decisions/administration occurs) and that reducing in those errors associated with 'serious harm' (severe harm/death) would be an indicator of safer medication practice.</w:t>
            </w:r>
          </w:p>
        </w:tc>
      </w:tr>
      <w:tr w:rsidR="00F323F9" w:rsidRPr="005A779B" w14:paraId="7EC4476C" w14:textId="77777777" w:rsidTr="005A779B">
        <w:trPr>
          <w:trHeight w:val="1695"/>
        </w:trPr>
        <w:tc>
          <w:tcPr>
            <w:tcW w:w="2547" w:type="dxa"/>
          </w:tcPr>
          <w:p w14:paraId="622100A1" w14:textId="77777777" w:rsidR="00C209D9" w:rsidRPr="005A779B" w:rsidRDefault="00C209D9" w:rsidP="00F323F9">
            <w:pPr>
              <w:rPr>
                <w:b/>
              </w:rPr>
            </w:pPr>
            <w:r w:rsidRPr="005A779B">
              <w:rPr>
                <w:b/>
              </w:rPr>
              <w:t>Recommendation 2011/22</w:t>
            </w:r>
          </w:p>
        </w:tc>
        <w:tc>
          <w:tcPr>
            <w:tcW w:w="3544" w:type="dxa"/>
          </w:tcPr>
          <w:p w14:paraId="27221501" w14:textId="77777777" w:rsidR="00C209D9" w:rsidRPr="005A779B" w:rsidRDefault="00C209D9" w:rsidP="00F323F9">
            <w:r w:rsidRPr="005A779B">
              <w:t>HES data has been proposed for use although other sources have been suggested. Duplicates are potentially a problem with HES. An alternative source suggested is that used by Imperial College London which is apparently better on duplicates. Information Governance clarification will be needed on alternate sources. IC to investigate and update MRG on possibilities if necessary.</w:t>
            </w:r>
          </w:p>
        </w:tc>
        <w:tc>
          <w:tcPr>
            <w:tcW w:w="3765" w:type="dxa"/>
          </w:tcPr>
          <w:p w14:paraId="618C8C25" w14:textId="77777777" w:rsidR="00C209D9" w:rsidRPr="005A779B" w:rsidRDefault="00C209D9" w:rsidP="00F323F9">
            <w:r w:rsidRPr="005A779B">
              <w:t>ONGOING</w:t>
            </w:r>
          </w:p>
          <w:p w14:paraId="67E95DE7" w14:textId="77777777" w:rsidR="00C209D9" w:rsidRPr="005A779B" w:rsidRDefault="00C209D9" w:rsidP="00F323F9">
            <w:r w:rsidRPr="005A779B">
              <w:t>Action with IC</w:t>
            </w:r>
          </w:p>
        </w:tc>
      </w:tr>
      <w:tr w:rsidR="00F323F9" w:rsidRPr="005A779B" w14:paraId="4D4FF37B" w14:textId="77777777" w:rsidTr="005A779B">
        <w:trPr>
          <w:trHeight w:val="1211"/>
        </w:trPr>
        <w:tc>
          <w:tcPr>
            <w:tcW w:w="2547" w:type="dxa"/>
          </w:tcPr>
          <w:p w14:paraId="4AF4F8A3" w14:textId="77777777" w:rsidR="00C209D9" w:rsidRPr="005A779B" w:rsidRDefault="00C209D9" w:rsidP="00F323F9">
            <w:pPr>
              <w:rPr>
                <w:b/>
              </w:rPr>
            </w:pPr>
            <w:r w:rsidRPr="005A779B">
              <w:rPr>
                <w:b/>
              </w:rPr>
              <w:t>Recommendation 2011/23</w:t>
            </w:r>
          </w:p>
        </w:tc>
        <w:tc>
          <w:tcPr>
            <w:tcW w:w="3544" w:type="dxa"/>
          </w:tcPr>
          <w:p w14:paraId="32F36F8A" w14:textId="77777777" w:rsidR="00C209D9" w:rsidRPr="005A779B" w:rsidRDefault="00C209D9" w:rsidP="00F323F9">
            <w:pPr>
              <w:tabs>
                <w:tab w:val="left" w:pos="807"/>
              </w:tabs>
            </w:pPr>
            <w:r w:rsidRPr="005A779B">
              <w:t xml:space="preserve">The denominator needs to be more specific, e.g. </w:t>
            </w:r>
            <w:proofErr w:type="gramStart"/>
            <w:r w:rsidRPr="005A779B">
              <w:t>full term</w:t>
            </w:r>
            <w:proofErr w:type="gramEnd"/>
            <w:r w:rsidRPr="005A779B">
              <w:t xml:space="preserve"> births. The source needs clarifying: HES won’t cover all births and other sources will have their limitations. DH to advise on definition.</w:t>
            </w:r>
          </w:p>
        </w:tc>
        <w:tc>
          <w:tcPr>
            <w:tcW w:w="3765" w:type="dxa"/>
          </w:tcPr>
          <w:p w14:paraId="400AD14E" w14:textId="77777777" w:rsidR="00C209D9" w:rsidRPr="005A779B" w:rsidRDefault="00C209D9" w:rsidP="00F323F9">
            <w:pPr>
              <w:tabs>
                <w:tab w:val="left" w:pos="807"/>
              </w:tabs>
            </w:pPr>
            <w:r w:rsidRPr="005A779B">
              <w:t>ONGOING</w:t>
            </w:r>
          </w:p>
          <w:p w14:paraId="7A0C84CF" w14:textId="77777777" w:rsidR="00C209D9" w:rsidRPr="005A779B" w:rsidRDefault="00C209D9" w:rsidP="00F323F9">
            <w:pPr>
              <w:tabs>
                <w:tab w:val="left" w:pos="807"/>
              </w:tabs>
            </w:pPr>
            <w:r w:rsidRPr="005A779B">
              <w:t>DH advice requested</w:t>
            </w:r>
          </w:p>
        </w:tc>
      </w:tr>
      <w:tr w:rsidR="00F323F9" w:rsidRPr="005A779B" w14:paraId="7F00D7BF" w14:textId="77777777" w:rsidTr="005A779B">
        <w:trPr>
          <w:trHeight w:val="1211"/>
        </w:trPr>
        <w:tc>
          <w:tcPr>
            <w:tcW w:w="2547" w:type="dxa"/>
          </w:tcPr>
          <w:p w14:paraId="0F3CA04F" w14:textId="77777777" w:rsidR="00C209D9" w:rsidRPr="005A779B" w:rsidRDefault="00C209D9" w:rsidP="00F323F9">
            <w:pPr>
              <w:rPr>
                <w:b/>
              </w:rPr>
            </w:pPr>
            <w:r w:rsidRPr="005A779B">
              <w:rPr>
                <w:b/>
              </w:rPr>
              <w:t>Recommendation 2011/24</w:t>
            </w:r>
          </w:p>
        </w:tc>
        <w:tc>
          <w:tcPr>
            <w:tcW w:w="3544" w:type="dxa"/>
          </w:tcPr>
          <w:p w14:paraId="23DEBC62" w14:textId="77777777" w:rsidR="00C209D9" w:rsidRPr="005A779B" w:rsidRDefault="00C209D9" w:rsidP="00F323F9">
            <w:pPr>
              <w:tabs>
                <w:tab w:val="left" w:pos="807"/>
              </w:tabs>
            </w:pPr>
            <w:r w:rsidRPr="005A779B">
              <w:t>This indicator is currently a crude rate. Standardisation by deprivation would be appropriate if possible. The possibility should be investigated. DH invited to comment. Report back to MRG.</w:t>
            </w:r>
          </w:p>
        </w:tc>
        <w:tc>
          <w:tcPr>
            <w:tcW w:w="3765" w:type="dxa"/>
          </w:tcPr>
          <w:p w14:paraId="32EDD298" w14:textId="77777777" w:rsidR="00C209D9" w:rsidRPr="005A779B" w:rsidRDefault="00C209D9" w:rsidP="00F323F9">
            <w:pPr>
              <w:tabs>
                <w:tab w:val="left" w:pos="807"/>
              </w:tabs>
            </w:pPr>
            <w:r w:rsidRPr="005A779B">
              <w:t>ONGOING</w:t>
            </w:r>
          </w:p>
          <w:p w14:paraId="68B4E6A3" w14:textId="77777777" w:rsidR="00C209D9" w:rsidRPr="005A779B" w:rsidRDefault="00C209D9" w:rsidP="00F323F9">
            <w:pPr>
              <w:tabs>
                <w:tab w:val="left" w:pos="807"/>
              </w:tabs>
            </w:pPr>
            <w:r w:rsidRPr="005A779B">
              <w:t>DH advice requested</w:t>
            </w:r>
          </w:p>
        </w:tc>
      </w:tr>
      <w:tr w:rsidR="00C209D9" w:rsidRPr="005A779B" w14:paraId="20158401" w14:textId="77777777" w:rsidTr="005A779B">
        <w:trPr>
          <w:trHeight w:val="1453"/>
        </w:trPr>
        <w:tc>
          <w:tcPr>
            <w:tcW w:w="2547" w:type="dxa"/>
          </w:tcPr>
          <w:p w14:paraId="5E61C71A" w14:textId="77777777" w:rsidR="00C209D9" w:rsidRPr="005A779B" w:rsidRDefault="00C209D9" w:rsidP="00F323F9">
            <w:pPr>
              <w:rPr>
                <w:b/>
              </w:rPr>
            </w:pPr>
            <w:r w:rsidRPr="005A779B">
              <w:rPr>
                <w:b/>
              </w:rPr>
              <w:lastRenderedPageBreak/>
              <w:t>Recommendation 2011/25</w:t>
            </w:r>
          </w:p>
        </w:tc>
        <w:tc>
          <w:tcPr>
            <w:tcW w:w="3544" w:type="dxa"/>
          </w:tcPr>
          <w:p w14:paraId="68200F14" w14:textId="77777777" w:rsidR="00C209D9" w:rsidRPr="005A779B" w:rsidRDefault="00C209D9" w:rsidP="00F323F9">
            <w:pPr>
              <w:tabs>
                <w:tab w:val="left" w:pos="807"/>
              </w:tabs>
            </w:pPr>
            <w:r w:rsidRPr="005A779B">
              <w:t>Some admissions may be unavoidable, so their inclusion in an indicator measuring NHS performance would be inappropriate. The possibility of accounting for this should be investigated. DH invited to comment. Report back to MRG.</w:t>
            </w:r>
          </w:p>
        </w:tc>
        <w:tc>
          <w:tcPr>
            <w:tcW w:w="3765" w:type="dxa"/>
          </w:tcPr>
          <w:p w14:paraId="30EF5BEA" w14:textId="77777777" w:rsidR="00C209D9" w:rsidRPr="005A779B" w:rsidRDefault="00C209D9" w:rsidP="00F323F9">
            <w:pPr>
              <w:tabs>
                <w:tab w:val="left" w:pos="807"/>
              </w:tabs>
            </w:pPr>
            <w:r w:rsidRPr="005A779B">
              <w:t>ONGOING</w:t>
            </w:r>
          </w:p>
          <w:p w14:paraId="69A5FE31" w14:textId="77777777" w:rsidR="00C209D9" w:rsidRPr="005A779B" w:rsidRDefault="00C209D9" w:rsidP="00F323F9">
            <w:pPr>
              <w:tabs>
                <w:tab w:val="left" w:pos="807"/>
              </w:tabs>
            </w:pPr>
            <w:r w:rsidRPr="005A779B">
              <w:t>DH advice requested</w:t>
            </w:r>
          </w:p>
        </w:tc>
      </w:tr>
    </w:tbl>
    <w:p w14:paraId="7475EAE9" w14:textId="77777777" w:rsidR="00C209D9" w:rsidRPr="00485ED6" w:rsidRDefault="00C209D9"/>
    <w:p w14:paraId="6AC1D099" w14:textId="77777777" w:rsidR="00C209D9" w:rsidRPr="00485ED6" w:rsidRDefault="00C209D9">
      <w:r w:rsidRPr="00485ED6">
        <w:t>Not for tranche 1:</w:t>
      </w:r>
    </w:p>
    <w:p w14:paraId="286C6369" w14:textId="77777777" w:rsidR="00C209D9" w:rsidRPr="00485ED6" w:rsidRDefault="00C209D9">
      <w:r w:rsidRPr="00485ED6">
        <w:t>Number of ‘similar’ patient safety events</w:t>
      </w:r>
    </w:p>
    <w:p w14:paraId="612E8736" w14:textId="77777777" w:rsidR="00C209D9" w:rsidRPr="00485ED6" w:rsidRDefault="00C209D9"/>
    <w:tbl>
      <w:tblPr>
        <w:tblStyle w:val="TableGrid"/>
        <w:tblW w:w="5000" w:type="pct"/>
        <w:tblLayout w:type="fixed"/>
        <w:tblLook w:val="01E0" w:firstRow="1" w:lastRow="1" w:firstColumn="1" w:lastColumn="1" w:noHBand="0" w:noVBand="0"/>
      </w:tblPr>
      <w:tblGrid>
        <w:gridCol w:w="2547"/>
        <w:gridCol w:w="3544"/>
        <w:gridCol w:w="4103"/>
      </w:tblGrid>
      <w:tr w:rsidR="00F323F9" w:rsidRPr="00DB285E" w14:paraId="73E02B00" w14:textId="77777777" w:rsidTr="005A779B">
        <w:tc>
          <w:tcPr>
            <w:tcW w:w="1249" w:type="pct"/>
          </w:tcPr>
          <w:p w14:paraId="51061B2D" w14:textId="77777777" w:rsidR="00C209D9" w:rsidRPr="00DB285E" w:rsidRDefault="00C209D9" w:rsidP="00F323F9">
            <w:pPr>
              <w:rPr>
                <w:b/>
              </w:rPr>
            </w:pPr>
            <w:r w:rsidRPr="00DB285E">
              <w:rPr>
                <w:b/>
              </w:rPr>
              <w:t>Recommendation 2011/26</w:t>
            </w:r>
          </w:p>
        </w:tc>
        <w:tc>
          <w:tcPr>
            <w:tcW w:w="1738" w:type="pct"/>
          </w:tcPr>
          <w:p w14:paraId="724D7126" w14:textId="77777777" w:rsidR="00C209D9" w:rsidRPr="00DB285E" w:rsidRDefault="00C209D9" w:rsidP="00F323F9">
            <w:r w:rsidRPr="00DB285E">
              <w:t>It is not clear whether a rate going up or down is good or bad. Suggested that Never Events be used as they are less subject to gaming. It is suggested that they are used in a process control mechanism. Further discussion of this indicator is needed. Invite comment from DH.</w:t>
            </w:r>
          </w:p>
        </w:tc>
        <w:tc>
          <w:tcPr>
            <w:tcW w:w="2012" w:type="pct"/>
          </w:tcPr>
          <w:p w14:paraId="1FFABCE9" w14:textId="77777777" w:rsidR="00C209D9" w:rsidRPr="00DB285E" w:rsidRDefault="00C209D9" w:rsidP="00F323F9">
            <w:r w:rsidRPr="00DB285E">
              <w:t>ONGOING</w:t>
            </w:r>
          </w:p>
          <w:p w14:paraId="712E0517" w14:textId="447A1F9F" w:rsidR="00C209D9" w:rsidRPr="00DB285E" w:rsidRDefault="00C209D9" w:rsidP="00F323F9">
            <w:pPr>
              <w:pStyle w:val="PlainText"/>
              <w:rPr>
                <w:rFonts w:ascii="Arial" w:hAnsi="Arial"/>
                <w:sz w:val="22"/>
                <w:szCs w:val="22"/>
              </w:rPr>
            </w:pPr>
            <w:r w:rsidRPr="00DB285E">
              <w:rPr>
                <w:rFonts w:ascii="Arial" w:hAnsi="Arial"/>
                <w:sz w:val="22"/>
                <w:szCs w:val="22"/>
              </w:rPr>
              <w:t xml:space="preserve">Advice from DH (summarised) - the idea of using Never Events as an outcome indicator crosses into CQC regulatory territory and penalties for such incidents - rather than being about 'quality improvement'. It may be that using Never Events makes it easier to be clear about its measurement - however, the question is whether avoiding Never Events really demonstrates how organisations learn from the incidents that they report - is it too narrow? Is there an alternative way to define? </w:t>
            </w:r>
          </w:p>
          <w:p w14:paraId="0D864A61" w14:textId="77777777" w:rsidR="00C209D9" w:rsidRPr="00DB285E" w:rsidRDefault="00C209D9" w:rsidP="00F323F9"/>
        </w:tc>
      </w:tr>
    </w:tbl>
    <w:p w14:paraId="79DE8EF1" w14:textId="77777777" w:rsidR="00C209D9" w:rsidRPr="00485ED6" w:rsidRDefault="00C209D9" w:rsidP="00F323F9"/>
    <w:p w14:paraId="1B99C8BB" w14:textId="77777777" w:rsidR="00173180" w:rsidRPr="00485ED6" w:rsidRDefault="00173180" w:rsidP="00C209D9">
      <w:pPr>
        <w:rPr>
          <w:b/>
          <w:sz w:val="24"/>
          <w:szCs w:val="24"/>
        </w:rPr>
      </w:pPr>
    </w:p>
    <w:sectPr w:rsidR="00173180" w:rsidRPr="00485ED6" w:rsidSect="00F323F9">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08849" w14:textId="77777777" w:rsidR="00F323F9" w:rsidRDefault="00F323F9" w:rsidP="001C4B9D">
      <w:r>
        <w:separator/>
      </w:r>
    </w:p>
  </w:endnote>
  <w:endnote w:type="continuationSeparator" w:id="0">
    <w:p w14:paraId="442B002E" w14:textId="77777777" w:rsidR="00F323F9" w:rsidRDefault="00F323F9" w:rsidP="001C4B9D">
      <w:r>
        <w:continuationSeparator/>
      </w:r>
    </w:p>
  </w:endnote>
  <w:endnote w:id="1">
    <w:p w14:paraId="56E65DF1" w14:textId="77777777" w:rsidR="00485ED6" w:rsidRPr="0015526D" w:rsidRDefault="00485ED6" w:rsidP="00485ED6">
      <w:pPr>
        <w:pStyle w:val="EndnoteText"/>
        <w:tabs>
          <w:tab w:val="left" w:pos="284"/>
        </w:tabs>
        <w:ind w:left="284" w:hanging="284"/>
        <w:rPr>
          <w:sz w:val="22"/>
          <w:szCs w:val="22"/>
        </w:rPr>
      </w:pPr>
    </w:p>
  </w:endnote>
  <w:endnote w:id="2">
    <w:p w14:paraId="5EAEBF30" w14:textId="77777777" w:rsidR="00485ED6" w:rsidRPr="0015526D" w:rsidRDefault="00485ED6" w:rsidP="00485ED6">
      <w:pPr>
        <w:tabs>
          <w:tab w:val="left" w:pos="284"/>
        </w:tabs>
        <w:jc w:val="both"/>
      </w:pPr>
    </w:p>
    <w:p w14:paraId="70E99011" w14:textId="77777777" w:rsidR="00485ED6" w:rsidRPr="0015526D" w:rsidRDefault="00485ED6" w:rsidP="00485ED6">
      <w:pPr>
        <w:tabs>
          <w:tab w:val="left" w:pos="284"/>
        </w:tabs>
        <w:jc w:val="both"/>
      </w:pPr>
    </w:p>
  </w:endnote>
  <w:endnote w:id="3">
    <w:p w14:paraId="0D42CF45" w14:textId="77777777" w:rsidR="00DB285E" w:rsidRPr="0015526D" w:rsidRDefault="00DB285E" w:rsidP="00F323F9">
      <w:pPr>
        <w:pStyle w:val="EndnoteText"/>
        <w:tabs>
          <w:tab w:val="left" w:pos="284"/>
        </w:tabs>
        <w:ind w:left="284" w:hanging="284"/>
        <w:rPr>
          <w:sz w:val="22"/>
          <w:szCs w:val="22"/>
        </w:rPr>
      </w:pPr>
      <w:r w:rsidRPr="0015526D">
        <w:rPr>
          <w:rStyle w:val="EndnoteReference"/>
          <w:sz w:val="22"/>
          <w:szCs w:val="22"/>
        </w:rPr>
        <w:endnoteRef/>
      </w:r>
      <w:r w:rsidRPr="0015526D">
        <w:rPr>
          <w:sz w:val="22"/>
          <w:szCs w:val="22"/>
        </w:rPr>
        <w:t xml:space="preserve"> </w:t>
      </w:r>
      <w:r>
        <w:rPr>
          <w:sz w:val="22"/>
          <w:szCs w:val="22"/>
        </w:rPr>
        <w:tab/>
      </w:r>
      <w:smartTag w:uri="urn:schemas-microsoft-com:office:smarttags" w:element="place">
        <w:smartTag w:uri="urn:schemas-microsoft-com:office:smarttags" w:element="City">
          <w:r w:rsidRPr="0015526D">
            <w:rPr>
              <w:sz w:val="22"/>
              <w:szCs w:val="22"/>
            </w:rPr>
            <w:t>Breslow</w:t>
          </w:r>
        </w:smartTag>
        <w:r w:rsidRPr="0015526D">
          <w:rPr>
            <w:sz w:val="22"/>
            <w:szCs w:val="22"/>
          </w:rPr>
          <w:t xml:space="preserve"> </w:t>
        </w:r>
        <w:smartTag w:uri="urn:schemas-microsoft-com:office:smarttags" w:element="State">
          <w:r w:rsidRPr="0015526D">
            <w:rPr>
              <w:sz w:val="22"/>
              <w:szCs w:val="22"/>
            </w:rPr>
            <w:t>NE</w:t>
          </w:r>
        </w:smartTag>
      </w:smartTag>
      <w:r w:rsidRPr="0015526D">
        <w:rPr>
          <w:sz w:val="22"/>
          <w:szCs w:val="22"/>
        </w:rPr>
        <w:t xml:space="preserve"> and Day NE. </w:t>
      </w:r>
      <w:r w:rsidRPr="0015526D">
        <w:rPr>
          <w:i/>
          <w:sz w:val="22"/>
          <w:szCs w:val="22"/>
        </w:rPr>
        <w:t>Statistical Methods in Cancer Research, Volume II</w:t>
      </w:r>
      <w:r w:rsidRPr="0015526D">
        <w:rPr>
          <w:sz w:val="22"/>
          <w:szCs w:val="22"/>
        </w:rPr>
        <w:t xml:space="preserve">: </w:t>
      </w:r>
      <w:r w:rsidRPr="0015526D">
        <w:rPr>
          <w:i/>
          <w:sz w:val="22"/>
          <w:szCs w:val="22"/>
        </w:rPr>
        <w:t>The Design and Analysis of Cohort Studies</w:t>
      </w:r>
      <w:r w:rsidRPr="0015526D">
        <w:rPr>
          <w:sz w:val="22"/>
          <w:szCs w:val="22"/>
        </w:rPr>
        <w:t xml:space="preserve">. </w:t>
      </w:r>
      <w:smartTag w:uri="urn:schemas-microsoft-com:office:smarttags" w:element="place">
        <w:r w:rsidRPr="0015526D">
          <w:rPr>
            <w:sz w:val="22"/>
            <w:szCs w:val="22"/>
          </w:rPr>
          <w:t>Lyon</w:t>
        </w:r>
      </w:smartTag>
      <w:r w:rsidRPr="0015526D">
        <w:rPr>
          <w:sz w:val="22"/>
          <w:szCs w:val="22"/>
        </w:rPr>
        <w:t>: International Agency for Research on Cancer, World Health Organization, 1987: 59</w:t>
      </w:r>
    </w:p>
    <w:p w14:paraId="571637D9" w14:textId="77777777" w:rsidR="00DB285E" w:rsidRPr="0015526D" w:rsidRDefault="00DB285E" w:rsidP="00F323F9">
      <w:pPr>
        <w:pStyle w:val="EndnoteText"/>
        <w:tabs>
          <w:tab w:val="left" w:pos="284"/>
        </w:tabs>
        <w:ind w:left="284" w:hanging="284"/>
        <w:rPr>
          <w:sz w:val="22"/>
          <w:szCs w:val="22"/>
        </w:rPr>
      </w:pPr>
    </w:p>
  </w:endnote>
  <w:endnote w:id="4">
    <w:p w14:paraId="0A695900" w14:textId="77777777" w:rsidR="00DB285E" w:rsidRPr="0015526D" w:rsidRDefault="00DB285E" w:rsidP="00F323F9">
      <w:pPr>
        <w:tabs>
          <w:tab w:val="left" w:pos="284"/>
        </w:tabs>
        <w:ind w:left="284" w:hanging="284"/>
        <w:jc w:val="both"/>
      </w:pPr>
      <w:r w:rsidRPr="0015526D">
        <w:rPr>
          <w:rStyle w:val="EndnoteReference"/>
        </w:rPr>
        <w:endnoteRef/>
      </w:r>
      <w:r w:rsidRPr="0015526D">
        <w:t xml:space="preserve"> </w:t>
      </w:r>
      <w:r>
        <w:tab/>
      </w:r>
      <w:r w:rsidRPr="0015526D">
        <w:t xml:space="preserve">Keyfitz N. Sampling variance of age-standardised mortality rates. </w:t>
      </w:r>
      <w:r w:rsidRPr="0015526D">
        <w:rPr>
          <w:i/>
        </w:rPr>
        <w:t>Human Biology</w:t>
      </w:r>
      <w:r w:rsidRPr="0015526D">
        <w:t>. 1966; 38: 309-317.</w:t>
      </w:r>
    </w:p>
    <w:p w14:paraId="06880E53" w14:textId="77777777" w:rsidR="00DB285E" w:rsidRPr="0015526D" w:rsidRDefault="00DB285E" w:rsidP="00F323F9">
      <w:pPr>
        <w:tabs>
          <w:tab w:val="left" w:pos="284"/>
        </w:tabs>
        <w:ind w:left="284" w:hanging="284"/>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861506761"/>
      <w:docPartObj>
        <w:docPartGallery w:val="Page Numbers (Bottom of Page)"/>
        <w:docPartUnique/>
      </w:docPartObj>
    </w:sdtPr>
    <w:sdtEndPr>
      <w:rPr>
        <w:noProof/>
      </w:rPr>
    </w:sdtEndPr>
    <w:sdtContent>
      <w:p w14:paraId="7AF22F3B" w14:textId="198C3530" w:rsidR="00F323F9" w:rsidRPr="00F323F9" w:rsidRDefault="00F323F9" w:rsidP="00F323F9">
        <w:pPr>
          <w:pStyle w:val="Footer"/>
          <w:tabs>
            <w:tab w:val="left" w:pos="426"/>
          </w:tabs>
          <w:rPr>
            <w:rFonts w:ascii="Arial" w:hAnsi="Arial" w:cs="Arial"/>
            <w:sz w:val="18"/>
            <w:szCs w:val="18"/>
          </w:rPr>
        </w:pPr>
        <w:r w:rsidRPr="00F323F9">
          <w:rPr>
            <w:rFonts w:ascii="Arial" w:hAnsi="Arial" w:cs="Arial"/>
            <w:sz w:val="18"/>
            <w:szCs w:val="18"/>
          </w:rPr>
          <w:t>IAP00018 Supporting documentation</w:t>
        </w:r>
      </w:p>
      <w:p w14:paraId="7620EC50" w14:textId="74821438" w:rsidR="00F323F9" w:rsidRPr="00F323F9" w:rsidRDefault="00F323F9" w:rsidP="00F323F9">
        <w:pPr>
          <w:pStyle w:val="Footer"/>
          <w:tabs>
            <w:tab w:val="left" w:pos="426"/>
          </w:tabs>
          <w:rPr>
            <w:rFonts w:ascii="Arial" w:hAnsi="Arial" w:cs="Arial"/>
            <w:sz w:val="18"/>
            <w:szCs w:val="18"/>
          </w:rPr>
        </w:pPr>
        <w:r w:rsidRPr="00F323F9">
          <w:rPr>
            <w:rFonts w:ascii="Arial" w:hAnsi="Arial" w:cs="Arial"/>
            <w:sz w:val="18"/>
            <w:szCs w:val="18"/>
          </w:rPr>
          <w:t>Copyright © 2019 NHS Digital</w:t>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tab/>
        </w:r>
        <w:r w:rsidRPr="00F323F9">
          <w:rPr>
            <w:rFonts w:ascii="Arial" w:hAnsi="Arial" w:cs="Arial"/>
            <w:sz w:val="18"/>
            <w:szCs w:val="18"/>
          </w:rPr>
          <w:fldChar w:fldCharType="begin"/>
        </w:r>
        <w:r w:rsidRPr="00F323F9">
          <w:rPr>
            <w:rFonts w:ascii="Arial" w:hAnsi="Arial" w:cs="Arial"/>
            <w:sz w:val="18"/>
            <w:szCs w:val="18"/>
          </w:rPr>
          <w:instrText xml:space="preserve"> PAGE   \* MERGEFORMAT </w:instrText>
        </w:r>
        <w:r w:rsidRPr="00F323F9">
          <w:rPr>
            <w:rFonts w:ascii="Arial" w:hAnsi="Arial" w:cs="Arial"/>
            <w:sz w:val="18"/>
            <w:szCs w:val="18"/>
          </w:rPr>
          <w:fldChar w:fldCharType="separate"/>
        </w:r>
        <w:r w:rsidRPr="00F323F9">
          <w:rPr>
            <w:rFonts w:ascii="Arial" w:hAnsi="Arial" w:cs="Arial"/>
            <w:sz w:val="18"/>
            <w:szCs w:val="18"/>
          </w:rPr>
          <w:t>1</w:t>
        </w:r>
        <w:r w:rsidRPr="00F323F9">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FC76F" w14:textId="77777777" w:rsidR="00F323F9" w:rsidRDefault="00F323F9" w:rsidP="001C4B9D">
      <w:r>
        <w:separator/>
      </w:r>
    </w:p>
  </w:footnote>
  <w:footnote w:type="continuationSeparator" w:id="0">
    <w:p w14:paraId="666547F0" w14:textId="77777777" w:rsidR="00F323F9" w:rsidRDefault="00F323F9" w:rsidP="001C4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737E" w14:textId="77777777" w:rsidR="00F323F9" w:rsidRPr="00F323F9" w:rsidRDefault="00F323F9" w:rsidP="00F323F9">
    <w:pPr>
      <w:pStyle w:val="Header"/>
      <w:jc w:val="center"/>
      <w:rPr>
        <w:rFonts w:ascii="Arial" w:hAnsi="Arial" w:cs="Arial"/>
        <w:b/>
        <w:bCs/>
      </w:rPr>
    </w:pPr>
    <w:r w:rsidRPr="00F323F9">
      <w:rPr>
        <w:rFonts w:ascii="Arial" w:hAnsi="Arial" w:cs="Arial"/>
        <w:b/>
        <w:bCs/>
      </w:rPr>
      <w:t>NICE inherited this indicator and all its supporting documentation from NHS Digital on 1 April 2020</w:t>
    </w:r>
  </w:p>
  <w:p w14:paraId="0C0640C1" w14:textId="77777777" w:rsidR="00F323F9" w:rsidRDefault="00F32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733F3"/>
    <w:multiLevelType w:val="hybridMultilevel"/>
    <w:tmpl w:val="DC1041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C2E21394"/>
    <w:lvl w:ilvl="0">
      <w:start w:val="1"/>
      <w:numFmt w:val="decimal"/>
      <w:pStyle w:val="Heading1"/>
      <w:lvlText w:val="%1"/>
      <w:legacy w:legacy="1" w:legacySpace="120" w:legacyIndent="851"/>
      <w:lvlJc w:val="left"/>
      <w:pPr>
        <w:ind w:left="851" w:hanging="851"/>
      </w:pPr>
      <w:rPr>
        <w:b/>
        <w:sz w:val="28"/>
      </w:rPr>
    </w:lvl>
    <w:lvl w:ilvl="1">
      <w:start w:val="1"/>
      <w:numFmt w:val="decimal"/>
      <w:pStyle w:val="Heading2"/>
      <w:lvlText w:val="%1.%2"/>
      <w:legacy w:legacy="1" w:legacySpace="120" w:legacyIndent="851"/>
      <w:lvlJc w:val="left"/>
      <w:pPr>
        <w:ind w:left="851" w:hanging="851"/>
      </w:pPr>
      <w:rPr>
        <w:b/>
      </w:rPr>
    </w:lvl>
    <w:lvl w:ilvl="2">
      <w:start w:val="1"/>
      <w:numFmt w:val="decimal"/>
      <w:pStyle w:val="Heading3"/>
      <w:lvlText w:val="%1.%2.%3."/>
      <w:legacy w:legacy="1" w:legacySpace="120" w:legacyIndent="851"/>
      <w:lvlJc w:val="left"/>
      <w:pPr>
        <w:ind w:left="1135" w:hanging="851"/>
      </w:pPr>
      <w:rPr>
        <w:rFonts w:ascii="Arial" w:hAnsi="Arial" w:cs="Arial" w:hint="default"/>
        <w:b/>
        <w:i w:val="0"/>
        <w:sz w:val="22"/>
        <w:szCs w:val="22"/>
      </w:rPr>
    </w:lvl>
    <w:lvl w:ilvl="3">
      <w:numFmt w:val="none"/>
      <w:lvlText w:val=""/>
      <w:lvlJc w:val="left"/>
    </w:lvl>
    <w:lvl w:ilvl="4">
      <w:start w:val="1"/>
      <w:numFmt w:val="decimal"/>
      <w:pStyle w:val="Heading5"/>
      <w:lvlText w:val=".%5"/>
      <w:legacy w:legacy="1" w:legacySpace="120" w:legacyIndent="792"/>
      <w:lvlJc w:val="left"/>
      <w:pPr>
        <w:ind w:left="2232" w:hanging="792"/>
      </w:pPr>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2744AFC"/>
    <w:multiLevelType w:val="hybridMultilevel"/>
    <w:tmpl w:val="7CDCA6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64EC3"/>
    <w:multiLevelType w:val="hybridMultilevel"/>
    <w:tmpl w:val="A9DE1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7A0979"/>
    <w:multiLevelType w:val="hybridMultilevel"/>
    <w:tmpl w:val="01B6FA34"/>
    <w:lvl w:ilvl="0" w:tplc="18C24D0A">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C4C64AD"/>
    <w:multiLevelType w:val="hybridMultilevel"/>
    <w:tmpl w:val="17BC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E4C1B"/>
    <w:multiLevelType w:val="hybridMultilevel"/>
    <w:tmpl w:val="04962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550A66"/>
    <w:multiLevelType w:val="multilevel"/>
    <w:tmpl w:val="01B6FA34"/>
    <w:lvl w:ilvl="0">
      <w:numFmt w:val="bullet"/>
      <w:lvlText w:val="-"/>
      <w:lvlJc w:val="left"/>
      <w:pPr>
        <w:tabs>
          <w:tab w:val="num" w:pos="420"/>
        </w:tabs>
        <w:ind w:left="420" w:hanging="360"/>
      </w:pPr>
      <w:rPr>
        <w:rFonts w:ascii="Arial" w:eastAsia="Times New Roman" w:hAnsi="Arial" w:cs="Arial"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54213F7E"/>
    <w:multiLevelType w:val="hybridMultilevel"/>
    <w:tmpl w:val="9006C3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CC55FA"/>
    <w:multiLevelType w:val="hybridMultilevel"/>
    <w:tmpl w:val="20825C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3A5CBE"/>
    <w:multiLevelType w:val="hybridMultilevel"/>
    <w:tmpl w:val="7998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A31755"/>
    <w:multiLevelType w:val="hybridMultilevel"/>
    <w:tmpl w:val="B09244B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72E46686"/>
    <w:multiLevelType w:val="hybridMultilevel"/>
    <w:tmpl w:val="D6D09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A13DC5"/>
    <w:multiLevelType w:val="multilevel"/>
    <w:tmpl w:val="0E9A98A6"/>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num>
  <w:num w:numId="3">
    <w:abstractNumId w:val="6"/>
  </w:num>
  <w:num w:numId="4">
    <w:abstractNumId w:val="10"/>
  </w:num>
  <w:num w:numId="5">
    <w:abstractNumId w:val="5"/>
  </w:num>
  <w:num w:numId="6">
    <w:abstractNumId w:val="1"/>
  </w:num>
  <w:num w:numId="7">
    <w:abstractNumId w:val="4"/>
  </w:num>
  <w:num w:numId="8">
    <w:abstractNumId w:val="7"/>
  </w:num>
  <w:num w:numId="9">
    <w:abstractNumId w:val="2"/>
  </w:num>
  <w:num w:numId="10">
    <w:abstractNumId w:val="3"/>
  </w:num>
  <w:num w:numId="11">
    <w:abstractNumId w:val="12"/>
  </w:num>
  <w:num w:numId="12">
    <w:abstractNumId w:val="1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105A0"/>
    <w:rsid w:val="00020DA2"/>
    <w:rsid w:val="00074EC7"/>
    <w:rsid w:val="000F1CCA"/>
    <w:rsid w:val="00115495"/>
    <w:rsid w:val="00142190"/>
    <w:rsid w:val="001426AB"/>
    <w:rsid w:val="00161977"/>
    <w:rsid w:val="00173180"/>
    <w:rsid w:val="00196A84"/>
    <w:rsid w:val="001C4B9D"/>
    <w:rsid w:val="001D0544"/>
    <w:rsid w:val="001D5216"/>
    <w:rsid w:val="001F0DD8"/>
    <w:rsid w:val="0021591E"/>
    <w:rsid w:val="00230D71"/>
    <w:rsid w:val="002330DA"/>
    <w:rsid w:val="00235E99"/>
    <w:rsid w:val="0025502D"/>
    <w:rsid w:val="00266A7E"/>
    <w:rsid w:val="002840BE"/>
    <w:rsid w:val="002B3D79"/>
    <w:rsid w:val="002C01FE"/>
    <w:rsid w:val="002D0AB0"/>
    <w:rsid w:val="002D369C"/>
    <w:rsid w:val="00322BD4"/>
    <w:rsid w:val="0034626F"/>
    <w:rsid w:val="00383133"/>
    <w:rsid w:val="003964B8"/>
    <w:rsid w:val="003A5BE0"/>
    <w:rsid w:val="003A5F69"/>
    <w:rsid w:val="003E3368"/>
    <w:rsid w:val="003E3F4E"/>
    <w:rsid w:val="003E5D8E"/>
    <w:rsid w:val="003F156D"/>
    <w:rsid w:val="00424AEC"/>
    <w:rsid w:val="00424B36"/>
    <w:rsid w:val="00425414"/>
    <w:rsid w:val="0042721A"/>
    <w:rsid w:val="00430392"/>
    <w:rsid w:val="00431EA9"/>
    <w:rsid w:val="00450AC6"/>
    <w:rsid w:val="00457A3D"/>
    <w:rsid w:val="00482032"/>
    <w:rsid w:val="00485ED6"/>
    <w:rsid w:val="00490BB9"/>
    <w:rsid w:val="004C64BB"/>
    <w:rsid w:val="00503EB2"/>
    <w:rsid w:val="00522B95"/>
    <w:rsid w:val="00527810"/>
    <w:rsid w:val="00576CB5"/>
    <w:rsid w:val="005A779B"/>
    <w:rsid w:val="005D64E4"/>
    <w:rsid w:val="005E2311"/>
    <w:rsid w:val="005F36B2"/>
    <w:rsid w:val="00606204"/>
    <w:rsid w:val="00653D79"/>
    <w:rsid w:val="006668FB"/>
    <w:rsid w:val="006818AA"/>
    <w:rsid w:val="00692944"/>
    <w:rsid w:val="006A54FE"/>
    <w:rsid w:val="006C47A4"/>
    <w:rsid w:val="006F0E9F"/>
    <w:rsid w:val="006F5172"/>
    <w:rsid w:val="00704996"/>
    <w:rsid w:val="00715102"/>
    <w:rsid w:val="007235D1"/>
    <w:rsid w:val="00724B3F"/>
    <w:rsid w:val="00763298"/>
    <w:rsid w:val="007763C6"/>
    <w:rsid w:val="00791F81"/>
    <w:rsid w:val="007A6DF7"/>
    <w:rsid w:val="007D0CBE"/>
    <w:rsid w:val="007D537B"/>
    <w:rsid w:val="007F0109"/>
    <w:rsid w:val="00834FAE"/>
    <w:rsid w:val="00840994"/>
    <w:rsid w:val="00863AD3"/>
    <w:rsid w:val="008C1992"/>
    <w:rsid w:val="008D06F5"/>
    <w:rsid w:val="008D37A6"/>
    <w:rsid w:val="008E7F21"/>
    <w:rsid w:val="008F61E8"/>
    <w:rsid w:val="00942035"/>
    <w:rsid w:val="009664C8"/>
    <w:rsid w:val="009752E7"/>
    <w:rsid w:val="00984012"/>
    <w:rsid w:val="009926C2"/>
    <w:rsid w:val="009C59E2"/>
    <w:rsid w:val="009E09DA"/>
    <w:rsid w:val="00A01992"/>
    <w:rsid w:val="00A1550E"/>
    <w:rsid w:val="00A20F59"/>
    <w:rsid w:val="00A3142F"/>
    <w:rsid w:val="00A45B5F"/>
    <w:rsid w:val="00A56479"/>
    <w:rsid w:val="00A721AA"/>
    <w:rsid w:val="00A84449"/>
    <w:rsid w:val="00A8619F"/>
    <w:rsid w:val="00AA12FF"/>
    <w:rsid w:val="00B3262D"/>
    <w:rsid w:val="00B42F2C"/>
    <w:rsid w:val="00B61674"/>
    <w:rsid w:val="00BC20C3"/>
    <w:rsid w:val="00BC310E"/>
    <w:rsid w:val="00BD69FE"/>
    <w:rsid w:val="00C209D9"/>
    <w:rsid w:val="00C3717E"/>
    <w:rsid w:val="00C405E9"/>
    <w:rsid w:val="00C54BD2"/>
    <w:rsid w:val="00CD0F59"/>
    <w:rsid w:val="00CE04AB"/>
    <w:rsid w:val="00CF0232"/>
    <w:rsid w:val="00D27E37"/>
    <w:rsid w:val="00D54ADF"/>
    <w:rsid w:val="00D706AB"/>
    <w:rsid w:val="00DB285E"/>
    <w:rsid w:val="00DC46F5"/>
    <w:rsid w:val="00DC6632"/>
    <w:rsid w:val="00DF312C"/>
    <w:rsid w:val="00E03AD9"/>
    <w:rsid w:val="00E31A14"/>
    <w:rsid w:val="00E34DEE"/>
    <w:rsid w:val="00E53340"/>
    <w:rsid w:val="00E55904"/>
    <w:rsid w:val="00F01683"/>
    <w:rsid w:val="00F236E1"/>
    <w:rsid w:val="00F323F9"/>
    <w:rsid w:val="00F34EDF"/>
    <w:rsid w:val="00F842B8"/>
    <w:rsid w:val="00FA24FB"/>
    <w:rsid w:val="00FA67EF"/>
    <w:rsid w:val="00FC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basedOn w:val="Normal"/>
    <w:next w:val="Normal"/>
    <w:link w:val="Heading1Char"/>
    <w:qFormat/>
    <w:rsid w:val="001C4B9D"/>
    <w:pPr>
      <w:numPr>
        <w:numId w:val="6"/>
      </w:numPr>
      <w:tabs>
        <w:tab w:val="left" w:pos="0"/>
        <w:tab w:val="left" w:pos="851"/>
      </w:tabs>
      <w:overflowPunct w:val="0"/>
      <w:autoSpaceDE w:val="0"/>
      <w:autoSpaceDN w:val="0"/>
      <w:adjustRightInd w:val="0"/>
      <w:spacing w:after="360"/>
      <w:textAlignment w:val="baseline"/>
      <w:outlineLvl w:val="0"/>
    </w:pPr>
    <w:rPr>
      <w:rFonts w:eastAsia="Times New Roman" w:cs="Times New Roman"/>
      <w:b/>
      <w:kern w:val="28"/>
      <w:sz w:val="28"/>
      <w:szCs w:val="20"/>
      <w:lang w:eastAsia="en-GB"/>
    </w:rPr>
  </w:style>
  <w:style w:type="paragraph" w:styleId="Heading2">
    <w:name w:val="heading 2"/>
    <w:aliases w:val="h2"/>
    <w:basedOn w:val="Normal"/>
    <w:next w:val="Normal"/>
    <w:link w:val="Heading2Char"/>
    <w:qFormat/>
    <w:rsid w:val="001C4B9D"/>
    <w:pPr>
      <w:keepNext/>
      <w:numPr>
        <w:ilvl w:val="1"/>
        <w:numId w:val="6"/>
      </w:numPr>
      <w:tabs>
        <w:tab w:val="left" w:pos="0"/>
        <w:tab w:val="left" w:pos="851"/>
      </w:tabs>
      <w:overflowPunct w:val="0"/>
      <w:autoSpaceDE w:val="0"/>
      <w:autoSpaceDN w:val="0"/>
      <w:adjustRightInd w:val="0"/>
      <w:spacing w:before="360" w:after="140"/>
      <w:textAlignment w:val="baseline"/>
      <w:outlineLvl w:val="1"/>
    </w:pPr>
    <w:rPr>
      <w:rFonts w:eastAsia="Times New Roman" w:cs="Times New Roman"/>
      <w:b/>
      <w:sz w:val="24"/>
      <w:szCs w:val="20"/>
      <w:lang w:eastAsia="en-GB"/>
    </w:rPr>
  </w:style>
  <w:style w:type="paragraph" w:styleId="Heading3">
    <w:name w:val="heading 3"/>
    <w:basedOn w:val="Normal"/>
    <w:next w:val="Normal"/>
    <w:link w:val="Heading3Char"/>
    <w:qFormat/>
    <w:rsid w:val="001C4B9D"/>
    <w:pPr>
      <w:keepNext/>
      <w:numPr>
        <w:ilvl w:val="2"/>
        <w:numId w:val="6"/>
      </w:numPr>
      <w:tabs>
        <w:tab w:val="left" w:pos="2553"/>
      </w:tabs>
      <w:overflowPunct w:val="0"/>
      <w:autoSpaceDE w:val="0"/>
      <w:autoSpaceDN w:val="0"/>
      <w:adjustRightInd w:val="0"/>
      <w:spacing w:before="220" w:after="80"/>
      <w:textAlignment w:val="baseline"/>
      <w:outlineLvl w:val="2"/>
    </w:pPr>
    <w:rPr>
      <w:rFonts w:eastAsia="Times New Roman" w:cs="Times New Roman"/>
      <w:b/>
      <w:szCs w:val="20"/>
      <w:lang w:eastAsia="en-GB"/>
    </w:rPr>
  </w:style>
  <w:style w:type="paragraph" w:styleId="Heading4">
    <w:name w:val="heading 4"/>
    <w:basedOn w:val="Normal"/>
    <w:next w:val="Normal"/>
    <w:link w:val="Heading4Char"/>
    <w:qFormat/>
    <w:rsid w:val="00C209D9"/>
    <w:pPr>
      <w:keepNext/>
      <w:tabs>
        <w:tab w:val="num" w:pos="864"/>
      </w:tabs>
      <w:spacing w:before="240" w:after="60"/>
      <w:ind w:left="864" w:hanging="864"/>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1C4B9D"/>
    <w:pPr>
      <w:keepNext/>
      <w:numPr>
        <w:ilvl w:val="4"/>
        <w:numId w:val="6"/>
      </w:numPr>
      <w:tabs>
        <w:tab w:val="left" w:pos="0"/>
        <w:tab w:val="left" w:pos="2520"/>
      </w:tabs>
      <w:overflowPunct w:val="0"/>
      <w:autoSpaceDE w:val="0"/>
      <w:autoSpaceDN w:val="0"/>
      <w:adjustRightInd w:val="0"/>
      <w:spacing w:line="-280" w:lineRule="auto"/>
      <w:textAlignment w:val="baseline"/>
      <w:outlineLvl w:val="4"/>
    </w:pPr>
    <w:rPr>
      <w:rFonts w:eastAsia="Times New Roman" w:cs="Times New Roman"/>
      <w:b/>
      <w:sz w:val="28"/>
      <w:szCs w:val="20"/>
      <w:lang w:val="en-US" w:eastAsia="en-GB"/>
    </w:rPr>
  </w:style>
  <w:style w:type="paragraph" w:styleId="Heading6">
    <w:name w:val="heading 6"/>
    <w:basedOn w:val="Normal"/>
    <w:next w:val="Normal"/>
    <w:link w:val="Heading6Char"/>
    <w:qFormat/>
    <w:rsid w:val="00C209D9"/>
    <w:pPr>
      <w:tabs>
        <w:tab w:val="num" w:pos="1152"/>
      </w:tabs>
      <w:spacing w:before="240" w:after="60"/>
      <w:ind w:left="1152" w:hanging="1152"/>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C209D9"/>
    <w:pPr>
      <w:tabs>
        <w:tab w:val="num" w:pos="1296"/>
      </w:tabs>
      <w:spacing w:before="240" w:after="60"/>
      <w:ind w:left="1296" w:hanging="1296"/>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C209D9"/>
    <w:pPr>
      <w:tabs>
        <w:tab w:val="num" w:pos="1440"/>
      </w:tabs>
      <w:spacing w:before="240" w:after="60"/>
      <w:ind w:left="1440" w:hanging="1440"/>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C209D9"/>
    <w:pPr>
      <w:tabs>
        <w:tab w:val="num" w:pos="1584"/>
      </w:tabs>
      <w:spacing w:before="240" w:after="60"/>
      <w:ind w:left="1584" w:hanging="1584"/>
      <w:jc w:val="both"/>
      <w:outlineLvl w:val="8"/>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semiHidden/>
    <w:unhideWhenUsed/>
    <w:rsid w:val="00FA67EF"/>
    <w:rPr>
      <w:sz w:val="16"/>
      <w:szCs w:val="16"/>
    </w:rPr>
  </w:style>
  <w:style w:type="paragraph" w:styleId="CommentText">
    <w:name w:val="annotation text"/>
    <w:basedOn w:val="Normal"/>
    <w:link w:val="CommentTextChar"/>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uiPriority w:val="59"/>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3E3368"/>
    <w:pPr>
      <w:spacing w:after="200" w:line="276"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3E3368"/>
    <w:rPr>
      <w:rFonts w:asciiTheme="minorHAnsi" w:hAnsiTheme="minorHAnsi" w:cstheme="minorBidi"/>
    </w:rPr>
  </w:style>
  <w:style w:type="paragraph" w:customStyle="1" w:styleId="Default">
    <w:name w:val="Default"/>
    <w:rsid w:val="001426AB"/>
    <w:pPr>
      <w:autoSpaceDE w:val="0"/>
      <w:autoSpaceDN w:val="0"/>
      <w:adjustRightInd w:val="0"/>
    </w:pPr>
    <w:rPr>
      <w:color w:val="000000"/>
      <w:sz w:val="24"/>
      <w:szCs w:val="24"/>
    </w:rPr>
  </w:style>
  <w:style w:type="character" w:customStyle="1" w:styleId="Heading1Char">
    <w:name w:val="Heading 1 Char"/>
    <w:aliases w:val="Outline1 Char"/>
    <w:basedOn w:val="DefaultParagraphFont"/>
    <w:link w:val="Heading1"/>
    <w:rsid w:val="001C4B9D"/>
    <w:rPr>
      <w:rFonts w:eastAsia="Times New Roman" w:cs="Times New Roman"/>
      <w:b/>
      <w:kern w:val="28"/>
      <w:sz w:val="28"/>
      <w:szCs w:val="20"/>
      <w:lang w:eastAsia="en-GB"/>
    </w:rPr>
  </w:style>
  <w:style w:type="character" w:customStyle="1" w:styleId="Heading2Char">
    <w:name w:val="Heading 2 Char"/>
    <w:aliases w:val="h2 Char"/>
    <w:basedOn w:val="DefaultParagraphFont"/>
    <w:link w:val="Heading2"/>
    <w:rsid w:val="001C4B9D"/>
    <w:rPr>
      <w:rFonts w:eastAsia="Times New Roman" w:cs="Times New Roman"/>
      <w:b/>
      <w:sz w:val="24"/>
      <w:szCs w:val="20"/>
      <w:lang w:eastAsia="en-GB"/>
    </w:rPr>
  </w:style>
  <w:style w:type="character" w:customStyle="1" w:styleId="Heading3Char">
    <w:name w:val="Heading 3 Char"/>
    <w:basedOn w:val="DefaultParagraphFont"/>
    <w:link w:val="Heading3"/>
    <w:rsid w:val="001C4B9D"/>
    <w:rPr>
      <w:rFonts w:eastAsia="Times New Roman" w:cs="Times New Roman"/>
      <w:b/>
      <w:szCs w:val="20"/>
      <w:lang w:eastAsia="en-GB"/>
    </w:rPr>
  </w:style>
  <w:style w:type="character" w:customStyle="1" w:styleId="Heading5Char">
    <w:name w:val="Heading 5 Char"/>
    <w:basedOn w:val="DefaultParagraphFont"/>
    <w:link w:val="Heading5"/>
    <w:rsid w:val="001C4B9D"/>
    <w:rPr>
      <w:rFonts w:eastAsia="Times New Roman" w:cs="Times New Roman"/>
      <w:b/>
      <w:sz w:val="28"/>
      <w:szCs w:val="20"/>
      <w:lang w:val="en-US" w:eastAsia="en-GB"/>
    </w:rPr>
  </w:style>
  <w:style w:type="paragraph" w:styleId="EndnoteText">
    <w:name w:val="endnote text"/>
    <w:basedOn w:val="Normal"/>
    <w:link w:val="EndnoteTextChar"/>
    <w:semiHidden/>
    <w:rsid w:val="001C4B9D"/>
    <w:pPr>
      <w:overflowPunct w:val="0"/>
      <w:autoSpaceDE w:val="0"/>
      <w:autoSpaceDN w:val="0"/>
      <w:adjustRightInd w:val="0"/>
      <w:textAlignment w:val="baseline"/>
    </w:pPr>
    <w:rPr>
      <w:rFonts w:eastAsia="Times New Roman" w:cs="Times New Roman"/>
      <w:sz w:val="20"/>
      <w:szCs w:val="20"/>
      <w:lang w:eastAsia="en-GB"/>
    </w:rPr>
  </w:style>
  <w:style w:type="character" w:customStyle="1" w:styleId="EndnoteTextChar">
    <w:name w:val="Endnote Text Char"/>
    <w:basedOn w:val="DefaultParagraphFont"/>
    <w:link w:val="EndnoteText"/>
    <w:semiHidden/>
    <w:rsid w:val="001C4B9D"/>
    <w:rPr>
      <w:rFonts w:eastAsia="Times New Roman" w:cs="Times New Roman"/>
      <w:sz w:val="20"/>
      <w:szCs w:val="20"/>
      <w:lang w:eastAsia="en-GB"/>
    </w:rPr>
  </w:style>
  <w:style w:type="character" w:styleId="EndnoteReference">
    <w:name w:val="endnote reference"/>
    <w:semiHidden/>
    <w:rsid w:val="001C4B9D"/>
    <w:rPr>
      <w:vertAlign w:val="superscript"/>
    </w:rPr>
  </w:style>
  <w:style w:type="paragraph" w:styleId="NormalWeb">
    <w:name w:val="Normal (Web)"/>
    <w:basedOn w:val="Normal"/>
    <w:uiPriority w:val="99"/>
    <w:unhideWhenUsed/>
    <w:rsid w:val="00576CB5"/>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qFormat/>
    <w:rsid w:val="00C209D9"/>
    <w:pPr>
      <w:tabs>
        <w:tab w:val="center" w:pos="4153"/>
        <w:tab w:val="right" w:pos="830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C209D9"/>
    <w:rPr>
      <w:rFonts w:ascii="Times New Roman" w:eastAsia="Times New Roman" w:hAnsi="Times New Roman" w:cs="Times New Roman"/>
      <w:sz w:val="24"/>
      <w:szCs w:val="24"/>
      <w:lang w:eastAsia="en-GB"/>
    </w:rPr>
  </w:style>
  <w:style w:type="paragraph" w:styleId="Footer">
    <w:name w:val="footer"/>
    <w:basedOn w:val="Normal"/>
    <w:link w:val="FooterChar"/>
    <w:uiPriority w:val="99"/>
    <w:qFormat/>
    <w:rsid w:val="00C209D9"/>
    <w:pPr>
      <w:tabs>
        <w:tab w:val="center" w:pos="4153"/>
        <w:tab w:val="right" w:pos="8306"/>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C209D9"/>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C209D9"/>
    <w:rPr>
      <w:rFonts w:ascii="Times New Roman" w:eastAsia="Times New Roman" w:hAnsi="Times New Roman" w:cs="Times New Roman"/>
      <w:b/>
      <w:bCs/>
      <w:sz w:val="28"/>
      <w:szCs w:val="28"/>
      <w:lang w:eastAsia="en-GB"/>
    </w:rPr>
  </w:style>
  <w:style w:type="character" w:customStyle="1" w:styleId="Heading6Char">
    <w:name w:val="Heading 6 Char"/>
    <w:basedOn w:val="DefaultParagraphFont"/>
    <w:link w:val="Heading6"/>
    <w:rsid w:val="00C209D9"/>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C209D9"/>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C209D9"/>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C209D9"/>
    <w:rPr>
      <w:rFonts w:eastAsia="Times New Roman"/>
      <w:lang w:eastAsia="en-GB"/>
    </w:rPr>
  </w:style>
  <w:style w:type="character" w:customStyle="1" w:styleId="PlainTextChar">
    <w:name w:val="Plain Text Char"/>
    <w:link w:val="PlainText"/>
    <w:semiHidden/>
    <w:locked/>
    <w:rsid w:val="00C209D9"/>
    <w:rPr>
      <w:rFonts w:ascii="Consolas" w:eastAsia="Calibri" w:hAnsi="Consolas"/>
      <w:sz w:val="21"/>
      <w:szCs w:val="21"/>
    </w:rPr>
  </w:style>
  <w:style w:type="paragraph" w:styleId="PlainText">
    <w:name w:val="Plain Text"/>
    <w:basedOn w:val="Normal"/>
    <w:link w:val="PlainTextChar"/>
    <w:semiHidden/>
    <w:rsid w:val="00C209D9"/>
    <w:rPr>
      <w:rFonts w:ascii="Consolas" w:eastAsia="Calibri" w:hAnsi="Consolas"/>
      <w:sz w:val="21"/>
      <w:szCs w:val="21"/>
    </w:rPr>
  </w:style>
  <w:style w:type="character" w:customStyle="1" w:styleId="PlainTextChar1">
    <w:name w:val="Plain Text Char1"/>
    <w:basedOn w:val="DefaultParagraphFont"/>
    <w:uiPriority w:val="99"/>
    <w:semiHidden/>
    <w:rsid w:val="00C209D9"/>
    <w:rPr>
      <w:rFonts w:ascii="Consolas" w:hAnsi="Consolas"/>
      <w:sz w:val="21"/>
      <w:szCs w:val="21"/>
    </w:rPr>
  </w:style>
  <w:style w:type="table" w:styleId="PlainTable2">
    <w:name w:val="Plain Table 2"/>
    <w:basedOn w:val="TableNormal"/>
    <w:uiPriority w:val="42"/>
    <w:rsid w:val="00485E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59312">
      <w:bodyDiv w:val="1"/>
      <w:marLeft w:val="0"/>
      <w:marRight w:val="0"/>
      <w:marTop w:val="0"/>
      <w:marBottom w:val="0"/>
      <w:divBdr>
        <w:top w:val="none" w:sz="0" w:space="0" w:color="auto"/>
        <w:left w:val="none" w:sz="0" w:space="0" w:color="auto"/>
        <w:bottom w:val="none" w:sz="0" w:space="0" w:color="auto"/>
        <w:right w:val="none" w:sz="0" w:space="0" w:color="auto"/>
      </w:divBdr>
    </w:div>
    <w:div w:id="584654535">
      <w:bodyDiv w:val="1"/>
      <w:marLeft w:val="0"/>
      <w:marRight w:val="0"/>
      <w:marTop w:val="0"/>
      <w:marBottom w:val="0"/>
      <w:divBdr>
        <w:top w:val="none" w:sz="0" w:space="0" w:color="auto"/>
        <w:left w:val="none" w:sz="0" w:space="0" w:color="auto"/>
        <w:bottom w:val="none" w:sz="0" w:space="0" w:color="auto"/>
        <w:right w:val="none" w:sz="0" w:space="0" w:color="auto"/>
      </w:divBdr>
    </w:div>
    <w:div w:id="863444196">
      <w:bodyDiv w:val="1"/>
      <w:marLeft w:val="0"/>
      <w:marRight w:val="0"/>
      <w:marTop w:val="0"/>
      <w:marBottom w:val="0"/>
      <w:divBdr>
        <w:top w:val="none" w:sz="0" w:space="0" w:color="auto"/>
        <w:left w:val="none" w:sz="0" w:space="0" w:color="auto"/>
        <w:bottom w:val="none" w:sz="0" w:space="0" w:color="auto"/>
        <w:right w:val="none" w:sz="0" w:space="0" w:color="auto"/>
      </w:divBdr>
    </w:div>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364132415">
      <w:bodyDiv w:val="1"/>
      <w:marLeft w:val="0"/>
      <w:marRight w:val="0"/>
      <w:marTop w:val="0"/>
      <w:marBottom w:val="0"/>
      <w:divBdr>
        <w:top w:val="none" w:sz="0" w:space="0" w:color="auto"/>
        <w:left w:val="none" w:sz="0" w:space="0" w:color="auto"/>
        <w:bottom w:val="none" w:sz="0" w:space="0" w:color="auto"/>
        <w:right w:val="none" w:sz="0" w:space="0" w:color="auto"/>
      </w:divBdr>
    </w:div>
    <w:div w:id="1374310035">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pho.org.uk/default.aspx?QN=P_HEALTH_PROFILES" TargetMode="External"/><Relationship Id="rId4" Type="http://schemas.openxmlformats.org/officeDocument/2006/relationships/webSettings" Target="webSettings.xml"/><Relationship Id="rId9" Type="http://schemas.openxmlformats.org/officeDocument/2006/relationships/hyperlink" Target="http://www.nchod.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4CB67390</Template>
  <TotalTime>0</TotalTime>
  <Pages>18</Pages>
  <Words>4938</Words>
  <Characters>28150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2020-03-12T11:56:00Z</dcterms:created>
  <dcterms:modified xsi:type="dcterms:W3CDTF">2020-03-13T16:57:00Z</dcterms:modified>
</cp:coreProperties>
</file>