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39C7DC7D" w14:textId="77777777" w:rsidR="00630851" w:rsidRDefault="00630851" w:rsidP="00630851">
      <w:pPr>
        <w:pStyle w:val="NICEnormal"/>
        <w:rPr>
          <w:lang w:eastAsia="en-GB"/>
        </w:rPr>
      </w:pPr>
      <w:r w:rsidRPr="0326FA64">
        <w:rPr>
          <w:lang w:eastAsia="en-GB"/>
        </w:rPr>
        <w:t>Assurance date: August 2023</w:t>
      </w:r>
    </w:p>
    <w:p w14:paraId="34825052" w14:textId="77777777" w:rsidR="00630851" w:rsidRDefault="00630851" w:rsidP="00630851">
      <w:pPr>
        <w:pStyle w:val="NICEnormal"/>
        <w:rPr>
          <w:lang w:eastAsia="en-GB"/>
        </w:rPr>
      </w:pPr>
      <w:r w:rsidRPr="0326FA64">
        <w:rPr>
          <w:lang w:eastAsia="en-GB"/>
        </w:rPr>
        <w:t>Review date: August 2026</w:t>
      </w:r>
    </w:p>
    <w:p w14:paraId="047E7BC9" w14:textId="32BDC02D" w:rsidR="009B0E59" w:rsidRPr="009B0E59" w:rsidRDefault="009B0E59" w:rsidP="00630851">
      <w:pPr>
        <w:pStyle w:val="Heading1"/>
        <w:rPr>
          <w:lang w:eastAsia="en-GB"/>
        </w:rPr>
      </w:pPr>
      <w:r w:rsidRPr="009B0E59">
        <w:rPr>
          <w:lang w:eastAsia="en-GB"/>
        </w:rPr>
        <w:t xml:space="preserve">Indicator </w:t>
      </w:r>
      <w:r w:rsidR="00400F4A">
        <w:rPr>
          <w:lang w:eastAsia="en-GB"/>
        </w:rPr>
        <w:t>IAP0001</w:t>
      </w:r>
      <w:r w:rsidR="00FA77CC">
        <w:rPr>
          <w:lang w:eastAsia="en-GB"/>
        </w:rPr>
        <w:t>9</w:t>
      </w:r>
    </w:p>
    <w:p w14:paraId="0C52858F" w14:textId="4663C944" w:rsidR="00400F4A" w:rsidRDefault="00400F4A" w:rsidP="00192685">
      <w:pPr>
        <w:pStyle w:val="Heading1"/>
        <w:rPr>
          <w:b w:val="0"/>
          <w:bCs w:val="0"/>
          <w:kern w:val="0"/>
          <w:sz w:val="24"/>
          <w:szCs w:val="24"/>
          <w:lang w:eastAsia="en-GB"/>
        </w:rPr>
      </w:pPr>
      <w:r w:rsidRPr="00400F4A">
        <w:rPr>
          <w:b w:val="0"/>
          <w:bCs w:val="0"/>
          <w:kern w:val="0"/>
          <w:sz w:val="24"/>
          <w:szCs w:val="24"/>
          <w:lang w:eastAsia="en-GB"/>
        </w:rPr>
        <w:t xml:space="preserve">Under 75 </w:t>
      </w:r>
      <w:proofErr w:type="gramStart"/>
      <w:r w:rsidRPr="00400F4A">
        <w:rPr>
          <w:b w:val="0"/>
          <w:bCs w:val="0"/>
          <w:kern w:val="0"/>
          <w:sz w:val="24"/>
          <w:szCs w:val="24"/>
          <w:lang w:eastAsia="en-GB"/>
        </w:rPr>
        <w:t>mortality</w:t>
      </w:r>
      <w:proofErr w:type="gramEnd"/>
      <w:r w:rsidRPr="00400F4A">
        <w:rPr>
          <w:b w:val="0"/>
          <w:bCs w:val="0"/>
          <w:kern w:val="0"/>
          <w:sz w:val="24"/>
          <w:szCs w:val="24"/>
          <w:lang w:eastAsia="en-GB"/>
        </w:rPr>
        <w:t xml:space="preserve"> from </w:t>
      </w:r>
      <w:r w:rsidR="005E41ED">
        <w:rPr>
          <w:b w:val="0"/>
          <w:bCs w:val="0"/>
          <w:kern w:val="0"/>
          <w:sz w:val="24"/>
          <w:szCs w:val="24"/>
          <w:lang w:eastAsia="en-GB"/>
        </w:rPr>
        <w:t>liver</w:t>
      </w:r>
      <w:r w:rsidRPr="00400F4A">
        <w:rPr>
          <w:b w:val="0"/>
          <w:bCs w:val="0"/>
          <w:kern w:val="0"/>
          <w:sz w:val="24"/>
          <w:szCs w:val="24"/>
          <w:lang w:eastAsia="en-GB"/>
        </w:rPr>
        <w:t xml:space="preserve"> disease</w:t>
      </w:r>
      <w:r w:rsidR="00BB237E">
        <w:rPr>
          <w:b w:val="0"/>
          <w:bCs w:val="0"/>
          <w:kern w:val="0"/>
          <w:sz w:val="24"/>
          <w:szCs w:val="24"/>
          <w:lang w:eastAsia="en-GB"/>
        </w:rPr>
        <w:t>.</w:t>
      </w:r>
    </w:p>
    <w:p w14:paraId="7D2D233F" w14:textId="604CA533" w:rsidR="00630851" w:rsidRPr="00630851" w:rsidRDefault="00630851" w:rsidP="00630851">
      <w:pPr>
        <w:pStyle w:val="Paragraph"/>
        <w:rPr>
          <w:lang w:eastAsia="en-GB"/>
        </w:rPr>
      </w:pPr>
      <w:r w:rsidRPr="00630851">
        <w:rPr>
          <w:lang w:eastAsia="en-GB"/>
        </w:rPr>
        <w:t>(See also IAP0007</w:t>
      </w:r>
      <w:r>
        <w:rPr>
          <w:lang w:eastAsia="en-GB"/>
        </w:rPr>
        <w:t>4</w:t>
      </w:r>
      <w:r w:rsidRPr="00630851">
        <w:rPr>
          <w:lang w:eastAsia="en-GB"/>
        </w:rPr>
        <w:t xml:space="preserve"> CCG Outcomes Indicator Set version)</w:t>
      </w:r>
    </w:p>
    <w:p w14:paraId="6CBA005E" w14:textId="24B69A84" w:rsidR="00236060" w:rsidRDefault="640F7950" w:rsidP="00192685">
      <w:pPr>
        <w:pStyle w:val="Heading1"/>
      </w:pPr>
      <w:r>
        <w:t xml:space="preserve">Indicator type </w:t>
      </w:r>
    </w:p>
    <w:p w14:paraId="05A34CDB" w14:textId="3C9484C5" w:rsidR="00400F4A" w:rsidRPr="00236060" w:rsidRDefault="00400F4A" w:rsidP="00236060">
      <w:pPr>
        <w:pStyle w:val="Paragraph"/>
      </w:pPr>
      <w:r w:rsidRPr="00400F4A">
        <w:t>National Library of Quality Indicators.</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1571B91E">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1571B91E">
        <w:tc>
          <w:tcPr>
            <w:tcW w:w="5949" w:type="dxa"/>
          </w:tcPr>
          <w:p w14:paraId="6F338971" w14:textId="53535B2C" w:rsidR="00400F4A" w:rsidRPr="005E41ED" w:rsidRDefault="00400F4A" w:rsidP="002338EB">
            <w:pPr>
              <w:pStyle w:val="Paragraph"/>
              <w:spacing w:before="120" w:after="120" w:line="240" w:lineRule="auto"/>
              <w:rPr>
                <w:rFonts w:cs="Arial"/>
                <w:sz w:val="22"/>
                <w:szCs w:val="22"/>
              </w:rPr>
            </w:pPr>
            <w:r>
              <w:rPr>
                <w:rFonts w:cs="Arial"/>
                <w:sz w:val="22"/>
                <w:szCs w:val="22"/>
              </w:rPr>
              <w:t>I</w:t>
            </w:r>
            <w:r w:rsidRPr="00400F4A">
              <w:rPr>
                <w:rFonts w:cs="Arial"/>
                <w:sz w:val="22"/>
                <w:szCs w:val="22"/>
              </w:rPr>
              <w:t xml:space="preserve">ndicator is part of the </w:t>
            </w:r>
            <w:hyperlink r:id="rId7" w:history="1">
              <w:r w:rsidRPr="00BB237E">
                <w:rPr>
                  <w:rStyle w:val="Hyperlink"/>
                  <w:rFonts w:cs="Arial"/>
                  <w:sz w:val="22"/>
                  <w:szCs w:val="22"/>
                </w:rPr>
                <w:t>NHS outcomes framework</w:t>
              </w:r>
            </w:hyperlink>
            <w:r w:rsidRPr="00400F4A">
              <w:rPr>
                <w:rFonts w:cs="Arial"/>
                <w:sz w:val="22"/>
                <w:szCs w:val="22"/>
              </w:rPr>
              <w:t xml:space="preserve"> </w:t>
            </w:r>
            <w:r w:rsidR="00BB237E">
              <w:rPr>
                <w:rFonts w:cs="Arial"/>
                <w:sz w:val="22"/>
                <w:szCs w:val="22"/>
              </w:rPr>
              <w:t>domain</w:t>
            </w:r>
            <w:r w:rsidRPr="00400F4A">
              <w:rPr>
                <w:rFonts w:cs="Arial"/>
                <w:sz w:val="22"/>
                <w:szCs w:val="22"/>
              </w:rPr>
              <w:t xml:space="preserve"> 1 </w:t>
            </w:r>
            <w:r w:rsidR="00BB237E">
              <w:rPr>
                <w:rFonts w:cs="Arial"/>
                <w:sz w:val="22"/>
                <w:szCs w:val="22"/>
              </w:rPr>
              <w:t>– preventing people from dying prematurely (indicator 1.3)</w:t>
            </w:r>
            <w:r w:rsidR="00630851">
              <w:rPr>
                <w:rFonts w:cs="Arial"/>
                <w:sz w:val="22"/>
                <w:szCs w:val="22"/>
              </w:rPr>
              <w:t>.</w:t>
            </w:r>
            <w:r w:rsidRPr="00400F4A">
              <w:rPr>
                <w:rFonts w:cs="Arial"/>
                <w:sz w:val="22"/>
                <w:szCs w:val="22"/>
              </w:rPr>
              <w:t xml:space="preserve"> </w:t>
            </w:r>
          </w:p>
        </w:tc>
        <w:tc>
          <w:tcPr>
            <w:tcW w:w="3118" w:type="dxa"/>
          </w:tcPr>
          <w:p w14:paraId="272CA0EC" w14:textId="1543D5CB" w:rsidR="002338EB" w:rsidRPr="002338EB" w:rsidRDefault="00BB237E" w:rsidP="002338EB">
            <w:pPr>
              <w:pStyle w:val="Paragraph"/>
              <w:spacing w:before="120" w:after="120" w:line="240" w:lineRule="auto"/>
              <w:rPr>
                <w:highlight w:val="lightGray"/>
              </w:rPr>
            </w:pPr>
            <w:r w:rsidRPr="00BB237E">
              <w:rPr>
                <w:rFonts w:cs="Arial"/>
                <w:sz w:val="22"/>
                <w:szCs w:val="22"/>
              </w:rPr>
              <w:t>The indicator reflects a specific priority area identified by NHS England.</w:t>
            </w:r>
          </w:p>
        </w:tc>
      </w:tr>
      <w:tr w:rsidR="00735337" w14:paraId="2E2CE1C4" w14:textId="77777777" w:rsidTr="1571B91E">
        <w:tc>
          <w:tcPr>
            <w:tcW w:w="5949" w:type="dxa"/>
          </w:tcPr>
          <w:p w14:paraId="378D38FD" w14:textId="38C268B9" w:rsidR="00735337" w:rsidRPr="002338EB" w:rsidRDefault="4FAAE68F" w:rsidP="1571B91E">
            <w:pPr>
              <w:pStyle w:val="Paragraph"/>
              <w:spacing w:before="120" w:after="120" w:line="240" w:lineRule="auto"/>
              <w:rPr>
                <w:rFonts w:cs="Arial"/>
                <w:sz w:val="22"/>
                <w:szCs w:val="22"/>
              </w:rPr>
            </w:pPr>
            <w:r w:rsidRPr="1571B91E">
              <w:rPr>
                <w:rFonts w:cs="Arial"/>
                <w:sz w:val="22"/>
                <w:szCs w:val="22"/>
              </w:rPr>
              <w:t>Nationally rates have been increasing over time, from a directly age-standardised rate per 100,000 of 16.6 in 2003 to 20.6 in 2020. Deprivation data is available from 2009 onwards and shows significantly higher rates in the most deprived deciles. Regional breakdowns are also available, with sex splits for all breakdowns and age splits at England level only.</w:t>
            </w:r>
            <w:r w:rsidR="67C1EDF0" w:rsidRPr="1571B91E">
              <w:rPr>
                <w:rFonts w:cs="Arial"/>
                <w:sz w:val="22"/>
                <w:szCs w:val="22"/>
              </w:rPr>
              <w:t xml:space="preserve"> (</w:t>
            </w:r>
            <w:hyperlink r:id="rId8">
              <w:r w:rsidR="67C1EDF0" w:rsidRPr="1571B91E">
                <w:rPr>
                  <w:rStyle w:val="Hyperlink"/>
                  <w:rFonts w:cs="Arial"/>
                  <w:sz w:val="22"/>
                  <w:szCs w:val="22"/>
                </w:rPr>
                <w:t>NHS OF data for indicator 1.3</w:t>
              </w:r>
              <w:r w:rsidR="62BAF541" w:rsidRPr="1571B91E">
                <w:rPr>
                  <w:rStyle w:val="Hyperlink"/>
                  <w:rFonts w:cs="Arial"/>
                  <w:sz w:val="22"/>
                  <w:szCs w:val="22"/>
                </w:rPr>
                <w:t>,</w:t>
              </w:r>
            </w:hyperlink>
            <w:r w:rsidR="62BAF541" w:rsidRPr="1571B91E">
              <w:rPr>
                <w:rFonts w:cs="Arial"/>
                <w:sz w:val="22"/>
                <w:szCs w:val="22"/>
              </w:rPr>
              <w:t xml:space="preserve"> March 2022 release</w:t>
            </w:r>
            <w:r w:rsidR="67C1EDF0" w:rsidRPr="1571B91E">
              <w:rPr>
                <w:rFonts w:cs="Arial"/>
                <w:sz w:val="22"/>
                <w:szCs w:val="22"/>
              </w:rPr>
              <w:t xml:space="preserve">). </w:t>
            </w:r>
          </w:p>
        </w:tc>
        <w:tc>
          <w:tcPr>
            <w:tcW w:w="3118" w:type="dxa"/>
          </w:tcPr>
          <w:p w14:paraId="3C8B1CA2" w14:textId="19D46A67" w:rsidR="00735337" w:rsidRPr="00400F4A" w:rsidRDefault="00735337" w:rsidP="00735337">
            <w:pPr>
              <w:spacing w:before="120" w:after="120"/>
              <w:rPr>
                <w:rFonts w:ascii="Arial" w:hAnsi="Arial" w:cs="Arial"/>
                <w:color w:val="000000"/>
                <w:kern w:val="24"/>
                <w:sz w:val="22"/>
                <w:szCs w:val="22"/>
                <w:lang w:val="en-US"/>
              </w:rPr>
            </w:pPr>
            <w:r w:rsidRPr="00400F4A">
              <w:rPr>
                <w:rFonts w:ascii="Arial" w:hAnsi="Arial" w:cs="Arial"/>
                <w:color w:val="000000"/>
                <w:kern w:val="24"/>
                <w:sz w:val="22"/>
                <w:szCs w:val="22"/>
                <w:lang w:val="en-US"/>
              </w:rPr>
              <w:t>The indicator relates to an area where there is known variation.</w:t>
            </w:r>
          </w:p>
          <w:p w14:paraId="3FD01E72" w14:textId="3FD63C35" w:rsidR="00735337" w:rsidRPr="002338EB" w:rsidRDefault="00735337" w:rsidP="00735337">
            <w:pPr>
              <w:pStyle w:val="Paragraph"/>
              <w:spacing w:before="120" w:after="120" w:line="240" w:lineRule="auto"/>
              <w:rPr>
                <w:highlight w:val="lightGray"/>
              </w:rPr>
            </w:pPr>
            <w:r w:rsidRPr="00400F4A">
              <w:rPr>
                <w:rFonts w:cs="Arial"/>
                <w:color w:val="000000"/>
                <w:kern w:val="24"/>
                <w:sz w:val="22"/>
                <w:szCs w:val="22"/>
                <w:lang w:val="en-US"/>
              </w:rPr>
              <w:t>The indicator addresses under-treatment.</w:t>
            </w:r>
          </w:p>
        </w:tc>
      </w:tr>
      <w:tr w:rsidR="00735337" w14:paraId="373D8AA4" w14:textId="77777777" w:rsidTr="1571B91E">
        <w:tc>
          <w:tcPr>
            <w:tcW w:w="5949" w:type="dxa"/>
          </w:tcPr>
          <w:p w14:paraId="40A2EA38" w14:textId="076103A0" w:rsidR="00735337" w:rsidRPr="00400F4A" w:rsidRDefault="00400F4A" w:rsidP="00735337">
            <w:pPr>
              <w:spacing w:before="120" w:after="120"/>
              <w:rPr>
                <w:rFonts w:ascii="Arial" w:hAnsi="Arial" w:cs="Arial"/>
                <w:sz w:val="22"/>
                <w:szCs w:val="22"/>
              </w:rPr>
            </w:pPr>
            <w:r w:rsidRPr="00400F4A">
              <w:rPr>
                <w:rFonts w:ascii="Arial" w:hAnsi="Arial" w:cs="Arial"/>
                <w:sz w:val="22"/>
                <w:szCs w:val="22"/>
              </w:rPr>
              <w:t>Indicator is part of the NHS outcomes framework section 1 focussing on prevention of premature mortality, with the aim of lowering the numbers to improve health outcomes.</w:t>
            </w:r>
          </w:p>
        </w:tc>
        <w:tc>
          <w:tcPr>
            <w:tcW w:w="3118" w:type="dxa"/>
          </w:tcPr>
          <w:p w14:paraId="380FC230" w14:textId="77777777" w:rsidR="00735337" w:rsidRPr="00400F4A" w:rsidRDefault="00735337" w:rsidP="00735337">
            <w:pPr>
              <w:spacing w:before="120" w:after="120"/>
              <w:rPr>
                <w:rFonts w:ascii="Arial" w:hAnsi="Arial" w:cs="Arial"/>
                <w:color w:val="000000"/>
                <w:kern w:val="24"/>
                <w:sz w:val="22"/>
                <w:szCs w:val="22"/>
                <w:lang w:val="en-US"/>
              </w:rPr>
            </w:pPr>
            <w:r w:rsidRPr="00400F4A">
              <w:rPr>
                <w:rFonts w:ascii="Arial" w:hAnsi="Arial" w:cs="Arial"/>
                <w:color w:val="000000"/>
                <w:kern w:val="24"/>
                <w:sz w:val="22"/>
                <w:szCs w:val="22"/>
                <w:lang w:val="en-US"/>
              </w:rPr>
              <w:t>The indicator will lead to a meaningful improvement in patient outcomes.</w:t>
            </w:r>
          </w:p>
          <w:p w14:paraId="45004AAC" w14:textId="77777777" w:rsidR="00735337" w:rsidRPr="00400F4A" w:rsidRDefault="00735337" w:rsidP="00735337">
            <w:pPr>
              <w:spacing w:before="120" w:after="120"/>
              <w:rPr>
                <w:rFonts w:ascii="Arial" w:hAnsi="Arial" w:cs="Arial"/>
                <w:color w:val="000000"/>
                <w:kern w:val="24"/>
                <w:sz w:val="22"/>
                <w:szCs w:val="22"/>
                <w:lang w:val="en-US"/>
              </w:rPr>
            </w:pPr>
          </w:p>
        </w:tc>
      </w:tr>
    </w:tbl>
    <w:bookmarkEnd w:id="1"/>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CAB8A67" w14:textId="77777777" w:rsidR="00400F4A" w:rsidRDefault="00E00817" w:rsidP="00E00817">
            <w:pPr>
              <w:pStyle w:val="Paragraph"/>
              <w:spacing w:before="120" w:after="120" w:line="240" w:lineRule="auto"/>
              <w:rPr>
                <w:sz w:val="22"/>
                <w:szCs w:val="22"/>
              </w:rPr>
            </w:pPr>
            <w:r>
              <w:rPr>
                <w:sz w:val="22"/>
                <w:szCs w:val="22"/>
              </w:rPr>
              <w:t>Liver disease</w:t>
            </w:r>
            <w:r w:rsidRPr="00E00817">
              <w:rPr>
                <w:sz w:val="22"/>
                <w:szCs w:val="22"/>
              </w:rPr>
              <w:t xml:space="preserve"> is included in the </w:t>
            </w:r>
            <w:r w:rsidR="00BB237E">
              <w:rPr>
                <w:sz w:val="22"/>
                <w:szCs w:val="22"/>
              </w:rPr>
              <w:t>NHS OF</w:t>
            </w:r>
            <w:r w:rsidRPr="00E00817">
              <w:rPr>
                <w:sz w:val="22"/>
                <w:szCs w:val="22"/>
              </w:rPr>
              <w:t xml:space="preserve"> because it is a major cause of death in England and the NHS can </w:t>
            </w:r>
            <w:r w:rsidRPr="00E00817">
              <w:rPr>
                <w:sz w:val="22"/>
                <w:szCs w:val="22"/>
              </w:rPr>
              <w:lastRenderedPageBreak/>
              <w:t>contribute to reducing premature deaths from both amenable and non- amenable causes.</w:t>
            </w:r>
          </w:p>
          <w:p w14:paraId="1359C26D" w14:textId="2B420CF9" w:rsidR="00BB237E" w:rsidRPr="00400F4A" w:rsidRDefault="00C91C4D" w:rsidP="00E00817">
            <w:pPr>
              <w:pStyle w:val="Paragraph"/>
              <w:spacing w:before="120" w:after="120" w:line="240" w:lineRule="auto"/>
              <w:rPr>
                <w:sz w:val="22"/>
                <w:szCs w:val="22"/>
              </w:rPr>
            </w:pPr>
            <w:hyperlink r:id="rId9" w:history="1">
              <w:r w:rsidR="00BB237E" w:rsidRPr="00BB237E">
                <w:rPr>
                  <w:rStyle w:val="Hyperlink"/>
                  <w:sz w:val="22"/>
                  <w:szCs w:val="22"/>
                </w:rPr>
                <w:t>NICE’s quality standard QS152</w:t>
              </w:r>
            </w:hyperlink>
            <w:r w:rsidR="00BB237E">
              <w:rPr>
                <w:sz w:val="22"/>
                <w:szCs w:val="22"/>
              </w:rPr>
              <w:t xml:space="preserve"> includes quality statements on identifying, assessment and managing liver disease. </w:t>
            </w:r>
          </w:p>
        </w:tc>
        <w:tc>
          <w:tcPr>
            <w:tcW w:w="3118" w:type="dxa"/>
          </w:tcPr>
          <w:p w14:paraId="0D72329A" w14:textId="54F94FB4" w:rsidR="002338EB" w:rsidRPr="00E00817" w:rsidRDefault="002338EB" w:rsidP="002338EB">
            <w:pPr>
              <w:spacing w:before="120" w:after="120"/>
              <w:rPr>
                <w:rFonts w:ascii="Arial" w:hAnsi="Arial" w:cs="Arial"/>
                <w:color w:val="000000"/>
                <w:kern w:val="24"/>
                <w:sz w:val="22"/>
                <w:szCs w:val="22"/>
                <w:lang w:val="en-US"/>
              </w:rPr>
            </w:pPr>
            <w:r w:rsidRPr="00E00817">
              <w:rPr>
                <w:rFonts w:ascii="Arial" w:hAnsi="Arial" w:cs="Arial"/>
                <w:color w:val="000000"/>
                <w:kern w:val="24"/>
                <w:sz w:val="22"/>
                <w:szCs w:val="22"/>
                <w:lang w:val="en-US"/>
              </w:rPr>
              <w:lastRenderedPageBreak/>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E00817">
              <w:rPr>
                <w:rFonts w:cs="Arial"/>
                <w:color w:val="000000"/>
                <w:kern w:val="24"/>
                <w:sz w:val="22"/>
                <w:szCs w:val="22"/>
                <w:lang w:val="en-US"/>
              </w:rPr>
              <w:lastRenderedPageBreak/>
              <w:t>The indicator aligns with the evidence base.</w:t>
            </w:r>
          </w:p>
        </w:tc>
      </w:tr>
    </w:tbl>
    <w:p w14:paraId="67B93D8F" w14:textId="6D992C33" w:rsidR="002338EB" w:rsidRPr="002338EB" w:rsidRDefault="002338EB" w:rsidP="00192685">
      <w:pPr>
        <w:pStyle w:val="Heading1"/>
      </w:pPr>
      <w:r>
        <w:lastRenderedPageBreak/>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035B34A9" w:rsidR="00BE1F45" w:rsidRPr="008A68B4" w:rsidRDefault="002338EB" w:rsidP="00BE1F45">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Numerator: </w:t>
            </w:r>
            <w:r w:rsidR="008A68B4" w:rsidRPr="008A68B4">
              <w:rPr>
                <w:rFonts w:ascii="Arial" w:hAnsi="Arial" w:cs="Arial"/>
                <w:color w:val="000000"/>
                <w:kern w:val="24"/>
                <w:sz w:val="22"/>
                <w:szCs w:val="22"/>
              </w:rPr>
              <w:t xml:space="preserve">Number of deaths for which </w:t>
            </w:r>
            <w:r w:rsidR="00E00817">
              <w:rPr>
                <w:rFonts w:ascii="Arial" w:hAnsi="Arial" w:cs="Arial"/>
                <w:color w:val="000000"/>
                <w:kern w:val="24"/>
                <w:sz w:val="22"/>
                <w:szCs w:val="22"/>
              </w:rPr>
              <w:t>liver</w:t>
            </w:r>
            <w:r w:rsidR="008A68B4" w:rsidRPr="008A68B4">
              <w:rPr>
                <w:rFonts w:ascii="Arial" w:hAnsi="Arial" w:cs="Arial"/>
                <w:color w:val="000000"/>
                <w:kern w:val="24"/>
                <w:sz w:val="22"/>
                <w:szCs w:val="22"/>
              </w:rPr>
              <w:t xml:space="preserve"> disease </w:t>
            </w:r>
            <w:r w:rsidR="00E00817" w:rsidRPr="00E00817">
              <w:rPr>
                <w:rFonts w:ascii="Arial" w:hAnsi="Arial" w:cs="Arial"/>
                <w:color w:val="000000"/>
                <w:kern w:val="24"/>
                <w:sz w:val="22"/>
                <w:szCs w:val="22"/>
              </w:rPr>
              <w:t>(ICD10 K70-77, B15-19, C22, I81, I85, T86.4) is given as the underlying cause of death, based on the original cause recorded on the death certificate.</w:t>
            </w:r>
          </w:p>
          <w:p w14:paraId="424261B6" w14:textId="5F5B840D" w:rsidR="002338EB" w:rsidRDefault="00BE1F45" w:rsidP="00BE1F45">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Denominator: </w:t>
            </w:r>
            <w:r w:rsidR="008A68B4" w:rsidRPr="008A68B4">
              <w:rPr>
                <w:rFonts w:ascii="Arial" w:hAnsi="Arial" w:cs="Arial"/>
                <w:color w:val="000000"/>
                <w:kern w:val="24"/>
                <w:sz w:val="22"/>
                <w:szCs w:val="22"/>
              </w:rPr>
              <w:t>Mid-year population estimates</w:t>
            </w:r>
            <w:r w:rsidR="00E00817">
              <w:rPr>
                <w:rFonts w:ascii="Arial" w:hAnsi="Arial" w:cs="Arial"/>
                <w:color w:val="000000"/>
                <w:kern w:val="24"/>
                <w:sz w:val="22"/>
                <w:szCs w:val="22"/>
              </w:rPr>
              <w:t>.</w:t>
            </w:r>
          </w:p>
          <w:p w14:paraId="54E5E2A7" w14:textId="6BC34A8D" w:rsidR="00E00817" w:rsidRPr="008A68B4" w:rsidRDefault="00E00817" w:rsidP="00BE1F45">
            <w:pPr>
              <w:spacing w:before="120" w:after="120"/>
              <w:rPr>
                <w:rFonts w:ascii="Arial" w:hAnsi="Arial" w:cs="Arial"/>
                <w:color w:val="000000"/>
                <w:kern w:val="24"/>
                <w:sz w:val="22"/>
                <w:szCs w:val="22"/>
              </w:rPr>
            </w:pPr>
            <w:r w:rsidRPr="00E00817">
              <w:rPr>
                <w:rFonts w:ascii="Arial" w:hAnsi="Arial" w:cs="Arial"/>
                <w:color w:val="000000"/>
                <w:kern w:val="24"/>
                <w:sz w:val="22"/>
                <w:szCs w:val="22"/>
              </w:rPr>
              <w:t>Calculation: Directly age-standardised rates.</w:t>
            </w:r>
          </w:p>
          <w:p w14:paraId="65AFDE55" w14:textId="5360ECB4" w:rsidR="001A3CA6" w:rsidRPr="008A68B4" w:rsidRDefault="001A3CA6" w:rsidP="00BE1F45">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Exclusions: </w:t>
            </w:r>
            <w:r w:rsidR="008A68B4" w:rsidRPr="008A68B4">
              <w:rPr>
                <w:rFonts w:ascii="Arial" w:hAnsi="Arial" w:cs="Arial"/>
                <w:color w:val="000000"/>
                <w:kern w:val="24"/>
                <w:sz w:val="22"/>
                <w:szCs w:val="22"/>
              </w:rPr>
              <w:t xml:space="preserve">None. </w:t>
            </w:r>
          </w:p>
          <w:p w14:paraId="299E2135" w14:textId="42C5B300" w:rsidR="00CE5520" w:rsidRPr="008A68B4" w:rsidRDefault="00CE5520" w:rsidP="002338EB">
            <w:pPr>
              <w:pStyle w:val="Paragraph"/>
              <w:spacing w:before="120" w:after="120" w:line="240" w:lineRule="auto"/>
              <w:rPr>
                <w:rFonts w:cs="Arial"/>
                <w:color w:val="000000"/>
                <w:kern w:val="24"/>
                <w:sz w:val="22"/>
                <w:szCs w:val="22"/>
              </w:rPr>
            </w:pPr>
            <w:r w:rsidRPr="008A68B4">
              <w:rPr>
                <w:rFonts w:cs="Arial"/>
                <w:color w:val="000000"/>
                <w:kern w:val="24"/>
                <w:sz w:val="22"/>
                <w:szCs w:val="22"/>
              </w:rPr>
              <w:t xml:space="preserve">Definitions: </w:t>
            </w:r>
            <w:r w:rsidR="00E00817">
              <w:rPr>
                <w:rFonts w:cs="Arial"/>
                <w:color w:val="000000"/>
                <w:kern w:val="24"/>
                <w:sz w:val="22"/>
                <w:szCs w:val="22"/>
              </w:rPr>
              <w:t>Liver</w:t>
            </w:r>
            <w:r w:rsidR="008A68B4" w:rsidRPr="008A68B4">
              <w:rPr>
                <w:rFonts w:cs="Arial"/>
                <w:color w:val="000000"/>
                <w:kern w:val="24"/>
                <w:sz w:val="22"/>
                <w:szCs w:val="22"/>
              </w:rPr>
              <w:t xml:space="preserve"> disease uses codes </w:t>
            </w:r>
            <w:r w:rsidR="00E00817" w:rsidRPr="00E00817">
              <w:rPr>
                <w:rFonts w:cs="Arial"/>
                <w:color w:val="000000"/>
                <w:kern w:val="24"/>
                <w:sz w:val="22"/>
                <w:szCs w:val="22"/>
              </w:rPr>
              <w:t>ICD10 K70-77, B15-19, C22, I81, I85, T86.4</w:t>
            </w:r>
            <w:r w:rsidR="00E00817">
              <w:rPr>
                <w:rFonts w:cs="Arial"/>
                <w:color w:val="000000"/>
                <w:kern w:val="24"/>
                <w:sz w:val="22"/>
                <w:szCs w:val="22"/>
              </w:rPr>
              <w:t>.</w:t>
            </w:r>
          </w:p>
          <w:p w14:paraId="4295D97B" w14:textId="32DA74D1" w:rsidR="008A68B4" w:rsidRPr="008A68B4" w:rsidRDefault="008A68B4" w:rsidP="002338EB">
            <w:pPr>
              <w:pStyle w:val="Paragraph"/>
              <w:spacing w:before="120" w:after="120" w:line="240" w:lineRule="auto"/>
              <w:rPr>
                <w:sz w:val="22"/>
                <w:szCs w:val="22"/>
              </w:rPr>
            </w:pPr>
            <w:r w:rsidRPr="008A68B4">
              <w:rPr>
                <w:sz w:val="22"/>
                <w:szCs w:val="22"/>
              </w:rPr>
              <w:t xml:space="preserve">Geography: England, </w:t>
            </w:r>
            <w:r w:rsidR="00BB237E">
              <w:rPr>
                <w:sz w:val="22"/>
                <w:szCs w:val="22"/>
              </w:rPr>
              <w:t>r</w:t>
            </w:r>
            <w:r w:rsidRPr="008A68B4">
              <w:rPr>
                <w:sz w:val="22"/>
                <w:szCs w:val="22"/>
              </w:rPr>
              <w:t xml:space="preserve">egions, </w:t>
            </w:r>
            <w:r w:rsidR="00BB237E">
              <w:rPr>
                <w:sz w:val="22"/>
                <w:szCs w:val="22"/>
              </w:rPr>
              <w:t>d</w:t>
            </w:r>
            <w:r w:rsidRPr="008A68B4">
              <w:rPr>
                <w:sz w:val="22"/>
                <w:szCs w:val="22"/>
              </w:rPr>
              <w:t>eprivation decile</w:t>
            </w:r>
            <w:r w:rsidR="00BB237E">
              <w:rPr>
                <w:sz w:val="22"/>
                <w:szCs w:val="22"/>
              </w:rPr>
              <w:t>.</w:t>
            </w:r>
          </w:p>
          <w:p w14:paraId="6C574340" w14:textId="1F67CB27" w:rsidR="008A68B4" w:rsidRPr="008A68B4" w:rsidRDefault="008A68B4" w:rsidP="002338EB">
            <w:pPr>
              <w:pStyle w:val="Paragraph"/>
              <w:spacing w:before="120" w:after="120" w:line="240" w:lineRule="auto"/>
              <w:rPr>
                <w:sz w:val="22"/>
                <w:szCs w:val="22"/>
              </w:rPr>
            </w:pPr>
            <w:r w:rsidRPr="008A68B4">
              <w:rPr>
                <w:sz w:val="22"/>
                <w:szCs w:val="22"/>
              </w:rPr>
              <w:t xml:space="preserve">Data Source: Specification says Primary Care Mortality Database (PCMD), but then refers to ONS Mortality data. It’s the same source but could be clearer that this is the case. </w:t>
            </w:r>
            <w:r w:rsidR="00BB237E">
              <w:rPr>
                <w:sz w:val="22"/>
                <w:szCs w:val="22"/>
              </w:rPr>
              <w:t>ONS mid-year population estimates.</w:t>
            </w:r>
          </w:p>
          <w:p w14:paraId="1A8C1D16" w14:textId="6852A323" w:rsidR="00735337" w:rsidRPr="008A68B4" w:rsidRDefault="008A68B4" w:rsidP="002338EB">
            <w:pPr>
              <w:pStyle w:val="Paragraph"/>
              <w:spacing w:before="120" w:after="120" w:line="240" w:lineRule="auto"/>
            </w:pPr>
            <w:r w:rsidRPr="008A68B4">
              <w:rPr>
                <w:sz w:val="22"/>
                <w:szCs w:val="22"/>
              </w:rPr>
              <w:t>Disclosure control: None due to region being lowest geography level published.</w:t>
            </w:r>
          </w:p>
        </w:tc>
        <w:tc>
          <w:tcPr>
            <w:tcW w:w="3118" w:type="dxa"/>
          </w:tcPr>
          <w:p w14:paraId="1439227D" w14:textId="5A1A009F" w:rsidR="002338EB" w:rsidRPr="008A68B4" w:rsidRDefault="002338EB" w:rsidP="002338EB">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The indicator has defined components necessary to construct the indicator, including numerator, </w:t>
            </w:r>
            <w:proofErr w:type="gramStart"/>
            <w:r w:rsidRPr="008A68B4">
              <w:rPr>
                <w:rFonts w:ascii="Arial" w:hAnsi="Arial" w:cs="Arial"/>
                <w:color w:val="000000"/>
                <w:kern w:val="24"/>
                <w:sz w:val="22"/>
                <w:szCs w:val="22"/>
              </w:rPr>
              <w:t>denominator</w:t>
            </w:r>
            <w:proofErr w:type="gramEnd"/>
            <w:r w:rsidRPr="008A68B4">
              <w:rPr>
                <w:rFonts w:ascii="Arial" w:hAnsi="Arial" w:cs="Arial"/>
                <w:color w:val="000000"/>
                <w:kern w:val="24"/>
                <w:sz w:val="22"/>
                <w:szCs w:val="22"/>
              </w:rPr>
              <w:t xml:space="preserve"> and exclusions.</w:t>
            </w:r>
          </w:p>
          <w:p w14:paraId="0C449702" w14:textId="77777777" w:rsidR="002338EB" w:rsidRPr="008A68B4" w:rsidRDefault="002338EB" w:rsidP="002338EB">
            <w:pPr>
              <w:pStyle w:val="Paragraph"/>
              <w:spacing w:before="120" w:after="120" w:line="240" w:lineRule="auto"/>
            </w:pPr>
          </w:p>
        </w:tc>
      </w:tr>
    </w:tbl>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0B65C83C" w:rsidR="00735337" w:rsidRPr="009F3FA9" w:rsidRDefault="009F3FA9" w:rsidP="00735337">
            <w:pPr>
              <w:pStyle w:val="Paragraph"/>
              <w:spacing w:before="120" w:after="120" w:line="240" w:lineRule="auto"/>
            </w:pPr>
            <w:r w:rsidRPr="009F3FA9">
              <w:rPr>
                <w:rFonts w:cs="Arial"/>
                <w:sz w:val="22"/>
                <w:szCs w:val="22"/>
              </w:rPr>
              <w:t>Both numerator and denominator come from reliable sources which will continue.</w:t>
            </w:r>
          </w:p>
        </w:tc>
        <w:tc>
          <w:tcPr>
            <w:tcW w:w="3118" w:type="dxa"/>
          </w:tcPr>
          <w:p w14:paraId="7E07F302" w14:textId="5F984164" w:rsidR="00735337" w:rsidRPr="009F3FA9" w:rsidRDefault="00735337" w:rsidP="00735337">
            <w:pPr>
              <w:spacing w:before="120" w:after="120"/>
              <w:rPr>
                <w:rFonts w:ascii="Arial" w:hAnsi="Arial" w:cs="Arial"/>
                <w:color w:val="000000"/>
                <w:kern w:val="24"/>
                <w:sz w:val="22"/>
                <w:szCs w:val="22"/>
              </w:rPr>
            </w:pPr>
            <w:r w:rsidRPr="009F3FA9">
              <w:rPr>
                <w:rFonts w:ascii="Arial" w:hAnsi="Arial" w:cs="Arial"/>
                <w:color w:val="000000"/>
                <w:kern w:val="24"/>
                <w:sz w:val="22"/>
                <w:szCs w:val="22"/>
              </w:rPr>
              <w:t>The indicator is repeatable.</w:t>
            </w:r>
          </w:p>
          <w:p w14:paraId="3BEFE1B2" w14:textId="77777777" w:rsidR="00735337" w:rsidRPr="009F3FA9" w:rsidRDefault="00735337" w:rsidP="00735337">
            <w:pPr>
              <w:pStyle w:val="Paragraph"/>
              <w:spacing w:before="120" w:after="120" w:line="240" w:lineRule="auto"/>
            </w:pPr>
          </w:p>
        </w:tc>
      </w:tr>
      <w:tr w:rsidR="00735337" w14:paraId="2FE27CD6" w14:textId="77777777" w:rsidTr="001C517D">
        <w:tc>
          <w:tcPr>
            <w:tcW w:w="5949" w:type="dxa"/>
          </w:tcPr>
          <w:p w14:paraId="4E1A997F" w14:textId="77777777" w:rsidR="009F3FA9" w:rsidRPr="009F3FA9" w:rsidRDefault="009F3FA9" w:rsidP="009F3FA9">
            <w:pPr>
              <w:spacing w:before="120" w:after="120"/>
              <w:rPr>
                <w:rFonts w:ascii="Arial" w:hAnsi="Arial" w:cs="Arial"/>
                <w:sz w:val="22"/>
                <w:szCs w:val="22"/>
              </w:rPr>
            </w:pPr>
            <w:r w:rsidRPr="009F3FA9">
              <w:rPr>
                <w:rFonts w:ascii="Arial" w:hAnsi="Arial" w:cs="Arial"/>
                <w:sz w:val="22"/>
                <w:szCs w:val="22"/>
              </w:rPr>
              <w:t>Data is available from ONS:</w:t>
            </w:r>
          </w:p>
          <w:p w14:paraId="6D7F7E04" w14:textId="77777777" w:rsidR="009F3FA9" w:rsidRPr="009F3FA9" w:rsidRDefault="009F3FA9" w:rsidP="009F3FA9">
            <w:pPr>
              <w:pStyle w:val="Bulletleft1"/>
              <w:rPr>
                <w:sz w:val="22"/>
                <w:szCs w:val="22"/>
              </w:rPr>
            </w:pPr>
            <w:r w:rsidRPr="009F3FA9">
              <w:rPr>
                <w:sz w:val="22"/>
                <w:szCs w:val="22"/>
              </w:rPr>
              <w:t>ONS mortality data</w:t>
            </w:r>
          </w:p>
          <w:p w14:paraId="6B3D2BF0" w14:textId="4F125A56" w:rsidR="00735337" w:rsidRPr="009F3FA9" w:rsidRDefault="009F3FA9" w:rsidP="009F3FA9">
            <w:pPr>
              <w:pStyle w:val="Bulletleft1"/>
            </w:pPr>
            <w:r w:rsidRPr="009F3FA9">
              <w:rPr>
                <w:sz w:val="22"/>
                <w:szCs w:val="22"/>
              </w:rPr>
              <w:t>ONS mid-year population estimates.</w:t>
            </w:r>
          </w:p>
        </w:tc>
        <w:tc>
          <w:tcPr>
            <w:tcW w:w="3118" w:type="dxa"/>
          </w:tcPr>
          <w:p w14:paraId="501A7677" w14:textId="77777777" w:rsidR="00735337" w:rsidRPr="009F3FA9" w:rsidRDefault="00735337" w:rsidP="00735337">
            <w:pPr>
              <w:spacing w:before="120" w:after="120"/>
              <w:rPr>
                <w:rFonts w:ascii="Arial" w:hAnsi="Arial" w:cs="Arial"/>
                <w:color w:val="000000"/>
                <w:kern w:val="24"/>
                <w:sz w:val="22"/>
                <w:szCs w:val="22"/>
              </w:rPr>
            </w:pPr>
            <w:r w:rsidRPr="009F3FA9">
              <w:rPr>
                <w:rFonts w:ascii="Arial" w:hAnsi="Arial" w:cs="Arial"/>
                <w:color w:val="000000"/>
                <w:kern w:val="24"/>
                <w:sz w:val="22"/>
                <w:szCs w:val="22"/>
              </w:rPr>
              <w:t xml:space="preserve">The indicator is measuring what it is designed to measure. </w:t>
            </w:r>
          </w:p>
          <w:p w14:paraId="24CB8CBA" w14:textId="284E71C7" w:rsidR="00735337" w:rsidRPr="009F3FA9" w:rsidRDefault="00735337" w:rsidP="00735337">
            <w:pPr>
              <w:spacing w:before="120" w:after="120"/>
              <w:rPr>
                <w:rFonts w:ascii="Arial" w:hAnsi="Arial" w:cs="Arial"/>
                <w:color w:val="000000"/>
                <w:kern w:val="24"/>
                <w:sz w:val="22"/>
                <w:szCs w:val="22"/>
              </w:rPr>
            </w:pPr>
            <w:r w:rsidRPr="009F3FA9">
              <w:rPr>
                <w:rFonts w:ascii="Arial" w:hAnsi="Arial" w:cs="Arial"/>
                <w:color w:val="000000"/>
                <w:kern w:val="24"/>
                <w:sz w:val="22"/>
                <w:szCs w:val="22"/>
              </w:rPr>
              <w:t>The indicator uses existing data fields.</w:t>
            </w:r>
          </w:p>
        </w:tc>
      </w:tr>
    </w:tbl>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1571B91E">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1571B91E">
        <w:tc>
          <w:tcPr>
            <w:tcW w:w="5949" w:type="dxa"/>
          </w:tcPr>
          <w:p w14:paraId="7A4CC8EC" w14:textId="50D1C839" w:rsidR="00BB237E" w:rsidRDefault="00BB237E" w:rsidP="00E00817">
            <w:pPr>
              <w:pStyle w:val="Paragraph"/>
              <w:spacing w:before="120" w:after="120" w:line="240" w:lineRule="auto"/>
              <w:rPr>
                <w:sz w:val="22"/>
                <w:szCs w:val="22"/>
              </w:rPr>
            </w:pPr>
            <w:r>
              <w:rPr>
                <w:sz w:val="22"/>
                <w:szCs w:val="22"/>
              </w:rPr>
              <w:t xml:space="preserve">The </w:t>
            </w:r>
            <w:hyperlink r:id="rId10" w:history="1">
              <w:r w:rsidRPr="00BB237E">
                <w:rPr>
                  <w:rStyle w:val="Hyperlink"/>
                  <w:sz w:val="22"/>
                  <w:szCs w:val="22"/>
                </w:rPr>
                <w:t xml:space="preserve">NHS OF </w:t>
              </w:r>
              <w:r w:rsidR="00E00817" w:rsidRPr="00BB237E">
                <w:rPr>
                  <w:rStyle w:val="Hyperlink"/>
                  <w:sz w:val="22"/>
                  <w:szCs w:val="22"/>
                </w:rPr>
                <w:t>quality statement</w:t>
              </w:r>
              <w:r w:rsidRPr="00BB237E">
                <w:rPr>
                  <w:rStyle w:val="Hyperlink"/>
                  <w:sz w:val="22"/>
                  <w:szCs w:val="22"/>
                </w:rPr>
                <w:t xml:space="preserve"> for indicator 1.3</w:t>
              </w:r>
            </w:hyperlink>
            <w:r>
              <w:rPr>
                <w:sz w:val="22"/>
                <w:szCs w:val="22"/>
              </w:rPr>
              <w:t xml:space="preserve"> states</w:t>
            </w:r>
            <w:r w:rsidR="00E00817" w:rsidRPr="00E00817">
              <w:rPr>
                <w:sz w:val="22"/>
                <w:szCs w:val="22"/>
              </w:rPr>
              <w:t xml:space="preserve">: </w:t>
            </w:r>
          </w:p>
          <w:p w14:paraId="01BDA001" w14:textId="18687492" w:rsidR="00E00817" w:rsidRDefault="00E00817" w:rsidP="00E00817">
            <w:pPr>
              <w:pStyle w:val="Paragraph"/>
              <w:spacing w:before="120" w:after="120" w:line="240" w:lineRule="auto"/>
              <w:rPr>
                <w:sz w:val="22"/>
                <w:szCs w:val="22"/>
              </w:rPr>
            </w:pPr>
            <w:r w:rsidRPr="00E00817">
              <w:rPr>
                <w:sz w:val="22"/>
                <w:szCs w:val="22"/>
              </w:rPr>
              <w:t xml:space="preserve">The overarching indicators in domain 1 allow the Secretary of State to review how successful the NHS has been in </w:t>
            </w:r>
            <w:r w:rsidRPr="00E00817">
              <w:rPr>
                <w:sz w:val="22"/>
                <w:szCs w:val="22"/>
              </w:rPr>
              <w:lastRenderedPageBreak/>
              <w:t xml:space="preserve">preventing people from dying prematurely, </w:t>
            </w:r>
            <w:proofErr w:type="gramStart"/>
            <w:r w:rsidRPr="00E00817">
              <w:rPr>
                <w:sz w:val="22"/>
                <w:szCs w:val="22"/>
              </w:rPr>
              <w:t>and in particular, preventing</w:t>
            </w:r>
            <w:proofErr w:type="gramEnd"/>
            <w:r w:rsidRPr="00E00817">
              <w:rPr>
                <w:sz w:val="22"/>
                <w:szCs w:val="22"/>
              </w:rPr>
              <w:t xml:space="preserve"> deaths from causes considered ‘amenable’ to healthcare. 'Amenable' in this context relates to premature deaths that should not occur</w:t>
            </w:r>
            <w:r>
              <w:rPr>
                <w:sz w:val="22"/>
                <w:szCs w:val="22"/>
              </w:rPr>
              <w:t xml:space="preserve"> </w:t>
            </w:r>
            <w:r w:rsidRPr="00E00817">
              <w:rPr>
                <w:sz w:val="22"/>
                <w:szCs w:val="22"/>
              </w:rPr>
              <w:t xml:space="preserve">in most cases in the presence of timely and effective healthcare. </w:t>
            </w:r>
          </w:p>
          <w:p w14:paraId="62AFF8A3" w14:textId="77777777" w:rsidR="00E00817" w:rsidRDefault="00E00817" w:rsidP="00E00817">
            <w:pPr>
              <w:pStyle w:val="Paragraph"/>
              <w:spacing w:before="120" w:after="120" w:line="240" w:lineRule="auto"/>
              <w:rPr>
                <w:sz w:val="22"/>
                <w:szCs w:val="22"/>
              </w:rPr>
            </w:pPr>
            <w:r w:rsidRPr="00E00817">
              <w:rPr>
                <w:sz w:val="22"/>
                <w:szCs w:val="22"/>
              </w:rPr>
              <w:t xml:space="preserve">Liver disease other than Hepatitis C is not counted as amenable under the Office for National Statistics (ONS) definition, yet many (as opposed to ‘most’ – as required by the ONS definition) of these deaths are amenable to healthcare. </w:t>
            </w:r>
          </w:p>
          <w:p w14:paraId="12700F63" w14:textId="77777777" w:rsidR="00735337" w:rsidRDefault="00E00817" w:rsidP="00E00817">
            <w:pPr>
              <w:pStyle w:val="Paragraph"/>
              <w:spacing w:before="120" w:after="120" w:line="240" w:lineRule="auto"/>
              <w:rPr>
                <w:sz w:val="22"/>
                <w:szCs w:val="22"/>
              </w:rPr>
            </w:pPr>
            <w:r w:rsidRPr="00E00817">
              <w:rPr>
                <w:sz w:val="22"/>
                <w:szCs w:val="22"/>
              </w:rPr>
              <w:t>It is included in the framework because it is a major cause of death in England and the NHS can contribute to reducing premature deaths from both amenable and non- amenable causes.</w:t>
            </w:r>
          </w:p>
          <w:p w14:paraId="009E37A6" w14:textId="261E1B5D" w:rsidR="00CD0CEE" w:rsidRPr="008A68B4" w:rsidRDefault="00CD0CEE" w:rsidP="1571B91E">
            <w:pPr>
              <w:pStyle w:val="Paragraph"/>
              <w:spacing w:before="120" w:after="120" w:line="240" w:lineRule="auto"/>
              <w:rPr>
                <w:sz w:val="22"/>
                <w:szCs w:val="22"/>
              </w:rPr>
            </w:pPr>
          </w:p>
        </w:tc>
        <w:tc>
          <w:tcPr>
            <w:tcW w:w="3118" w:type="dxa"/>
          </w:tcPr>
          <w:p w14:paraId="50C98A36" w14:textId="14C32902" w:rsidR="00735337" w:rsidRPr="008A68B4" w:rsidRDefault="00735337" w:rsidP="00735337">
            <w:pPr>
              <w:pStyle w:val="Paragraph"/>
              <w:spacing w:before="120" w:after="120" w:line="240" w:lineRule="auto"/>
            </w:pPr>
            <w:r w:rsidRPr="008A68B4">
              <w:rPr>
                <w:rFonts w:cs="Arial"/>
                <w:color w:val="000000"/>
                <w:kern w:val="24"/>
                <w:sz w:val="22"/>
                <w:szCs w:val="22"/>
              </w:rPr>
              <w:lastRenderedPageBreak/>
              <w:t xml:space="preserve">The indicator assesses performance that is </w:t>
            </w:r>
            <w:r w:rsidRPr="008A68B4">
              <w:rPr>
                <w:rFonts w:cs="Arial"/>
                <w:color w:val="000000"/>
                <w:kern w:val="24"/>
                <w:sz w:val="22"/>
                <w:szCs w:val="22"/>
              </w:rPr>
              <w:lastRenderedPageBreak/>
              <w:t>attributable to or within the control of the audience</w:t>
            </w:r>
          </w:p>
        </w:tc>
      </w:tr>
      <w:tr w:rsidR="00735337" w14:paraId="7E164FBD" w14:textId="77777777" w:rsidTr="1571B91E">
        <w:tc>
          <w:tcPr>
            <w:tcW w:w="5949" w:type="dxa"/>
          </w:tcPr>
          <w:p w14:paraId="7323B333" w14:textId="5B973B8E" w:rsidR="009F3FA9" w:rsidRDefault="009F3FA9" w:rsidP="00735337">
            <w:pPr>
              <w:pStyle w:val="Paragraph"/>
              <w:spacing w:before="120" w:after="120" w:line="240" w:lineRule="auto"/>
              <w:rPr>
                <w:rFonts w:cs="Arial"/>
                <w:sz w:val="22"/>
                <w:szCs w:val="22"/>
              </w:rPr>
            </w:pPr>
            <w:r w:rsidRPr="009F3FA9">
              <w:rPr>
                <w:rFonts w:cs="Arial"/>
                <w:sz w:val="22"/>
                <w:szCs w:val="22"/>
              </w:rPr>
              <w:lastRenderedPageBreak/>
              <w:t xml:space="preserve">Rates are published each year by NHS England as part of the NHS Outcomes Framework </w:t>
            </w:r>
            <w:r w:rsidR="00BB237E">
              <w:rPr>
                <w:rFonts w:cs="Arial"/>
                <w:sz w:val="22"/>
                <w:szCs w:val="22"/>
              </w:rPr>
              <w:t>(indicator 1.3)</w:t>
            </w:r>
            <w:r w:rsidR="00C66718">
              <w:rPr>
                <w:rFonts w:cs="Arial"/>
                <w:sz w:val="22"/>
                <w:szCs w:val="22"/>
              </w:rPr>
              <w:t>.</w:t>
            </w:r>
            <w:r w:rsidRPr="009F3FA9">
              <w:rPr>
                <w:rFonts w:cs="Arial"/>
                <w:sz w:val="22"/>
                <w:szCs w:val="22"/>
              </w:rPr>
              <w:t xml:space="preserve"> </w:t>
            </w:r>
          </w:p>
          <w:p w14:paraId="3AF0200A" w14:textId="488C4C72" w:rsidR="00735337" w:rsidRPr="00A47852" w:rsidRDefault="009F3FA9" w:rsidP="00735337">
            <w:pPr>
              <w:pStyle w:val="Paragraph"/>
              <w:spacing w:before="120" w:after="120" w:line="240" w:lineRule="auto"/>
              <w:rPr>
                <w:highlight w:val="lightGray"/>
              </w:rPr>
            </w:pPr>
            <w:r w:rsidRPr="009F3FA9">
              <w:rPr>
                <w:rFonts w:cs="Arial"/>
                <w:sz w:val="22"/>
                <w:szCs w:val="22"/>
              </w:rPr>
              <w:t xml:space="preserve">Overall rates have </w:t>
            </w:r>
            <w:r w:rsidR="00E00817">
              <w:rPr>
                <w:rFonts w:cs="Arial"/>
                <w:sz w:val="22"/>
                <w:szCs w:val="22"/>
              </w:rPr>
              <w:t>increased</w:t>
            </w:r>
            <w:r w:rsidRPr="009F3FA9">
              <w:rPr>
                <w:rFonts w:cs="Arial"/>
                <w:sz w:val="22"/>
                <w:szCs w:val="22"/>
              </w:rPr>
              <w:t xml:space="preserve"> over time, however there is significant variation by region and deprivation decile.</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9F3FA9">
              <w:rPr>
                <w:rFonts w:cs="Arial"/>
                <w:color w:val="000000"/>
                <w:kern w:val="24"/>
                <w:sz w:val="22"/>
                <w:szCs w:val="22"/>
              </w:rPr>
              <w:t>The results of the indicator can be used to improve practice</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1571B91E">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1571B91E">
        <w:tc>
          <w:tcPr>
            <w:tcW w:w="5949" w:type="dxa"/>
          </w:tcPr>
          <w:p w14:paraId="613F6E96" w14:textId="77777777" w:rsidR="00D6654E" w:rsidRDefault="00D6654E" w:rsidP="00BB237E">
            <w:pPr>
              <w:pStyle w:val="TableText1"/>
            </w:pPr>
            <w:r w:rsidRPr="00D6654E">
              <w:t xml:space="preserve">Changes in methods for the underlying data may impact comparability of data over time. </w:t>
            </w:r>
          </w:p>
          <w:p w14:paraId="2D89DE63" w14:textId="7A74787E" w:rsidR="00BB237E" w:rsidRDefault="69118136" w:rsidP="00BB237E">
            <w:pPr>
              <w:pStyle w:val="TableText1"/>
            </w:pPr>
            <w:r>
              <w:t xml:space="preserve">Changes in the software used to code death registrations in England and Wales may result in changes in cause of death. In 2014 the ONS made changes to the way cause of death is categorised (using IRIS ICD10 coding change). </w:t>
            </w:r>
            <w:r w:rsidR="2EE31B6C">
              <w:t>The impact on liver disease could not be estimated.</w:t>
            </w:r>
            <w:r>
              <w:t xml:space="preserve"> </w:t>
            </w:r>
          </w:p>
          <w:p w14:paraId="165775CD" w14:textId="352ACE32" w:rsidR="1571B91E" w:rsidRDefault="1571B91E" w:rsidP="1571B91E">
            <w:pPr>
              <w:pStyle w:val="TableText1"/>
            </w:pPr>
          </w:p>
          <w:p w14:paraId="337E7948" w14:textId="310CEB30" w:rsidR="009F3FA9" w:rsidRPr="00006128" w:rsidRDefault="69118136" w:rsidP="00BB237E">
            <w:pPr>
              <w:pStyle w:val="TableText1"/>
            </w:pPr>
            <w:r w:rsidRPr="00006128">
              <w:t xml:space="preserve">The </w:t>
            </w:r>
            <w:hyperlink r:id="rId11" w:history="1">
              <w:r w:rsidRPr="00C66718">
                <w:rPr>
                  <w:rStyle w:val="Hyperlink"/>
                </w:rPr>
                <w:t>Public Health Outcomes Framework publishes indicator E0</w:t>
              </w:r>
              <w:r w:rsidR="3AC8C334" w:rsidRPr="00C66718">
                <w:rPr>
                  <w:rStyle w:val="Hyperlink"/>
                </w:rPr>
                <w:t>6</w:t>
              </w:r>
              <w:r w:rsidRPr="00C66718">
                <w:rPr>
                  <w:rStyle w:val="Hyperlink"/>
                </w:rPr>
                <w:t>a</w:t>
              </w:r>
            </w:hyperlink>
            <w:r w:rsidR="00C66718">
              <w:t>:</w:t>
            </w:r>
            <w:r w:rsidRPr="00006128">
              <w:t xml:space="preserve"> under 75 mortality </w:t>
            </w:r>
            <w:proofErr w:type="gramStart"/>
            <w:r w:rsidRPr="00006128">
              <w:t>rate</w:t>
            </w:r>
            <w:proofErr w:type="gramEnd"/>
            <w:r w:rsidRPr="00006128">
              <w:t xml:space="preserve"> from </w:t>
            </w:r>
            <w:r w:rsidR="3AC8C334" w:rsidRPr="00006128">
              <w:t xml:space="preserve">liver </w:t>
            </w:r>
            <w:r w:rsidRPr="00006128">
              <w:t xml:space="preserve">disease. This indicator source here is the Office for Health Improvement and Disparities but this uses ONS data. This notes the adjustment of deaths up to 2019 to take account of the </w:t>
            </w:r>
            <w:hyperlink r:id="rId12" w:history="1">
              <w:r w:rsidRPr="1571B91E">
                <w:rPr>
                  <w:rStyle w:val="Hyperlink"/>
                  <w:rFonts w:cs="Arial"/>
                  <w:kern w:val="24"/>
                </w:rPr>
                <w:t>MUSE ICD10 coding change</w:t>
              </w:r>
            </w:hyperlink>
            <w:r w:rsidRPr="00006128">
              <w:t xml:space="preserve"> introduced in January 2020. </w:t>
            </w:r>
            <w:r w:rsidR="3AC8C334" w:rsidRPr="00006128">
              <w:t>There is no estimate of the impact on estimates of mortality from liver disease.</w:t>
            </w:r>
          </w:p>
          <w:p w14:paraId="4C4EB5FC" w14:textId="105FFC02" w:rsidR="1571B91E" w:rsidRDefault="1571B91E" w:rsidP="1571B91E">
            <w:pPr>
              <w:pStyle w:val="TableText1"/>
            </w:pPr>
          </w:p>
          <w:p w14:paraId="15FF927B" w14:textId="4B6437E4" w:rsidR="009F3FA9" w:rsidRPr="009F3FA9" w:rsidRDefault="69118136" w:rsidP="00BB237E">
            <w:pPr>
              <w:pStyle w:val="TableText1"/>
            </w:pPr>
            <w:r>
              <w:t>Mid-year population estimates for 2020 were superseded by newer versions that use the same population estimates but incorporate new measures of statistical uncertainty. Census 2021 affects population estimates and so previous indicator data may not be comparable (</w:t>
            </w:r>
            <w:hyperlink r:id="rId13" w:anchor="page/4/gid/1000044/pat/159/par/K02000001/ati/15/are/E92000001/iid/40601/age/163/sex/4/cat/-1/ctp/-1/yrr/1/cid/4/tbm/1">
              <w:r w:rsidRPr="1571B91E">
                <w:rPr>
                  <w:rStyle w:val="Hyperlink"/>
                </w:rPr>
                <w:t xml:space="preserve">Public Health Outcomes Framework, indicator </w:t>
              </w:r>
              <w:r w:rsidR="67C1EDF0" w:rsidRPr="1571B91E">
                <w:rPr>
                  <w:rStyle w:val="Hyperlink"/>
                </w:rPr>
                <w:t>E06a</w:t>
              </w:r>
            </w:hyperlink>
            <w:r>
              <w:t>; indicator definitions and supporting information 7 March 2023).</w:t>
            </w:r>
          </w:p>
          <w:p w14:paraId="3BE2250C" w14:textId="7DEC2D77" w:rsidR="1571B91E" w:rsidRDefault="1571B91E" w:rsidP="1571B91E">
            <w:pPr>
              <w:pStyle w:val="TableText1"/>
            </w:pPr>
          </w:p>
          <w:p w14:paraId="0AFCEC18" w14:textId="77777777" w:rsidR="00A47852" w:rsidRDefault="69118136" w:rsidP="00BB237E">
            <w:pPr>
              <w:pStyle w:val="TableText1"/>
            </w:pPr>
            <w:r>
              <w:lastRenderedPageBreak/>
              <w:t>Statistics from 2020 mortality data should be interpreted with care as they may have been impacted by the COVID-19 pandemic.</w:t>
            </w:r>
          </w:p>
          <w:p w14:paraId="1FDD989B" w14:textId="50145638" w:rsidR="1571B91E" w:rsidRDefault="1571B91E" w:rsidP="1571B91E">
            <w:pPr>
              <w:pStyle w:val="TableText1"/>
            </w:pPr>
          </w:p>
          <w:p w14:paraId="5D0DDE27" w14:textId="67F16A04" w:rsidR="009F3477" w:rsidRPr="009F3FA9" w:rsidRDefault="3CD74262" w:rsidP="00BB237E">
            <w:pPr>
              <w:pStyle w:val="TableText1"/>
            </w:pPr>
            <w:r>
              <w:t>S</w:t>
            </w:r>
            <w:r w:rsidR="2F0A8C0D">
              <w:t xml:space="preserve">imilar indicators in the </w:t>
            </w:r>
            <w:hyperlink r:id="rId14" w:history="1">
              <w:r w:rsidR="2F0A8C0D" w:rsidRPr="00C66718">
                <w:rPr>
                  <w:rStyle w:val="Hyperlink"/>
                </w:rPr>
                <w:t>Public Health Outcomes Framework (PHOF)</w:t>
              </w:r>
            </w:hyperlink>
            <w:r w:rsidR="2F0A8C0D">
              <w:t xml:space="preserve"> and the CCGOIS (IAP00074). Methodology should match but risk of </w:t>
            </w:r>
            <w:r w:rsidR="6F6B7036">
              <w:t>the</w:t>
            </w:r>
            <w:r w:rsidR="2F0A8C0D">
              <w:t xml:space="preserve"> indicators saying different things.</w:t>
            </w:r>
          </w:p>
        </w:tc>
        <w:tc>
          <w:tcPr>
            <w:tcW w:w="3118" w:type="dxa"/>
          </w:tcPr>
          <w:p w14:paraId="29FB2923" w14:textId="4EE07B97" w:rsidR="00A47852" w:rsidRPr="009F3FA9" w:rsidRDefault="00A47852" w:rsidP="00A47852">
            <w:pPr>
              <w:pStyle w:val="Paragraph"/>
              <w:spacing w:before="120" w:after="120" w:line="240" w:lineRule="auto"/>
            </w:pPr>
            <w:r w:rsidRPr="009F3FA9">
              <w:rPr>
                <w:rFonts w:cs="Arial"/>
                <w:color w:val="000000"/>
                <w:kern w:val="24"/>
                <w:sz w:val="22"/>
                <w:szCs w:val="22"/>
              </w:rPr>
              <w:lastRenderedPageBreak/>
              <w:t>The indicator has an acceptable risk of unintended consequences.</w:t>
            </w:r>
          </w:p>
        </w:tc>
      </w:tr>
    </w:tbl>
    <w:p w14:paraId="3EB15959" w14:textId="0EB9FA28" w:rsidR="00BC67CC" w:rsidRDefault="00A211C4" w:rsidP="00192685">
      <w:pPr>
        <w:pStyle w:val="Heading1"/>
      </w:pPr>
      <w:bookmarkStart w:id="2" w:name="_Hlk9608630"/>
      <w:r>
        <w:t>NICE indicator advisory committee recommendation</w:t>
      </w:r>
    </w:p>
    <w:p w14:paraId="34BD9056" w14:textId="78ACD1A3" w:rsidR="00BC67CC" w:rsidRDefault="00A211C4" w:rsidP="00BC67CC">
      <w:pPr>
        <w:pStyle w:val="Paragraph"/>
      </w:pPr>
      <w:r>
        <w:t xml:space="preserve">The NICE indicator advisory committee approved </w:t>
      </w:r>
      <w:r w:rsidR="00D76DD9">
        <w:t xml:space="preserve">renewal of </w:t>
      </w:r>
      <w:r>
        <w:t>this indicator</w:t>
      </w:r>
      <w:r w:rsidR="00FA31F5">
        <w:t>.</w:t>
      </w:r>
    </w:p>
    <w:p w14:paraId="3758DD33" w14:textId="77777777" w:rsidR="00BB237E" w:rsidRPr="00BB237E" w:rsidRDefault="00BB237E" w:rsidP="00BB237E">
      <w:pPr>
        <w:pStyle w:val="Paragraph"/>
        <w:rPr>
          <w:b/>
          <w:bCs/>
        </w:rPr>
      </w:pPr>
      <w:r w:rsidRPr="00BB237E">
        <w:rPr>
          <w:b/>
          <w:bCs/>
        </w:rPr>
        <w:t>NHS Digital Indicator Reference:</w:t>
      </w:r>
    </w:p>
    <w:p w14:paraId="76ACAEDC" w14:textId="3011D5C1" w:rsidR="00BB237E" w:rsidRPr="00C2796B" w:rsidRDefault="00BB237E" w:rsidP="00BB237E">
      <w:pPr>
        <w:pStyle w:val="Paragraph"/>
      </w:pPr>
      <w:r>
        <w:t>NHS Outcomes Framework - 1.3 Under 75 mortality rate from liver disease.</w:t>
      </w:r>
    </w:p>
    <w:bookmarkEnd w:id="2"/>
    <w:p w14:paraId="123085F8" w14:textId="46F76CC2" w:rsidR="00D73835" w:rsidRDefault="00D73835" w:rsidP="003605D5">
      <w:pPr>
        <w:pStyle w:val="Heading1"/>
      </w:pPr>
    </w:p>
    <w:sectPr w:rsidR="00D73835" w:rsidSect="003E4657">
      <w:headerReference w:type="default" r:id="rId15"/>
      <w:footerReference w:type="default" r:id="rId16"/>
      <w:headerReference w:type="first" r:id="rId1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49DD1745" w:rsidR="00BB14CA" w:rsidRPr="008C1C95" w:rsidRDefault="0054418D" w:rsidP="008C1C95">
    <w:pPr>
      <w:pStyle w:val="Footer"/>
      <w:jc w:val="right"/>
    </w:pPr>
    <w:r>
      <w:t>IAP00019</w:t>
    </w:r>
    <w:r w:rsidR="009B0E59">
      <w:t xml:space="preserve">: Validity assessment </w:t>
    </w:r>
    <w:r>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4692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808972">
    <w:abstractNumId w:val="31"/>
  </w:num>
  <w:num w:numId="2" w16cid:durableId="521168141">
    <w:abstractNumId w:val="11"/>
  </w:num>
  <w:num w:numId="3" w16cid:durableId="1218930304">
    <w:abstractNumId w:val="27"/>
  </w:num>
  <w:num w:numId="4" w16cid:durableId="2114665693">
    <w:abstractNumId w:val="12"/>
  </w:num>
  <w:num w:numId="5" w16cid:durableId="1790851047">
    <w:abstractNumId w:val="24"/>
  </w:num>
  <w:num w:numId="6" w16cid:durableId="544365131">
    <w:abstractNumId w:val="1"/>
  </w:num>
  <w:num w:numId="7" w16cid:durableId="58404854">
    <w:abstractNumId w:val="10"/>
  </w:num>
  <w:num w:numId="8" w16cid:durableId="1139566914">
    <w:abstractNumId w:val="22"/>
  </w:num>
  <w:num w:numId="9" w16cid:durableId="236474729">
    <w:abstractNumId w:val="23"/>
  </w:num>
  <w:num w:numId="10" w16cid:durableId="1004943210">
    <w:abstractNumId w:val="5"/>
  </w:num>
  <w:num w:numId="11" w16cid:durableId="257639832">
    <w:abstractNumId w:val="7"/>
  </w:num>
  <w:num w:numId="12" w16cid:durableId="1937786826">
    <w:abstractNumId w:val="2"/>
  </w:num>
  <w:num w:numId="13" w16cid:durableId="802044965">
    <w:abstractNumId w:val="30"/>
  </w:num>
  <w:num w:numId="14" w16cid:durableId="935670710">
    <w:abstractNumId w:val="14"/>
  </w:num>
  <w:num w:numId="15" w16cid:durableId="1666130676">
    <w:abstractNumId w:val="9"/>
  </w:num>
  <w:num w:numId="16" w16cid:durableId="733621266">
    <w:abstractNumId w:val="19"/>
  </w:num>
  <w:num w:numId="17" w16cid:durableId="1598244885">
    <w:abstractNumId w:val="16"/>
  </w:num>
  <w:num w:numId="18" w16cid:durableId="795175491">
    <w:abstractNumId w:val="21"/>
  </w:num>
  <w:num w:numId="19" w16cid:durableId="1068067319">
    <w:abstractNumId w:val="25"/>
  </w:num>
  <w:num w:numId="20" w16cid:durableId="800151642">
    <w:abstractNumId w:val="6"/>
  </w:num>
  <w:num w:numId="21" w16cid:durableId="979381679">
    <w:abstractNumId w:val="28"/>
  </w:num>
  <w:num w:numId="22" w16cid:durableId="561330570">
    <w:abstractNumId w:val="0"/>
  </w:num>
  <w:num w:numId="23" w16cid:durableId="781920194">
    <w:abstractNumId w:val="4"/>
  </w:num>
  <w:num w:numId="24" w16cid:durableId="1022785603">
    <w:abstractNumId w:val="26"/>
  </w:num>
  <w:num w:numId="25" w16cid:durableId="1207567696">
    <w:abstractNumId w:val="18"/>
  </w:num>
  <w:num w:numId="26" w16cid:durableId="339625574">
    <w:abstractNumId w:val="17"/>
  </w:num>
  <w:num w:numId="27" w16cid:durableId="2000427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6901829">
    <w:abstractNumId w:val="8"/>
  </w:num>
  <w:num w:numId="29" w16cid:durableId="453452675">
    <w:abstractNumId w:val="5"/>
  </w:num>
  <w:num w:numId="30" w16cid:durableId="374621198">
    <w:abstractNumId w:val="13"/>
  </w:num>
  <w:num w:numId="31" w16cid:durableId="760224752">
    <w:abstractNumId w:val="5"/>
  </w:num>
  <w:num w:numId="32" w16cid:durableId="211577942">
    <w:abstractNumId w:val="5"/>
  </w:num>
  <w:num w:numId="33" w16cid:durableId="1332489049">
    <w:abstractNumId w:val="5"/>
  </w:num>
  <w:num w:numId="34" w16cid:durableId="182073139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881117">
    <w:abstractNumId w:val="5"/>
  </w:num>
  <w:num w:numId="36" w16cid:durableId="177932727">
    <w:abstractNumId w:val="5"/>
  </w:num>
  <w:num w:numId="37" w16cid:durableId="195587853">
    <w:abstractNumId w:val="5"/>
  </w:num>
  <w:num w:numId="38" w16cid:durableId="2067869493">
    <w:abstractNumId w:val="29"/>
  </w:num>
  <w:num w:numId="39" w16cid:durableId="702248016">
    <w:abstractNumId w:val="20"/>
  </w:num>
  <w:num w:numId="40" w16cid:durableId="184733025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128"/>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28"/>
    <w:rsid w:val="003E1787"/>
    <w:rsid w:val="003E22FC"/>
    <w:rsid w:val="003E4657"/>
    <w:rsid w:val="003F0EB9"/>
    <w:rsid w:val="003F2EC0"/>
    <w:rsid w:val="003F40D1"/>
    <w:rsid w:val="003F42F7"/>
    <w:rsid w:val="003F4970"/>
    <w:rsid w:val="003F540E"/>
    <w:rsid w:val="003F694A"/>
    <w:rsid w:val="003F7CE6"/>
    <w:rsid w:val="003F7D78"/>
    <w:rsid w:val="00400F4A"/>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418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1ED"/>
    <w:rsid w:val="005E437F"/>
    <w:rsid w:val="005E58ED"/>
    <w:rsid w:val="005E62A7"/>
    <w:rsid w:val="005E6B30"/>
    <w:rsid w:val="005E6B5D"/>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0851"/>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740"/>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8B4"/>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62"/>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477"/>
    <w:rsid w:val="009F3FA9"/>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11C4"/>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A90"/>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237E"/>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6718"/>
    <w:rsid w:val="00C67B74"/>
    <w:rsid w:val="00C7123A"/>
    <w:rsid w:val="00C7128F"/>
    <w:rsid w:val="00C71666"/>
    <w:rsid w:val="00C7331B"/>
    <w:rsid w:val="00C74667"/>
    <w:rsid w:val="00C74D07"/>
    <w:rsid w:val="00C803FD"/>
    <w:rsid w:val="00C80EB4"/>
    <w:rsid w:val="00C8156F"/>
    <w:rsid w:val="00C86682"/>
    <w:rsid w:val="00C90846"/>
    <w:rsid w:val="00C91C4D"/>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0CEE"/>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6654E"/>
    <w:rsid w:val="00D72C40"/>
    <w:rsid w:val="00D737C5"/>
    <w:rsid w:val="00D73835"/>
    <w:rsid w:val="00D76DD9"/>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817"/>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3D7B"/>
    <w:rsid w:val="00E448DE"/>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686D"/>
    <w:rsid w:val="00F87E9D"/>
    <w:rsid w:val="00F9034E"/>
    <w:rsid w:val="00F916DC"/>
    <w:rsid w:val="00F94BD6"/>
    <w:rsid w:val="00F958CC"/>
    <w:rsid w:val="00FA31F5"/>
    <w:rsid w:val="00FA464E"/>
    <w:rsid w:val="00FA60EE"/>
    <w:rsid w:val="00FA77CC"/>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326FA64"/>
    <w:rsid w:val="1571B91E"/>
    <w:rsid w:val="236AA3A7"/>
    <w:rsid w:val="2EE31B6C"/>
    <w:rsid w:val="2F0A8C0D"/>
    <w:rsid w:val="2F7AA784"/>
    <w:rsid w:val="32B24846"/>
    <w:rsid w:val="3AC8C334"/>
    <w:rsid w:val="3CD74262"/>
    <w:rsid w:val="4A12482A"/>
    <w:rsid w:val="4FAAE68F"/>
    <w:rsid w:val="56FE1492"/>
    <w:rsid w:val="62BAF541"/>
    <w:rsid w:val="640F7950"/>
    <w:rsid w:val="67C1EDF0"/>
    <w:rsid w:val="69118136"/>
    <w:rsid w:val="6F6B7036"/>
    <w:rsid w:val="712D19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87114486">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hs-outcomes-framework/march-2022/domain-1---preventing-people-from-dying-prematurely-nof/1.3-under-75-mortality-rate-from-liver-disease" TargetMode="External"/><Relationship Id="rId13" Type="http://schemas.openxmlformats.org/officeDocument/2006/relationships/hyperlink" Target="https://fingertips.phe.org.uk/profile/public-health-outcomes-framework/da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data-and-information/publications/statistical/nhs-outcomes-framework" TargetMode="External"/><Relationship Id="rId12" Type="http://schemas.openxmlformats.org/officeDocument/2006/relationships/hyperlink" Target="https://www.ons.gov.uk/peoplepopulationandcommunity/birthsdeathsandmarriages/deaths/articles/causeofdeathcodinginmortalitystatisticssoftwarechanges/january202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gertips.phe.org.uk/profile/public-health-outcomes-framewor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gital.nhs.uk/data-and-information/publications/statistical/nhs-outcomes-framework/march-2022/domain-1---preventing-people-from-dying-prematurely-nof/1.3-under-75-mortality-rate-from-liver-disea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qs152" TargetMode="External"/><Relationship Id="rId14" Type="http://schemas.openxmlformats.org/officeDocument/2006/relationships/hyperlink" Target="https://fingertips.phe.org.uk/profile/public-health-outcomes-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6332</Characters>
  <Application>Microsoft Office Word</Application>
  <DocSecurity>0</DocSecurity>
  <Lines>52</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2023-09-14T14:58:00Z</dcterms:created>
  <dcterms:modified xsi:type="dcterms:W3CDTF">2023-09-14T14:58:00Z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2023-09-14T14:58:30Z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a6c5c049-f04b-401f-ba2c-c8cdd2a40f68</vt:lpwstr>
  </property>
  <property fmtid="{D5CDD505-2E9C-101B-9397-08002B2CF9AE}" pid="8" name="MSIP_Label_c69d85d5-6d9e-4305-a294-1f636ec0f2d6_ContentBits">
    <vt:lpwstr>0</vt:lpwstr>
  </property>
</Properties>
</file>