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7516528C" w14:textId="77777777" w:rsidR="00DC69B8" w:rsidRDefault="00DC69B8" w:rsidP="00DC69B8">
      <w:pPr>
        <w:pStyle w:val="NICEnormal"/>
        <w:rPr>
          <w:lang w:eastAsia="en-GB"/>
        </w:rPr>
      </w:pPr>
      <w:bookmarkStart w:id="1" w:name="_Hlk141957429"/>
      <w:r>
        <w:rPr>
          <w:lang w:eastAsia="en-GB"/>
        </w:rPr>
        <w:t>Assurance date: August 2023</w:t>
      </w:r>
    </w:p>
    <w:p w14:paraId="18F3B799" w14:textId="77777777" w:rsidR="00DC69B8" w:rsidRDefault="00DC69B8" w:rsidP="00DC69B8">
      <w:pPr>
        <w:pStyle w:val="NICEnormal"/>
        <w:rPr>
          <w:lang w:eastAsia="en-GB"/>
        </w:rPr>
      </w:pPr>
      <w:r>
        <w:rPr>
          <w:lang w:eastAsia="en-GB"/>
        </w:rPr>
        <w:t>Review date: August 2026</w:t>
      </w:r>
    </w:p>
    <w:bookmarkEnd w:id="1"/>
    <w:p w14:paraId="047E7BC9" w14:textId="168C21A7" w:rsidR="009B0E59" w:rsidRPr="009B0E59" w:rsidRDefault="009B0E59" w:rsidP="00DC69B8">
      <w:pPr>
        <w:pStyle w:val="Heading1"/>
        <w:rPr>
          <w:lang w:eastAsia="en-GB"/>
        </w:rPr>
      </w:pPr>
      <w:r w:rsidRPr="009B0E59">
        <w:rPr>
          <w:lang w:eastAsia="en-GB"/>
        </w:rPr>
        <w:t xml:space="preserve">Indicator </w:t>
      </w:r>
      <w:r w:rsidR="00930C47">
        <w:rPr>
          <w:lang w:eastAsia="en-GB"/>
        </w:rPr>
        <w:t>IAP00026</w:t>
      </w:r>
    </w:p>
    <w:p w14:paraId="035F8373" w14:textId="0DED71F0" w:rsidR="009B0E59" w:rsidRDefault="00930C47" w:rsidP="009B0E59">
      <w:pPr>
        <w:pStyle w:val="Paragraph"/>
        <w:rPr>
          <w:lang w:eastAsia="en-GB"/>
        </w:rPr>
      </w:pPr>
      <w:r>
        <w:rPr>
          <w:lang w:eastAsia="en-GB"/>
        </w:rPr>
        <w:t>Infant mortality</w:t>
      </w:r>
      <w:r w:rsidR="006213BF">
        <w:rPr>
          <w:lang w:eastAsia="en-GB"/>
        </w:rPr>
        <w:t>.</w:t>
      </w:r>
    </w:p>
    <w:p w14:paraId="6CBA005E" w14:textId="26775DEF" w:rsidR="00236060" w:rsidRDefault="00236060" w:rsidP="00192685">
      <w:pPr>
        <w:pStyle w:val="Heading1"/>
      </w:pPr>
      <w:r>
        <w:t xml:space="preserve">Indicator type </w:t>
      </w:r>
    </w:p>
    <w:p w14:paraId="6CE4F5FE" w14:textId="3BB69CDD" w:rsidR="00930C47" w:rsidRPr="00236060" w:rsidRDefault="00930C47" w:rsidP="00236060">
      <w:pPr>
        <w:pStyle w:val="Paragraph"/>
      </w:pPr>
      <w:r w:rsidRPr="00930C47">
        <w:t>National Library of Quality Indicators.</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6048E6F3">
        <w:tc>
          <w:tcPr>
            <w:tcW w:w="5949" w:type="dxa"/>
          </w:tcPr>
          <w:p w14:paraId="5472972D" w14:textId="7A9FC88C" w:rsidR="002338EB" w:rsidRPr="002338EB" w:rsidRDefault="677ED5AE" w:rsidP="45C90652">
            <w:pPr>
              <w:pStyle w:val="Paragraph"/>
              <w:spacing w:before="120" w:after="120" w:line="240" w:lineRule="auto"/>
              <w:rPr>
                <w:b/>
                <w:bCs/>
                <w:sz w:val="22"/>
                <w:szCs w:val="22"/>
              </w:rPr>
            </w:pPr>
            <w:bookmarkStart w:id="2" w:name="_Hlk34309601"/>
            <w:r w:rsidRPr="45C90652">
              <w:rPr>
                <w:b/>
                <w:bCs/>
                <w:sz w:val="22"/>
                <w:szCs w:val="22"/>
              </w:rPr>
              <w:t xml:space="preserve">Considerations </w:t>
            </w:r>
          </w:p>
        </w:tc>
        <w:tc>
          <w:tcPr>
            <w:tcW w:w="3118" w:type="dxa"/>
          </w:tcPr>
          <w:p w14:paraId="4B1E80F9" w14:textId="70CF3A57" w:rsidR="002338EB" w:rsidRPr="002338EB" w:rsidRDefault="677ED5AE" w:rsidP="45C90652">
            <w:pPr>
              <w:pStyle w:val="Paragraph"/>
              <w:spacing w:before="120" w:after="120" w:line="240" w:lineRule="auto"/>
              <w:rPr>
                <w:b/>
                <w:bCs/>
                <w:sz w:val="22"/>
                <w:szCs w:val="22"/>
              </w:rPr>
            </w:pPr>
            <w:r w:rsidRPr="45C90652">
              <w:rPr>
                <w:b/>
                <w:bCs/>
                <w:sz w:val="22"/>
                <w:szCs w:val="22"/>
              </w:rPr>
              <w:t>Assessment</w:t>
            </w:r>
          </w:p>
        </w:tc>
      </w:tr>
      <w:tr w:rsidR="002338EB" w14:paraId="762654B9" w14:textId="77777777" w:rsidTr="6048E6F3">
        <w:tc>
          <w:tcPr>
            <w:tcW w:w="5949" w:type="dxa"/>
          </w:tcPr>
          <w:p w14:paraId="17F64C42" w14:textId="72262C93" w:rsidR="002338EB" w:rsidRPr="00930C47" w:rsidRDefault="78DC6982" w:rsidP="45C90652">
            <w:pPr>
              <w:pStyle w:val="Paragraph"/>
              <w:spacing w:before="120" w:after="120" w:line="240" w:lineRule="auto"/>
              <w:rPr>
                <w:rFonts w:cs="Arial"/>
                <w:sz w:val="22"/>
                <w:szCs w:val="22"/>
              </w:rPr>
            </w:pPr>
            <w:r w:rsidRPr="45C90652">
              <w:rPr>
                <w:rFonts w:cs="Arial"/>
                <w:sz w:val="22"/>
                <w:szCs w:val="22"/>
              </w:rPr>
              <w:t xml:space="preserve">Indicator is part of the </w:t>
            </w:r>
            <w:hyperlink r:id="rId7">
              <w:r w:rsidRPr="45C90652">
                <w:rPr>
                  <w:rStyle w:val="Hyperlink"/>
                  <w:rFonts w:cs="Arial"/>
                  <w:sz w:val="22"/>
                  <w:szCs w:val="22"/>
                </w:rPr>
                <w:t>NHS outcomes framework</w:t>
              </w:r>
            </w:hyperlink>
            <w:r w:rsidRPr="45C90652">
              <w:rPr>
                <w:rFonts w:cs="Arial"/>
                <w:sz w:val="22"/>
                <w:szCs w:val="22"/>
              </w:rPr>
              <w:t xml:space="preserve"> </w:t>
            </w:r>
            <w:r w:rsidR="531A42ED" w:rsidRPr="45C90652">
              <w:rPr>
                <w:rFonts w:cs="Arial"/>
                <w:sz w:val="22"/>
                <w:szCs w:val="22"/>
              </w:rPr>
              <w:t xml:space="preserve">(NHS OF) </w:t>
            </w:r>
            <w:r w:rsidRPr="45C90652">
              <w:rPr>
                <w:rFonts w:cs="Arial"/>
                <w:sz w:val="22"/>
                <w:szCs w:val="22"/>
              </w:rPr>
              <w:t>domain 1 – preventing people from dying prematurely (indicator 1.6.i)</w:t>
            </w:r>
          </w:p>
          <w:p w14:paraId="6F338971" w14:textId="78189733" w:rsidR="00930C47" w:rsidRPr="00930C47" w:rsidRDefault="78DC6982" w:rsidP="45C90652">
            <w:pPr>
              <w:pStyle w:val="Paragraph"/>
              <w:spacing w:before="120" w:after="120" w:line="240" w:lineRule="auto"/>
              <w:rPr>
                <w:sz w:val="22"/>
                <w:szCs w:val="22"/>
              </w:rPr>
            </w:pPr>
            <w:r w:rsidRPr="45C90652">
              <w:rPr>
                <w:sz w:val="22"/>
                <w:szCs w:val="22"/>
              </w:rPr>
              <w:t xml:space="preserve">The </w:t>
            </w:r>
            <w:hyperlink r:id="rId8">
              <w:r w:rsidRPr="45C90652">
                <w:rPr>
                  <w:rStyle w:val="Hyperlink"/>
                  <w:sz w:val="22"/>
                  <w:szCs w:val="22"/>
                </w:rPr>
                <w:t>NHS Long Term Plan</w:t>
              </w:r>
            </w:hyperlink>
            <w:r w:rsidRPr="45C90652">
              <w:rPr>
                <w:sz w:val="22"/>
                <w:szCs w:val="22"/>
              </w:rPr>
              <w:t xml:space="preserve"> details ambitions to improve maternity and neonatal services.</w:t>
            </w:r>
          </w:p>
        </w:tc>
        <w:tc>
          <w:tcPr>
            <w:tcW w:w="3118" w:type="dxa"/>
          </w:tcPr>
          <w:p w14:paraId="062E903B" w14:textId="19F53F68" w:rsidR="002338EB" w:rsidRPr="00930C47" w:rsidRDefault="677ED5AE" w:rsidP="45C90652">
            <w:pPr>
              <w:spacing w:before="120" w:after="120"/>
              <w:rPr>
                <w:rFonts w:ascii="Arial" w:hAnsi="Arial" w:cs="Arial"/>
                <w:color w:val="000000"/>
                <w:kern w:val="24"/>
                <w:sz w:val="22"/>
                <w:szCs w:val="22"/>
                <w:lang w:val="en-US"/>
              </w:rPr>
            </w:pPr>
            <w:r w:rsidRPr="00930C47">
              <w:rPr>
                <w:rFonts w:ascii="Arial" w:hAnsi="Arial" w:cs="Arial"/>
                <w:color w:val="000000"/>
                <w:kern w:val="24"/>
                <w:sz w:val="22"/>
                <w:szCs w:val="22"/>
                <w:lang w:val="en-US"/>
              </w:rPr>
              <w:t>The indicator reflects a specific priority area identified by NHS England.</w:t>
            </w:r>
          </w:p>
          <w:p w14:paraId="272CA0EC" w14:textId="77777777" w:rsidR="002338EB" w:rsidRPr="00930C47" w:rsidRDefault="002338EB" w:rsidP="45C90652">
            <w:pPr>
              <w:pStyle w:val="Paragraph"/>
              <w:spacing w:before="120" w:after="120" w:line="240" w:lineRule="auto"/>
              <w:rPr>
                <w:sz w:val="22"/>
                <w:szCs w:val="22"/>
              </w:rPr>
            </w:pPr>
          </w:p>
        </w:tc>
      </w:tr>
      <w:tr w:rsidR="00735337" w14:paraId="2E2CE1C4" w14:textId="77777777" w:rsidTr="6048E6F3">
        <w:tc>
          <w:tcPr>
            <w:tcW w:w="5949" w:type="dxa"/>
          </w:tcPr>
          <w:p w14:paraId="378D38FD" w14:textId="61CD6908" w:rsidR="00735337" w:rsidRPr="002338EB" w:rsidRDefault="78DC6982" w:rsidP="45C90652">
            <w:pPr>
              <w:pStyle w:val="Paragraph"/>
              <w:spacing w:before="120" w:after="120" w:line="240" w:lineRule="auto"/>
              <w:rPr>
                <w:highlight w:val="lightGray"/>
              </w:rPr>
            </w:pPr>
            <w:r w:rsidRPr="6048E6F3">
              <w:rPr>
                <w:rFonts w:cs="Arial"/>
                <w:sz w:val="22"/>
                <w:szCs w:val="22"/>
              </w:rPr>
              <w:t>Nationally rates have been falling over time, from a rate per 1,000 of 5.7 in 1999 to 3.6 in 2020. Variation exists by deprivation (higher in most deprived areas), by age of mother (higher in mothers under 20 and over 40) and across geographies.</w:t>
            </w:r>
            <w:r w:rsidR="531A42ED" w:rsidRPr="6048E6F3">
              <w:rPr>
                <w:rFonts w:cs="Arial"/>
                <w:sz w:val="22"/>
                <w:szCs w:val="22"/>
              </w:rPr>
              <w:t xml:space="preserve"> (</w:t>
            </w:r>
            <w:hyperlink r:id="rId9">
              <w:r w:rsidR="531A42ED" w:rsidRPr="6048E6F3">
                <w:rPr>
                  <w:rStyle w:val="Hyperlink"/>
                  <w:rFonts w:cs="Arial"/>
                  <w:sz w:val="22"/>
                  <w:szCs w:val="22"/>
                </w:rPr>
                <w:t>NHS OF data for indicator 1.6i</w:t>
              </w:r>
            </w:hyperlink>
            <w:r w:rsidR="531A42ED" w:rsidRPr="6048E6F3">
              <w:rPr>
                <w:rFonts w:cs="Arial"/>
                <w:sz w:val="22"/>
                <w:szCs w:val="22"/>
              </w:rPr>
              <w:t>, March 2022 release).</w:t>
            </w:r>
          </w:p>
        </w:tc>
        <w:tc>
          <w:tcPr>
            <w:tcW w:w="3118" w:type="dxa"/>
          </w:tcPr>
          <w:p w14:paraId="3C8B1CA2" w14:textId="77777777" w:rsidR="00735337" w:rsidRPr="00930C47" w:rsidRDefault="2B029DF5" w:rsidP="45C90652">
            <w:pPr>
              <w:spacing w:before="120" w:after="120"/>
              <w:rPr>
                <w:rFonts w:ascii="Arial" w:hAnsi="Arial" w:cs="Arial"/>
                <w:color w:val="000000"/>
                <w:kern w:val="24"/>
                <w:sz w:val="22"/>
                <w:szCs w:val="22"/>
                <w:lang w:val="en-US"/>
              </w:rPr>
            </w:pPr>
            <w:r w:rsidRPr="00930C47">
              <w:rPr>
                <w:rFonts w:ascii="Arial" w:hAnsi="Arial" w:cs="Arial"/>
                <w:color w:val="000000"/>
                <w:kern w:val="24"/>
                <w:sz w:val="22"/>
                <w:szCs w:val="22"/>
                <w:lang w:val="en-US"/>
              </w:rPr>
              <w:t>The indicator relates to an area where there is known variation in practice.</w:t>
            </w:r>
          </w:p>
          <w:p w14:paraId="3FD01E72" w14:textId="3FD63C35" w:rsidR="00735337" w:rsidRPr="00930C47" w:rsidRDefault="2B029DF5" w:rsidP="45C90652">
            <w:pPr>
              <w:pStyle w:val="Paragraph"/>
              <w:spacing w:before="120" w:after="120" w:line="240" w:lineRule="auto"/>
            </w:pPr>
            <w:r w:rsidRPr="00930C47">
              <w:rPr>
                <w:rFonts w:cs="Arial"/>
                <w:color w:val="000000"/>
                <w:kern w:val="24"/>
                <w:sz w:val="22"/>
                <w:szCs w:val="22"/>
                <w:lang w:val="en-US"/>
              </w:rPr>
              <w:t>The indicator addresses under-treatment.</w:t>
            </w:r>
          </w:p>
        </w:tc>
      </w:tr>
      <w:tr w:rsidR="004E6A24" w14:paraId="373D8AA4" w14:textId="77777777" w:rsidTr="6048E6F3">
        <w:tc>
          <w:tcPr>
            <w:tcW w:w="5949" w:type="dxa"/>
          </w:tcPr>
          <w:p w14:paraId="511F60B0" w14:textId="6780F518" w:rsidR="004E6A24" w:rsidRDefault="531A42ED" w:rsidP="45C90652">
            <w:pPr>
              <w:spacing w:before="120" w:after="120"/>
              <w:rPr>
                <w:rFonts w:ascii="Arial" w:hAnsi="Arial" w:cs="Arial"/>
                <w:sz w:val="22"/>
                <w:szCs w:val="22"/>
              </w:rPr>
            </w:pPr>
            <w:r>
              <w:rPr>
                <w:rFonts w:ascii="Arial" w:hAnsi="Arial" w:cs="Arial"/>
                <w:color w:val="000000"/>
                <w:kern w:val="24"/>
                <w:sz w:val="22"/>
                <w:szCs w:val="22"/>
                <w:lang w:eastAsia="en-GB"/>
              </w:rPr>
              <w:t xml:space="preserve">The </w:t>
            </w:r>
            <w:hyperlink r:id="rId10" w:history="1">
              <w:r w:rsidRPr="006213BF">
                <w:rPr>
                  <w:rStyle w:val="Hyperlink"/>
                  <w:rFonts w:ascii="Arial" w:hAnsi="Arial" w:cs="Arial"/>
                  <w:kern w:val="24"/>
                  <w:sz w:val="22"/>
                  <w:szCs w:val="22"/>
                  <w:lang w:eastAsia="en-GB"/>
                </w:rPr>
                <w:t>NHS OF quality statement for indic</w:t>
              </w:r>
              <w:r>
                <w:rPr>
                  <w:rStyle w:val="Hyperlink"/>
                  <w:rFonts w:ascii="Arial" w:hAnsi="Arial" w:cs="Arial"/>
                  <w:kern w:val="24"/>
                  <w:sz w:val="22"/>
                  <w:szCs w:val="22"/>
                  <w:lang w:eastAsia="en-GB"/>
                </w:rPr>
                <w:t>at</w:t>
              </w:r>
              <w:r w:rsidRPr="006213BF">
                <w:rPr>
                  <w:rStyle w:val="Hyperlink"/>
                  <w:rFonts w:ascii="Arial" w:hAnsi="Arial" w:cs="Arial"/>
                  <w:kern w:val="24"/>
                  <w:sz w:val="22"/>
                  <w:szCs w:val="22"/>
                  <w:lang w:eastAsia="en-GB"/>
                </w:rPr>
                <w:t>or 1.6i</w:t>
              </w:r>
            </w:hyperlink>
            <w:r w:rsidR="53979AC8">
              <w:rPr>
                <w:rFonts w:ascii="Arial" w:hAnsi="Arial" w:cs="Arial"/>
                <w:color w:val="000000"/>
                <w:kern w:val="24"/>
                <w:sz w:val="22"/>
                <w:szCs w:val="22"/>
                <w:lang w:eastAsia="en-GB"/>
              </w:rPr>
              <w:t xml:space="preserve"> (May 2020):</w:t>
            </w:r>
          </w:p>
          <w:p w14:paraId="3BCD2205" w14:textId="685E6390" w:rsidR="004E6A24" w:rsidRPr="005B620E" w:rsidRDefault="53979AC8" w:rsidP="45C90652">
            <w:pPr>
              <w:spacing w:before="120" w:after="120"/>
              <w:rPr>
                <w:rFonts w:ascii="Arial" w:hAnsi="Arial" w:cs="Arial"/>
                <w:sz w:val="22"/>
                <w:szCs w:val="22"/>
              </w:rPr>
            </w:pPr>
            <w:r w:rsidRPr="45C90652">
              <w:rPr>
                <w:rFonts w:ascii="Arial" w:hAnsi="Arial" w:cs="Arial"/>
                <w:sz w:val="22"/>
                <w:szCs w:val="22"/>
              </w:rPr>
              <w:t>Deaths under one year of age are considered a key international indicator of a country’s population health and quality of health care services. The infant mortality rate is particularly important for monitoring outcomes for high</w:t>
            </w:r>
            <w:r w:rsidR="531A42ED" w:rsidRPr="45C90652">
              <w:rPr>
                <w:rFonts w:ascii="Arial" w:hAnsi="Arial" w:cs="Arial"/>
                <w:sz w:val="22"/>
                <w:szCs w:val="22"/>
              </w:rPr>
              <w:t>-</w:t>
            </w:r>
            <w:r w:rsidRPr="45C90652">
              <w:rPr>
                <w:rFonts w:ascii="Arial" w:hAnsi="Arial" w:cs="Arial"/>
                <w:sz w:val="22"/>
                <w:szCs w:val="22"/>
              </w:rPr>
              <w:t>risk groups such as pre-term babies and growth restricted babies.</w:t>
            </w:r>
          </w:p>
          <w:p w14:paraId="479EEABD" w14:textId="141238B3" w:rsidR="004E6A24" w:rsidRDefault="53979AC8" w:rsidP="45C90652">
            <w:pPr>
              <w:spacing w:before="120" w:after="120"/>
              <w:rPr>
                <w:rFonts w:ascii="Arial" w:hAnsi="Arial" w:cs="Arial"/>
                <w:sz w:val="22"/>
                <w:szCs w:val="22"/>
              </w:rPr>
            </w:pPr>
            <w:r w:rsidRPr="45C90652">
              <w:rPr>
                <w:rFonts w:ascii="Arial" w:hAnsi="Arial" w:cs="Arial"/>
                <w:sz w:val="22"/>
                <w:szCs w:val="22"/>
              </w:rPr>
              <w:t>Historically, infant mortality claimed a considerable percentage of children born, but rates have significantly declined in the UK mainly due to improvements in basic health care and technological advances. Many post</w:t>
            </w:r>
            <w:r w:rsidR="531A42ED" w:rsidRPr="45C90652">
              <w:rPr>
                <w:rFonts w:ascii="Arial" w:hAnsi="Arial" w:cs="Arial"/>
                <w:sz w:val="22"/>
                <w:szCs w:val="22"/>
              </w:rPr>
              <w:t>-</w:t>
            </w:r>
            <w:r w:rsidRPr="45C90652">
              <w:rPr>
                <w:rFonts w:ascii="Arial" w:hAnsi="Arial" w:cs="Arial"/>
                <w:sz w:val="22"/>
                <w:szCs w:val="22"/>
              </w:rPr>
              <w:t xml:space="preserve">neonatal deaths occur </w:t>
            </w:r>
            <w:proofErr w:type="gramStart"/>
            <w:r w:rsidRPr="45C90652">
              <w:rPr>
                <w:rFonts w:ascii="Arial" w:hAnsi="Arial" w:cs="Arial"/>
                <w:sz w:val="22"/>
                <w:szCs w:val="22"/>
              </w:rPr>
              <w:t>as a result of</w:t>
            </w:r>
            <w:proofErr w:type="gramEnd"/>
            <w:r w:rsidRPr="45C90652">
              <w:rPr>
                <w:rFonts w:ascii="Arial" w:hAnsi="Arial" w:cs="Arial"/>
                <w:sz w:val="22"/>
                <w:szCs w:val="22"/>
              </w:rPr>
              <w:t xml:space="preserve"> improvements in </w:t>
            </w:r>
            <w:r w:rsidRPr="45C90652">
              <w:rPr>
                <w:rFonts w:ascii="Arial" w:hAnsi="Arial" w:cs="Arial"/>
                <w:sz w:val="22"/>
                <w:szCs w:val="22"/>
              </w:rPr>
              <w:lastRenderedPageBreak/>
              <w:t>neonatal care postponing deaths which might otherwise have occurred earlier.</w:t>
            </w:r>
          </w:p>
          <w:p w14:paraId="36A03518" w14:textId="3D8906FA" w:rsidR="004E6A24" w:rsidRPr="005B620E" w:rsidRDefault="53979AC8" w:rsidP="45C90652">
            <w:pPr>
              <w:spacing w:before="120" w:after="120"/>
              <w:rPr>
                <w:rFonts w:ascii="Arial" w:hAnsi="Arial" w:cs="Arial"/>
                <w:sz w:val="22"/>
                <w:szCs w:val="22"/>
              </w:rPr>
            </w:pPr>
            <w:r w:rsidRPr="45C90652">
              <w:rPr>
                <w:rFonts w:ascii="Arial" w:hAnsi="Arial" w:cs="Arial"/>
                <w:sz w:val="22"/>
                <w:szCs w:val="22"/>
              </w:rPr>
              <w:t xml:space="preserve">Reducing deaths in babies under one year of age and reducing the gap between the richest and poorest groups are part of the </w:t>
            </w:r>
            <w:hyperlink r:id="rId11" w:history="1">
              <w:r w:rsidRPr="00DC69B8">
                <w:rPr>
                  <w:rStyle w:val="Hyperlink"/>
                  <w:rFonts w:ascii="Arial" w:hAnsi="Arial" w:cs="Arial"/>
                  <w:sz w:val="22"/>
                  <w:szCs w:val="22"/>
                </w:rPr>
                <w:t>Government's strategy for public health</w:t>
              </w:r>
            </w:hyperlink>
            <w:r w:rsidR="00DC69B8">
              <w:rPr>
                <w:rFonts w:ascii="Arial" w:hAnsi="Arial" w:cs="Arial"/>
                <w:sz w:val="22"/>
                <w:szCs w:val="22"/>
              </w:rPr>
              <w:t>.</w:t>
            </w:r>
          </w:p>
          <w:p w14:paraId="40A2EA38" w14:textId="008E939C" w:rsidR="004E6A24" w:rsidRPr="00AB6032" w:rsidRDefault="004E6A24" w:rsidP="45C90652">
            <w:pPr>
              <w:spacing w:before="120" w:after="120"/>
              <w:rPr>
                <w:rFonts w:ascii="Arial" w:hAnsi="Arial" w:cs="Arial"/>
                <w:sz w:val="22"/>
                <w:szCs w:val="22"/>
                <w:highlight w:val="cyan"/>
              </w:rPr>
            </w:pPr>
          </w:p>
        </w:tc>
        <w:tc>
          <w:tcPr>
            <w:tcW w:w="3118" w:type="dxa"/>
          </w:tcPr>
          <w:p w14:paraId="380FC230" w14:textId="77777777" w:rsidR="004E6A24" w:rsidRPr="004E6A24" w:rsidRDefault="53979AC8" w:rsidP="45C90652">
            <w:pPr>
              <w:spacing w:before="120" w:after="120"/>
              <w:rPr>
                <w:rFonts w:ascii="Arial" w:hAnsi="Arial" w:cs="Arial"/>
                <w:color w:val="000000"/>
                <w:kern w:val="24"/>
                <w:sz w:val="22"/>
                <w:szCs w:val="22"/>
                <w:lang w:val="en-US"/>
              </w:rPr>
            </w:pPr>
            <w:r w:rsidRPr="004E6A24">
              <w:rPr>
                <w:rFonts w:ascii="Arial" w:hAnsi="Arial" w:cs="Arial"/>
                <w:color w:val="000000"/>
                <w:kern w:val="24"/>
                <w:sz w:val="22"/>
                <w:szCs w:val="22"/>
                <w:lang w:val="en-US"/>
              </w:rPr>
              <w:lastRenderedPageBreak/>
              <w:t>The indicator will lead to a meaningful improvement in patient outcomes.</w:t>
            </w:r>
          </w:p>
          <w:p w14:paraId="45004AAC" w14:textId="77777777" w:rsidR="004E6A24" w:rsidRPr="002338EB" w:rsidRDefault="004E6A24" w:rsidP="45C90652">
            <w:pPr>
              <w:spacing w:before="120" w:after="120"/>
              <w:rPr>
                <w:rFonts w:ascii="Arial" w:hAnsi="Arial" w:cs="Arial"/>
                <w:color w:val="000000"/>
                <w:kern w:val="24"/>
                <w:sz w:val="22"/>
                <w:szCs w:val="22"/>
                <w:highlight w:val="lightGray"/>
                <w:lang w:val="en-US"/>
              </w:rPr>
            </w:pPr>
          </w:p>
        </w:tc>
      </w:tr>
    </w:tbl>
    <w:bookmarkEnd w:id="2"/>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AE80B49" w14:textId="77777777" w:rsidR="002338EB" w:rsidRDefault="004E6A24" w:rsidP="002338EB">
            <w:pPr>
              <w:pStyle w:val="Paragraph"/>
              <w:spacing w:before="120" w:after="120" w:line="240" w:lineRule="auto"/>
              <w:rPr>
                <w:rFonts w:cs="Arial"/>
                <w:sz w:val="22"/>
                <w:szCs w:val="22"/>
              </w:rPr>
            </w:pPr>
            <w:r w:rsidRPr="000041B2">
              <w:rPr>
                <w:rFonts w:cs="Arial"/>
                <w:sz w:val="22"/>
                <w:szCs w:val="22"/>
              </w:rPr>
              <w:t>Deaths under one year of age are considered a key international indicator of a country’s population health and quality of health care services. The infant mortality rate is particularly important for monitoring outcomes for high</w:t>
            </w:r>
            <w:r w:rsidR="006213BF">
              <w:rPr>
                <w:rFonts w:cs="Arial"/>
                <w:sz w:val="22"/>
                <w:szCs w:val="22"/>
              </w:rPr>
              <w:t>-</w:t>
            </w:r>
            <w:r w:rsidRPr="000041B2">
              <w:rPr>
                <w:rFonts w:cs="Arial"/>
                <w:sz w:val="22"/>
                <w:szCs w:val="22"/>
              </w:rPr>
              <w:t xml:space="preserve"> risk groups such as pre-term babies and growth restricted babies.</w:t>
            </w:r>
          </w:p>
          <w:p w14:paraId="1359C26D" w14:textId="2F80AC87" w:rsidR="006213BF" w:rsidRPr="000041B2" w:rsidRDefault="00DC69B8" w:rsidP="006213BF">
            <w:pPr>
              <w:pStyle w:val="TableText1"/>
            </w:pPr>
            <w:r w:rsidRPr="00B5757F">
              <w:t>NICE’s quality standards</w:t>
            </w:r>
            <w:r w:rsidR="006213BF">
              <w:t xml:space="preserve"> QS22, QS32 and QS37 include quality statements on </w:t>
            </w:r>
            <w:hyperlink r:id="rId12" w:history="1">
              <w:r w:rsidR="006213BF" w:rsidRPr="00DC69B8">
                <w:rPr>
                  <w:rStyle w:val="Hyperlink"/>
                </w:rPr>
                <w:t>antenatal care</w:t>
              </w:r>
            </w:hyperlink>
            <w:r w:rsidR="006213BF">
              <w:t xml:space="preserve">, </w:t>
            </w:r>
            <w:hyperlink r:id="rId13" w:history="1">
              <w:r w:rsidR="006213BF" w:rsidRPr="00DC69B8">
                <w:rPr>
                  <w:rStyle w:val="Hyperlink"/>
                </w:rPr>
                <w:t xml:space="preserve">caesarean </w:t>
              </w:r>
              <w:r w:rsidRPr="00DC69B8">
                <w:rPr>
                  <w:rStyle w:val="Hyperlink"/>
                </w:rPr>
                <w:t>birth</w:t>
              </w:r>
            </w:hyperlink>
            <w:r>
              <w:t xml:space="preserve"> </w:t>
            </w:r>
            <w:r w:rsidR="006213BF">
              <w:t xml:space="preserve">and </w:t>
            </w:r>
            <w:hyperlink r:id="rId14" w:history="1">
              <w:r w:rsidR="006213BF" w:rsidRPr="00DC69B8">
                <w:rPr>
                  <w:rStyle w:val="Hyperlink"/>
                </w:rPr>
                <w:t>postnatal care</w:t>
              </w:r>
            </w:hyperlink>
            <w:r w:rsidR="006213BF">
              <w:t>.</w:t>
            </w:r>
          </w:p>
        </w:tc>
        <w:tc>
          <w:tcPr>
            <w:tcW w:w="3118" w:type="dxa"/>
          </w:tcPr>
          <w:p w14:paraId="0D72329A" w14:textId="54F94FB4" w:rsidR="002338EB" w:rsidRPr="000041B2" w:rsidRDefault="002338EB" w:rsidP="002338EB">
            <w:pPr>
              <w:spacing w:before="120" w:after="120"/>
              <w:rPr>
                <w:rFonts w:ascii="Arial" w:hAnsi="Arial" w:cs="Arial"/>
                <w:color w:val="000000"/>
                <w:kern w:val="24"/>
                <w:sz w:val="22"/>
                <w:szCs w:val="22"/>
                <w:lang w:val="en-US"/>
              </w:rPr>
            </w:pPr>
            <w:r w:rsidRPr="000041B2">
              <w:rPr>
                <w:rFonts w:ascii="Arial" w:hAnsi="Arial" w:cs="Arial"/>
                <w:color w:val="000000"/>
                <w:kern w:val="24"/>
                <w:sz w:val="22"/>
                <w:szCs w:val="22"/>
                <w:lang w:val="en-US"/>
              </w:rPr>
              <w:t xml:space="preserve">The indicator is derived from a high-quality evidence base. </w:t>
            </w:r>
          </w:p>
          <w:p w14:paraId="75848804" w14:textId="710C020D" w:rsidR="002338EB" w:rsidRPr="000041B2" w:rsidRDefault="002338EB" w:rsidP="002338EB">
            <w:pPr>
              <w:pStyle w:val="Paragraph"/>
              <w:spacing w:before="120" w:after="120" w:line="240" w:lineRule="auto"/>
            </w:pPr>
            <w:r w:rsidRPr="000041B2">
              <w:rPr>
                <w:rFonts w:cs="Arial"/>
                <w:color w:val="000000"/>
                <w:kern w:val="24"/>
                <w:sz w:val="22"/>
                <w:szCs w:val="22"/>
                <w:lang w:val="en-US"/>
              </w:rPr>
              <w:t>The indicator aligns with the evidence base.</w:t>
            </w:r>
          </w:p>
        </w:tc>
      </w:tr>
    </w:tbl>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45C90652">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45C90652">
        <w:tc>
          <w:tcPr>
            <w:tcW w:w="5949" w:type="dxa"/>
          </w:tcPr>
          <w:p w14:paraId="11CC97AE" w14:textId="553EEDC8" w:rsidR="00BE1F45" w:rsidRPr="000041B2" w:rsidRDefault="677ED5AE" w:rsidP="00BE1F45">
            <w:pPr>
              <w:spacing w:before="120" w:after="120"/>
              <w:rPr>
                <w:rFonts w:ascii="Arial" w:hAnsi="Arial" w:cs="Arial"/>
                <w:color w:val="000000"/>
                <w:kern w:val="24"/>
                <w:sz w:val="22"/>
                <w:szCs w:val="22"/>
              </w:rPr>
            </w:pPr>
            <w:r w:rsidRPr="000041B2">
              <w:rPr>
                <w:rFonts w:ascii="Arial" w:hAnsi="Arial" w:cs="Arial"/>
                <w:color w:val="000000"/>
                <w:kern w:val="24"/>
                <w:sz w:val="22"/>
                <w:szCs w:val="22"/>
              </w:rPr>
              <w:t xml:space="preserve">Numerator: </w:t>
            </w:r>
            <w:r w:rsidR="06784195" w:rsidRPr="000041B2">
              <w:rPr>
                <w:rFonts w:ascii="Arial" w:hAnsi="Arial" w:cs="Arial"/>
                <w:color w:val="000000"/>
                <w:kern w:val="24"/>
                <w:sz w:val="22"/>
                <w:szCs w:val="22"/>
              </w:rPr>
              <w:t>Number of deaths of infants (aged under 1) occurring within the year.</w:t>
            </w:r>
          </w:p>
          <w:p w14:paraId="424261B6" w14:textId="699D8717" w:rsidR="002338EB" w:rsidRPr="000041B2" w:rsidRDefault="3A000154" w:rsidP="00BE1F45">
            <w:pPr>
              <w:spacing w:before="120" w:after="120"/>
              <w:rPr>
                <w:rFonts w:ascii="Arial" w:hAnsi="Arial" w:cs="Arial"/>
                <w:color w:val="000000"/>
                <w:kern w:val="24"/>
                <w:sz w:val="22"/>
                <w:szCs w:val="22"/>
              </w:rPr>
            </w:pPr>
            <w:r w:rsidRPr="000041B2">
              <w:rPr>
                <w:rFonts w:ascii="Arial" w:hAnsi="Arial" w:cs="Arial"/>
                <w:color w:val="000000"/>
                <w:kern w:val="24"/>
                <w:sz w:val="22"/>
                <w:szCs w:val="22"/>
              </w:rPr>
              <w:t>Denominator:</w:t>
            </w:r>
            <w:r w:rsidR="06784195" w:rsidRPr="000041B2">
              <w:rPr>
                <w:rFonts w:ascii="Arial" w:hAnsi="Arial" w:cs="Arial"/>
                <w:color w:val="000000"/>
                <w:kern w:val="24"/>
                <w:sz w:val="22"/>
                <w:szCs w:val="22"/>
              </w:rPr>
              <w:t xml:space="preserve"> Number of live births occurring within the year.</w:t>
            </w:r>
            <w:r w:rsidR="677ED5AE" w:rsidRPr="000041B2">
              <w:rPr>
                <w:rFonts w:ascii="Arial" w:hAnsi="Arial" w:cs="Arial"/>
                <w:color w:val="000000"/>
                <w:kern w:val="24"/>
                <w:sz w:val="22"/>
                <w:szCs w:val="22"/>
              </w:rPr>
              <w:t xml:space="preserve"> </w:t>
            </w:r>
          </w:p>
          <w:p w14:paraId="5B547B3C" w14:textId="6C3D353E" w:rsidR="000041B2" w:rsidRPr="000041B2" w:rsidRDefault="000041B2" w:rsidP="00BE1F45">
            <w:pPr>
              <w:spacing w:before="120" w:after="120"/>
              <w:rPr>
                <w:rFonts w:ascii="Arial" w:hAnsi="Arial" w:cs="Arial"/>
                <w:color w:val="000000"/>
                <w:kern w:val="24"/>
                <w:sz w:val="22"/>
                <w:szCs w:val="22"/>
              </w:rPr>
            </w:pPr>
            <w:r w:rsidRPr="000041B2">
              <w:rPr>
                <w:rFonts w:ascii="Arial" w:hAnsi="Arial" w:cs="Arial"/>
                <w:color w:val="000000"/>
                <w:kern w:val="24"/>
                <w:sz w:val="22"/>
                <w:szCs w:val="22"/>
              </w:rPr>
              <w:t>Calculation: Rate per thousand live births.</w:t>
            </w:r>
          </w:p>
          <w:p w14:paraId="65AFDE55" w14:textId="6A73CF95" w:rsidR="001A3CA6" w:rsidRPr="000041B2" w:rsidRDefault="001A3CA6" w:rsidP="00BE1F45">
            <w:pPr>
              <w:spacing w:before="120" w:after="120"/>
              <w:rPr>
                <w:rFonts w:ascii="Arial" w:hAnsi="Arial" w:cs="Arial"/>
                <w:color w:val="000000"/>
                <w:kern w:val="24"/>
                <w:sz w:val="22"/>
                <w:szCs w:val="22"/>
              </w:rPr>
            </w:pPr>
            <w:r w:rsidRPr="000041B2">
              <w:rPr>
                <w:rFonts w:ascii="Arial" w:hAnsi="Arial" w:cs="Arial"/>
                <w:color w:val="000000"/>
                <w:kern w:val="24"/>
                <w:sz w:val="22"/>
                <w:szCs w:val="22"/>
              </w:rPr>
              <w:t xml:space="preserve">Exclusions: </w:t>
            </w:r>
            <w:r w:rsidR="000041B2" w:rsidRPr="000041B2">
              <w:rPr>
                <w:rFonts w:ascii="Arial" w:hAnsi="Arial" w:cs="Arial"/>
                <w:color w:val="000000"/>
                <w:kern w:val="24"/>
                <w:sz w:val="22"/>
                <w:szCs w:val="22"/>
              </w:rPr>
              <w:t>None.</w:t>
            </w:r>
          </w:p>
          <w:p w14:paraId="56F65F9F" w14:textId="77777777" w:rsidR="00735337" w:rsidRDefault="00CE5520" w:rsidP="002338EB">
            <w:pPr>
              <w:pStyle w:val="Paragraph"/>
              <w:spacing w:before="120" w:after="120" w:line="240" w:lineRule="auto"/>
              <w:rPr>
                <w:rFonts w:cs="Arial"/>
                <w:color w:val="000000"/>
                <w:kern w:val="24"/>
                <w:sz w:val="22"/>
                <w:szCs w:val="22"/>
              </w:rPr>
            </w:pPr>
            <w:r w:rsidRPr="000041B2">
              <w:rPr>
                <w:rFonts w:cs="Arial"/>
                <w:color w:val="000000"/>
                <w:kern w:val="24"/>
                <w:sz w:val="22"/>
                <w:szCs w:val="22"/>
              </w:rPr>
              <w:t>Definitions:</w:t>
            </w:r>
            <w:r w:rsidR="000041B2" w:rsidRPr="000041B2">
              <w:rPr>
                <w:rFonts w:cs="Arial"/>
                <w:color w:val="000000"/>
                <w:kern w:val="24"/>
                <w:sz w:val="22"/>
                <w:szCs w:val="22"/>
              </w:rPr>
              <w:t xml:space="preserve"> Infant mortality is defined as the number of deaths at ages under one year, per 1,000 births.</w:t>
            </w:r>
          </w:p>
          <w:p w14:paraId="0183839A" w14:textId="1A0F9A70" w:rsidR="000041B2" w:rsidRDefault="000041B2" w:rsidP="002338EB">
            <w:pPr>
              <w:pStyle w:val="Paragraph"/>
              <w:spacing w:before="120" w:after="120" w:line="240" w:lineRule="auto"/>
              <w:rPr>
                <w:rFonts w:cs="Arial"/>
                <w:color w:val="000000"/>
                <w:kern w:val="24"/>
                <w:sz w:val="22"/>
                <w:szCs w:val="22"/>
              </w:rPr>
            </w:pPr>
            <w:r w:rsidRPr="000041B2">
              <w:rPr>
                <w:rFonts w:cs="Arial"/>
                <w:color w:val="000000"/>
                <w:kern w:val="24"/>
                <w:sz w:val="22"/>
                <w:szCs w:val="22"/>
              </w:rPr>
              <w:t>Geography: England, region, lower tier local authority</w:t>
            </w:r>
            <w:r w:rsidR="006213BF">
              <w:rPr>
                <w:rFonts w:cs="Arial"/>
                <w:color w:val="000000"/>
                <w:kern w:val="24"/>
                <w:sz w:val="22"/>
                <w:szCs w:val="22"/>
              </w:rPr>
              <w:t>.</w:t>
            </w:r>
            <w:r w:rsidRPr="000041B2">
              <w:rPr>
                <w:rFonts w:cs="Arial"/>
                <w:color w:val="000000"/>
                <w:kern w:val="24"/>
                <w:sz w:val="22"/>
                <w:szCs w:val="22"/>
              </w:rPr>
              <w:t xml:space="preserve"> </w:t>
            </w:r>
          </w:p>
          <w:p w14:paraId="207C844E" w14:textId="63EC764E" w:rsidR="000041B2" w:rsidRDefault="000041B2" w:rsidP="002338EB">
            <w:pPr>
              <w:pStyle w:val="Paragraph"/>
              <w:spacing w:before="120" w:after="120" w:line="240" w:lineRule="auto"/>
              <w:rPr>
                <w:rFonts w:cs="Arial"/>
                <w:color w:val="000000"/>
                <w:kern w:val="24"/>
                <w:sz w:val="22"/>
                <w:szCs w:val="22"/>
              </w:rPr>
            </w:pPr>
            <w:r w:rsidRPr="000041B2">
              <w:rPr>
                <w:rFonts w:cs="Arial"/>
                <w:color w:val="000000"/>
                <w:kern w:val="24"/>
                <w:sz w:val="22"/>
                <w:szCs w:val="22"/>
              </w:rPr>
              <w:t xml:space="preserve">Data Source: Office for National Statistics (ONS) births and deaths data </w:t>
            </w:r>
          </w:p>
          <w:p w14:paraId="1A8C1D16" w14:textId="0E45A2A0" w:rsidR="000041B2" w:rsidRPr="000041B2" w:rsidRDefault="000041B2" w:rsidP="002338EB">
            <w:pPr>
              <w:pStyle w:val="Paragraph"/>
              <w:spacing w:before="120" w:after="120" w:line="240" w:lineRule="auto"/>
              <w:rPr>
                <w:rFonts w:cs="Arial"/>
                <w:color w:val="000000"/>
                <w:kern w:val="24"/>
                <w:sz w:val="22"/>
                <w:szCs w:val="22"/>
              </w:rPr>
            </w:pPr>
            <w:r w:rsidRPr="000041B2">
              <w:rPr>
                <w:rFonts w:cs="Arial"/>
                <w:color w:val="000000"/>
                <w:kern w:val="24"/>
                <w:sz w:val="22"/>
                <w:szCs w:val="22"/>
              </w:rPr>
              <w:t>Disclosure control: No suppression needed as per current ONS mortality rules</w:t>
            </w:r>
          </w:p>
        </w:tc>
        <w:tc>
          <w:tcPr>
            <w:tcW w:w="3118" w:type="dxa"/>
          </w:tcPr>
          <w:p w14:paraId="1439227D" w14:textId="5A1A009F" w:rsidR="002338EB" w:rsidRPr="002338EB" w:rsidRDefault="002338EB" w:rsidP="002338EB">
            <w:pPr>
              <w:spacing w:before="120" w:after="120"/>
              <w:rPr>
                <w:rFonts w:ascii="Arial" w:hAnsi="Arial" w:cs="Arial"/>
                <w:color w:val="000000"/>
                <w:kern w:val="24"/>
                <w:sz w:val="22"/>
                <w:szCs w:val="22"/>
                <w:highlight w:val="lightGray"/>
              </w:rPr>
            </w:pPr>
            <w:r w:rsidRPr="000041B2">
              <w:rPr>
                <w:rFonts w:ascii="Arial" w:hAnsi="Arial" w:cs="Arial"/>
                <w:color w:val="000000"/>
                <w:kern w:val="24"/>
                <w:sz w:val="22"/>
                <w:szCs w:val="22"/>
              </w:rPr>
              <w:t xml:space="preserve">The indicator has defined components necessary to construct the indicator, including numerator, </w:t>
            </w:r>
            <w:proofErr w:type="gramStart"/>
            <w:r w:rsidRPr="000041B2">
              <w:rPr>
                <w:rFonts w:ascii="Arial" w:hAnsi="Arial" w:cs="Arial"/>
                <w:color w:val="000000"/>
                <w:kern w:val="24"/>
                <w:sz w:val="22"/>
                <w:szCs w:val="22"/>
              </w:rPr>
              <w:t>denominator</w:t>
            </w:r>
            <w:proofErr w:type="gramEnd"/>
            <w:r w:rsidRPr="000041B2">
              <w:rPr>
                <w:rFonts w:ascii="Arial" w:hAnsi="Arial" w:cs="Arial"/>
                <w:color w:val="000000"/>
                <w:kern w:val="24"/>
                <w:sz w:val="22"/>
                <w:szCs w:val="22"/>
              </w:rPr>
              <w:t xml:space="preserve"> and exclusions</w:t>
            </w:r>
            <w:r w:rsidRPr="002338EB">
              <w:rPr>
                <w:rFonts w:ascii="Arial" w:hAnsi="Arial" w:cs="Arial"/>
                <w:color w:val="000000"/>
                <w:kern w:val="24"/>
                <w:sz w:val="22"/>
                <w:szCs w:val="22"/>
                <w:highlight w:val="lightGray"/>
              </w:rPr>
              <w:t>.</w:t>
            </w:r>
          </w:p>
          <w:p w14:paraId="0C449702" w14:textId="77777777" w:rsidR="002338EB" w:rsidRPr="002338EB" w:rsidRDefault="002338EB" w:rsidP="002338EB">
            <w:pPr>
              <w:pStyle w:val="Paragraph"/>
              <w:spacing w:before="120" w:after="120" w:line="240" w:lineRule="auto"/>
              <w:rPr>
                <w:highlight w:val="lightGray"/>
              </w:rPr>
            </w:pPr>
          </w:p>
        </w:tc>
      </w:tr>
    </w:tbl>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153B556C" w:rsidR="00735337" w:rsidRPr="000041B2" w:rsidRDefault="000041B2" w:rsidP="00735337">
            <w:pPr>
              <w:pStyle w:val="Paragraph"/>
              <w:spacing w:before="120" w:after="120" w:line="240" w:lineRule="auto"/>
            </w:pPr>
            <w:r w:rsidRPr="000041B2">
              <w:rPr>
                <w:rFonts w:cs="Arial"/>
                <w:sz w:val="22"/>
                <w:szCs w:val="22"/>
              </w:rPr>
              <w:t>Both numerator and denominator come from reliable sources which will continue.</w:t>
            </w:r>
          </w:p>
        </w:tc>
        <w:tc>
          <w:tcPr>
            <w:tcW w:w="3118" w:type="dxa"/>
          </w:tcPr>
          <w:p w14:paraId="7E07F302" w14:textId="5F984164"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The indicator is repeatable.</w:t>
            </w:r>
          </w:p>
          <w:p w14:paraId="3BEFE1B2" w14:textId="77777777" w:rsidR="00735337" w:rsidRPr="000041B2" w:rsidRDefault="00735337" w:rsidP="00735337">
            <w:pPr>
              <w:pStyle w:val="Paragraph"/>
              <w:spacing w:before="120" w:after="120" w:line="240" w:lineRule="auto"/>
            </w:pPr>
          </w:p>
        </w:tc>
      </w:tr>
      <w:tr w:rsidR="00735337" w14:paraId="2FE27CD6" w14:textId="77777777" w:rsidTr="001C517D">
        <w:tc>
          <w:tcPr>
            <w:tcW w:w="5949" w:type="dxa"/>
          </w:tcPr>
          <w:p w14:paraId="084231E2" w14:textId="017D88A4" w:rsidR="00735337" w:rsidRPr="000041B2" w:rsidRDefault="000041B2" w:rsidP="00735337">
            <w:pPr>
              <w:spacing w:before="120" w:after="120"/>
              <w:rPr>
                <w:rFonts w:ascii="Arial" w:hAnsi="Arial" w:cs="Arial"/>
                <w:sz w:val="22"/>
                <w:szCs w:val="22"/>
              </w:rPr>
            </w:pPr>
            <w:r w:rsidRPr="000041B2">
              <w:rPr>
                <w:rFonts w:ascii="Arial" w:hAnsi="Arial" w:cs="Arial"/>
                <w:sz w:val="22"/>
                <w:szCs w:val="22"/>
              </w:rPr>
              <w:lastRenderedPageBreak/>
              <w:t>Data is available from the ONS (births and deaths data).</w:t>
            </w:r>
          </w:p>
          <w:p w14:paraId="7BCE2EC9" w14:textId="77777777" w:rsidR="000041B2" w:rsidRPr="000041B2" w:rsidRDefault="000041B2" w:rsidP="00735337">
            <w:pPr>
              <w:spacing w:before="120" w:after="120"/>
              <w:rPr>
                <w:rFonts w:ascii="Arial" w:hAnsi="Arial" w:cs="Arial"/>
                <w:sz w:val="22"/>
                <w:szCs w:val="22"/>
              </w:rPr>
            </w:pPr>
          </w:p>
          <w:p w14:paraId="6B3D2BF0" w14:textId="6F0BA9C8" w:rsidR="00735337" w:rsidRPr="000041B2" w:rsidRDefault="00735337" w:rsidP="000041B2">
            <w:pPr>
              <w:spacing w:before="120" w:after="120"/>
              <w:contextualSpacing/>
              <w:rPr>
                <w:rFonts w:ascii="Arial" w:hAnsi="Arial" w:cs="Arial"/>
                <w:sz w:val="22"/>
                <w:szCs w:val="22"/>
              </w:rPr>
            </w:pPr>
          </w:p>
        </w:tc>
        <w:tc>
          <w:tcPr>
            <w:tcW w:w="3118" w:type="dxa"/>
          </w:tcPr>
          <w:p w14:paraId="501A7677" w14:textId="77777777"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 xml:space="preserve">The indicator is measuring what it is designed to measure. </w:t>
            </w:r>
          </w:p>
          <w:p w14:paraId="24CB8CBA" w14:textId="284E71C7"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The indicator uses existing data fields.</w:t>
            </w:r>
          </w:p>
        </w:tc>
      </w:tr>
    </w:tbl>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45C90652">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45C90652">
        <w:tc>
          <w:tcPr>
            <w:tcW w:w="5949" w:type="dxa"/>
          </w:tcPr>
          <w:p w14:paraId="75F2B726" w14:textId="77777777" w:rsidR="00735337" w:rsidRDefault="004E6A24" w:rsidP="00735337">
            <w:pPr>
              <w:pStyle w:val="Paragraph"/>
              <w:spacing w:before="120" w:after="120" w:line="240" w:lineRule="auto"/>
              <w:rPr>
                <w:rFonts w:cs="Arial"/>
                <w:sz w:val="22"/>
                <w:szCs w:val="22"/>
              </w:rPr>
            </w:pPr>
            <w:r w:rsidRPr="006213BF">
              <w:rPr>
                <w:rFonts w:cs="Arial"/>
                <w:sz w:val="22"/>
                <w:szCs w:val="22"/>
              </w:rPr>
              <w:t xml:space="preserve">The </w:t>
            </w:r>
            <w:hyperlink r:id="rId15" w:history="1">
              <w:r w:rsidR="006213BF" w:rsidRPr="006213BF">
                <w:rPr>
                  <w:rStyle w:val="Hyperlink"/>
                  <w:rFonts w:cs="Arial"/>
                  <w:sz w:val="22"/>
                  <w:szCs w:val="22"/>
                </w:rPr>
                <w:t>N</w:t>
              </w:r>
              <w:r w:rsidR="006213BF" w:rsidRPr="006213BF">
                <w:rPr>
                  <w:rStyle w:val="Hyperlink"/>
                  <w:sz w:val="22"/>
                  <w:szCs w:val="22"/>
                </w:rPr>
                <w:t>HS OF quality statement for indicator 1.6i</w:t>
              </w:r>
            </w:hyperlink>
            <w:r w:rsidR="006213BF" w:rsidRPr="006213BF">
              <w:rPr>
                <w:sz w:val="22"/>
                <w:szCs w:val="22"/>
              </w:rPr>
              <w:t xml:space="preserve"> (May 2020) notes that</w:t>
            </w:r>
            <w:r w:rsidR="006213BF">
              <w:t xml:space="preserve"> </w:t>
            </w:r>
            <w:r w:rsidRPr="004E6A24">
              <w:rPr>
                <w:rFonts w:cs="Arial"/>
                <w:sz w:val="22"/>
                <w:szCs w:val="22"/>
              </w:rPr>
              <w:t>NHS, public health and social care services contribute to improvements in this indic</w:t>
            </w:r>
            <w:r w:rsidR="006213BF">
              <w:rPr>
                <w:rFonts w:cs="Arial"/>
                <w:sz w:val="22"/>
                <w:szCs w:val="22"/>
              </w:rPr>
              <w:t>at</w:t>
            </w:r>
            <w:r w:rsidRPr="004E6A24">
              <w:rPr>
                <w:rFonts w:cs="Arial"/>
                <w:sz w:val="22"/>
                <w:szCs w:val="22"/>
              </w:rPr>
              <w:t>or</w:t>
            </w:r>
            <w:r w:rsidR="006213BF">
              <w:rPr>
                <w:rFonts w:cs="Arial"/>
                <w:sz w:val="22"/>
                <w:szCs w:val="22"/>
              </w:rPr>
              <w:t>.</w:t>
            </w:r>
            <w:r w:rsidR="00735337" w:rsidRPr="004E6A24">
              <w:rPr>
                <w:rFonts w:cs="Arial"/>
                <w:sz w:val="22"/>
                <w:szCs w:val="22"/>
              </w:rPr>
              <w:t xml:space="preserve"> </w:t>
            </w:r>
          </w:p>
          <w:p w14:paraId="009E37A6" w14:textId="18A56AC0" w:rsidR="006213BF" w:rsidRPr="004E6A24" w:rsidRDefault="006213BF" w:rsidP="45C90652">
            <w:pPr>
              <w:pStyle w:val="Paragraph"/>
              <w:spacing w:before="120" w:after="120" w:line="240" w:lineRule="auto"/>
              <w:rPr>
                <w:sz w:val="22"/>
                <w:szCs w:val="22"/>
              </w:rPr>
            </w:pPr>
          </w:p>
        </w:tc>
        <w:tc>
          <w:tcPr>
            <w:tcW w:w="3118" w:type="dxa"/>
          </w:tcPr>
          <w:p w14:paraId="50C98A36" w14:textId="0D64239E" w:rsidR="00735337" w:rsidRPr="004E6A24" w:rsidRDefault="00735337" w:rsidP="00735337">
            <w:pPr>
              <w:pStyle w:val="Paragraph"/>
              <w:spacing w:before="120" w:after="120" w:line="240" w:lineRule="auto"/>
            </w:pPr>
            <w:r w:rsidRPr="004E6A24">
              <w:rPr>
                <w:rFonts w:cs="Arial"/>
                <w:color w:val="000000"/>
                <w:kern w:val="24"/>
                <w:sz w:val="22"/>
                <w:szCs w:val="22"/>
              </w:rPr>
              <w:t>The indicator assesses performance that is attributable to or within the control of the audience</w:t>
            </w:r>
            <w:r w:rsidR="000041B2">
              <w:rPr>
                <w:rFonts w:cs="Arial"/>
                <w:color w:val="000000"/>
                <w:kern w:val="24"/>
                <w:sz w:val="22"/>
                <w:szCs w:val="22"/>
              </w:rPr>
              <w:t>.</w:t>
            </w:r>
          </w:p>
        </w:tc>
      </w:tr>
      <w:tr w:rsidR="00735337" w14:paraId="7E164FBD" w14:textId="77777777" w:rsidTr="45C90652">
        <w:tc>
          <w:tcPr>
            <w:tcW w:w="5949" w:type="dxa"/>
          </w:tcPr>
          <w:p w14:paraId="37B003C9" w14:textId="240E4E42" w:rsidR="00805F33" w:rsidRDefault="1E90BA49" w:rsidP="00735337">
            <w:pPr>
              <w:pStyle w:val="Paragraph"/>
              <w:spacing w:before="120" w:after="120" w:line="240" w:lineRule="auto"/>
              <w:rPr>
                <w:rFonts w:cs="Arial"/>
                <w:sz w:val="22"/>
                <w:szCs w:val="22"/>
              </w:rPr>
            </w:pPr>
            <w:r w:rsidRPr="45C90652">
              <w:rPr>
                <w:rFonts w:cs="Arial"/>
                <w:sz w:val="22"/>
                <w:szCs w:val="22"/>
              </w:rPr>
              <w:t xml:space="preserve">Rates are published each year by NHS England as part of the NHS Outcomes Framework </w:t>
            </w:r>
            <w:r w:rsidR="531A42ED" w:rsidRPr="45C90652">
              <w:rPr>
                <w:rFonts w:cs="Arial"/>
                <w:sz w:val="22"/>
                <w:szCs w:val="22"/>
              </w:rPr>
              <w:t>(</w:t>
            </w:r>
            <w:r w:rsidR="64BF04C1">
              <w:t>indicator</w:t>
            </w:r>
            <w:r w:rsidR="531A42ED">
              <w:t xml:space="preserve"> 1.6i)</w:t>
            </w:r>
            <w:r w:rsidR="00F10A8C">
              <w:t>.</w:t>
            </w:r>
            <w:r w:rsidRPr="45C90652">
              <w:rPr>
                <w:rFonts w:cs="Arial"/>
                <w:sz w:val="22"/>
                <w:szCs w:val="22"/>
              </w:rPr>
              <w:t xml:space="preserve"> </w:t>
            </w:r>
          </w:p>
          <w:p w14:paraId="3AF0200A" w14:textId="453FB282" w:rsidR="00735337" w:rsidRPr="00A47852" w:rsidRDefault="00805F33" w:rsidP="00735337">
            <w:pPr>
              <w:pStyle w:val="Paragraph"/>
              <w:spacing w:before="120" w:after="120" w:line="240" w:lineRule="auto"/>
              <w:rPr>
                <w:highlight w:val="lightGray"/>
              </w:rPr>
            </w:pPr>
            <w:r w:rsidRPr="00805F33">
              <w:rPr>
                <w:rFonts w:cs="Arial"/>
                <w:sz w:val="22"/>
                <w:szCs w:val="22"/>
              </w:rPr>
              <w:t>Overall rates have been decreasing over time, suggesting improvement. Variation exists across geography, deprivation, age of mother and sex of baby.</w:t>
            </w:r>
          </w:p>
        </w:tc>
        <w:tc>
          <w:tcPr>
            <w:tcW w:w="3118" w:type="dxa"/>
          </w:tcPr>
          <w:p w14:paraId="2909F55A" w14:textId="79A6C1C2" w:rsidR="00735337" w:rsidRPr="00A47852" w:rsidRDefault="00735337" w:rsidP="00735337">
            <w:pPr>
              <w:pStyle w:val="Paragraph"/>
              <w:spacing w:before="120" w:after="120" w:line="240" w:lineRule="auto"/>
              <w:rPr>
                <w:highlight w:val="lightGray"/>
              </w:rPr>
            </w:pPr>
            <w:r w:rsidRPr="000041B2">
              <w:rPr>
                <w:rFonts w:cs="Arial"/>
                <w:color w:val="000000"/>
                <w:kern w:val="24"/>
                <w:sz w:val="22"/>
                <w:szCs w:val="22"/>
              </w:rPr>
              <w:t>The results of the indicator can be used to improve practice</w:t>
            </w:r>
            <w:r w:rsidR="000041B2">
              <w:rPr>
                <w:rFonts w:cs="Arial"/>
                <w:color w:val="000000"/>
                <w:kern w:val="24"/>
                <w:sz w:val="22"/>
                <w:szCs w:val="22"/>
              </w:rPr>
              <w:t>.</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45C90652">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45C90652">
        <w:tc>
          <w:tcPr>
            <w:tcW w:w="5949" w:type="dxa"/>
          </w:tcPr>
          <w:p w14:paraId="5D0DDE27" w14:textId="6BBDA4ED" w:rsidR="00A47852" w:rsidRPr="00760469" w:rsidRDefault="10BF423C" w:rsidP="00A47852">
            <w:pPr>
              <w:pStyle w:val="Paragraph"/>
              <w:spacing w:before="120" w:after="120" w:line="240" w:lineRule="auto"/>
            </w:pPr>
            <w:r w:rsidRPr="00760469">
              <w:rPr>
                <w:rFonts w:cs="Arial"/>
                <w:color w:val="000000"/>
                <w:kern w:val="24"/>
                <w:sz w:val="22"/>
                <w:szCs w:val="22"/>
                <w:lang w:eastAsia="en-GB"/>
              </w:rPr>
              <w:t>S</w:t>
            </w:r>
            <w:r w:rsidR="06784195" w:rsidRPr="00760469">
              <w:rPr>
                <w:rFonts w:cs="Arial"/>
                <w:color w:val="000000"/>
                <w:kern w:val="24"/>
                <w:sz w:val="22"/>
                <w:szCs w:val="22"/>
                <w:lang w:eastAsia="en-GB"/>
              </w:rPr>
              <w:t xml:space="preserve">imilar indicator </w:t>
            </w:r>
            <w:r w:rsidR="3B4F8F41" w:rsidRPr="00760469">
              <w:rPr>
                <w:rFonts w:cs="Arial"/>
                <w:color w:val="000000"/>
                <w:kern w:val="24"/>
                <w:sz w:val="22"/>
                <w:szCs w:val="22"/>
                <w:lang w:eastAsia="en-GB"/>
              </w:rPr>
              <w:t xml:space="preserve">included </w:t>
            </w:r>
            <w:r w:rsidR="56A0AF11">
              <w:rPr>
                <w:rFonts w:cs="Arial"/>
                <w:color w:val="000000"/>
                <w:kern w:val="24"/>
                <w:sz w:val="22"/>
                <w:szCs w:val="22"/>
                <w:lang w:eastAsia="en-GB"/>
              </w:rPr>
              <w:t>in</w:t>
            </w:r>
            <w:r w:rsidR="06784195" w:rsidRPr="00760469">
              <w:rPr>
                <w:rFonts w:cs="Arial"/>
                <w:color w:val="000000"/>
                <w:kern w:val="24"/>
                <w:sz w:val="22"/>
                <w:szCs w:val="22"/>
                <w:lang w:eastAsia="en-GB"/>
              </w:rPr>
              <w:t xml:space="preserve"> the Public Health Outcomes Framework (PHOF). Methodology should match but risk of </w:t>
            </w:r>
            <w:r w:rsidR="4B22E8FE">
              <w:rPr>
                <w:rFonts w:cs="Arial"/>
                <w:color w:val="000000"/>
                <w:kern w:val="24"/>
                <w:sz w:val="22"/>
                <w:szCs w:val="22"/>
                <w:lang w:eastAsia="en-GB"/>
              </w:rPr>
              <w:t>the</w:t>
            </w:r>
            <w:r w:rsidR="06784195" w:rsidRPr="00760469">
              <w:rPr>
                <w:rFonts w:cs="Arial"/>
                <w:color w:val="000000"/>
                <w:kern w:val="24"/>
                <w:sz w:val="22"/>
                <w:szCs w:val="22"/>
                <w:lang w:eastAsia="en-GB"/>
              </w:rPr>
              <w:t xml:space="preserve"> indicators saying different things</w:t>
            </w:r>
            <w:r w:rsidR="3065BA60" w:rsidRPr="00760469">
              <w:rPr>
                <w:rFonts w:cs="Arial"/>
                <w:color w:val="000000"/>
                <w:kern w:val="24"/>
                <w:sz w:val="22"/>
                <w:szCs w:val="22"/>
                <w:lang w:eastAsia="en-GB"/>
              </w:rPr>
              <w:t>. PHOF reports as 3-year rolling average.</w:t>
            </w:r>
          </w:p>
        </w:tc>
        <w:tc>
          <w:tcPr>
            <w:tcW w:w="3118" w:type="dxa"/>
          </w:tcPr>
          <w:p w14:paraId="29FB2923" w14:textId="4EE07B97" w:rsidR="00A47852" w:rsidRPr="00760469" w:rsidRDefault="00A47852" w:rsidP="00A47852">
            <w:pPr>
              <w:pStyle w:val="Paragraph"/>
              <w:spacing w:before="120" w:after="120" w:line="240" w:lineRule="auto"/>
            </w:pPr>
            <w:r w:rsidRPr="00760469">
              <w:rPr>
                <w:rFonts w:cs="Arial"/>
                <w:color w:val="000000"/>
                <w:kern w:val="24"/>
                <w:sz w:val="22"/>
                <w:szCs w:val="22"/>
              </w:rPr>
              <w:t>The indicator has an acceptable risk of unintended consequences.</w:t>
            </w:r>
          </w:p>
        </w:tc>
      </w:tr>
    </w:tbl>
    <w:p w14:paraId="3EB15959" w14:textId="00D41784" w:rsidR="00BC67CC" w:rsidRDefault="00D06568" w:rsidP="00192685">
      <w:pPr>
        <w:pStyle w:val="Heading1"/>
      </w:pPr>
      <w:bookmarkStart w:id="3" w:name="_Hlk9608630"/>
      <w:r>
        <w:t>NICE indicator advisory committee recommendation</w:t>
      </w:r>
    </w:p>
    <w:p w14:paraId="34BD9056" w14:textId="52F9DDF9" w:rsidR="00BC67CC" w:rsidRPr="00C2796B" w:rsidRDefault="00D06568" w:rsidP="00BC67CC">
      <w:pPr>
        <w:pStyle w:val="Paragraph"/>
      </w:pPr>
      <w:r>
        <w:t xml:space="preserve">The NICE indicator advisory committee approved </w:t>
      </w:r>
      <w:r w:rsidR="00D80EC4">
        <w:t xml:space="preserve">renewal of </w:t>
      </w:r>
      <w:r>
        <w:t>this indicator.</w:t>
      </w:r>
    </w:p>
    <w:bookmarkEnd w:id="3"/>
    <w:p w14:paraId="0C8C2DD3" w14:textId="679ED1D9" w:rsidR="00D73835" w:rsidRDefault="0B7E0384" w:rsidP="45C90652">
      <w:pPr>
        <w:spacing w:before="240" w:after="240" w:line="276" w:lineRule="auto"/>
      </w:pPr>
      <w:r w:rsidRPr="45C90652">
        <w:rPr>
          <w:rFonts w:ascii="Arial" w:eastAsia="Arial" w:hAnsi="Arial" w:cs="Arial"/>
          <w:b/>
          <w:bCs/>
        </w:rPr>
        <w:t xml:space="preserve">NHS Digital Indicator Reference: </w:t>
      </w:r>
    </w:p>
    <w:p w14:paraId="0B20BE55" w14:textId="6B00B09F" w:rsidR="00D73835" w:rsidRDefault="0B7E0384" w:rsidP="45C90652">
      <w:pPr>
        <w:spacing w:before="240" w:after="240" w:line="276" w:lineRule="auto"/>
      </w:pPr>
      <w:r w:rsidRPr="45C90652">
        <w:rPr>
          <w:rFonts w:ascii="Arial" w:eastAsia="Arial" w:hAnsi="Arial" w:cs="Arial"/>
        </w:rPr>
        <w:t>NHS Outcomes Framework - 1.6i Infant mortality</w:t>
      </w:r>
    </w:p>
    <w:p w14:paraId="123085F8" w14:textId="0B4D783F" w:rsidR="00D73835" w:rsidRDefault="00D73835" w:rsidP="45C90652">
      <w:pPr>
        <w:pStyle w:val="Paragraph"/>
      </w:pPr>
    </w:p>
    <w:sectPr w:rsidR="00D73835" w:rsidSect="003E4657">
      <w:headerReference w:type="default" r:id="rId16"/>
      <w:footerReference w:type="default" r:id="rId17"/>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4DAB4FFB" w:rsidR="00BB14CA" w:rsidRPr="008C1C95" w:rsidRDefault="00455FBD" w:rsidP="008C1C95">
    <w:pPr>
      <w:pStyle w:val="Footer"/>
      <w:jc w:val="right"/>
    </w:pPr>
    <w:r>
      <w:t>IAP00026</w:t>
    </w:r>
    <w:r w:rsidR="009B0E59">
      <w:t xml:space="preserve">: Validity assessment </w:t>
    </w:r>
    <w:r>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85357">
    <w:abstractNumId w:val="31"/>
  </w:num>
  <w:num w:numId="2" w16cid:durableId="744913163">
    <w:abstractNumId w:val="11"/>
  </w:num>
  <w:num w:numId="3" w16cid:durableId="941648257">
    <w:abstractNumId w:val="27"/>
  </w:num>
  <w:num w:numId="4" w16cid:durableId="662702050">
    <w:abstractNumId w:val="12"/>
  </w:num>
  <w:num w:numId="5" w16cid:durableId="530147383">
    <w:abstractNumId w:val="24"/>
  </w:num>
  <w:num w:numId="6" w16cid:durableId="1098788663">
    <w:abstractNumId w:val="1"/>
  </w:num>
  <w:num w:numId="7" w16cid:durableId="919872792">
    <w:abstractNumId w:val="10"/>
  </w:num>
  <w:num w:numId="8" w16cid:durableId="524246385">
    <w:abstractNumId w:val="22"/>
  </w:num>
  <w:num w:numId="9" w16cid:durableId="1738242708">
    <w:abstractNumId w:val="23"/>
  </w:num>
  <w:num w:numId="10" w16cid:durableId="1031106424">
    <w:abstractNumId w:val="5"/>
  </w:num>
  <w:num w:numId="11" w16cid:durableId="1744836016">
    <w:abstractNumId w:val="7"/>
  </w:num>
  <w:num w:numId="12" w16cid:durableId="1648171768">
    <w:abstractNumId w:val="2"/>
  </w:num>
  <w:num w:numId="13" w16cid:durableId="813059989">
    <w:abstractNumId w:val="30"/>
  </w:num>
  <w:num w:numId="14" w16cid:durableId="1407800342">
    <w:abstractNumId w:val="14"/>
  </w:num>
  <w:num w:numId="15" w16cid:durableId="2049913767">
    <w:abstractNumId w:val="9"/>
  </w:num>
  <w:num w:numId="16" w16cid:durableId="1992634169">
    <w:abstractNumId w:val="19"/>
  </w:num>
  <w:num w:numId="17" w16cid:durableId="714424751">
    <w:abstractNumId w:val="16"/>
  </w:num>
  <w:num w:numId="18" w16cid:durableId="208763626">
    <w:abstractNumId w:val="21"/>
  </w:num>
  <w:num w:numId="19" w16cid:durableId="716704669">
    <w:abstractNumId w:val="25"/>
  </w:num>
  <w:num w:numId="20" w16cid:durableId="950624591">
    <w:abstractNumId w:val="6"/>
  </w:num>
  <w:num w:numId="21" w16cid:durableId="58286380">
    <w:abstractNumId w:val="28"/>
  </w:num>
  <w:num w:numId="22" w16cid:durableId="1991907409">
    <w:abstractNumId w:val="0"/>
  </w:num>
  <w:num w:numId="23" w16cid:durableId="2058624657">
    <w:abstractNumId w:val="4"/>
  </w:num>
  <w:num w:numId="24" w16cid:durableId="1831018661">
    <w:abstractNumId w:val="26"/>
  </w:num>
  <w:num w:numId="25" w16cid:durableId="1473863775">
    <w:abstractNumId w:val="18"/>
  </w:num>
  <w:num w:numId="26" w16cid:durableId="1715422479">
    <w:abstractNumId w:val="17"/>
  </w:num>
  <w:num w:numId="27" w16cid:durableId="794252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691675">
    <w:abstractNumId w:val="8"/>
  </w:num>
  <w:num w:numId="29" w16cid:durableId="1384869110">
    <w:abstractNumId w:val="5"/>
  </w:num>
  <w:num w:numId="30" w16cid:durableId="255990901">
    <w:abstractNumId w:val="13"/>
  </w:num>
  <w:num w:numId="31" w16cid:durableId="2086493656">
    <w:abstractNumId w:val="5"/>
  </w:num>
  <w:num w:numId="32" w16cid:durableId="1339889259">
    <w:abstractNumId w:val="5"/>
  </w:num>
  <w:num w:numId="33" w16cid:durableId="607782552">
    <w:abstractNumId w:val="5"/>
  </w:num>
  <w:num w:numId="34" w16cid:durableId="148663018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6888846">
    <w:abstractNumId w:val="5"/>
  </w:num>
  <w:num w:numId="36" w16cid:durableId="1931354391">
    <w:abstractNumId w:val="5"/>
  </w:num>
  <w:num w:numId="37" w16cid:durableId="2108769975">
    <w:abstractNumId w:val="5"/>
  </w:num>
  <w:num w:numId="38" w16cid:durableId="1333217969">
    <w:abstractNumId w:val="29"/>
  </w:num>
  <w:num w:numId="39" w16cid:durableId="1821577260">
    <w:abstractNumId w:val="20"/>
  </w:num>
  <w:num w:numId="40" w16cid:durableId="180468882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41B2"/>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2CC8"/>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074"/>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1BE1"/>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5FBD"/>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4784"/>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E6A24"/>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13BF"/>
    <w:rsid w:val="0062228B"/>
    <w:rsid w:val="00624430"/>
    <w:rsid w:val="00625AEE"/>
    <w:rsid w:val="00627687"/>
    <w:rsid w:val="006276D1"/>
    <w:rsid w:val="006279C2"/>
    <w:rsid w:val="00637F2A"/>
    <w:rsid w:val="00642C45"/>
    <w:rsid w:val="0064313B"/>
    <w:rsid w:val="0064319B"/>
    <w:rsid w:val="006434DF"/>
    <w:rsid w:val="00644238"/>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469"/>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5F33"/>
    <w:rsid w:val="00806468"/>
    <w:rsid w:val="00806DBE"/>
    <w:rsid w:val="00807FF1"/>
    <w:rsid w:val="008100D4"/>
    <w:rsid w:val="00810C89"/>
    <w:rsid w:val="008133EC"/>
    <w:rsid w:val="008137AD"/>
    <w:rsid w:val="008138B2"/>
    <w:rsid w:val="00813C4A"/>
    <w:rsid w:val="008150AF"/>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0C47"/>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97E15"/>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57F"/>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06568"/>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0EC4"/>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9B8"/>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0A8C"/>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6784195"/>
    <w:rsid w:val="0B7E0384"/>
    <w:rsid w:val="10BF423C"/>
    <w:rsid w:val="1E90BA49"/>
    <w:rsid w:val="2623BAE0"/>
    <w:rsid w:val="2B029DF5"/>
    <w:rsid w:val="3065BA60"/>
    <w:rsid w:val="3A000154"/>
    <w:rsid w:val="3B4F8F41"/>
    <w:rsid w:val="4370246E"/>
    <w:rsid w:val="45C90652"/>
    <w:rsid w:val="46A7C530"/>
    <w:rsid w:val="473AE912"/>
    <w:rsid w:val="4B22E8FE"/>
    <w:rsid w:val="531A42ED"/>
    <w:rsid w:val="53979AC8"/>
    <w:rsid w:val="56A0AF11"/>
    <w:rsid w:val="5E07C514"/>
    <w:rsid w:val="6048E6F3"/>
    <w:rsid w:val="64BF04C1"/>
    <w:rsid w:val="677ED5AE"/>
    <w:rsid w:val="6D650540"/>
    <w:rsid w:val="78DC69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termplan.nhs.uk/" TargetMode="External"/><Relationship Id="rId13" Type="http://schemas.openxmlformats.org/officeDocument/2006/relationships/hyperlink" Target="https://www.nice.org.uk/guidance/qs32"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igital.nhs.uk/data-and-information/publications/statistical/nhs-outcomes-framework" TargetMode="External"/><Relationship Id="rId12" Type="http://schemas.openxmlformats.org/officeDocument/2006/relationships/hyperlink" Target="https://www.nice.org.uk/guidance/qs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y-lives-healthy-people-our-strategy-for-public-health-in-england" TargetMode="External"/><Relationship Id="rId5" Type="http://schemas.openxmlformats.org/officeDocument/2006/relationships/footnotes" Target="footnotes.xml"/><Relationship Id="rId15" Type="http://schemas.openxmlformats.org/officeDocument/2006/relationships/hyperlink" Target="https://digital.nhs.uk/data-and-information/publications/statistical/nhs-outcomes-framework/march-2022/domain-1---preventing-people-from-dying-prematurely-nof/1.6.i-infant-mortality" TargetMode="External"/><Relationship Id="rId10" Type="http://schemas.openxmlformats.org/officeDocument/2006/relationships/hyperlink" Target="https://digital.nhs.uk/data-and-information/publications/statistical/nhs-outcomes-framework/march-2022/domain-1---preventing-people-from-dying-prematurely-nof/1.6.i-infant-mortal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6.i-infant-mortality" TargetMode="External"/><Relationship Id="rId14" Type="http://schemas.openxmlformats.org/officeDocument/2006/relationships/hyperlink" Target="https://www.nice.org.uk/guidance/qs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4987</Characters>
  <Application>Microsoft Office Word</Application>
  <DocSecurity>0</DocSecurity>
  <Lines>41</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2023-09-14T14:58:00Z</dcterms:created>
  <dcterms:modified xsi:type="dcterms:W3CDTF">2023-09-14T14:58:00Z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2023-09-14T14:58:50Z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4636d86e-d74b-4a3b-8b01-3d49783f7515</vt:lpwstr>
  </property>
  <property fmtid="{D5CDD505-2E9C-101B-9397-08002B2CF9AE}" pid="8" name="MSIP_Label_c69d85d5-6d9e-4305-a294-1f636ec0f2d6_ContentBits">
    <vt:lpwstr>0</vt:lpwstr>
  </property>
</Properties>
</file>