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4D5ADD62" w14:textId="7EEA6231" w:rsidR="002C438E" w:rsidRDefault="002C438E" w:rsidP="002C438E">
      <w:pPr>
        <w:spacing w:before="240" w:after="240" w:line="360" w:lineRule="auto"/>
        <w:rPr>
          <w:rFonts w:ascii="Arial" w:hAnsi="Arial"/>
          <w:lang w:eastAsia="en-GB"/>
        </w:rPr>
      </w:pPr>
      <w:r>
        <w:rPr>
          <w:rFonts w:ascii="Arial" w:hAnsi="Arial"/>
          <w:lang w:eastAsia="en-GB"/>
        </w:rPr>
        <w:t>Assurance date: December 2020</w:t>
      </w:r>
    </w:p>
    <w:p w14:paraId="31EBD703" w14:textId="23A8C993" w:rsidR="002C438E" w:rsidRDefault="002C438E" w:rsidP="002C438E">
      <w:pPr>
        <w:spacing w:before="240" w:after="240" w:line="360" w:lineRule="auto"/>
        <w:rPr>
          <w:rFonts w:ascii="Arial" w:hAnsi="Arial"/>
          <w:lang w:eastAsia="en-GB"/>
        </w:rPr>
      </w:pPr>
      <w:r>
        <w:rPr>
          <w:rFonts w:ascii="Arial" w:hAnsi="Arial"/>
          <w:lang w:eastAsia="en-GB"/>
        </w:rPr>
        <w:t>Review date: December 2023</w:t>
      </w:r>
    </w:p>
    <w:p w14:paraId="047E7BC9" w14:textId="70EAEF21"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1E3443">
        <w:rPr>
          <w:lang w:eastAsia="en-GB"/>
        </w:rPr>
        <w:t>035</w:t>
      </w:r>
      <w:r w:rsidR="00695E4E">
        <w:rPr>
          <w:lang w:eastAsia="en-GB"/>
        </w:rPr>
        <w:t>_1</w:t>
      </w:r>
    </w:p>
    <w:p w14:paraId="385ED702" w14:textId="7C2108DF" w:rsidR="001377B8" w:rsidRDefault="001E3443" w:rsidP="009B0E59">
      <w:pPr>
        <w:pStyle w:val="Heading1"/>
        <w:rPr>
          <w:b w:val="0"/>
          <w:bCs w:val="0"/>
          <w:kern w:val="0"/>
          <w:sz w:val="24"/>
          <w:szCs w:val="24"/>
          <w:lang w:eastAsia="en-GB"/>
        </w:rPr>
      </w:pPr>
      <w:r>
        <w:rPr>
          <w:b w:val="0"/>
          <w:bCs w:val="0"/>
          <w:kern w:val="0"/>
          <w:sz w:val="24"/>
          <w:szCs w:val="24"/>
          <w:lang w:eastAsia="en-GB"/>
        </w:rPr>
        <w:t>Patient experience of primary care</w:t>
      </w:r>
      <w:r w:rsidR="00695E4E">
        <w:rPr>
          <w:b w:val="0"/>
          <w:bCs w:val="0"/>
          <w:kern w:val="0"/>
          <w:sz w:val="24"/>
          <w:szCs w:val="24"/>
          <w:lang w:eastAsia="en-GB"/>
        </w:rPr>
        <w:t>. i) GP services</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609"/>
        <w:gridCol w:w="4482"/>
        <w:gridCol w:w="2926"/>
      </w:tblGrid>
      <w:tr w:rsidR="00455B14" w:rsidRPr="006E1387" w14:paraId="0815D160" w14:textId="1327D684" w:rsidTr="00B90594">
        <w:tc>
          <w:tcPr>
            <w:tcW w:w="1609"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48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2926"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B90594">
        <w:tc>
          <w:tcPr>
            <w:tcW w:w="1609"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482" w:type="dxa"/>
          </w:tcPr>
          <w:p w14:paraId="62C6DAA8" w14:textId="77777777" w:rsidR="000356D0" w:rsidRDefault="000356D0" w:rsidP="000356D0">
            <w:pPr>
              <w:spacing w:before="120" w:after="120"/>
              <w:rPr>
                <w:rFonts w:ascii="Arial" w:hAnsi="Arial" w:cs="Arial"/>
                <w:sz w:val="22"/>
                <w:szCs w:val="22"/>
              </w:rPr>
            </w:pPr>
            <w:r>
              <w:rPr>
                <w:rFonts w:ascii="Arial" w:hAnsi="Arial" w:cs="Arial"/>
                <w:sz w:val="22"/>
                <w:szCs w:val="22"/>
              </w:rPr>
              <w:t>Indicator is part of the NHS outcomes framework domain 4 – Ensuring that people have a positive experience of care.</w:t>
            </w:r>
          </w:p>
          <w:p w14:paraId="76746158" w14:textId="72F735EA" w:rsidR="008A4B6E" w:rsidRDefault="000356D0" w:rsidP="000356D0">
            <w:pPr>
              <w:spacing w:before="120" w:after="120"/>
              <w:rPr>
                <w:rFonts w:ascii="Arial" w:hAnsi="Arial" w:cs="Arial"/>
                <w:sz w:val="22"/>
                <w:szCs w:val="22"/>
              </w:rPr>
            </w:pPr>
            <w:r>
              <w:rPr>
                <w:rFonts w:ascii="Arial" w:hAnsi="Arial" w:cs="Arial"/>
                <w:sz w:val="22"/>
                <w:szCs w:val="22"/>
              </w:rPr>
              <w:t>Nationally values have fallen, from 88.3% in 2011/12 to 83.0% in 2018/19</w:t>
            </w:r>
            <w:r w:rsidR="00B02287">
              <w:rPr>
                <w:rFonts w:ascii="Arial" w:hAnsi="Arial" w:cs="Arial"/>
                <w:sz w:val="22"/>
                <w:szCs w:val="22"/>
              </w:rPr>
              <w:t>. H</w:t>
            </w:r>
            <w:r>
              <w:rPr>
                <w:rFonts w:ascii="Arial" w:hAnsi="Arial" w:cs="Arial"/>
                <w:sz w:val="22"/>
                <w:szCs w:val="22"/>
              </w:rPr>
              <w:t xml:space="preserve">owever there have been several small changes in the source data, </w:t>
            </w:r>
            <w:r w:rsidR="008A4B6E">
              <w:rPr>
                <w:rFonts w:ascii="Arial" w:hAnsi="Arial" w:cs="Arial"/>
                <w:sz w:val="22"/>
                <w:szCs w:val="22"/>
              </w:rPr>
              <w:t xml:space="preserve">in particular a change </w:t>
            </w:r>
            <w:r w:rsidR="00B02287">
              <w:rPr>
                <w:rFonts w:ascii="Arial" w:hAnsi="Arial" w:cs="Arial"/>
                <w:sz w:val="22"/>
                <w:szCs w:val="22"/>
              </w:rPr>
              <w:t xml:space="preserve">meaning that comparison of </w:t>
            </w:r>
            <w:r>
              <w:rPr>
                <w:rFonts w:ascii="Arial" w:hAnsi="Arial" w:cs="Arial"/>
                <w:sz w:val="22"/>
                <w:szCs w:val="22"/>
              </w:rPr>
              <w:t xml:space="preserve">data </w:t>
            </w:r>
            <w:r w:rsidR="00B02287">
              <w:rPr>
                <w:rFonts w:ascii="Arial" w:hAnsi="Arial" w:cs="Arial"/>
                <w:sz w:val="22"/>
                <w:szCs w:val="22"/>
              </w:rPr>
              <w:t xml:space="preserve">before and after </w:t>
            </w:r>
            <w:r w:rsidR="008A4B6E">
              <w:rPr>
                <w:rFonts w:ascii="Arial" w:hAnsi="Arial" w:cs="Arial"/>
                <w:sz w:val="22"/>
                <w:szCs w:val="22"/>
              </w:rPr>
              <w:t>this period</w:t>
            </w:r>
            <w:r>
              <w:rPr>
                <w:rFonts w:ascii="Arial" w:hAnsi="Arial" w:cs="Arial"/>
                <w:sz w:val="22"/>
                <w:szCs w:val="22"/>
              </w:rPr>
              <w:t xml:space="preserve"> </w:t>
            </w:r>
            <w:r w:rsidR="00B02287">
              <w:rPr>
                <w:rFonts w:ascii="Arial" w:hAnsi="Arial" w:cs="Arial"/>
                <w:sz w:val="22"/>
                <w:szCs w:val="22"/>
              </w:rPr>
              <w:t>should be interpreted with care</w:t>
            </w:r>
            <w:r w:rsidR="008A4B6E">
              <w:rPr>
                <w:rFonts w:ascii="Arial" w:hAnsi="Arial" w:cs="Arial"/>
                <w:sz w:val="22"/>
                <w:szCs w:val="22"/>
              </w:rPr>
              <w:t>:</w:t>
            </w:r>
          </w:p>
          <w:p w14:paraId="61E57593" w14:textId="77777777" w:rsidR="00F1682A" w:rsidRDefault="008A4B6E" w:rsidP="000356D0">
            <w:pPr>
              <w:spacing w:before="120" w:after="120"/>
              <w:rPr>
                <w:rFonts w:ascii="Arial" w:hAnsi="Arial" w:cs="Arial"/>
                <w:sz w:val="22"/>
                <w:szCs w:val="22"/>
              </w:rPr>
            </w:pPr>
            <w:r>
              <w:rPr>
                <w:rFonts w:ascii="Arial" w:hAnsi="Arial" w:cs="Arial"/>
                <w:sz w:val="22"/>
                <w:szCs w:val="22"/>
              </w:rPr>
              <w:t>“</w:t>
            </w:r>
            <w:r w:rsidRPr="008A4B6E">
              <w:rPr>
                <w:rFonts w:ascii="Arial" w:hAnsi="Arial" w:cs="Arial"/>
                <w:sz w:val="22"/>
                <w:szCs w:val="22"/>
              </w:rPr>
              <w:t>While the question about experience of GP services itself has not changed testing has shown that respondents answer the question differently based on the changed preceding</w:t>
            </w:r>
            <w:r>
              <w:rPr>
                <w:rFonts w:ascii="Arial" w:hAnsi="Arial" w:cs="Arial"/>
                <w:sz w:val="22"/>
                <w:szCs w:val="22"/>
              </w:rPr>
              <w:t xml:space="preserve"> </w:t>
            </w:r>
            <w:r w:rsidRPr="008A4B6E">
              <w:rPr>
                <w:rFonts w:ascii="Arial" w:hAnsi="Arial" w:cs="Arial"/>
                <w:sz w:val="22"/>
                <w:szCs w:val="22"/>
              </w:rPr>
              <w:t xml:space="preserve">questions. As a </w:t>
            </w:r>
            <w:proofErr w:type="gramStart"/>
            <w:r w:rsidRPr="008A4B6E">
              <w:rPr>
                <w:rFonts w:ascii="Arial" w:hAnsi="Arial" w:cs="Arial"/>
                <w:sz w:val="22"/>
                <w:szCs w:val="22"/>
              </w:rPr>
              <w:t>result</w:t>
            </w:r>
            <w:proofErr w:type="gramEnd"/>
            <w:r w:rsidRPr="008A4B6E">
              <w:rPr>
                <w:rFonts w:ascii="Arial" w:hAnsi="Arial" w:cs="Arial"/>
                <w:sz w:val="22"/>
                <w:szCs w:val="22"/>
              </w:rPr>
              <w:t xml:space="preserve"> the 2017/18 data is not comparable to previous years.</w:t>
            </w:r>
            <w:r>
              <w:rPr>
                <w:rFonts w:ascii="Arial" w:hAnsi="Arial" w:cs="Arial"/>
                <w:sz w:val="22"/>
                <w:szCs w:val="22"/>
              </w:rPr>
              <w:t>”</w:t>
            </w:r>
          </w:p>
          <w:p w14:paraId="073FC9BA" w14:textId="10DC3451" w:rsidR="00645411" w:rsidRDefault="00F1682A" w:rsidP="000356D0">
            <w:pPr>
              <w:spacing w:before="120" w:after="120"/>
              <w:rPr>
                <w:rFonts w:ascii="Arial" w:hAnsi="Arial" w:cs="Arial"/>
                <w:sz w:val="22"/>
                <w:szCs w:val="22"/>
              </w:rPr>
            </w:pPr>
            <w:r>
              <w:rPr>
                <w:rFonts w:ascii="Arial" w:hAnsi="Arial" w:cs="Arial"/>
                <w:sz w:val="22"/>
                <w:szCs w:val="22"/>
              </w:rPr>
              <w:t>Additionally the collection period changed in 2016/17, however the overall sample size was maintained.</w:t>
            </w:r>
          </w:p>
          <w:p w14:paraId="6A0AAFD7" w14:textId="714605E6" w:rsidR="00223AA6" w:rsidRPr="006E1387" w:rsidRDefault="00223AA6">
            <w:pPr>
              <w:spacing w:before="120" w:after="120"/>
              <w:rPr>
                <w:rFonts w:ascii="Arial" w:hAnsi="Arial" w:cs="Arial"/>
                <w:sz w:val="22"/>
                <w:szCs w:val="22"/>
              </w:rPr>
            </w:pPr>
            <w:r>
              <w:rPr>
                <w:rFonts w:ascii="Arial" w:hAnsi="Arial" w:cs="Arial"/>
                <w:sz w:val="22"/>
                <w:szCs w:val="22"/>
              </w:rPr>
              <w:t xml:space="preserve">Variation exists </w:t>
            </w:r>
            <w:r w:rsidR="00B02287">
              <w:rPr>
                <w:rFonts w:ascii="Arial" w:hAnsi="Arial" w:cs="Arial"/>
                <w:sz w:val="22"/>
                <w:szCs w:val="22"/>
              </w:rPr>
              <w:t xml:space="preserve">by </w:t>
            </w:r>
            <w:r>
              <w:rPr>
                <w:rFonts w:ascii="Arial" w:hAnsi="Arial" w:cs="Arial"/>
                <w:sz w:val="22"/>
                <w:szCs w:val="22"/>
              </w:rPr>
              <w:t>age, gender, ethnicity, sexual orientation, deprivation, religion and geography.</w:t>
            </w:r>
          </w:p>
        </w:tc>
        <w:tc>
          <w:tcPr>
            <w:tcW w:w="2926" w:type="dxa"/>
          </w:tcPr>
          <w:p w14:paraId="378D49F7" w14:textId="77777777" w:rsidR="0082043C" w:rsidRDefault="0082043C">
            <w:pPr>
              <w:pStyle w:val="NICEnormal"/>
              <w:spacing w:before="120" w:after="120" w:line="240" w:lineRule="auto"/>
              <w:rPr>
                <w:rFonts w:eastAsiaTheme="minorEastAsia" w:cs="Arial"/>
                <w:color w:val="000000" w:themeColor="dark1"/>
                <w:kern w:val="24"/>
                <w:sz w:val="22"/>
                <w:szCs w:val="22"/>
              </w:rPr>
            </w:pPr>
            <w:r w:rsidRPr="0082043C">
              <w:rPr>
                <w:rFonts w:eastAsiaTheme="minorEastAsia" w:cs="Arial"/>
                <w:color w:val="000000" w:themeColor="dark1"/>
                <w:kern w:val="24"/>
                <w:sz w:val="22"/>
                <w:szCs w:val="22"/>
              </w:rPr>
              <w:t>Indicator is part of the NHS outcomes framework.</w:t>
            </w:r>
          </w:p>
          <w:p w14:paraId="78280FB7" w14:textId="61AE5E2A" w:rsidR="00E05AB5" w:rsidRPr="006E1387" w:rsidRDefault="00223AA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Value decreasing though issues with </w:t>
            </w:r>
            <w:r w:rsidR="00B02287">
              <w:rPr>
                <w:rFonts w:eastAsiaTheme="minorEastAsia" w:cs="Arial"/>
                <w:color w:val="000000" w:themeColor="dark1"/>
                <w:kern w:val="24"/>
                <w:sz w:val="22"/>
                <w:szCs w:val="22"/>
              </w:rPr>
              <w:t>changes in data source</w:t>
            </w:r>
            <w:r>
              <w:rPr>
                <w:rFonts w:eastAsiaTheme="minorEastAsia" w:cs="Arial"/>
                <w:color w:val="000000" w:themeColor="dark1"/>
                <w:kern w:val="24"/>
                <w:sz w:val="22"/>
                <w:szCs w:val="22"/>
              </w:rPr>
              <w:t>. Variation exists across geography</w:t>
            </w:r>
            <w:r w:rsidR="00113C7D">
              <w:rPr>
                <w:rFonts w:eastAsiaTheme="minorEastAsia" w:cs="Arial"/>
                <w:color w:val="000000" w:themeColor="dark1"/>
                <w:kern w:val="24"/>
                <w:sz w:val="22"/>
                <w:szCs w:val="22"/>
              </w:rPr>
              <w:t xml:space="preserve"> and </w:t>
            </w:r>
            <w:r>
              <w:rPr>
                <w:rFonts w:eastAsiaTheme="minorEastAsia" w:cs="Arial"/>
                <w:color w:val="000000" w:themeColor="dark1"/>
                <w:kern w:val="24"/>
                <w:sz w:val="22"/>
                <w:szCs w:val="22"/>
              </w:rPr>
              <w:t>demographic</w:t>
            </w:r>
            <w:r w:rsidR="00113C7D">
              <w:rPr>
                <w:rFonts w:eastAsiaTheme="minorEastAsia" w:cs="Arial"/>
                <w:color w:val="000000" w:themeColor="dark1"/>
                <w:kern w:val="24"/>
                <w:sz w:val="22"/>
                <w:szCs w:val="22"/>
              </w:rPr>
              <w:t xml:space="preserve"> breakdowns. </w:t>
            </w:r>
          </w:p>
        </w:tc>
      </w:tr>
      <w:tr w:rsidR="00455B14" w:rsidRPr="006E1387" w14:paraId="77F6A4A2" w14:textId="33EFD485" w:rsidTr="00B90594">
        <w:tc>
          <w:tcPr>
            <w:tcW w:w="1609"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482" w:type="dxa"/>
          </w:tcPr>
          <w:p w14:paraId="04A42767" w14:textId="43CA7FCC" w:rsidR="001C1870" w:rsidRDefault="00B90594" w:rsidP="00303A11">
            <w:pPr>
              <w:spacing w:before="120" w:after="120"/>
              <w:rPr>
                <w:rFonts w:ascii="Arial" w:hAnsi="Arial" w:cs="Arial"/>
                <w:sz w:val="22"/>
                <w:szCs w:val="22"/>
              </w:rPr>
            </w:pPr>
            <w:r>
              <w:rPr>
                <w:rFonts w:ascii="Arial" w:hAnsi="Arial" w:cs="Arial"/>
                <w:sz w:val="22"/>
                <w:szCs w:val="22"/>
              </w:rPr>
              <w:t>From indicator quality statement</w:t>
            </w:r>
            <w:r>
              <w:rPr>
                <w:rStyle w:val="FootnoteReference"/>
                <w:rFonts w:ascii="Arial" w:hAnsi="Arial" w:cs="Arial"/>
                <w:sz w:val="22"/>
                <w:szCs w:val="22"/>
              </w:rPr>
              <w:footnoteReference w:id="1"/>
            </w:r>
            <w:r>
              <w:rPr>
                <w:rFonts w:ascii="Arial" w:hAnsi="Arial" w:cs="Arial"/>
                <w:sz w:val="22"/>
                <w:szCs w:val="22"/>
              </w:rPr>
              <w:t>:</w:t>
            </w:r>
          </w:p>
          <w:p w14:paraId="642E1ADE" w14:textId="53A730BC" w:rsidR="00B90594" w:rsidRPr="00B90594" w:rsidRDefault="00B90594" w:rsidP="00B90594">
            <w:pPr>
              <w:spacing w:before="120" w:after="120"/>
              <w:rPr>
                <w:rFonts w:ascii="Arial" w:hAnsi="Arial" w:cs="Arial"/>
                <w:sz w:val="22"/>
                <w:szCs w:val="22"/>
              </w:rPr>
            </w:pPr>
            <w:r>
              <w:rPr>
                <w:rFonts w:ascii="Arial" w:hAnsi="Arial" w:cs="Arial"/>
                <w:sz w:val="22"/>
                <w:szCs w:val="22"/>
              </w:rPr>
              <w:t>“</w:t>
            </w:r>
            <w:r w:rsidRPr="00B90594">
              <w:rPr>
                <w:rFonts w:ascii="Arial" w:hAnsi="Arial" w:cs="Arial"/>
                <w:sz w:val="22"/>
                <w:szCs w:val="22"/>
              </w:rPr>
              <w:t>Patients’ experience of the care and service they receive from health care services is</w:t>
            </w:r>
            <w:r>
              <w:rPr>
                <w:rFonts w:ascii="Arial" w:hAnsi="Arial" w:cs="Arial"/>
                <w:sz w:val="22"/>
                <w:szCs w:val="22"/>
              </w:rPr>
              <w:t xml:space="preserve"> </w:t>
            </w:r>
            <w:r w:rsidRPr="00B90594">
              <w:rPr>
                <w:rFonts w:ascii="Arial" w:hAnsi="Arial" w:cs="Arial"/>
                <w:sz w:val="22"/>
                <w:szCs w:val="22"/>
              </w:rPr>
              <w:t xml:space="preserve">recognised internationally as a </w:t>
            </w:r>
            <w:r w:rsidRPr="00B90594">
              <w:rPr>
                <w:rFonts w:ascii="Arial" w:hAnsi="Arial" w:cs="Arial"/>
                <w:sz w:val="22"/>
                <w:szCs w:val="22"/>
              </w:rPr>
              <w:lastRenderedPageBreak/>
              <w:t>key measure of health care quality. This indicator will be used alongside additional information sources to provide local clinicians and managers with intelligence on the quality of local services from the patients’ and service users’ point of view and will ultimately play a role in driving improvements in the quality of service design and delivery.</w:t>
            </w:r>
          </w:p>
          <w:p w14:paraId="57C9A398" w14:textId="7E88F7C0" w:rsidR="00B90594" w:rsidRPr="00B90594" w:rsidRDefault="00B90594" w:rsidP="00B90594">
            <w:pPr>
              <w:spacing w:before="120" w:after="120"/>
              <w:rPr>
                <w:rFonts w:ascii="Arial" w:hAnsi="Arial" w:cs="Arial"/>
                <w:sz w:val="22"/>
                <w:szCs w:val="22"/>
              </w:rPr>
            </w:pPr>
            <w:r w:rsidRPr="00B90594">
              <w:rPr>
                <w:rFonts w:ascii="Arial" w:hAnsi="Arial" w:cs="Arial"/>
                <w:sz w:val="22"/>
                <w:szCs w:val="22"/>
              </w:rPr>
              <w:t>Knowledge of patient experience can highlight poor care and lead to service improvement. The Mid-Staffordshire NHS Foundation Trust Public Inquiry highlights that the quality of patient experience is an important indicator of the underlying performance of a service provider. Whilst this high profile case related mainly to problems with acute inpatient care, GP services are often the first point of contact with the NHS for patients and their impression of this service will shape their experience of the NHS as a whole.</w:t>
            </w:r>
          </w:p>
          <w:p w14:paraId="46FD2163" w14:textId="50F7A2FC" w:rsidR="00B90594" w:rsidRPr="006E1387" w:rsidRDefault="00B90594" w:rsidP="00B90594">
            <w:pPr>
              <w:spacing w:before="120" w:after="120"/>
              <w:rPr>
                <w:rFonts w:ascii="Arial" w:hAnsi="Arial" w:cs="Arial"/>
                <w:sz w:val="22"/>
                <w:szCs w:val="22"/>
              </w:rPr>
            </w:pPr>
            <w:r>
              <w:rPr>
                <w:rFonts w:ascii="Arial" w:hAnsi="Arial" w:cs="Arial"/>
                <w:sz w:val="22"/>
                <w:szCs w:val="22"/>
              </w:rPr>
              <w:t>A King’s Fund study in 2012</w:t>
            </w:r>
            <w:r w:rsidRPr="00B90594">
              <w:rPr>
                <w:rFonts w:ascii="Arial" w:hAnsi="Arial" w:cs="Arial"/>
                <w:sz w:val="22"/>
                <w:szCs w:val="22"/>
              </w:rPr>
              <w:t xml:space="preserve"> concluded that GP practices which deliver a better experience of services for their patients generally also perform better on clinical quality in terms of both process and outcome measures.</w:t>
            </w:r>
            <w:r>
              <w:rPr>
                <w:rFonts w:ascii="Arial" w:hAnsi="Arial" w:cs="Arial"/>
                <w:sz w:val="22"/>
                <w:szCs w:val="22"/>
              </w:rPr>
              <w:t>”</w:t>
            </w:r>
          </w:p>
        </w:tc>
        <w:tc>
          <w:tcPr>
            <w:tcW w:w="2926" w:type="dxa"/>
          </w:tcPr>
          <w:p w14:paraId="4721156D" w14:textId="60634BD7" w:rsidR="002A23A7" w:rsidRDefault="0003595A" w:rsidP="00455B1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This indicator aligns with NICE guidance on patient </w:t>
            </w:r>
            <w:r>
              <w:rPr>
                <w:rFonts w:eastAsiaTheme="minorEastAsia" w:cs="Arial"/>
                <w:color w:val="000000" w:themeColor="dark1"/>
                <w:kern w:val="24"/>
                <w:sz w:val="22"/>
                <w:szCs w:val="22"/>
              </w:rPr>
              <w:lastRenderedPageBreak/>
              <w:t>experience (CG138</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albeit published after implementation of the indicator</w:t>
            </w:r>
          </w:p>
          <w:p w14:paraId="12B8C1AB" w14:textId="6EEACEC1" w:rsidR="00E05AB5" w:rsidRPr="006E1387" w:rsidRDefault="00E05AB5" w:rsidP="00CB68E2">
            <w:pPr>
              <w:pStyle w:val="NICEnormal"/>
              <w:spacing w:before="120" w:after="120" w:line="240" w:lineRule="auto"/>
              <w:rPr>
                <w:rFonts w:eastAsiaTheme="minorEastAsia" w:cs="Arial"/>
                <w:color w:val="000000" w:themeColor="dark1"/>
                <w:kern w:val="24"/>
                <w:sz w:val="22"/>
                <w:szCs w:val="22"/>
              </w:rPr>
            </w:pPr>
          </w:p>
        </w:tc>
      </w:tr>
      <w:tr w:rsidR="00223AA6" w:rsidRPr="006E1387" w14:paraId="3CC8FB8C" w14:textId="54EA7E4F" w:rsidTr="00B90594">
        <w:tc>
          <w:tcPr>
            <w:tcW w:w="1609" w:type="dxa"/>
          </w:tcPr>
          <w:p w14:paraId="4C16DA9B" w14:textId="563A5247"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482" w:type="dxa"/>
          </w:tcPr>
          <w:p w14:paraId="700950B1" w14:textId="083CB2BF"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90594">
              <w:rPr>
                <w:rFonts w:ascii="Arial" w:hAnsi="Arial" w:cs="Arial"/>
                <w:color w:val="000000"/>
                <w:kern w:val="24"/>
                <w:sz w:val="22"/>
                <w:szCs w:val="22"/>
                <w:lang w:eastAsia="en-GB"/>
              </w:rPr>
              <w:t>Weighted number of people reporting a ‘fairly good’ or ‘very good’ experience of their GP practice</w:t>
            </w:r>
          </w:p>
          <w:p w14:paraId="30698353" w14:textId="530BCD38"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B90594">
              <w:rPr>
                <w:rFonts w:ascii="Arial" w:hAnsi="Arial" w:cs="Arial"/>
                <w:color w:val="000000"/>
                <w:kern w:val="24"/>
                <w:sz w:val="22"/>
                <w:szCs w:val="22"/>
                <w:lang w:eastAsia="en-GB"/>
              </w:rPr>
              <w:t>Weighted number of people who answered the below question</w:t>
            </w:r>
          </w:p>
          <w:p w14:paraId="5ADFC5B7" w14:textId="4E92CD8B"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B90594">
              <w:rPr>
                <w:rFonts w:ascii="Arial" w:hAnsi="Arial" w:cs="Arial"/>
                <w:color w:val="000000"/>
                <w:kern w:val="24"/>
                <w:sz w:val="22"/>
                <w:szCs w:val="22"/>
                <w:lang w:eastAsia="en-GB"/>
              </w:rPr>
              <w:t>Only respondents over the age of 18 are reported to maintain consistency with previous years</w:t>
            </w:r>
          </w:p>
          <w:p w14:paraId="55B0F105" w14:textId="0358027D" w:rsidR="00223AA6"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B90594">
              <w:rPr>
                <w:rFonts w:ascii="Arial" w:hAnsi="Arial" w:cs="Arial"/>
                <w:color w:val="000000"/>
                <w:kern w:val="24"/>
                <w:sz w:val="22"/>
                <w:szCs w:val="22"/>
                <w:lang w:eastAsia="en-GB"/>
              </w:rPr>
              <w:t>Weighted percentage of people reporting an overall good experience of their GP practice based on the following question from the GP Survey:</w:t>
            </w:r>
          </w:p>
          <w:p w14:paraId="2A8E53AA" w14:textId="1E23A224" w:rsidR="00B90594" w:rsidRDefault="00B90594" w:rsidP="00223AA6">
            <w:p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Overall, how would you describe your experience of your GP practice?</w:t>
            </w:r>
          </w:p>
          <w:p w14:paraId="111A7D49" w14:textId="77777777"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Very good</w:t>
            </w:r>
          </w:p>
          <w:p w14:paraId="404509A0" w14:textId="698678A3"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Fairly good</w:t>
            </w:r>
          </w:p>
          <w:p w14:paraId="338F0A21" w14:textId="33D5209B"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Neither good nor poor</w:t>
            </w:r>
          </w:p>
          <w:p w14:paraId="11846703" w14:textId="7123F0C3" w:rsidR="00B90594" w:rsidRPr="00B90594"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t>Fairly poor</w:t>
            </w:r>
          </w:p>
          <w:p w14:paraId="0C418F3E" w14:textId="1EA292ED" w:rsidR="00223AA6" w:rsidRDefault="00B90594" w:rsidP="00B90594">
            <w:pPr>
              <w:pStyle w:val="ListParagraph"/>
              <w:numPr>
                <w:ilvl w:val="0"/>
                <w:numId w:val="40"/>
              </w:num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lastRenderedPageBreak/>
              <w:t>Very poor</w:t>
            </w:r>
          </w:p>
          <w:p w14:paraId="4A20FCB0" w14:textId="180378AF" w:rsidR="00223AA6" w:rsidRPr="00234951" w:rsidRDefault="00223AA6" w:rsidP="00223AA6">
            <w:pPr>
              <w:spacing w:before="120" w:after="120"/>
              <w:rPr>
                <w:rFonts w:ascii="Arial" w:hAnsi="Arial" w:cs="Arial"/>
                <w:color w:val="000000"/>
                <w:kern w:val="24"/>
                <w:sz w:val="22"/>
                <w:szCs w:val="22"/>
                <w:lang w:eastAsia="en-GB"/>
              </w:rPr>
            </w:pPr>
            <w:r w:rsidRPr="00234951">
              <w:rPr>
                <w:rFonts w:ascii="Arial" w:hAnsi="Arial" w:cs="Arial"/>
                <w:color w:val="000000"/>
                <w:kern w:val="24"/>
                <w:sz w:val="22"/>
                <w:szCs w:val="22"/>
                <w:lang w:eastAsia="en-GB"/>
              </w:rPr>
              <w:t xml:space="preserve">Geography: England, </w:t>
            </w:r>
            <w:r>
              <w:rPr>
                <w:rFonts w:ascii="Arial" w:hAnsi="Arial" w:cs="Arial"/>
                <w:color w:val="000000"/>
                <w:kern w:val="24"/>
                <w:sz w:val="22"/>
                <w:szCs w:val="22"/>
                <w:lang w:eastAsia="en-GB"/>
              </w:rPr>
              <w:t>Lower and Upper tier local authority, Region</w:t>
            </w:r>
            <w:r w:rsidRPr="00234951">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Further splits by Age, Gender, Ethnicity, Sexual Orientation, Deprivation and Religion.</w:t>
            </w:r>
          </w:p>
          <w:p w14:paraId="6E8ACA7F" w14:textId="7CCEFDD2"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Pr>
                <w:rFonts w:ascii="Arial" w:hAnsi="Arial" w:cs="Arial"/>
                <w:color w:val="000000"/>
                <w:kern w:val="24"/>
                <w:sz w:val="22"/>
                <w:szCs w:val="22"/>
                <w:lang w:eastAsia="en-GB"/>
              </w:rPr>
              <w:t xml:space="preserve"> GP Patient Survey (GPPS) from Ipsos Mori – Official statistics</w:t>
            </w:r>
          </w:p>
          <w:p w14:paraId="134E4565" w14:textId="1427BB91"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Pr="00223AA6">
              <w:rPr>
                <w:rFonts w:ascii="Arial" w:hAnsi="Arial" w:cs="Arial"/>
                <w:color w:val="000000"/>
                <w:kern w:val="24"/>
                <w:sz w:val="22"/>
                <w:szCs w:val="22"/>
                <w:lang w:eastAsia="en-GB"/>
              </w:rPr>
              <w:t>Data is suppressed if less than ten people answer the question in a particular group. This is in line with the rules used when publishing GP Patient Survey results.</w:t>
            </w:r>
          </w:p>
        </w:tc>
        <w:tc>
          <w:tcPr>
            <w:tcW w:w="2926" w:type="dxa"/>
          </w:tcPr>
          <w:p w14:paraId="031B118C" w14:textId="77777777" w:rsidR="00B90594" w:rsidRPr="006E1387" w:rsidRDefault="00B90594" w:rsidP="00B90594">
            <w:pPr>
              <w:pStyle w:val="NormalWeb"/>
              <w:spacing w:before="120" w:beforeAutospacing="0" w:after="120" w:afterAutospacing="0"/>
              <w:rPr>
                <w:rFonts w:ascii="Arial" w:eastAsiaTheme="minorEastAsia" w:hAnsi="Arial" w:cs="Arial"/>
                <w:color w:val="000000" w:themeColor="dark1"/>
                <w:kern w:val="24"/>
                <w:sz w:val="22"/>
                <w:szCs w:val="22"/>
              </w:rPr>
            </w:pPr>
            <w:bookmarkStart w:id="1" w:name="OLE_LINK6"/>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Pr>
                <w:rFonts w:ascii="Arial" w:eastAsiaTheme="minorEastAsia" w:hAnsi="Arial" w:cs="Arial"/>
                <w:color w:val="000000" w:themeColor="dark1"/>
                <w:kern w:val="24"/>
                <w:sz w:val="22"/>
                <w:szCs w:val="22"/>
              </w:rPr>
              <w:t>.</w:t>
            </w:r>
          </w:p>
          <w:bookmarkEnd w:id="1"/>
          <w:p w14:paraId="42FC7796" w14:textId="5A354569" w:rsidR="00223AA6" w:rsidRPr="006E1387" w:rsidRDefault="00223AA6" w:rsidP="00223AA6">
            <w:pPr>
              <w:pStyle w:val="NormalWeb"/>
              <w:spacing w:before="120" w:beforeAutospacing="0" w:after="120" w:afterAutospacing="0"/>
              <w:rPr>
                <w:rFonts w:ascii="Arial" w:hAnsi="Arial" w:cs="Arial"/>
                <w:color w:val="000000"/>
                <w:kern w:val="24"/>
                <w:sz w:val="22"/>
                <w:szCs w:val="22"/>
              </w:rPr>
            </w:pPr>
          </w:p>
        </w:tc>
      </w:tr>
      <w:tr w:rsidR="00223AA6" w:rsidRPr="006E1387" w14:paraId="23FEA25E" w14:textId="6A849BFE" w:rsidTr="00B90594">
        <w:tc>
          <w:tcPr>
            <w:tcW w:w="1609" w:type="dxa"/>
          </w:tcPr>
          <w:p w14:paraId="05670B1F" w14:textId="657854F2"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482" w:type="dxa"/>
          </w:tcPr>
          <w:p w14:paraId="707C6C90" w14:textId="77777777" w:rsidR="00B90594" w:rsidRPr="006E1387" w:rsidRDefault="00B90594" w:rsidP="00B9059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23AA6" w:rsidRPr="006E1387" w:rsidRDefault="00223AA6" w:rsidP="00223AA6">
            <w:pPr>
              <w:spacing w:before="120" w:after="120"/>
              <w:rPr>
                <w:rFonts w:ascii="Arial" w:hAnsi="Arial" w:cs="Arial"/>
                <w:sz w:val="22"/>
                <w:szCs w:val="22"/>
              </w:rPr>
            </w:pPr>
          </w:p>
        </w:tc>
        <w:tc>
          <w:tcPr>
            <w:tcW w:w="2926" w:type="dxa"/>
          </w:tcPr>
          <w:p w14:paraId="7C614BB1" w14:textId="3EA68AF3" w:rsidR="00B90594" w:rsidRPr="006E1387" w:rsidRDefault="00B90594" w:rsidP="00223AA6">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223AA6" w:rsidRPr="006E1387" w14:paraId="211AFDFC" w14:textId="3BA1BF23" w:rsidTr="00B90594">
        <w:tc>
          <w:tcPr>
            <w:tcW w:w="1609" w:type="dxa"/>
          </w:tcPr>
          <w:p w14:paraId="7AA7B574" w14:textId="77777777"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482" w:type="dxa"/>
          </w:tcPr>
          <w:p w14:paraId="6926F18D" w14:textId="67958838" w:rsidR="00B90594" w:rsidRPr="006E1387" w:rsidRDefault="00B90594" w:rsidP="00B90594">
            <w:pPr>
              <w:spacing w:before="120" w:after="120"/>
              <w:rPr>
                <w:rFonts w:ascii="Arial" w:hAnsi="Arial" w:cs="Arial"/>
                <w:sz w:val="22"/>
                <w:szCs w:val="22"/>
              </w:rPr>
            </w:pPr>
            <w:r>
              <w:rPr>
                <w:rFonts w:ascii="Arial" w:hAnsi="Arial" w:cs="Arial"/>
                <w:sz w:val="22"/>
                <w:szCs w:val="22"/>
              </w:rPr>
              <w:t xml:space="preserve">Data shows </w:t>
            </w:r>
            <w:r w:rsidR="008F20CB">
              <w:rPr>
                <w:rFonts w:ascii="Arial" w:hAnsi="Arial" w:cs="Arial"/>
                <w:sz w:val="22"/>
                <w:szCs w:val="22"/>
              </w:rPr>
              <w:t xml:space="preserve">decreasing percentages </w:t>
            </w:r>
            <w:r>
              <w:rPr>
                <w:rFonts w:ascii="Arial" w:hAnsi="Arial" w:cs="Arial"/>
                <w:sz w:val="22"/>
                <w:szCs w:val="22"/>
              </w:rPr>
              <w:t>over the comparable periods and variation exists across breakdowns to allow for targeted intervention.</w:t>
            </w:r>
          </w:p>
          <w:p w14:paraId="2117977B" w14:textId="74DD3F7E" w:rsidR="00223AA6" w:rsidRPr="006E1387" w:rsidRDefault="00223AA6" w:rsidP="00223AA6">
            <w:pPr>
              <w:spacing w:before="120" w:after="120"/>
              <w:rPr>
                <w:rFonts w:cs="Arial"/>
                <w:sz w:val="22"/>
                <w:szCs w:val="22"/>
              </w:rPr>
            </w:pPr>
          </w:p>
        </w:tc>
        <w:tc>
          <w:tcPr>
            <w:tcW w:w="2926" w:type="dxa"/>
          </w:tcPr>
          <w:p w14:paraId="697C3CE8" w14:textId="77777777" w:rsidR="00223AA6"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Pr>
                <w:rFonts w:ascii="Arial" w:eastAsiaTheme="minorEastAsia" w:hAnsi="Arial" w:cs="Arial"/>
                <w:color w:val="000000" w:themeColor="dark1"/>
                <w:kern w:val="24"/>
                <w:sz w:val="22"/>
                <w:szCs w:val="22"/>
              </w:rPr>
              <w:t xml:space="preserve"> </w:t>
            </w:r>
          </w:p>
          <w:p w14:paraId="472E62AD" w14:textId="55EC68C5" w:rsidR="00223AA6" w:rsidRPr="006E1387"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results of the indicator can be used to improve practice.</w:t>
            </w:r>
          </w:p>
        </w:tc>
      </w:tr>
      <w:tr w:rsidR="00223AA6" w:rsidRPr="006E1387" w14:paraId="515852F3" w14:textId="598C7331" w:rsidTr="00B90594">
        <w:tc>
          <w:tcPr>
            <w:tcW w:w="1609" w:type="dxa"/>
          </w:tcPr>
          <w:p w14:paraId="5DC1BD3A" w14:textId="17F33E7B" w:rsidR="00223AA6" w:rsidRPr="006E1387" w:rsidRDefault="00223AA6" w:rsidP="00223AA6">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482" w:type="dxa"/>
          </w:tcPr>
          <w:p w14:paraId="6C854FEE" w14:textId="737448A7" w:rsidR="00223AA6" w:rsidRPr="006E1387" w:rsidRDefault="00B90594" w:rsidP="0056259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The survey questions may change from year to year so there is some risk that the question used to construct this indicator may be removed </w:t>
            </w:r>
            <w:r w:rsidR="00562596">
              <w:rPr>
                <w:rFonts w:ascii="Arial" w:hAnsi="Arial" w:cs="Arial"/>
                <w:color w:val="000000"/>
                <w:kern w:val="24"/>
                <w:sz w:val="22"/>
                <w:szCs w:val="22"/>
                <w:lang w:eastAsia="en-GB"/>
              </w:rPr>
              <w:t xml:space="preserve">or </w:t>
            </w:r>
            <w:r>
              <w:rPr>
                <w:rFonts w:ascii="Arial" w:hAnsi="Arial" w:cs="Arial"/>
                <w:color w:val="000000"/>
                <w:kern w:val="24"/>
                <w:sz w:val="22"/>
                <w:szCs w:val="22"/>
                <w:lang w:eastAsia="en-GB"/>
              </w:rPr>
              <w:t>changed.</w:t>
            </w:r>
          </w:p>
        </w:tc>
        <w:tc>
          <w:tcPr>
            <w:tcW w:w="2926" w:type="dxa"/>
          </w:tcPr>
          <w:p w14:paraId="7C2C11AA" w14:textId="7718B78C" w:rsidR="00223AA6" w:rsidRPr="006E1387" w:rsidRDefault="00B90594" w:rsidP="00223AA6">
            <w:pPr>
              <w:spacing w:before="120" w:after="120"/>
              <w:rPr>
                <w:rFonts w:ascii="Arial" w:hAnsi="Arial" w:cs="Arial"/>
                <w:color w:val="000000"/>
                <w:kern w:val="24"/>
                <w:sz w:val="22"/>
                <w:szCs w:val="22"/>
                <w:lang w:eastAsia="en-GB"/>
              </w:rPr>
            </w:pPr>
            <w:bookmarkStart w:id="2" w:name="OLE_LINK7"/>
            <w:r w:rsidRPr="00B90594">
              <w:rPr>
                <w:rFonts w:ascii="Arial" w:hAnsi="Arial" w:cs="Arial"/>
                <w:color w:val="000000"/>
                <w:kern w:val="24"/>
                <w:sz w:val="22"/>
                <w:szCs w:val="22"/>
                <w:lang w:eastAsia="en-GB"/>
              </w:rPr>
              <w:t>Potential impact of survey question changes on long running trend data.</w:t>
            </w:r>
            <w:bookmarkEnd w:id="2"/>
          </w:p>
        </w:tc>
      </w:tr>
    </w:tbl>
    <w:p w14:paraId="37D9A2F5" w14:textId="084C27AB" w:rsidR="004A517E" w:rsidRDefault="004A517E">
      <w:pPr>
        <w:rPr>
          <w:rFonts w:ascii="Arial" w:hAnsi="Arial"/>
          <w:lang w:val="en-US"/>
        </w:rPr>
      </w:pPr>
    </w:p>
    <w:p w14:paraId="036D9B61" w14:textId="7BA95E56" w:rsidR="00FD39AD" w:rsidRDefault="00FD39AD" w:rsidP="00FD39AD">
      <w:pPr>
        <w:pStyle w:val="Paragraphnonumbers"/>
      </w:pPr>
      <w:r w:rsidRPr="00B12039">
        <w:rPr>
          <w:b/>
        </w:rPr>
        <w:t>Summary:</w:t>
      </w:r>
      <w:r>
        <w:t xml:space="preserve"> </w:t>
      </w:r>
      <w:r w:rsidR="00CE41DA" w:rsidRPr="00CE41DA">
        <w:t>Indicator to be renewed.</w:t>
      </w:r>
    </w:p>
    <w:p w14:paraId="2CBEF4B8" w14:textId="77777777" w:rsidR="00A97DCB" w:rsidRDefault="00A97DCB" w:rsidP="00A97DCB">
      <w:pPr>
        <w:pStyle w:val="Paragraphnonumbers"/>
        <w:rPr>
          <w:b/>
        </w:rPr>
      </w:pPr>
      <w:r>
        <w:rPr>
          <w:b/>
        </w:rPr>
        <w:t xml:space="preserve">NHS Digital Indicator Reference: </w:t>
      </w:r>
    </w:p>
    <w:p w14:paraId="34BEF9AE" w14:textId="793FCFDD" w:rsidR="00A97DCB" w:rsidRDefault="00A97DCB" w:rsidP="00A97DCB">
      <w:pPr>
        <w:pStyle w:val="Paragraphnonumbers"/>
      </w:pPr>
      <w:r>
        <w:t xml:space="preserve">NHS Outcomes Framework - </w:t>
      </w:r>
      <w:r w:rsidRPr="00A97DCB">
        <w:t>4a.i Patient experience of GP services</w:t>
      </w:r>
    </w:p>
    <w:p w14:paraId="123085F8" w14:textId="46FFE008" w:rsidR="00D73835" w:rsidRDefault="00D73835" w:rsidP="00BF6951">
      <w:pPr>
        <w:pStyle w:val="Bullets"/>
        <w:numPr>
          <w:ilvl w:val="0"/>
          <w:numId w:val="0"/>
        </w:numPr>
        <w:spacing w:before="240" w:after="240"/>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9BA1" w14:textId="77777777" w:rsidR="00CD50FD" w:rsidRDefault="00CD50FD" w:rsidP="00CD50FD">
    <w:pPr>
      <w:pStyle w:val="Footer"/>
      <w:jc w:val="center"/>
    </w:pPr>
  </w:p>
  <w:p w14:paraId="7FC5F4BF" w14:textId="356AF4C3" w:rsidR="00CD50FD" w:rsidRDefault="00BF6951" w:rsidP="00CD50FD">
    <w:pPr>
      <w:pStyle w:val="Footer"/>
      <w:jc w:val="center"/>
    </w:pPr>
    <w:r>
      <w:t>IAP00035_1 Patient experience of primary care. i) GP services: Validity assessment December 2020</w:t>
    </w:r>
  </w:p>
  <w:p w14:paraId="4D53C5C6" w14:textId="77777777" w:rsidR="00CD50FD" w:rsidRDefault="009B0E59" w:rsidP="00BF6951">
    <w:pPr>
      <w:pStyle w:val="Footer"/>
      <w:jc w:val="right"/>
    </w:pPr>
    <w:r>
      <w:tab/>
    </w:r>
  </w:p>
  <w:p w14:paraId="0042B07A" w14:textId="49035E6C" w:rsidR="00BB14CA" w:rsidRPr="008C1C95" w:rsidRDefault="009B0E59" w:rsidP="00BF6951">
    <w:pPr>
      <w:pStyle w:val="Footer"/>
      <w:jc w:val="right"/>
    </w:pPr>
    <w:r>
      <w:tab/>
    </w:r>
    <w:r w:rsidR="00BB14CA">
      <w:fldChar w:fldCharType="begin"/>
    </w:r>
    <w:r w:rsidR="00BB14CA">
      <w:instrText xml:space="preserve"> PAGE </w:instrText>
    </w:r>
    <w:r w:rsidR="00BB14CA">
      <w:fldChar w:fldCharType="separate"/>
    </w:r>
    <w:r w:rsidR="00314CEC">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314CEC">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4A959CE2" w14:textId="6D30CFDA" w:rsidR="00B90594" w:rsidRDefault="00B90594" w:rsidP="0003595A">
      <w:pPr>
        <w:pStyle w:val="FootnoteText"/>
      </w:pPr>
      <w:r>
        <w:rPr>
          <w:rStyle w:val="FootnoteReference"/>
        </w:rPr>
        <w:footnoteRef/>
      </w:r>
      <w:r>
        <w:t xml:space="preserve"> </w:t>
      </w:r>
      <w:r w:rsidR="0003595A">
        <w:t>NHS Digital. NHS Outcomes Framework, Indicator Quality Statement, Domain 4. 4a.i Patient experience of primary care - GP services, Indicator reference:</w:t>
      </w:r>
      <w:r w:rsidR="00455CE8">
        <w:t xml:space="preserve"> </w:t>
      </w:r>
      <w:r w:rsidR="0003595A">
        <w:t>I00739. Version 1.7, November 2018</w:t>
      </w:r>
    </w:p>
  </w:footnote>
  <w:footnote w:id="2">
    <w:p w14:paraId="35657C93" w14:textId="4C59A87E" w:rsidR="0003595A" w:rsidRDefault="0003595A" w:rsidP="0003595A">
      <w:pPr>
        <w:pStyle w:val="FootnoteText"/>
      </w:pPr>
      <w:r>
        <w:rPr>
          <w:rStyle w:val="FootnoteReference"/>
        </w:rPr>
        <w:footnoteRef/>
      </w:r>
      <w:r>
        <w:t xml:space="preserve"> </w:t>
      </w:r>
      <w:r w:rsidR="00591843" w:rsidRPr="00591843">
        <w:t>Patient experience in adult NHS services: improving the experience of care for people using adult NHS services</w:t>
      </w:r>
      <w:r w:rsidRPr="007E7E62">
        <w:t xml:space="preserve">. </w:t>
      </w:r>
      <w:r w:rsidR="00591843">
        <w:t xml:space="preserve">Published 24 February 2012, </w:t>
      </w:r>
      <w:hyperlink r:id="rId1" w:history="1">
        <w:r w:rsidR="00591843" w:rsidRPr="002E18BC">
          <w:rPr>
            <w:rStyle w:val="Hyperlink"/>
          </w:rPr>
          <w:t>https://www.nice.org.uk/guidance/cg138</w:t>
        </w:r>
      </w:hyperlink>
      <w:r w:rsidR="00591843">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034"/>
    <w:rsid w:val="00017F45"/>
    <w:rsid w:val="000200AB"/>
    <w:rsid w:val="00020637"/>
    <w:rsid w:val="0002076F"/>
    <w:rsid w:val="0002231A"/>
    <w:rsid w:val="00023CA5"/>
    <w:rsid w:val="00024D0A"/>
    <w:rsid w:val="00025A5C"/>
    <w:rsid w:val="0002655B"/>
    <w:rsid w:val="00027B76"/>
    <w:rsid w:val="000300AE"/>
    <w:rsid w:val="00030385"/>
    <w:rsid w:val="0003213D"/>
    <w:rsid w:val="000356D0"/>
    <w:rsid w:val="0003595A"/>
    <w:rsid w:val="00035D96"/>
    <w:rsid w:val="00036EE4"/>
    <w:rsid w:val="00037552"/>
    <w:rsid w:val="000376EA"/>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21C4"/>
    <w:rsid w:val="00094BC2"/>
    <w:rsid w:val="00094C1B"/>
    <w:rsid w:val="000963D1"/>
    <w:rsid w:val="0009713F"/>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77EF"/>
    <w:rsid w:val="000E0E0D"/>
    <w:rsid w:val="000E24A0"/>
    <w:rsid w:val="000E4899"/>
    <w:rsid w:val="000E7E3C"/>
    <w:rsid w:val="000F3B49"/>
    <w:rsid w:val="000F6502"/>
    <w:rsid w:val="001043B0"/>
    <w:rsid w:val="001066B8"/>
    <w:rsid w:val="00110A94"/>
    <w:rsid w:val="00110AD8"/>
    <w:rsid w:val="00112FAE"/>
    <w:rsid w:val="001131E2"/>
    <w:rsid w:val="001134E7"/>
    <w:rsid w:val="00113C7D"/>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8A5"/>
    <w:rsid w:val="001C0AB8"/>
    <w:rsid w:val="001C1870"/>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43"/>
    <w:rsid w:val="001E586B"/>
    <w:rsid w:val="001E6F20"/>
    <w:rsid w:val="001F1315"/>
    <w:rsid w:val="001F1D2D"/>
    <w:rsid w:val="001F3C47"/>
    <w:rsid w:val="001F6AA3"/>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3AA6"/>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2890"/>
    <w:rsid w:val="002A5503"/>
    <w:rsid w:val="002A6812"/>
    <w:rsid w:val="002A7339"/>
    <w:rsid w:val="002A7A24"/>
    <w:rsid w:val="002B4762"/>
    <w:rsid w:val="002B565A"/>
    <w:rsid w:val="002B71D2"/>
    <w:rsid w:val="002C0DA9"/>
    <w:rsid w:val="002C1A7E"/>
    <w:rsid w:val="002C2893"/>
    <w:rsid w:val="002C292E"/>
    <w:rsid w:val="002C3718"/>
    <w:rsid w:val="002C4126"/>
    <w:rsid w:val="002C438E"/>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A11"/>
    <w:rsid w:val="00304581"/>
    <w:rsid w:val="003052E9"/>
    <w:rsid w:val="00310E3D"/>
    <w:rsid w:val="00311ED0"/>
    <w:rsid w:val="00311FE4"/>
    <w:rsid w:val="003132FA"/>
    <w:rsid w:val="00314933"/>
    <w:rsid w:val="0031497D"/>
    <w:rsid w:val="00314CEC"/>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6E5C"/>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405B"/>
    <w:rsid w:val="00455B14"/>
    <w:rsid w:val="00455CE8"/>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146A"/>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1C80"/>
    <w:rsid w:val="005536FB"/>
    <w:rsid w:val="00555CC8"/>
    <w:rsid w:val="00556B58"/>
    <w:rsid w:val="005577FA"/>
    <w:rsid w:val="00562596"/>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1843"/>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4919"/>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E4E"/>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043C"/>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55E9D"/>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97997"/>
    <w:rsid w:val="008A1DAE"/>
    <w:rsid w:val="008A247E"/>
    <w:rsid w:val="008A2C2A"/>
    <w:rsid w:val="008A35A2"/>
    <w:rsid w:val="008A3D62"/>
    <w:rsid w:val="008A4B6E"/>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0CB"/>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1A35"/>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97DCB"/>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287"/>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594"/>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6951"/>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8E2"/>
    <w:rsid w:val="00CB6E1F"/>
    <w:rsid w:val="00CB7E4D"/>
    <w:rsid w:val="00CC04DE"/>
    <w:rsid w:val="00CC12E7"/>
    <w:rsid w:val="00CC3F84"/>
    <w:rsid w:val="00CC6E2D"/>
    <w:rsid w:val="00CD24A8"/>
    <w:rsid w:val="00CD315A"/>
    <w:rsid w:val="00CD319A"/>
    <w:rsid w:val="00CD50FD"/>
    <w:rsid w:val="00CD5502"/>
    <w:rsid w:val="00CE0526"/>
    <w:rsid w:val="00CE1ED9"/>
    <w:rsid w:val="00CE3665"/>
    <w:rsid w:val="00CE41DA"/>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4F0E"/>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2DE"/>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4B80"/>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DED"/>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82A"/>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CC1"/>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2A0A"/>
    <w:rsid w:val="00FD3934"/>
    <w:rsid w:val="00FD39AD"/>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53779721">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50271245">
      <w:bodyDiv w:val="1"/>
      <w:marLeft w:val="0"/>
      <w:marRight w:val="0"/>
      <w:marTop w:val="0"/>
      <w:marBottom w:val="0"/>
      <w:divBdr>
        <w:top w:val="none" w:sz="0" w:space="0" w:color="auto"/>
        <w:left w:val="none" w:sz="0" w:space="0" w:color="auto"/>
        <w:bottom w:val="none" w:sz="0" w:space="0" w:color="auto"/>
        <w:right w:val="none" w:sz="0" w:space="0" w:color="auto"/>
      </w:divBdr>
    </w:div>
    <w:div w:id="1751467749">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35B7-8F2A-41C1-97A0-3C52106F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2020-12-04T13:46:00Z</dcterms:created>
  <dcterms:modified xsi:type="dcterms:W3CDTF">2021-05-20T06:18:00Z</dcterms:modified>
</cp:coreProperties>
</file>