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0364B99B" w:rsidR="00482C01" w:rsidRDefault="009B0E59" w:rsidP="00363276">
      <w:pPr>
        <w:pStyle w:val="Title"/>
      </w:pPr>
      <w:r>
        <w:t>NICE indicator v</w:t>
      </w:r>
      <w:r w:rsidR="00192B09">
        <w:t>alidity assessment</w:t>
      </w:r>
    </w:p>
    <w:p w14:paraId="30E8E908" w14:textId="77777777" w:rsidR="00847EEC" w:rsidRDefault="00847EEC" w:rsidP="00847EEC">
      <w:pPr>
        <w:pStyle w:val="NICEnormal"/>
      </w:pPr>
      <w:r>
        <w:t>Assurance date: August 2023</w:t>
      </w:r>
    </w:p>
    <w:p w14:paraId="4A311F30" w14:textId="7240A694" w:rsidR="00847EEC" w:rsidRPr="00847EEC" w:rsidRDefault="00847EEC" w:rsidP="00847EEC">
      <w:pPr>
        <w:pStyle w:val="NICEnormal"/>
      </w:pPr>
      <w:r>
        <w:t>Review date: August 2026</w:t>
      </w:r>
    </w:p>
    <w:p w14:paraId="047E7BC9" w14:textId="5D51D7CE" w:rsidR="009B0E59" w:rsidRPr="009B0E59" w:rsidRDefault="3E59160D" w:rsidP="00192685">
      <w:pPr>
        <w:pStyle w:val="Heading1"/>
        <w:rPr>
          <w:lang w:eastAsia="en-GB"/>
        </w:rPr>
      </w:pPr>
      <w:r w:rsidRPr="0D31F662">
        <w:rPr>
          <w:lang w:eastAsia="en-GB"/>
        </w:rPr>
        <w:t xml:space="preserve">Indicator </w:t>
      </w:r>
      <w:r w:rsidR="18C94AD0" w:rsidRPr="0D31F662">
        <w:rPr>
          <w:lang w:eastAsia="en-GB"/>
        </w:rPr>
        <w:t>IAP000</w:t>
      </w:r>
      <w:r w:rsidR="60C1258A" w:rsidRPr="0D31F662">
        <w:rPr>
          <w:lang w:eastAsia="en-GB"/>
        </w:rPr>
        <w:t>37</w:t>
      </w:r>
    </w:p>
    <w:p w14:paraId="035F8373" w14:textId="7CC7A42C" w:rsidR="009B0E59" w:rsidRDefault="60C1258A" w:rsidP="009B0E59">
      <w:pPr>
        <w:pStyle w:val="Paragraph"/>
        <w:rPr>
          <w:lang w:eastAsia="en-GB"/>
        </w:rPr>
      </w:pPr>
      <w:r w:rsidRPr="0D31F662">
        <w:rPr>
          <w:lang w:eastAsia="en-GB"/>
        </w:rPr>
        <w:t>Patient safety incident recording.</w:t>
      </w:r>
    </w:p>
    <w:p w14:paraId="4DA00792" w14:textId="5B5079ED" w:rsidR="5C42C671" w:rsidRDefault="5C42C671" w:rsidP="0D31F662">
      <w:pPr>
        <w:pStyle w:val="Paragraph"/>
        <w:rPr>
          <w:lang w:eastAsia="en-GB"/>
        </w:rPr>
      </w:pPr>
      <w:bookmarkStart w:id="1" w:name="_Hlk141948769"/>
      <w:r w:rsidRPr="0D31F662">
        <w:rPr>
          <w:lang w:eastAsia="en-GB"/>
        </w:rPr>
        <w:t>(See also IAP00140 CCG Outcomes Indicator Set version and IAP00038 NHS Outcomes Framework (severity sub indicator))</w:t>
      </w:r>
    </w:p>
    <w:bookmarkEnd w:id="1"/>
    <w:p w14:paraId="6CBA005E" w14:textId="26775DEF" w:rsidR="00236060" w:rsidRDefault="00236060" w:rsidP="00192685">
      <w:pPr>
        <w:pStyle w:val="Heading1"/>
      </w:pPr>
      <w:r>
        <w:t xml:space="preserve">Indicator type </w:t>
      </w:r>
    </w:p>
    <w:p w14:paraId="6CE4F5FE" w14:textId="3BB69CDD" w:rsidR="00930C47" w:rsidRPr="00236060" w:rsidRDefault="00930C47" w:rsidP="00236060">
      <w:pPr>
        <w:pStyle w:val="Paragraph"/>
      </w:pPr>
      <w:r w:rsidRPr="00930C47">
        <w:t>National Library of Quality Indicators.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2"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17F64C42" w14:textId="3E05068E" w:rsidR="002338EB" w:rsidRPr="00930C47" w:rsidRDefault="00930C47" w:rsidP="002338EB">
            <w:pPr>
              <w:pStyle w:val="Paragraph"/>
              <w:spacing w:before="120" w:after="120" w:line="240" w:lineRule="auto"/>
              <w:rPr>
                <w:rFonts w:cs="Arial"/>
                <w:sz w:val="22"/>
                <w:szCs w:val="22"/>
              </w:rPr>
            </w:pPr>
            <w:r w:rsidRPr="00930C47">
              <w:rPr>
                <w:rFonts w:cs="Arial"/>
                <w:sz w:val="22"/>
                <w:szCs w:val="22"/>
              </w:rPr>
              <w:t xml:space="preserve">Indicator is part of the </w:t>
            </w:r>
            <w:hyperlink r:id="rId7" w:history="1">
              <w:r w:rsidRPr="0054600F">
                <w:rPr>
                  <w:rStyle w:val="Hyperlink"/>
                  <w:rFonts w:cs="Arial"/>
                  <w:sz w:val="22"/>
                  <w:szCs w:val="22"/>
                </w:rPr>
                <w:t>NHS outcomes framework</w:t>
              </w:r>
            </w:hyperlink>
            <w:r w:rsidRPr="00930C47">
              <w:rPr>
                <w:rFonts w:cs="Arial"/>
                <w:sz w:val="22"/>
                <w:szCs w:val="22"/>
              </w:rPr>
              <w:t xml:space="preserve"> domain </w:t>
            </w:r>
            <w:r w:rsidR="00751712">
              <w:rPr>
                <w:rFonts w:cs="Arial"/>
                <w:sz w:val="22"/>
                <w:szCs w:val="22"/>
              </w:rPr>
              <w:t>5</w:t>
            </w:r>
            <w:r w:rsidRPr="00930C47">
              <w:rPr>
                <w:rFonts w:cs="Arial"/>
                <w:sz w:val="22"/>
                <w:szCs w:val="22"/>
              </w:rPr>
              <w:t xml:space="preserve"> – </w:t>
            </w:r>
            <w:r w:rsidR="00751712">
              <w:rPr>
                <w:rFonts w:cs="Arial"/>
                <w:sz w:val="22"/>
                <w:szCs w:val="22"/>
              </w:rPr>
              <w:t>treating and caring for</w:t>
            </w:r>
            <w:r w:rsidRPr="00930C47">
              <w:rPr>
                <w:rFonts w:cs="Arial"/>
                <w:sz w:val="22"/>
                <w:szCs w:val="22"/>
              </w:rPr>
              <w:t xml:space="preserve"> people </w:t>
            </w:r>
            <w:r w:rsidR="00751712">
              <w:rPr>
                <w:rFonts w:cs="Arial"/>
                <w:sz w:val="22"/>
                <w:szCs w:val="22"/>
              </w:rPr>
              <w:t>in a safe environment and protecting them from avoidable harm</w:t>
            </w:r>
            <w:r w:rsidRPr="00930C47">
              <w:rPr>
                <w:rFonts w:cs="Arial"/>
                <w:sz w:val="22"/>
                <w:szCs w:val="22"/>
              </w:rPr>
              <w:t xml:space="preserve"> (indicator </w:t>
            </w:r>
            <w:r w:rsidR="00751712">
              <w:rPr>
                <w:rFonts w:cs="Arial"/>
                <w:sz w:val="22"/>
                <w:szCs w:val="22"/>
              </w:rPr>
              <w:t>5.6</w:t>
            </w:r>
            <w:r w:rsidR="00761B0E">
              <w:rPr>
                <w:rFonts w:cs="Arial"/>
                <w:sz w:val="22"/>
                <w:szCs w:val="22"/>
              </w:rPr>
              <w:t xml:space="preserve">, formally </w:t>
            </w:r>
            <w:r w:rsidR="00751712">
              <w:rPr>
                <w:rFonts w:cs="Arial"/>
                <w:sz w:val="22"/>
                <w:szCs w:val="22"/>
              </w:rPr>
              <w:t>5a, 5b and 5.4</w:t>
            </w:r>
            <w:r w:rsidRPr="00930C47">
              <w:rPr>
                <w:rFonts w:cs="Arial"/>
                <w:sz w:val="22"/>
                <w:szCs w:val="22"/>
              </w:rPr>
              <w:t>).</w:t>
            </w:r>
          </w:p>
          <w:p w14:paraId="49035042" w14:textId="77777777" w:rsidR="00930C47" w:rsidRDefault="00883F27" w:rsidP="002338EB">
            <w:pPr>
              <w:pStyle w:val="Paragraph"/>
              <w:spacing w:before="120" w:after="120" w:line="240" w:lineRule="auto"/>
              <w:rPr>
                <w:sz w:val="22"/>
                <w:szCs w:val="22"/>
              </w:rPr>
            </w:pPr>
            <w:r>
              <w:rPr>
                <w:sz w:val="22"/>
                <w:szCs w:val="22"/>
              </w:rPr>
              <w:t>The aim of the indicator is for reporting to increase as the culture of reporting all incidents spreads more widely across the NHS.</w:t>
            </w:r>
          </w:p>
          <w:p w14:paraId="6F338971" w14:textId="4C48EACB" w:rsidR="00883F27" w:rsidRPr="00930C47" w:rsidRDefault="00883F27" w:rsidP="002338EB">
            <w:pPr>
              <w:pStyle w:val="Paragraph"/>
              <w:spacing w:before="120" w:after="120" w:line="240" w:lineRule="auto"/>
              <w:rPr>
                <w:sz w:val="22"/>
                <w:szCs w:val="22"/>
              </w:rPr>
            </w:pPr>
            <w:r>
              <w:rPr>
                <w:sz w:val="22"/>
                <w:szCs w:val="22"/>
              </w:rPr>
              <w:t>The CQC has a mandatory requirement to report incidents resulting in severe harm or death.</w:t>
            </w:r>
          </w:p>
        </w:tc>
        <w:tc>
          <w:tcPr>
            <w:tcW w:w="3118" w:type="dxa"/>
          </w:tcPr>
          <w:p w14:paraId="062E903B" w14:textId="1E431B31" w:rsidR="002338EB" w:rsidRPr="00930C47" w:rsidRDefault="002338EB" w:rsidP="002338EB">
            <w:pPr>
              <w:spacing w:before="120" w:after="120"/>
              <w:rPr>
                <w:rFonts w:ascii="Arial" w:hAnsi="Arial" w:cs="Arial"/>
                <w:color w:val="000000"/>
                <w:kern w:val="24"/>
                <w:sz w:val="22"/>
                <w:szCs w:val="22"/>
                <w:lang w:val="en-US"/>
              </w:rPr>
            </w:pPr>
            <w:r w:rsidRPr="00930C47">
              <w:rPr>
                <w:rFonts w:ascii="Arial" w:hAnsi="Arial" w:cs="Arial"/>
                <w:color w:val="000000"/>
                <w:kern w:val="24"/>
                <w:sz w:val="22"/>
                <w:szCs w:val="22"/>
                <w:lang w:val="en-US"/>
              </w:rPr>
              <w:t>The indicator reflects a specific priority area identified by NHS England</w:t>
            </w:r>
            <w:r w:rsidR="00883F27">
              <w:rPr>
                <w:rFonts w:ascii="Arial" w:hAnsi="Arial" w:cs="Arial"/>
                <w:color w:val="000000"/>
                <w:kern w:val="24"/>
                <w:sz w:val="22"/>
                <w:szCs w:val="22"/>
                <w:lang w:val="en-US"/>
              </w:rPr>
              <w:t xml:space="preserve"> and the CQC</w:t>
            </w:r>
            <w:r w:rsidRPr="00930C47">
              <w:rPr>
                <w:rFonts w:ascii="Arial" w:hAnsi="Arial" w:cs="Arial"/>
                <w:color w:val="000000"/>
                <w:kern w:val="24"/>
                <w:sz w:val="22"/>
                <w:szCs w:val="22"/>
                <w:lang w:val="en-US"/>
              </w:rPr>
              <w:t>.</w:t>
            </w:r>
          </w:p>
          <w:p w14:paraId="272CA0EC" w14:textId="77777777" w:rsidR="002338EB" w:rsidRPr="00930C47" w:rsidRDefault="002338EB" w:rsidP="002338EB">
            <w:pPr>
              <w:pStyle w:val="Paragraph"/>
              <w:spacing w:before="120" w:after="120" w:line="240" w:lineRule="auto"/>
              <w:rPr>
                <w:sz w:val="22"/>
                <w:szCs w:val="22"/>
              </w:rPr>
            </w:pPr>
          </w:p>
        </w:tc>
      </w:tr>
      <w:tr w:rsidR="00735337" w14:paraId="2E2CE1C4" w14:textId="77777777" w:rsidTr="002338EB">
        <w:tc>
          <w:tcPr>
            <w:tcW w:w="5949" w:type="dxa"/>
          </w:tcPr>
          <w:p w14:paraId="378D38FD" w14:textId="5AA71EB9" w:rsidR="00735337" w:rsidRPr="002338EB" w:rsidRDefault="00883F27" w:rsidP="00735337">
            <w:pPr>
              <w:pStyle w:val="Paragraph"/>
              <w:spacing w:before="120" w:after="120" w:line="240" w:lineRule="auto"/>
              <w:rPr>
                <w:highlight w:val="lightGray"/>
              </w:rPr>
            </w:pPr>
            <w:r w:rsidRPr="00883F27">
              <w:rPr>
                <w:rFonts w:cs="Arial"/>
                <w:sz w:val="22"/>
                <w:szCs w:val="22"/>
              </w:rPr>
              <w:t xml:space="preserve">The most recent national rate is </w:t>
            </w:r>
            <w:r>
              <w:rPr>
                <w:rFonts w:cs="Arial"/>
                <w:sz w:val="22"/>
                <w:szCs w:val="22"/>
              </w:rPr>
              <w:t>1066.3</w:t>
            </w:r>
            <w:r w:rsidRPr="00883F27">
              <w:rPr>
                <w:rFonts w:cs="Arial"/>
                <w:sz w:val="22"/>
                <w:szCs w:val="22"/>
              </w:rPr>
              <w:t xml:space="preserve"> incidents per 100,000 population from Apr - Jun 20</w:t>
            </w:r>
            <w:r>
              <w:rPr>
                <w:rFonts w:cs="Arial"/>
                <w:sz w:val="22"/>
                <w:szCs w:val="22"/>
              </w:rPr>
              <w:t>21</w:t>
            </w:r>
            <w:r w:rsidRPr="00883F27">
              <w:rPr>
                <w:rFonts w:cs="Arial"/>
                <w:sz w:val="22"/>
                <w:szCs w:val="22"/>
              </w:rPr>
              <w:t xml:space="preserve">. </w:t>
            </w:r>
            <w:r>
              <w:rPr>
                <w:rFonts w:cs="Arial"/>
                <w:sz w:val="22"/>
                <w:szCs w:val="22"/>
              </w:rPr>
              <w:t xml:space="preserve">Variation can be seen at provider level. </w:t>
            </w:r>
            <w:r w:rsidR="00FF3BAC">
              <w:rPr>
                <w:rFonts w:cs="Arial"/>
                <w:sz w:val="22"/>
                <w:szCs w:val="22"/>
              </w:rPr>
              <w:t>(</w:t>
            </w:r>
            <w:hyperlink r:id="rId8" w:history="1">
              <w:r w:rsidR="00FF3BAC" w:rsidRPr="00883F27">
                <w:rPr>
                  <w:rStyle w:val="Hyperlink"/>
                  <w:rFonts w:cs="Arial"/>
                  <w:sz w:val="22"/>
                  <w:szCs w:val="22"/>
                </w:rPr>
                <w:t>NHSOF data for indic</w:t>
              </w:r>
              <w:r w:rsidRPr="00883F27">
                <w:rPr>
                  <w:rStyle w:val="Hyperlink"/>
                  <w:rFonts w:cs="Arial"/>
                  <w:sz w:val="22"/>
                  <w:szCs w:val="22"/>
                </w:rPr>
                <w:t>at</w:t>
              </w:r>
              <w:r w:rsidR="00FF3BAC" w:rsidRPr="00883F27">
                <w:rPr>
                  <w:rStyle w:val="Hyperlink"/>
                  <w:rFonts w:cs="Arial"/>
                  <w:sz w:val="22"/>
                  <w:szCs w:val="22"/>
                </w:rPr>
                <w:t xml:space="preserve">or </w:t>
              </w:r>
              <w:r w:rsidRPr="00883F27">
                <w:rPr>
                  <w:rStyle w:val="Hyperlink"/>
                  <w:rFonts w:cs="Arial"/>
                  <w:sz w:val="22"/>
                  <w:szCs w:val="22"/>
                </w:rPr>
                <w:t>5.6</w:t>
              </w:r>
            </w:hyperlink>
            <w:r w:rsidR="00FF3BAC">
              <w:rPr>
                <w:rFonts w:cs="Arial"/>
                <w:sz w:val="22"/>
                <w:szCs w:val="22"/>
              </w:rPr>
              <w:t>, March 2022</w:t>
            </w:r>
            <w:r w:rsidR="0054600F">
              <w:rPr>
                <w:rFonts w:cs="Arial"/>
                <w:sz w:val="22"/>
                <w:szCs w:val="22"/>
              </w:rPr>
              <w:t xml:space="preserve"> release</w:t>
            </w:r>
            <w:r w:rsidR="00FF3BAC">
              <w:rPr>
                <w:rFonts w:cs="Arial"/>
                <w:sz w:val="22"/>
                <w:szCs w:val="22"/>
              </w:rPr>
              <w:t>)</w:t>
            </w:r>
            <w:r w:rsidR="00761B0E" w:rsidRPr="00761B0E">
              <w:rPr>
                <w:rFonts w:cs="Arial"/>
                <w:sz w:val="22"/>
                <w:szCs w:val="22"/>
              </w:rPr>
              <w:t>.</w:t>
            </w:r>
          </w:p>
        </w:tc>
        <w:tc>
          <w:tcPr>
            <w:tcW w:w="3118" w:type="dxa"/>
          </w:tcPr>
          <w:p w14:paraId="3C8B1CA2" w14:textId="77777777" w:rsidR="00735337" w:rsidRPr="00930C47" w:rsidRDefault="00735337" w:rsidP="00735337">
            <w:pPr>
              <w:spacing w:before="120" w:after="120"/>
              <w:rPr>
                <w:rFonts w:ascii="Arial" w:hAnsi="Arial" w:cs="Arial"/>
                <w:color w:val="000000"/>
                <w:kern w:val="24"/>
                <w:sz w:val="22"/>
                <w:szCs w:val="22"/>
                <w:lang w:val="en-US"/>
              </w:rPr>
            </w:pPr>
            <w:r w:rsidRPr="00930C47">
              <w:rPr>
                <w:rFonts w:ascii="Arial" w:hAnsi="Arial" w:cs="Arial"/>
                <w:color w:val="000000"/>
                <w:kern w:val="24"/>
                <w:sz w:val="22"/>
                <w:szCs w:val="22"/>
                <w:lang w:val="en-US"/>
              </w:rPr>
              <w:t>The indicator relates to an area where there is known variation in practice.</w:t>
            </w:r>
          </w:p>
          <w:p w14:paraId="3FD01E72" w14:textId="3FD63C35" w:rsidR="00735337" w:rsidRPr="00930C47" w:rsidRDefault="00735337" w:rsidP="00735337">
            <w:pPr>
              <w:pStyle w:val="Paragraph"/>
              <w:spacing w:before="120" w:after="120" w:line="240" w:lineRule="auto"/>
            </w:pPr>
            <w:r w:rsidRPr="00930C47">
              <w:rPr>
                <w:rFonts w:cs="Arial"/>
                <w:color w:val="000000"/>
                <w:kern w:val="24"/>
                <w:sz w:val="22"/>
                <w:szCs w:val="22"/>
                <w:lang w:val="en-US"/>
              </w:rPr>
              <w:t>The indicator addresses under-treatment.</w:t>
            </w:r>
          </w:p>
        </w:tc>
      </w:tr>
      <w:tr w:rsidR="004E6A24" w14:paraId="373D8AA4" w14:textId="77777777" w:rsidTr="002338EB">
        <w:tc>
          <w:tcPr>
            <w:tcW w:w="5949" w:type="dxa"/>
          </w:tcPr>
          <w:p w14:paraId="782459B2" w14:textId="4558B543" w:rsidR="002D6908" w:rsidRDefault="002D6908" w:rsidP="004E6A24">
            <w:pPr>
              <w:spacing w:before="120" w:after="120"/>
              <w:rPr>
                <w:rFonts w:ascii="Arial" w:hAnsi="Arial" w:cs="Arial"/>
                <w:sz w:val="22"/>
                <w:szCs w:val="22"/>
              </w:rPr>
            </w:pPr>
            <w:r>
              <w:rPr>
                <w:rFonts w:ascii="Arial" w:hAnsi="Arial" w:cs="Arial"/>
                <w:sz w:val="22"/>
                <w:szCs w:val="22"/>
              </w:rPr>
              <w:t xml:space="preserve">From </w:t>
            </w:r>
            <w:hyperlink r:id="rId9" w:history="1">
              <w:r w:rsidRPr="00883F27">
                <w:rPr>
                  <w:rStyle w:val="Hyperlink"/>
                  <w:rFonts w:ascii="Arial" w:hAnsi="Arial" w:cs="Arial"/>
                  <w:sz w:val="22"/>
                  <w:szCs w:val="22"/>
                </w:rPr>
                <w:t>supporting documentation for IAP00</w:t>
              </w:r>
              <w:r w:rsidR="00883F27" w:rsidRPr="00883F27">
                <w:rPr>
                  <w:rStyle w:val="Hyperlink"/>
                  <w:rFonts w:ascii="Arial" w:hAnsi="Arial" w:cs="Arial"/>
                  <w:sz w:val="22"/>
                  <w:szCs w:val="22"/>
                </w:rPr>
                <w:t>0</w:t>
              </w:r>
              <w:r w:rsidRPr="00883F27">
                <w:rPr>
                  <w:rStyle w:val="Hyperlink"/>
                  <w:rFonts w:ascii="Arial" w:hAnsi="Arial" w:cs="Arial"/>
                  <w:sz w:val="22"/>
                  <w:szCs w:val="22"/>
                </w:rPr>
                <w:t>37</w:t>
              </w:r>
            </w:hyperlink>
            <w:r>
              <w:rPr>
                <w:rFonts w:ascii="Arial" w:hAnsi="Arial" w:cs="Arial"/>
                <w:sz w:val="22"/>
                <w:szCs w:val="22"/>
              </w:rPr>
              <w:t xml:space="preserve">: </w:t>
            </w:r>
          </w:p>
          <w:p w14:paraId="40A2EA38" w14:textId="01C8639D" w:rsidR="002D6908" w:rsidRPr="00AB6032" w:rsidRDefault="00883F27" w:rsidP="004E6A24">
            <w:pPr>
              <w:spacing w:before="120" w:after="120"/>
              <w:rPr>
                <w:rFonts w:ascii="Arial" w:hAnsi="Arial" w:cs="Arial"/>
                <w:sz w:val="22"/>
                <w:szCs w:val="22"/>
                <w:highlight w:val="cyan"/>
              </w:rPr>
            </w:pPr>
            <w:r w:rsidRPr="00883F27">
              <w:rPr>
                <w:rFonts w:ascii="Arial" w:hAnsi="Arial" w:cs="Arial"/>
                <w:sz w:val="22"/>
                <w:szCs w:val="22"/>
              </w:rPr>
              <w:t xml:space="preserve">Adverse events in healthcare cannot be completely eliminated. However, the evidence points clearly to the need to learn from events when they occur, and that historically a very incomplete picture of safety has been available from the information collected. Over many years, and with the introduction of the National Reporting and Learning Service, by the National Patient Safety Agency, </w:t>
            </w:r>
            <w:r w:rsidRPr="00883F27">
              <w:rPr>
                <w:rFonts w:ascii="Arial" w:hAnsi="Arial" w:cs="Arial"/>
                <w:sz w:val="22"/>
                <w:szCs w:val="22"/>
              </w:rPr>
              <w:lastRenderedPageBreak/>
              <w:t>that picture is improving. However, more needs to be done, and</w:t>
            </w:r>
            <w:r>
              <w:rPr>
                <w:rFonts w:ascii="Arial" w:hAnsi="Arial" w:cs="Arial"/>
                <w:sz w:val="22"/>
                <w:szCs w:val="22"/>
              </w:rPr>
              <w:t xml:space="preserve"> </w:t>
            </w:r>
            <w:r w:rsidRPr="00883F27">
              <w:rPr>
                <w:rFonts w:ascii="Arial" w:hAnsi="Arial" w:cs="Arial"/>
                <w:sz w:val="22"/>
                <w:szCs w:val="22"/>
              </w:rPr>
              <w:t>maximising the potential to reduce incidents will be supported by continued improvements in reporting</w:t>
            </w:r>
            <w:r>
              <w:rPr>
                <w:rFonts w:ascii="Arial" w:hAnsi="Arial" w:cs="Arial"/>
                <w:sz w:val="22"/>
                <w:szCs w:val="22"/>
              </w:rPr>
              <w:t>.</w:t>
            </w:r>
          </w:p>
        </w:tc>
        <w:tc>
          <w:tcPr>
            <w:tcW w:w="3118" w:type="dxa"/>
          </w:tcPr>
          <w:p w14:paraId="380FC230" w14:textId="77777777" w:rsidR="004E6A24" w:rsidRPr="004E6A24" w:rsidRDefault="004E6A24" w:rsidP="004E6A24">
            <w:pPr>
              <w:spacing w:before="120" w:after="120"/>
              <w:rPr>
                <w:rFonts w:ascii="Arial" w:hAnsi="Arial" w:cs="Arial"/>
                <w:color w:val="000000"/>
                <w:kern w:val="24"/>
                <w:sz w:val="22"/>
                <w:szCs w:val="22"/>
                <w:lang w:val="en-US"/>
              </w:rPr>
            </w:pPr>
            <w:r w:rsidRPr="004E6A24">
              <w:rPr>
                <w:rFonts w:ascii="Arial" w:hAnsi="Arial" w:cs="Arial"/>
                <w:color w:val="000000"/>
                <w:kern w:val="24"/>
                <w:sz w:val="22"/>
                <w:szCs w:val="22"/>
                <w:lang w:val="en-US"/>
              </w:rPr>
              <w:lastRenderedPageBreak/>
              <w:t>The indicator will lead to a meaningful improvement in patient outcomes.</w:t>
            </w:r>
          </w:p>
          <w:p w14:paraId="45004AAC" w14:textId="77777777" w:rsidR="004E6A24" w:rsidRPr="002338EB" w:rsidRDefault="004E6A24" w:rsidP="004E6A24">
            <w:pPr>
              <w:spacing w:before="120" w:after="120"/>
              <w:rPr>
                <w:rFonts w:ascii="Arial" w:hAnsi="Arial" w:cs="Arial"/>
                <w:color w:val="000000"/>
                <w:kern w:val="24"/>
                <w:sz w:val="22"/>
                <w:szCs w:val="22"/>
                <w:highlight w:val="lightGray"/>
                <w:lang w:val="en-US"/>
              </w:rPr>
            </w:pPr>
          </w:p>
        </w:tc>
      </w:tr>
    </w:tbl>
    <w:bookmarkEnd w:id="2"/>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5E8E2849" w14:textId="77777777" w:rsidR="00883F27" w:rsidRDefault="00883F27" w:rsidP="00883F27">
            <w:pPr>
              <w:spacing w:before="120" w:after="120"/>
              <w:rPr>
                <w:rFonts w:ascii="Arial" w:hAnsi="Arial" w:cs="Arial"/>
                <w:sz w:val="22"/>
                <w:szCs w:val="22"/>
              </w:rPr>
            </w:pPr>
            <w:r w:rsidRPr="00883F27">
              <w:rPr>
                <w:rFonts w:ascii="Arial" w:hAnsi="Arial" w:cs="Arial"/>
                <w:sz w:val="22"/>
                <w:szCs w:val="22"/>
              </w:rPr>
              <w:t>This indicator is primarily policy based rather than evidence based. However, frequent and regular reporting can be viewed as an indication of a positive reporting culture. Reviewing and responding to incident reports is seen as a route to improving safety and preventing repeat incidents and harm.</w:t>
            </w:r>
          </w:p>
          <w:p w14:paraId="3DE8AD2A" w14:textId="32F0E501" w:rsidR="00883F27" w:rsidRDefault="00883F27" w:rsidP="00883F27">
            <w:pPr>
              <w:spacing w:before="120" w:after="120"/>
              <w:rPr>
                <w:rFonts w:ascii="Arial" w:hAnsi="Arial" w:cs="Arial"/>
                <w:sz w:val="22"/>
                <w:szCs w:val="22"/>
              </w:rPr>
            </w:pPr>
            <w:r>
              <w:rPr>
                <w:rFonts w:ascii="Arial" w:hAnsi="Arial" w:cs="Arial"/>
                <w:sz w:val="22"/>
                <w:szCs w:val="22"/>
              </w:rPr>
              <w:t xml:space="preserve">From </w:t>
            </w:r>
            <w:hyperlink r:id="rId10" w:history="1">
              <w:r w:rsidRPr="00883F27">
                <w:rPr>
                  <w:rStyle w:val="Hyperlink"/>
                  <w:rFonts w:ascii="Arial" w:hAnsi="Arial" w:cs="Arial"/>
                  <w:sz w:val="22"/>
                  <w:szCs w:val="22"/>
                </w:rPr>
                <w:t>supporting documentation for IAP00037</w:t>
              </w:r>
            </w:hyperlink>
            <w:r>
              <w:rPr>
                <w:rFonts w:ascii="Arial" w:hAnsi="Arial" w:cs="Arial"/>
                <w:sz w:val="22"/>
                <w:szCs w:val="22"/>
              </w:rPr>
              <w:t xml:space="preserve">: </w:t>
            </w:r>
          </w:p>
          <w:p w14:paraId="1359C26D" w14:textId="22480B49" w:rsidR="004813E3" w:rsidRPr="002D6908" w:rsidRDefault="00883F27" w:rsidP="00883F27">
            <w:pPr>
              <w:pStyle w:val="Tabletext"/>
            </w:pPr>
            <w:r w:rsidRPr="00883F27">
              <w:rPr>
                <w:rFonts w:cs="Arial"/>
                <w:szCs w:val="22"/>
              </w:rPr>
              <w:t>Adverse events in healthcare cannot be completely eliminated. However, the evidence points clearly to the need to learn from events when they occur, and that historically a very incomplete picture of safety has been available from the information collected. Over many years, and with the introduction of the National Reporting and Learning Service, by the National Patient Safety Agency, that picture is improving. However, more needs to be done, and</w:t>
            </w:r>
            <w:r>
              <w:rPr>
                <w:rFonts w:cs="Arial"/>
                <w:szCs w:val="22"/>
              </w:rPr>
              <w:t xml:space="preserve"> </w:t>
            </w:r>
            <w:r w:rsidRPr="00883F27">
              <w:rPr>
                <w:rFonts w:cs="Arial"/>
                <w:szCs w:val="22"/>
              </w:rPr>
              <w:t>maximising the potential to reduce incidents will be supported by continued improvements in reporting</w:t>
            </w:r>
            <w:r>
              <w:rPr>
                <w:rFonts w:cs="Arial"/>
                <w:szCs w:val="22"/>
              </w:rPr>
              <w:t>.</w:t>
            </w:r>
          </w:p>
        </w:tc>
        <w:tc>
          <w:tcPr>
            <w:tcW w:w="3118" w:type="dxa"/>
          </w:tcPr>
          <w:p w14:paraId="0D72329A" w14:textId="54F94FB4" w:rsidR="002338EB" w:rsidRPr="000041B2" w:rsidRDefault="002338EB" w:rsidP="002338EB">
            <w:pPr>
              <w:spacing w:before="120" w:after="120"/>
              <w:rPr>
                <w:rFonts w:ascii="Arial" w:hAnsi="Arial" w:cs="Arial"/>
                <w:color w:val="000000"/>
                <w:kern w:val="24"/>
                <w:sz w:val="22"/>
                <w:szCs w:val="22"/>
                <w:lang w:val="en-US"/>
              </w:rPr>
            </w:pPr>
            <w:r w:rsidRPr="000041B2">
              <w:rPr>
                <w:rFonts w:ascii="Arial" w:hAnsi="Arial" w:cs="Arial"/>
                <w:color w:val="000000"/>
                <w:kern w:val="24"/>
                <w:sz w:val="22"/>
                <w:szCs w:val="22"/>
                <w:lang w:val="en-US"/>
              </w:rPr>
              <w:t xml:space="preserve">The indicator is derived from a high-quality evidence base. </w:t>
            </w:r>
          </w:p>
          <w:p w14:paraId="75848804" w14:textId="710C020D" w:rsidR="002338EB" w:rsidRPr="000041B2" w:rsidRDefault="002338EB" w:rsidP="002338EB">
            <w:pPr>
              <w:pStyle w:val="Paragraph"/>
              <w:spacing w:before="120" w:after="120" w:line="240" w:lineRule="auto"/>
            </w:pPr>
            <w:r w:rsidRPr="000041B2">
              <w:rPr>
                <w:rFonts w:cs="Arial"/>
                <w:color w:val="000000"/>
                <w:kern w:val="24"/>
                <w:sz w:val="22"/>
                <w:szCs w:val="22"/>
                <w:lang w:val="en-US"/>
              </w:rPr>
              <w:t>The indicator aligns with the evidence base.</w:t>
            </w: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D31F662">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D31F662">
        <w:tc>
          <w:tcPr>
            <w:tcW w:w="5949" w:type="dxa"/>
          </w:tcPr>
          <w:p w14:paraId="11CC97AE" w14:textId="51D8E0C5" w:rsidR="00BE1F45" w:rsidRPr="000041B2" w:rsidRDefault="002338EB" w:rsidP="0054600F">
            <w:pPr>
              <w:pStyle w:val="Tabletext"/>
              <w:rPr>
                <w:color w:val="000000"/>
              </w:rPr>
            </w:pPr>
            <w:r w:rsidRPr="000041B2">
              <w:rPr>
                <w:color w:val="000000"/>
              </w:rPr>
              <w:t xml:space="preserve">Numerator: </w:t>
            </w:r>
            <w:r w:rsidR="00883F27">
              <w:rPr>
                <w:color w:val="000000"/>
              </w:rPr>
              <w:t xml:space="preserve">Number of patient safety incidents from </w:t>
            </w:r>
            <w:r w:rsidR="0021615C">
              <w:rPr>
                <w:color w:val="000000"/>
              </w:rPr>
              <w:t xml:space="preserve">the </w:t>
            </w:r>
            <w:hyperlink r:id="rId11" w:history="1">
              <w:r w:rsidR="00883F27" w:rsidRPr="0021615C">
                <w:rPr>
                  <w:rStyle w:val="Hyperlink"/>
                  <w:rFonts w:cs="Arial"/>
                  <w:kern w:val="24"/>
                  <w:szCs w:val="22"/>
                </w:rPr>
                <w:t>N</w:t>
              </w:r>
              <w:r w:rsidR="0021615C" w:rsidRPr="0021615C">
                <w:rPr>
                  <w:rStyle w:val="Hyperlink"/>
                  <w:rFonts w:cs="Arial"/>
                  <w:kern w:val="24"/>
                  <w:szCs w:val="22"/>
                </w:rPr>
                <w:t xml:space="preserve">ational </w:t>
              </w:r>
              <w:r w:rsidR="00883F27" w:rsidRPr="0021615C">
                <w:rPr>
                  <w:rStyle w:val="Hyperlink"/>
                  <w:rFonts w:cs="Arial"/>
                  <w:kern w:val="24"/>
                  <w:szCs w:val="22"/>
                </w:rPr>
                <w:t>R</w:t>
              </w:r>
              <w:r w:rsidR="0021615C" w:rsidRPr="0021615C">
                <w:rPr>
                  <w:rStyle w:val="Hyperlink"/>
                  <w:rFonts w:cs="Arial"/>
                  <w:kern w:val="24"/>
                  <w:szCs w:val="22"/>
                </w:rPr>
                <w:t xml:space="preserve">eporting and </w:t>
              </w:r>
              <w:r w:rsidR="00883F27" w:rsidRPr="0021615C">
                <w:rPr>
                  <w:rStyle w:val="Hyperlink"/>
                  <w:rFonts w:cs="Arial"/>
                  <w:kern w:val="24"/>
                  <w:szCs w:val="22"/>
                </w:rPr>
                <w:t>L</w:t>
              </w:r>
              <w:r w:rsidR="0021615C" w:rsidRPr="0021615C">
                <w:rPr>
                  <w:rStyle w:val="Hyperlink"/>
                  <w:rFonts w:cs="Arial"/>
                  <w:kern w:val="24"/>
                  <w:szCs w:val="22"/>
                </w:rPr>
                <w:t xml:space="preserve">earning </w:t>
              </w:r>
              <w:r w:rsidR="00883F27" w:rsidRPr="0021615C">
                <w:rPr>
                  <w:rStyle w:val="Hyperlink"/>
                  <w:rFonts w:cs="Arial"/>
                  <w:kern w:val="24"/>
                  <w:szCs w:val="22"/>
                </w:rPr>
                <w:t>S</w:t>
              </w:r>
              <w:r w:rsidR="0021615C" w:rsidRPr="0021615C">
                <w:rPr>
                  <w:rStyle w:val="Hyperlink"/>
                  <w:rFonts w:cs="Arial"/>
                  <w:kern w:val="24"/>
                  <w:szCs w:val="22"/>
                </w:rPr>
                <w:t>ystem (NRLS)</w:t>
              </w:r>
              <w:r w:rsidR="00FF3BAC" w:rsidRPr="0021615C">
                <w:rPr>
                  <w:rStyle w:val="Hyperlink"/>
                  <w:rFonts w:cs="Arial"/>
                  <w:kern w:val="24"/>
                  <w:szCs w:val="22"/>
                </w:rPr>
                <w:t>.</w:t>
              </w:r>
            </w:hyperlink>
          </w:p>
          <w:p w14:paraId="424261B6" w14:textId="21BA22AA" w:rsidR="002338EB" w:rsidRPr="000041B2" w:rsidRDefault="00BE1F45" w:rsidP="0054600F">
            <w:pPr>
              <w:pStyle w:val="Tabletext"/>
              <w:rPr>
                <w:color w:val="000000"/>
              </w:rPr>
            </w:pPr>
            <w:r w:rsidRPr="000041B2">
              <w:rPr>
                <w:color w:val="000000"/>
              </w:rPr>
              <w:t>Denominator:</w:t>
            </w:r>
            <w:r w:rsidR="000041B2" w:rsidRPr="000041B2">
              <w:rPr>
                <w:color w:val="000000"/>
              </w:rPr>
              <w:t xml:space="preserve"> </w:t>
            </w:r>
            <w:r w:rsidR="00883F27">
              <w:rPr>
                <w:color w:val="000000"/>
              </w:rPr>
              <w:t>Varies based on geography (National – population, Trusts – bed days (admissions prior to 2014))</w:t>
            </w:r>
          </w:p>
          <w:p w14:paraId="5B547B3C" w14:textId="7DA2DF6E" w:rsidR="000041B2" w:rsidRPr="000041B2" w:rsidRDefault="000041B2" w:rsidP="0054600F">
            <w:pPr>
              <w:pStyle w:val="Tabletext"/>
              <w:rPr>
                <w:color w:val="000000"/>
              </w:rPr>
            </w:pPr>
            <w:r w:rsidRPr="000041B2">
              <w:rPr>
                <w:color w:val="000000"/>
              </w:rPr>
              <w:t xml:space="preserve">Calculation: </w:t>
            </w:r>
            <w:r w:rsidR="0021615C">
              <w:rPr>
                <w:color w:val="000000"/>
              </w:rPr>
              <w:t>National – rate per 100,000 population; Trust – rate per 1,000 bed days.</w:t>
            </w:r>
          </w:p>
          <w:p w14:paraId="65AFDE55" w14:textId="6A73CF95" w:rsidR="001A3CA6" w:rsidRPr="000041B2" w:rsidRDefault="001A3CA6" w:rsidP="0054600F">
            <w:pPr>
              <w:pStyle w:val="Tabletext"/>
              <w:rPr>
                <w:color w:val="000000"/>
              </w:rPr>
            </w:pPr>
            <w:r w:rsidRPr="000041B2">
              <w:rPr>
                <w:color w:val="000000"/>
              </w:rPr>
              <w:t xml:space="preserve">Exclusions: </w:t>
            </w:r>
            <w:r w:rsidR="000041B2" w:rsidRPr="000041B2">
              <w:rPr>
                <w:color w:val="000000"/>
              </w:rPr>
              <w:t>None.</w:t>
            </w:r>
          </w:p>
          <w:p w14:paraId="0183839A" w14:textId="74B05BFE" w:rsidR="000041B2" w:rsidRDefault="31F3E4D0" w:rsidP="0054600F">
            <w:pPr>
              <w:pStyle w:val="Tabletext"/>
              <w:rPr>
                <w:color w:val="000000"/>
              </w:rPr>
            </w:pPr>
            <w:r w:rsidRPr="000041B2">
              <w:rPr>
                <w:color w:val="000000"/>
              </w:rPr>
              <w:t>Definitions:</w:t>
            </w:r>
            <w:r w:rsidR="60DD4702" w:rsidRPr="000041B2">
              <w:rPr>
                <w:color w:val="000000"/>
              </w:rPr>
              <w:t xml:space="preserve"> </w:t>
            </w:r>
            <w:r w:rsidR="14D7ED6B" w:rsidRPr="0021615C">
              <w:rPr>
                <w:color w:val="000000"/>
              </w:rPr>
              <w:t>A patient safety incident is defined as ‘any unintended or unexpected incident(s) that could have, or did, lead to harm for one or more person(s) receiving NHS funded healthcare’.</w:t>
            </w:r>
            <w:r w:rsidR="644CB5A5" w:rsidRPr="0021615C">
              <w:rPr>
                <w:color w:val="000000"/>
              </w:rPr>
              <w:t xml:space="preserve"> </w:t>
            </w:r>
            <w:r w:rsidR="0021615C" w:rsidRPr="0021615C">
              <w:rPr>
                <w:color w:val="000000"/>
              </w:rPr>
              <w:cr/>
            </w:r>
            <w:r w:rsidR="60DD4702" w:rsidRPr="000041B2">
              <w:rPr>
                <w:color w:val="000000"/>
              </w:rPr>
              <w:t>Geography: England, region, lower tier local authority</w:t>
            </w:r>
            <w:r w:rsidR="09C0F033">
              <w:rPr>
                <w:color w:val="000000"/>
              </w:rPr>
              <w:t>. Splits by gender, age of mother and deprivation decile.</w:t>
            </w:r>
            <w:r w:rsidR="60DD4702" w:rsidRPr="000041B2">
              <w:rPr>
                <w:color w:val="000000"/>
              </w:rPr>
              <w:t xml:space="preserve"> </w:t>
            </w:r>
          </w:p>
          <w:p w14:paraId="207C844E" w14:textId="633CB446" w:rsidR="000041B2" w:rsidRDefault="000041B2" w:rsidP="0054600F">
            <w:pPr>
              <w:pStyle w:val="Tabletext"/>
              <w:rPr>
                <w:color w:val="000000"/>
              </w:rPr>
            </w:pPr>
            <w:r w:rsidRPr="000041B2">
              <w:rPr>
                <w:color w:val="000000"/>
              </w:rPr>
              <w:t>Data Source:</w:t>
            </w:r>
            <w:r w:rsidR="0021615C">
              <w:rPr>
                <w:color w:val="000000"/>
              </w:rPr>
              <w:t xml:space="preserve"> NRLS and population data from</w:t>
            </w:r>
            <w:r w:rsidRPr="000041B2">
              <w:rPr>
                <w:color w:val="000000"/>
              </w:rPr>
              <w:t xml:space="preserve"> Office for National Statistics (ONS)</w:t>
            </w:r>
            <w:r w:rsidR="0021615C">
              <w:rPr>
                <w:color w:val="000000"/>
              </w:rPr>
              <w:t>.</w:t>
            </w:r>
          </w:p>
          <w:p w14:paraId="1A8C1D16" w14:textId="71429526" w:rsidR="000041B2" w:rsidRPr="000041B2" w:rsidRDefault="000041B2" w:rsidP="0054600F">
            <w:pPr>
              <w:pStyle w:val="Tabletext"/>
              <w:rPr>
                <w:color w:val="000000"/>
              </w:rPr>
            </w:pPr>
            <w:r w:rsidRPr="000041B2">
              <w:rPr>
                <w:color w:val="000000"/>
              </w:rPr>
              <w:t xml:space="preserve">Disclosure control: </w:t>
            </w:r>
            <w:r w:rsidR="00FF3BAC" w:rsidRPr="00FF3BAC">
              <w:rPr>
                <w:color w:val="000000"/>
              </w:rPr>
              <w:t xml:space="preserve">None. </w:t>
            </w:r>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0041B2">
              <w:rPr>
                <w:rFonts w:ascii="Arial" w:hAnsi="Arial" w:cs="Arial"/>
                <w:color w:val="000000"/>
                <w:kern w:val="24"/>
                <w:sz w:val="22"/>
                <w:szCs w:val="22"/>
              </w:rPr>
              <w:t>The indicator has defined components necessary to construct the indicator, including numerator, denominator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tbl>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D31F662">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D31F662">
        <w:tc>
          <w:tcPr>
            <w:tcW w:w="5949" w:type="dxa"/>
          </w:tcPr>
          <w:p w14:paraId="1B7DDD83" w14:textId="77777777" w:rsidR="00735337" w:rsidRDefault="000041B2" w:rsidP="00735337">
            <w:pPr>
              <w:pStyle w:val="Paragraph"/>
              <w:spacing w:before="120" w:after="120" w:line="240" w:lineRule="auto"/>
              <w:rPr>
                <w:rFonts w:cs="Arial"/>
                <w:sz w:val="22"/>
                <w:szCs w:val="22"/>
              </w:rPr>
            </w:pPr>
            <w:r w:rsidRPr="000041B2">
              <w:rPr>
                <w:rFonts w:cs="Arial"/>
                <w:sz w:val="22"/>
                <w:szCs w:val="22"/>
              </w:rPr>
              <w:lastRenderedPageBreak/>
              <w:t>Both numerator and denominator come from reliable sources which will continue.</w:t>
            </w:r>
          </w:p>
          <w:p w14:paraId="3ABE91E5" w14:textId="3E15BB6A" w:rsidR="00BF7923" w:rsidRPr="00BF7923" w:rsidRDefault="003D7482" w:rsidP="00735337">
            <w:pPr>
              <w:pStyle w:val="Paragraph"/>
              <w:spacing w:before="120" w:after="120" w:line="240" w:lineRule="auto"/>
              <w:rPr>
                <w:rFonts w:cs="Arial"/>
                <w:sz w:val="22"/>
                <w:szCs w:val="22"/>
              </w:rPr>
            </w:pPr>
            <w:r w:rsidRPr="0D31F662">
              <w:rPr>
                <w:rFonts w:cs="Arial"/>
                <w:sz w:val="22"/>
                <w:szCs w:val="22"/>
              </w:rPr>
              <w:t>NRLS data has been published since 2003 (all fields since 2008) with quarterly and biannual data available depending on breakdown.</w:t>
            </w:r>
          </w:p>
        </w:tc>
        <w:tc>
          <w:tcPr>
            <w:tcW w:w="3118" w:type="dxa"/>
          </w:tcPr>
          <w:p w14:paraId="7E07F302" w14:textId="5F984164"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The indicator is repeatable.</w:t>
            </w:r>
          </w:p>
          <w:p w14:paraId="3BEFE1B2" w14:textId="77777777" w:rsidR="00735337" w:rsidRPr="000041B2" w:rsidRDefault="00735337" w:rsidP="00735337">
            <w:pPr>
              <w:pStyle w:val="Paragraph"/>
              <w:spacing w:before="120" w:after="120" w:line="240" w:lineRule="auto"/>
            </w:pPr>
          </w:p>
        </w:tc>
      </w:tr>
      <w:tr w:rsidR="00735337" w14:paraId="2FE27CD6" w14:textId="77777777" w:rsidTr="0D31F662">
        <w:tc>
          <w:tcPr>
            <w:tcW w:w="5949" w:type="dxa"/>
          </w:tcPr>
          <w:p w14:paraId="084231E2" w14:textId="7E53EB5E" w:rsidR="00735337" w:rsidRPr="000041B2" w:rsidRDefault="0021615C" w:rsidP="00735337">
            <w:pPr>
              <w:spacing w:before="120" w:after="120"/>
              <w:rPr>
                <w:rFonts w:ascii="Arial" w:hAnsi="Arial" w:cs="Arial"/>
                <w:sz w:val="22"/>
                <w:szCs w:val="22"/>
              </w:rPr>
            </w:pPr>
            <w:r>
              <w:rPr>
                <w:rFonts w:ascii="Arial" w:hAnsi="Arial" w:cs="Arial"/>
                <w:sz w:val="22"/>
                <w:szCs w:val="22"/>
              </w:rPr>
              <w:t>Patient safety incidents are reported to the NRLS. Population d</w:t>
            </w:r>
            <w:r w:rsidR="000041B2" w:rsidRPr="000041B2">
              <w:rPr>
                <w:rFonts w:ascii="Arial" w:hAnsi="Arial" w:cs="Arial"/>
                <w:sz w:val="22"/>
                <w:szCs w:val="22"/>
              </w:rPr>
              <w:t>ata is available from the ONS</w:t>
            </w:r>
            <w:r w:rsidR="00BF7923">
              <w:rPr>
                <w:rFonts w:ascii="Arial" w:hAnsi="Arial" w:cs="Arial"/>
                <w:sz w:val="22"/>
                <w:szCs w:val="22"/>
              </w:rPr>
              <w:t>.</w:t>
            </w:r>
          </w:p>
          <w:p w14:paraId="7BCE2EC9" w14:textId="77777777" w:rsidR="000041B2" w:rsidRPr="000041B2" w:rsidRDefault="000041B2" w:rsidP="00735337">
            <w:pPr>
              <w:spacing w:before="120" w:after="120"/>
              <w:rPr>
                <w:rFonts w:ascii="Arial" w:hAnsi="Arial" w:cs="Arial"/>
                <w:sz w:val="22"/>
                <w:szCs w:val="22"/>
              </w:rPr>
            </w:pPr>
          </w:p>
          <w:p w14:paraId="6B3D2BF0" w14:textId="6F0BA9C8" w:rsidR="00735337" w:rsidRPr="000041B2" w:rsidRDefault="00735337" w:rsidP="000041B2">
            <w:pPr>
              <w:spacing w:before="120" w:after="120"/>
              <w:contextualSpacing/>
              <w:rPr>
                <w:rFonts w:ascii="Arial" w:hAnsi="Arial" w:cs="Arial"/>
                <w:sz w:val="22"/>
                <w:szCs w:val="22"/>
              </w:rPr>
            </w:pPr>
          </w:p>
        </w:tc>
        <w:tc>
          <w:tcPr>
            <w:tcW w:w="3118" w:type="dxa"/>
          </w:tcPr>
          <w:p w14:paraId="501A7677" w14:textId="77777777"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 xml:space="preserve">The indicator is measuring what it is designed to measure. </w:t>
            </w:r>
          </w:p>
          <w:p w14:paraId="24CB8CBA" w14:textId="284E71C7" w:rsidR="00735337" w:rsidRPr="000041B2" w:rsidRDefault="00735337" w:rsidP="00735337">
            <w:pPr>
              <w:spacing w:before="120" w:after="120"/>
              <w:rPr>
                <w:rFonts w:ascii="Arial" w:hAnsi="Arial" w:cs="Arial"/>
                <w:color w:val="000000"/>
                <w:kern w:val="24"/>
                <w:sz w:val="22"/>
                <w:szCs w:val="22"/>
              </w:rPr>
            </w:pPr>
            <w:r w:rsidRPr="000041B2">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42C624FD" w14:textId="77777777" w:rsidR="00735337" w:rsidRDefault="000A43DA" w:rsidP="00E14863">
            <w:pPr>
              <w:pStyle w:val="Tabletext"/>
            </w:pPr>
            <w:r>
              <w:t>Reporting is variable with some evidence that higher reporters overall have a better safety culture and other measures of safety. It is not an absolute or reliable measure of actual incidents, but has value in contributing to overall support for patient safety.</w:t>
            </w:r>
          </w:p>
          <w:p w14:paraId="0D4509B3" w14:textId="77777777" w:rsidR="00BF7923" w:rsidRDefault="00BF7923" w:rsidP="00E14863">
            <w:pPr>
              <w:pStyle w:val="Tabletext"/>
            </w:pPr>
            <w:r>
              <w:t>From April 2016 a denominator and reporting rate has not been included in NHSOF reports for community trusts as reporting per 1,000 bed days is no longer appropriate.</w:t>
            </w:r>
          </w:p>
          <w:p w14:paraId="009E37A6" w14:textId="2C91CBBB" w:rsidR="00BF7923" w:rsidRPr="0035241E" w:rsidRDefault="00BF7923" w:rsidP="00E14863">
            <w:pPr>
              <w:pStyle w:val="Tabletext"/>
            </w:pPr>
            <w:r>
              <w:rPr>
                <w:rFonts w:cs="Arial"/>
                <w:color w:val="000000"/>
                <w:kern w:val="24"/>
                <w:szCs w:val="22"/>
                <w:lang w:eastAsia="en-GB"/>
              </w:rPr>
              <w:t>The NHSOF report by the most recent name for a provider. Merged providers retain their original name.</w:t>
            </w:r>
          </w:p>
        </w:tc>
        <w:tc>
          <w:tcPr>
            <w:tcW w:w="3118" w:type="dxa"/>
          </w:tcPr>
          <w:p w14:paraId="50C98A36" w14:textId="0D64239E" w:rsidR="00735337" w:rsidRPr="004E6A24" w:rsidRDefault="00735337" w:rsidP="00735337">
            <w:pPr>
              <w:pStyle w:val="Paragraph"/>
              <w:spacing w:before="120" w:after="120" w:line="240" w:lineRule="auto"/>
            </w:pPr>
            <w:r w:rsidRPr="004E6A24">
              <w:rPr>
                <w:rFonts w:cs="Arial"/>
                <w:color w:val="000000"/>
                <w:kern w:val="24"/>
                <w:sz w:val="22"/>
                <w:szCs w:val="22"/>
              </w:rPr>
              <w:t>The indicator assesses performance that is attributable to or within the control of the audience</w:t>
            </w:r>
            <w:r w:rsidR="000041B2">
              <w:rPr>
                <w:rFonts w:cs="Arial"/>
                <w:color w:val="000000"/>
                <w:kern w:val="24"/>
                <w:sz w:val="22"/>
                <w:szCs w:val="22"/>
              </w:rPr>
              <w:t>.</w:t>
            </w:r>
          </w:p>
        </w:tc>
      </w:tr>
      <w:tr w:rsidR="00735337" w14:paraId="7E164FBD" w14:textId="77777777" w:rsidTr="001C517D">
        <w:tc>
          <w:tcPr>
            <w:tcW w:w="5949" w:type="dxa"/>
          </w:tcPr>
          <w:p w14:paraId="3AF0200A" w14:textId="048D5404" w:rsidR="00735337" w:rsidRPr="00A47852" w:rsidRDefault="000A43DA" w:rsidP="00735337">
            <w:pPr>
              <w:pStyle w:val="Paragraph"/>
              <w:spacing w:before="120" w:after="120" w:line="240" w:lineRule="auto"/>
              <w:rPr>
                <w:highlight w:val="lightGray"/>
              </w:rPr>
            </w:pPr>
            <w:r w:rsidRPr="000A43DA">
              <w:rPr>
                <w:sz w:val="22"/>
                <w:szCs w:val="22"/>
              </w:rPr>
              <w:t>The national indicator rate continues to increase over time, though whether this is an improvement in reporting or an increase in incidents needs investigation.</w:t>
            </w:r>
          </w:p>
        </w:tc>
        <w:tc>
          <w:tcPr>
            <w:tcW w:w="3118" w:type="dxa"/>
          </w:tcPr>
          <w:p w14:paraId="2909F55A" w14:textId="79A6C1C2" w:rsidR="00735337" w:rsidRPr="00A47852" w:rsidRDefault="00735337" w:rsidP="00735337">
            <w:pPr>
              <w:pStyle w:val="Paragraph"/>
              <w:spacing w:before="120" w:after="120" w:line="240" w:lineRule="auto"/>
              <w:rPr>
                <w:highlight w:val="lightGray"/>
              </w:rPr>
            </w:pPr>
            <w:r w:rsidRPr="000041B2">
              <w:rPr>
                <w:rFonts w:cs="Arial"/>
                <w:color w:val="000000"/>
                <w:kern w:val="24"/>
                <w:sz w:val="22"/>
                <w:szCs w:val="22"/>
              </w:rPr>
              <w:t>The results of the indicator can be used to improve practice</w:t>
            </w:r>
            <w:r w:rsidR="000041B2">
              <w:rPr>
                <w:rFonts w:cs="Arial"/>
                <w:color w:val="000000"/>
                <w:kern w:val="24"/>
                <w:sz w:val="22"/>
                <w:szCs w:val="22"/>
              </w:rPr>
              <w:t>.</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7EC174F7" w14:textId="6636CB7A" w:rsidR="004D0466" w:rsidRDefault="004D0466" w:rsidP="00BF7923">
            <w:pPr>
              <w:pStyle w:val="Paragraph"/>
              <w:spacing w:before="120" w:after="120" w:line="240" w:lineRule="auto"/>
              <w:rPr>
                <w:sz w:val="22"/>
                <w:szCs w:val="22"/>
              </w:rPr>
            </w:pPr>
            <w:r>
              <w:rPr>
                <w:sz w:val="22"/>
                <w:szCs w:val="22"/>
              </w:rPr>
              <w:t xml:space="preserve">From </w:t>
            </w:r>
            <w:hyperlink r:id="rId12" w:history="1">
              <w:r w:rsidRPr="004D0466">
                <w:rPr>
                  <w:rStyle w:val="Hyperlink"/>
                  <w:sz w:val="22"/>
                  <w:szCs w:val="22"/>
                </w:rPr>
                <w:t>NHSOF quality statement</w:t>
              </w:r>
            </w:hyperlink>
            <w:r>
              <w:rPr>
                <w:sz w:val="22"/>
                <w:szCs w:val="22"/>
              </w:rPr>
              <w:t xml:space="preserve"> (Feb 2019) and </w:t>
            </w:r>
            <w:hyperlink r:id="rId13" w:history="1">
              <w:r w:rsidRPr="004D0466">
                <w:rPr>
                  <w:rStyle w:val="Hyperlink"/>
                  <w:sz w:val="22"/>
                  <w:szCs w:val="22"/>
                </w:rPr>
                <w:t>NHSOF data</w:t>
              </w:r>
            </w:hyperlink>
            <w:r>
              <w:rPr>
                <w:sz w:val="22"/>
                <w:szCs w:val="22"/>
              </w:rPr>
              <w:t xml:space="preserve"> (release March 2022):</w:t>
            </w:r>
          </w:p>
          <w:p w14:paraId="39C88B7E" w14:textId="41F212A1" w:rsidR="000A43DA" w:rsidRDefault="00BF7923" w:rsidP="00BF7923">
            <w:pPr>
              <w:pStyle w:val="Paragraph"/>
              <w:spacing w:before="120" w:after="120" w:line="240" w:lineRule="auto"/>
              <w:rPr>
                <w:sz w:val="22"/>
                <w:szCs w:val="22"/>
              </w:rPr>
            </w:pPr>
            <w:r w:rsidRPr="00BF7923">
              <w:rPr>
                <w:sz w:val="22"/>
                <w:szCs w:val="22"/>
              </w:rPr>
              <w:t>Reporting culture varies between organisation types</w:t>
            </w:r>
            <w:r>
              <w:rPr>
                <w:sz w:val="22"/>
                <w:szCs w:val="22"/>
              </w:rPr>
              <w:t>.</w:t>
            </w:r>
            <w:r>
              <w:rPr>
                <w:rFonts w:cs="Arial"/>
                <w:color w:val="000000"/>
                <w:kern w:val="24"/>
                <w:sz w:val="22"/>
                <w:szCs w:val="22"/>
                <w:lang w:eastAsia="en-GB"/>
              </w:rPr>
              <w:t xml:space="preserve"> </w:t>
            </w:r>
            <w:r w:rsidR="000A43DA">
              <w:rPr>
                <w:rFonts w:cs="Arial"/>
                <w:color w:val="000000"/>
                <w:kern w:val="24"/>
                <w:sz w:val="22"/>
                <w:szCs w:val="22"/>
                <w:lang w:eastAsia="en-GB"/>
              </w:rPr>
              <w:t xml:space="preserve">The data from NHSOF shows a quarterly fluctuation due to the twice- yearly deadlines for submitting reports. This is </w:t>
            </w:r>
            <w:r w:rsidR="000A43DA" w:rsidRPr="00BF7923">
              <w:rPr>
                <w:rFonts w:cs="Arial"/>
                <w:color w:val="000000"/>
                <w:kern w:val="24"/>
                <w:sz w:val="22"/>
                <w:szCs w:val="22"/>
                <w:lang w:eastAsia="en-GB"/>
              </w:rPr>
              <w:t xml:space="preserve">not </w:t>
            </w:r>
            <w:r w:rsidRPr="00BF7923">
              <w:rPr>
                <w:rFonts w:cs="Arial"/>
                <w:color w:val="000000"/>
                <w:kern w:val="24"/>
                <w:sz w:val="22"/>
                <w:szCs w:val="22"/>
                <w:lang w:eastAsia="en-GB"/>
              </w:rPr>
              <w:t>d</w:t>
            </w:r>
            <w:r w:rsidR="000A43DA" w:rsidRPr="00BF7923">
              <w:rPr>
                <w:rFonts w:cs="Arial"/>
                <w:color w:val="000000"/>
                <w:kern w:val="24"/>
                <w:sz w:val="22"/>
                <w:szCs w:val="22"/>
                <w:lang w:eastAsia="en-GB"/>
              </w:rPr>
              <w:t>ue to seasonal variation in incidents</w:t>
            </w:r>
            <w:r>
              <w:rPr>
                <w:rFonts w:cs="Arial"/>
                <w:color w:val="000000"/>
                <w:kern w:val="24"/>
                <w:sz w:val="22"/>
                <w:szCs w:val="22"/>
                <w:lang w:eastAsia="en-GB"/>
              </w:rPr>
              <w:t>.</w:t>
            </w:r>
            <w:r w:rsidRPr="00BF7923">
              <w:rPr>
                <w:sz w:val="22"/>
                <w:szCs w:val="22"/>
              </w:rPr>
              <w:t xml:space="preserve"> NHS Improvement guidance is that organisations should be reporting incidents on a regular basis and at least once a month.</w:t>
            </w:r>
          </w:p>
          <w:p w14:paraId="2BBB872E" w14:textId="05CB1B71" w:rsidR="004D0466" w:rsidRDefault="004D0466" w:rsidP="00BF7923">
            <w:pPr>
              <w:pStyle w:val="Paragraph"/>
              <w:spacing w:before="120" w:after="120" w:line="240" w:lineRule="auto"/>
              <w:rPr>
                <w:rFonts w:cs="Arial"/>
                <w:color w:val="000000"/>
                <w:kern w:val="24"/>
                <w:sz w:val="22"/>
                <w:szCs w:val="22"/>
                <w:lang w:eastAsia="en-GB"/>
              </w:rPr>
            </w:pPr>
            <w:r w:rsidRPr="004D0466">
              <w:rPr>
                <w:rFonts w:cs="Arial"/>
                <w:color w:val="000000"/>
                <w:kern w:val="24"/>
                <w:sz w:val="22"/>
                <w:szCs w:val="22"/>
                <w:lang w:eastAsia="en-GB"/>
              </w:rPr>
              <w:t xml:space="preserve">Incidents not resulting in death or severe harm are reported to the NRLS voluntarily and for the purposes of learning. The number reported by each organisation therefore reflects reporting culture, and is not necessarily the actual number of incidents occurring. A ‘low’ reporting rate for an organisation should not necessarily be interpreted as a ‘safe’ environment; it may represent under-reporting. Conversely a ‘high’ reporting rate should </w:t>
            </w:r>
            <w:r w:rsidRPr="004D0466">
              <w:rPr>
                <w:rFonts w:cs="Arial"/>
                <w:color w:val="000000"/>
                <w:kern w:val="24"/>
                <w:sz w:val="22"/>
                <w:szCs w:val="22"/>
                <w:lang w:eastAsia="en-GB"/>
              </w:rPr>
              <w:lastRenderedPageBreak/>
              <w:t>not be interpreted as ‘unsafe’; it may represent a more open culture. Comparability using this indicator is difficult due to the balance between reporting and incidents</w:t>
            </w:r>
            <w:r w:rsidR="0054600F">
              <w:rPr>
                <w:rFonts w:cs="Arial"/>
                <w:color w:val="000000"/>
                <w:kern w:val="24"/>
                <w:sz w:val="22"/>
                <w:szCs w:val="22"/>
                <w:lang w:eastAsia="en-GB"/>
              </w:rPr>
              <w:t>.</w:t>
            </w:r>
          </w:p>
          <w:p w14:paraId="5BE87007" w14:textId="7F1E9C4C" w:rsidR="0054600F" w:rsidRDefault="0054600F" w:rsidP="00BF7923">
            <w:pPr>
              <w:pStyle w:val="Paragraph"/>
              <w:spacing w:before="120" w:after="120" w:line="240" w:lineRule="auto"/>
              <w:rPr>
                <w:rFonts w:cs="Arial"/>
                <w:color w:val="000000"/>
                <w:kern w:val="24"/>
                <w:sz w:val="22"/>
                <w:szCs w:val="22"/>
                <w:lang w:eastAsia="en-GB"/>
              </w:rPr>
            </w:pPr>
            <w:r>
              <w:rPr>
                <w:rFonts w:cs="Arial"/>
                <w:sz w:val="22"/>
                <w:szCs w:val="22"/>
              </w:rPr>
              <w:t>Data from 2020 may be affected by the COVID-19 pandemic and should be interpreted with care.</w:t>
            </w:r>
          </w:p>
          <w:p w14:paraId="5D0DDE27" w14:textId="0D35446A" w:rsidR="0054600F" w:rsidRPr="00BF7923" w:rsidRDefault="0054600F" w:rsidP="00BF7923">
            <w:pPr>
              <w:pStyle w:val="Paragraph"/>
              <w:spacing w:before="120" w:after="120" w:line="240" w:lineRule="auto"/>
              <w:rPr>
                <w:rFonts w:cs="Arial"/>
                <w:color w:val="000000"/>
                <w:kern w:val="24"/>
                <w:sz w:val="22"/>
                <w:szCs w:val="22"/>
                <w:lang w:eastAsia="en-GB"/>
              </w:rPr>
            </w:pPr>
            <w:r w:rsidRPr="0054600F">
              <w:rPr>
                <w:rFonts w:cs="Arial"/>
                <w:color w:val="000000"/>
                <w:kern w:val="24"/>
                <w:sz w:val="22"/>
                <w:szCs w:val="22"/>
                <w:lang w:eastAsia="en-GB"/>
              </w:rPr>
              <w:t>Very similar indicator in the CCGOIS (IAP00</w:t>
            </w:r>
            <w:r>
              <w:rPr>
                <w:rFonts w:cs="Arial"/>
                <w:color w:val="000000"/>
                <w:kern w:val="24"/>
                <w:sz w:val="22"/>
                <w:szCs w:val="22"/>
                <w:lang w:eastAsia="en-GB"/>
              </w:rPr>
              <w:t>140</w:t>
            </w:r>
            <w:r w:rsidRPr="0054600F">
              <w:rPr>
                <w:rFonts w:cs="Arial"/>
                <w:color w:val="000000"/>
                <w:kern w:val="24"/>
                <w:sz w:val="22"/>
                <w:szCs w:val="22"/>
                <w:lang w:eastAsia="en-GB"/>
              </w:rPr>
              <w:t>). Methodology should match but risk of the indicators saying different things.</w:t>
            </w:r>
          </w:p>
        </w:tc>
        <w:tc>
          <w:tcPr>
            <w:tcW w:w="3118" w:type="dxa"/>
          </w:tcPr>
          <w:p w14:paraId="29FB2923" w14:textId="4EE07B97" w:rsidR="00A47852" w:rsidRPr="00760469" w:rsidRDefault="00A47852" w:rsidP="00A47852">
            <w:pPr>
              <w:pStyle w:val="Paragraph"/>
              <w:spacing w:before="120" w:after="120" w:line="240" w:lineRule="auto"/>
            </w:pPr>
            <w:r w:rsidRPr="00760469">
              <w:rPr>
                <w:rFonts w:cs="Arial"/>
                <w:color w:val="000000"/>
                <w:kern w:val="24"/>
                <w:sz w:val="22"/>
                <w:szCs w:val="22"/>
              </w:rPr>
              <w:lastRenderedPageBreak/>
              <w:t>The indicator has an acceptable risk of unintended consequences.</w:t>
            </w:r>
          </w:p>
        </w:tc>
      </w:tr>
    </w:tbl>
    <w:p w14:paraId="3EB15959" w14:textId="75DEB9E5" w:rsidR="00BC67CC" w:rsidRDefault="0049393E" w:rsidP="00192685">
      <w:pPr>
        <w:pStyle w:val="Heading1"/>
      </w:pPr>
      <w:bookmarkStart w:id="3" w:name="_Hlk9608630"/>
      <w:r>
        <w:t>NICE indicator advisory committee recommendation</w:t>
      </w:r>
    </w:p>
    <w:p w14:paraId="34BD9056" w14:textId="532E43EE" w:rsidR="00BC67CC" w:rsidRDefault="0049393E" w:rsidP="00BC67CC">
      <w:pPr>
        <w:pStyle w:val="Paragraph"/>
      </w:pPr>
      <w:r>
        <w:t>The NICE indicator advisory committee approved renewal of this indicator</w:t>
      </w:r>
      <w:r w:rsidR="00760469">
        <w:t>.</w:t>
      </w:r>
    </w:p>
    <w:p w14:paraId="0FBA09A1" w14:textId="77777777" w:rsidR="0054600F" w:rsidRPr="0054600F" w:rsidRDefault="0054600F" w:rsidP="0054600F">
      <w:pPr>
        <w:pStyle w:val="Paragraph"/>
        <w:rPr>
          <w:b/>
          <w:bCs/>
        </w:rPr>
      </w:pPr>
      <w:r w:rsidRPr="0054600F">
        <w:rPr>
          <w:b/>
          <w:bCs/>
        </w:rPr>
        <w:t>NHS Digital Indicator Reference:</w:t>
      </w:r>
    </w:p>
    <w:p w14:paraId="061D4EFB" w14:textId="27D8B20C" w:rsidR="0054600F" w:rsidRDefault="625CF5EB" w:rsidP="0054600F">
      <w:pPr>
        <w:pStyle w:val="Paragraph"/>
      </w:pPr>
      <w:r>
        <w:t>NHS Outcomes Framework – 5.6 patient safety incidents reported.</w:t>
      </w:r>
    </w:p>
    <w:bookmarkEnd w:id="3"/>
    <w:p w14:paraId="123085F8" w14:textId="180D62A0" w:rsidR="00D73835" w:rsidRDefault="00D73835" w:rsidP="0D31F662">
      <w:pPr>
        <w:pStyle w:val="Paragraph"/>
      </w:pPr>
    </w:p>
    <w:sectPr w:rsidR="00D73835" w:rsidSect="003E4657">
      <w:headerReference w:type="default" r:id="rId14"/>
      <w:footerReference w:type="default" r:id="rId15"/>
      <w:headerReference w:type="first" r:id="rId16"/>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CC8A55C" w:rsidR="00BB14CA" w:rsidRPr="008C1C95" w:rsidRDefault="0054600F" w:rsidP="008C1C95">
    <w:pPr>
      <w:pStyle w:val="Footer"/>
      <w:jc w:val="right"/>
    </w:pPr>
    <w:r>
      <w:t>IAP00037</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960413">
    <w:abstractNumId w:val="31"/>
  </w:num>
  <w:num w:numId="2" w16cid:durableId="463229821">
    <w:abstractNumId w:val="11"/>
  </w:num>
  <w:num w:numId="3" w16cid:durableId="1862090783">
    <w:abstractNumId w:val="27"/>
  </w:num>
  <w:num w:numId="4" w16cid:durableId="2002925982">
    <w:abstractNumId w:val="12"/>
  </w:num>
  <w:num w:numId="5" w16cid:durableId="1530298055">
    <w:abstractNumId w:val="24"/>
  </w:num>
  <w:num w:numId="6" w16cid:durableId="1064913194">
    <w:abstractNumId w:val="1"/>
  </w:num>
  <w:num w:numId="7" w16cid:durableId="1549146166">
    <w:abstractNumId w:val="10"/>
  </w:num>
  <w:num w:numId="8" w16cid:durableId="1738167654">
    <w:abstractNumId w:val="22"/>
  </w:num>
  <w:num w:numId="9" w16cid:durableId="1237664802">
    <w:abstractNumId w:val="23"/>
  </w:num>
  <w:num w:numId="10" w16cid:durableId="525365781">
    <w:abstractNumId w:val="5"/>
  </w:num>
  <w:num w:numId="11" w16cid:durableId="749888475">
    <w:abstractNumId w:val="7"/>
  </w:num>
  <w:num w:numId="12" w16cid:durableId="130221147">
    <w:abstractNumId w:val="2"/>
  </w:num>
  <w:num w:numId="13" w16cid:durableId="1375347056">
    <w:abstractNumId w:val="30"/>
  </w:num>
  <w:num w:numId="14" w16cid:durableId="1388337726">
    <w:abstractNumId w:val="14"/>
  </w:num>
  <w:num w:numId="15" w16cid:durableId="301546329">
    <w:abstractNumId w:val="9"/>
  </w:num>
  <w:num w:numId="16" w16cid:durableId="1818380965">
    <w:abstractNumId w:val="19"/>
  </w:num>
  <w:num w:numId="17" w16cid:durableId="770587134">
    <w:abstractNumId w:val="16"/>
  </w:num>
  <w:num w:numId="18" w16cid:durableId="1705712518">
    <w:abstractNumId w:val="21"/>
  </w:num>
  <w:num w:numId="19" w16cid:durableId="1013218914">
    <w:abstractNumId w:val="25"/>
  </w:num>
  <w:num w:numId="20" w16cid:durableId="1062212764">
    <w:abstractNumId w:val="6"/>
  </w:num>
  <w:num w:numId="21" w16cid:durableId="1007052216">
    <w:abstractNumId w:val="28"/>
  </w:num>
  <w:num w:numId="22" w16cid:durableId="1015377885">
    <w:abstractNumId w:val="0"/>
  </w:num>
  <w:num w:numId="23" w16cid:durableId="1788352013">
    <w:abstractNumId w:val="4"/>
  </w:num>
  <w:num w:numId="24" w16cid:durableId="483163022">
    <w:abstractNumId w:val="26"/>
  </w:num>
  <w:num w:numId="25" w16cid:durableId="337737963">
    <w:abstractNumId w:val="18"/>
  </w:num>
  <w:num w:numId="26" w16cid:durableId="133063627">
    <w:abstractNumId w:val="17"/>
  </w:num>
  <w:num w:numId="27" w16cid:durableId="1435898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12289">
    <w:abstractNumId w:val="8"/>
  </w:num>
  <w:num w:numId="29" w16cid:durableId="1696468668">
    <w:abstractNumId w:val="5"/>
  </w:num>
  <w:num w:numId="30" w16cid:durableId="221404269">
    <w:abstractNumId w:val="13"/>
  </w:num>
  <w:num w:numId="31" w16cid:durableId="1100643470">
    <w:abstractNumId w:val="5"/>
  </w:num>
  <w:num w:numId="32" w16cid:durableId="1313632095">
    <w:abstractNumId w:val="5"/>
  </w:num>
  <w:num w:numId="33" w16cid:durableId="602300846">
    <w:abstractNumId w:val="5"/>
  </w:num>
  <w:num w:numId="34" w16cid:durableId="203896791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9560668">
    <w:abstractNumId w:val="5"/>
  </w:num>
  <w:num w:numId="36" w16cid:durableId="121922879">
    <w:abstractNumId w:val="5"/>
  </w:num>
  <w:num w:numId="37" w16cid:durableId="333074675">
    <w:abstractNumId w:val="5"/>
  </w:num>
  <w:num w:numId="38" w16cid:durableId="1898124126">
    <w:abstractNumId w:val="29"/>
  </w:num>
  <w:num w:numId="39" w16cid:durableId="1266497942">
    <w:abstractNumId w:val="20"/>
  </w:num>
  <w:num w:numId="40" w16cid:durableId="165244020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41B2"/>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43DA"/>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2F6A"/>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615C"/>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6908"/>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1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572"/>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1BE1"/>
    <w:rsid w:val="003C3023"/>
    <w:rsid w:val="003C39D1"/>
    <w:rsid w:val="003C7AAF"/>
    <w:rsid w:val="003C7B7D"/>
    <w:rsid w:val="003D2D5E"/>
    <w:rsid w:val="003D497C"/>
    <w:rsid w:val="003D52EA"/>
    <w:rsid w:val="003D566D"/>
    <w:rsid w:val="003D58F7"/>
    <w:rsid w:val="003D5BF8"/>
    <w:rsid w:val="003D5D5A"/>
    <w:rsid w:val="003D6018"/>
    <w:rsid w:val="003D7482"/>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13E3"/>
    <w:rsid w:val="004824B6"/>
    <w:rsid w:val="00482C01"/>
    <w:rsid w:val="00483498"/>
    <w:rsid w:val="0048353B"/>
    <w:rsid w:val="00486953"/>
    <w:rsid w:val="004907E0"/>
    <w:rsid w:val="0049285D"/>
    <w:rsid w:val="00492AC8"/>
    <w:rsid w:val="00492CB6"/>
    <w:rsid w:val="0049393E"/>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0466"/>
    <w:rsid w:val="004D1267"/>
    <w:rsid w:val="004D26AD"/>
    <w:rsid w:val="004D2897"/>
    <w:rsid w:val="004D39E2"/>
    <w:rsid w:val="004D756F"/>
    <w:rsid w:val="004E0E78"/>
    <w:rsid w:val="004E4C4B"/>
    <w:rsid w:val="004E54B6"/>
    <w:rsid w:val="004E6A24"/>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4600F"/>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155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1712"/>
    <w:rsid w:val="007522A0"/>
    <w:rsid w:val="00752F55"/>
    <w:rsid w:val="007573F4"/>
    <w:rsid w:val="007574DD"/>
    <w:rsid w:val="00760469"/>
    <w:rsid w:val="00760E09"/>
    <w:rsid w:val="00761B0E"/>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42D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5F33"/>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47EEC"/>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83F27"/>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0C47"/>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6461"/>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77D33"/>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923"/>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863"/>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3BAC"/>
    <w:rsid w:val="00FF49E7"/>
    <w:rsid w:val="00FF61E7"/>
    <w:rsid w:val="00FF6E0C"/>
    <w:rsid w:val="09C0F033"/>
    <w:rsid w:val="0D31F662"/>
    <w:rsid w:val="14D7ED6B"/>
    <w:rsid w:val="18C94AD0"/>
    <w:rsid w:val="2EC09B5B"/>
    <w:rsid w:val="31F3E4D0"/>
    <w:rsid w:val="3E59160D"/>
    <w:rsid w:val="451618F9"/>
    <w:rsid w:val="49583C01"/>
    <w:rsid w:val="5267E709"/>
    <w:rsid w:val="5C42C671"/>
    <w:rsid w:val="5D92D314"/>
    <w:rsid w:val="60C1258A"/>
    <w:rsid w:val="60DD4702"/>
    <w:rsid w:val="625CF5EB"/>
    <w:rsid w:val="644CB5A5"/>
    <w:rsid w:val="65C3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6627092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32780510">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273708362">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hs-outcomes-framework/march-2022/domain-5---treating-and-caring-for-people-in-a-safe-environment-and-protecting-them-from-avoidable-harm-nof/5.6-patient-safety-incidents-reported-formerly-indicators-5a-5b-and-5.4" TargetMode="External"/><Relationship Id="rId13" Type="http://schemas.openxmlformats.org/officeDocument/2006/relationships/hyperlink" Target="https://digital.nhs.uk/data-and-information/publications/statistical/nhs-outcomes-framework/march-2022/domain-5---treating-and-caring-for-people-in-a-safe-environment-and-protecting-them-from-avoidable-harm-nof/5.6-patient-safety-incidents-reported-formerly-indicators-5a-5b-and-5.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nhs.uk/data-and-information/publications/statistical/nhs-outcomes-framework" TargetMode="External"/><Relationship Id="rId12" Type="http://schemas.openxmlformats.org/officeDocument/2006/relationships/hyperlink" Target="https://digital.nhs.uk/data-and-information/publications/statistical/nhs-outcomes-framework/march-2022/domain-5---treating-and-caring-for-people-in-a-safe-environment-and-protecting-them-from-avoidable-harm-nof/5.6-patient-safety-incidents-reported-formerly-indicators-5a-5b-and-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nrls.nhs.uk/nrlsreport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standards-and-indicators/nlindicators/patient-safety-incident-reporting-nhsof" TargetMode="External"/><Relationship Id="rId4" Type="http://schemas.openxmlformats.org/officeDocument/2006/relationships/webSettings" Target="webSettings.xml"/><Relationship Id="rId9" Type="http://schemas.openxmlformats.org/officeDocument/2006/relationships/hyperlink" Target="https://www.nice.org.uk/standards-and-indicators/nlindicators/patient-safety-incident-reporting-nhso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7077</Characters>
  <Application>Microsoft Office Word</Application>
  <DocSecurity>0</DocSecurity>
  <Lines>58</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2023-09-14T14:59:00Z</dcterms:created>
  <dcterms:modified xsi:type="dcterms:W3CDTF">2023-09-14T14:59:00Z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2023-09-14T14:59:33Z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33c0096a-1a37-4ad5-bada-829beaf1dd60</vt:lpwstr>
  </property>
  <property fmtid="{D5CDD505-2E9C-101B-9397-08002B2CF9AE}" pid="8" name="MSIP_Label_c69d85d5-6d9e-4305-a294-1f636ec0f2d6_ContentBits">
    <vt:lpwstr>0</vt:lpwstr>
  </property>
</Properties>
</file>