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8645F" w14:textId="77777777" w:rsidR="00D36AF8" w:rsidRPr="00B55B89" w:rsidRDefault="00D36AF8" w:rsidP="00D36AF8">
      <w:pPr>
        <w:jc w:val="center"/>
        <w:rPr>
          <w:b/>
          <w:bCs/>
          <w:sz w:val="28"/>
          <w:szCs w:val="28"/>
        </w:rPr>
      </w:pPr>
      <w:r w:rsidRPr="00B55B89">
        <w:rPr>
          <w:b/>
          <w:bCs/>
          <w:sz w:val="28"/>
          <w:szCs w:val="28"/>
        </w:rPr>
        <w:t>NHS Digital</w:t>
      </w:r>
    </w:p>
    <w:p w14:paraId="32DF3BAC" w14:textId="77777777" w:rsidR="00D36AF8" w:rsidRPr="00B55B89" w:rsidRDefault="00D36AF8" w:rsidP="00D36AF8">
      <w:pPr>
        <w:jc w:val="center"/>
        <w:rPr>
          <w:b/>
          <w:bCs/>
          <w:sz w:val="28"/>
          <w:szCs w:val="28"/>
        </w:rPr>
      </w:pPr>
      <w:r w:rsidRPr="00B55B89">
        <w:rPr>
          <w:b/>
          <w:bCs/>
          <w:sz w:val="28"/>
          <w:szCs w:val="28"/>
        </w:rPr>
        <w:t>Indicator Supporting Documentation</w:t>
      </w:r>
    </w:p>
    <w:p w14:paraId="0F0CA932" w14:textId="78DA161E" w:rsidR="00173180" w:rsidRPr="00B55B89" w:rsidRDefault="00D36AF8" w:rsidP="00927611">
      <w:pPr>
        <w:jc w:val="center"/>
        <w:rPr>
          <w:b/>
          <w:bCs/>
          <w:sz w:val="28"/>
          <w:szCs w:val="28"/>
        </w:rPr>
      </w:pPr>
      <w:r w:rsidRPr="00B55B89">
        <w:rPr>
          <w:b/>
          <w:bCs/>
          <w:sz w:val="28"/>
          <w:szCs w:val="28"/>
        </w:rPr>
        <w:t xml:space="preserve">IAP00052 </w:t>
      </w:r>
      <w:r w:rsidR="00927611" w:rsidRPr="00B55B89">
        <w:rPr>
          <w:b/>
          <w:bCs/>
          <w:sz w:val="28"/>
          <w:szCs w:val="28"/>
        </w:rPr>
        <w:t>Access to GP Servic</w:t>
      </w:r>
      <w:bookmarkStart w:id="0" w:name="_GoBack"/>
      <w:bookmarkEnd w:id="0"/>
      <w:r w:rsidR="00927611" w:rsidRPr="00B55B89">
        <w:rPr>
          <w:b/>
          <w:bCs/>
          <w:sz w:val="28"/>
          <w:szCs w:val="28"/>
        </w:rPr>
        <w:t>es</w:t>
      </w:r>
      <w:r w:rsidR="00110B49" w:rsidRPr="00B55B89">
        <w:rPr>
          <w:b/>
          <w:bCs/>
          <w:sz w:val="28"/>
          <w:szCs w:val="28"/>
        </w:rPr>
        <w:t xml:space="preserve"> (NHSOF)</w:t>
      </w:r>
    </w:p>
    <w:p w14:paraId="5E632003" w14:textId="5669DB93" w:rsidR="00866AFC" w:rsidRPr="00B55B89" w:rsidRDefault="00866AFC">
      <w:pPr>
        <w:rPr>
          <w:b/>
        </w:rPr>
      </w:pPr>
    </w:p>
    <w:p w14:paraId="20AB2F71" w14:textId="77777777" w:rsidR="00A8010E" w:rsidRPr="00B55B89" w:rsidRDefault="00A8010E">
      <w:pPr>
        <w:rPr>
          <w:sz w:val="24"/>
          <w:szCs w:val="24"/>
        </w:rPr>
      </w:pPr>
    </w:p>
    <w:tbl>
      <w:tblPr>
        <w:tblStyle w:val="TableGrid"/>
        <w:tblW w:w="0" w:type="auto"/>
        <w:tblLook w:val="04A0" w:firstRow="1" w:lastRow="0" w:firstColumn="1" w:lastColumn="0" w:noHBand="0" w:noVBand="1"/>
      </w:tblPr>
      <w:tblGrid>
        <w:gridCol w:w="9351"/>
        <w:gridCol w:w="4597"/>
      </w:tblGrid>
      <w:tr w:rsidR="009B7FF3" w:rsidRPr="00B55B89" w14:paraId="04B74614" w14:textId="77777777" w:rsidTr="009B7FF3">
        <w:tc>
          <w:tcPr>
            <w:tcW w:w="9351" w:type="dxa"/>
          </w:tcPr>
          <w:p w14:paraId="00D29C61" w14:textId="2D56087E" w:rsidR="009B7FF3" w:rsidRPr="00B55B89" w:rsidRDefault="009B7FF3">
            <w:pPr>
              <w:rPr>
                <w:sz w:val="24"/>
                <w:szCs w:val="24"/>
              </w:rPr>
            </w:pPr>
            <w:r w:rsidRPr="00B55B89">
              <w:rPr>
                <w:sz w:val="24"/>
                <w:szCs w:val="24"/>
              </w:rPr>
              <w:t>Title</w:t>
            </w:r>
          </w:p>
        </w:tc>
        <w:tc>
          <w:tcPr>
            <w:tcW w:w="4597" w:type="dxa"/>
          </w:tcPr>
          <w:p w14:paraId="2AC5E38C" w14:textId="4420ABB6" w:rsidR="009B7FF3" w:rsidRPr="00B55B89" w:rsidRDefault="009B7FF3">
            <w:pPr>
              <w:rPr>
                <w:sz w:val="24"/>
                <w:szCs w:val="24"/>
              </w:rPr>
            </w:pPr>
            <w:r w:rsidRPr="00B55B89">
              <w:rPr>
                <w:sz w:val="24"/>
                <w:szCs w:val="24"/>
              </w:rPr>
              <w:t>Access to GP services</w:t>
            </w:r>
          </w:p>
        </w:tc>
      </w:tr>
      <w:tr w:rsidR="009B7FF3" w:rsidRPr="00B55B89" w14:paraId="55F897CE" w14:textId="77777777" w:rsidTr="009B7FF3">
        <w:tc>
          <w:tcPr>
            <w:tcW w:w="9351" w:type="dxa"/>
            <w:shd w:val="clear" w:color="auto" w:fill="auto"/>
          </w:tcPr>
          <w:p w14:paraId="060813E5" w14:textId="234FA0F4" w:rsidR="009B7FF3" w:rsidRPr="00B55B89" w:rsidRDefault="009B7FF3" w:rsidP="009B7FF3">
            <w:pPr>
              <w:rPr>
                <w:sz w:val="24"/>
                <w:szCs w:val="24"/>
              </w:rPr>
            </w:pPr>
            <w:r w:rsidRPr="00B55B89">
              <w:rPr>
                <w:sz w:val="24"/>
                <w:szCs w:val="24"/>
              </w:rPr>
              <w:t>Published by</w:t>
            </w:r>
          </w:p>
        </w:tc>
        <w:tc>
          <w:tcPr>
            <w:tcW w:w="4597" w:type="dxa"/>
            <w:shd w:val="clear" w:color="auto" w:fill="auto"/>
          </w:tcPr>
          <w:p w14:paraId="7EEFF0DF" w14:textId="40DE84B6" w:rsidR="009B7FF3" w:rsidRPr="00B55B89" w:rsidRDefault="009B7FF3" w:rsidP="009B7FF3">
            <w:pPr>
              <w:rPr>
                <w:sz w:val="24"/>
                <w:szCs w:val="24"/>
              </w:rPr>
            </w:pPr>
            <w:r w:rsidRPr="00B55B89">
              <w:rPr>
                <w:sz w:val="24"/>
                <w:szCs w:val="24"/>
              </w:rPr>
              <w:t>NHS Outcomes Framework</w:t>
            </w:r>
          </w:p>
        </w:tc>
      </w:tr>
      <w:tr w:rsidR="009B7FF3" w:rsidRPr="00B55B89" w14:paraId="20B32F65" w14:textId="77777777" w:rsidTr="009B7FF3">
        <w:tc>
          <w:tcPr>
            <w:tcW w:w="9351" w:type="dxa"/>
          </w:tcPr>
          <w:p w14:paraId="3CE49493" w14:textId="33960C51" w:rsidR="009B7FF3" w:rsidRPr="00B55B89" w:rsidRDefault="009B7FF3" w:rsidP="009B7FF3">
            <w:pPr>
              <w:rPr>
                <w:sz w:val="24"/>
                <w:szCs w:val="24"/>
              </w:rPr>
            </w:pPr>
            <w:r w:rsidRPr="00B55B89">
              <w:rPr>
                <w:sz w:val="24"/>
                <w:szCs w:val="24"/>
              </w:rPr>
              <w:t>Reporting period</w:t>
            </w:r>
          </w:p>
        </w:tc>
        <w:tc>
          <w:tcPr>
            <w:tcW w:w="4597" w:type="dxa"/>
          </w:tcPr>
          <w:p w14:paraId="2824A3F8" w14:textId="1E633CDF" w:rsidR="009B7FF3" w:rsidRPr="00B55B89" w:rsidRDefault="009B7FF3" w:rsidP="009B7FF3">
            <w:pPr>
              <w:rPr>
                <w:sz w:val="24"/>
                <w:szCs w:val="24"/>
              </w:rPr>
            </w:pPr>
            <w:r w:rsidRPr="00B55B89">
              <w:rPr>
                <w:sz w:val="24"/>
                <w:szCs w:val="24"/>
              </w:rPr>
              <w:t>Quarterly</w:t>
            </w:r>
          </w:p>
        </w:tc>
      </w:tr>
      <w:tr w:rsidR="009B7FF3" w:rsidRPr="00B55B89" w14:paraId="4ACCDB0B" w14:textId="77777777" w:rsidTr="009B7FF3">
        <w:tc>
          <w:tcPr>
            <w:tcW w:w="9351" w:type="dxa"/>
          </w:tcPr>
          <w:p w14:paraId="152E086A" w14:textId="6022E863" w:rsidR="009B7FF3" w:rsidRPr="00B55B89" w:rsidRDefault="009B7FF3" w:rsidP="009B7FF3">
            <w:pPr>
              <w:rPr>
                <w:sz w:val="24"/>
                <w:szCs w:val="24"/>
              </w:rPr>
            </w:pPr>
            <w:r w:rsidRPr="00B55B89">
              <w:rPr>
                <w:sz w:val="24"/>
                <w:szCs w:val="24"/>
              </w:rPr>
              <w:t>Geographical Coverage</w:t>
            </w:r>
          </w:p>
        </w:tc>
        <w:tc>
          <w:tcPr>
            <w:tcW w:w="4597" w:type="dxa"/>
          </w:tcPr>
          <w:p w14:paraId="2205925E" w14:textId="363A12B4" w:rsidR="009B7FF3" w:rsidRPr="00B55B89" w:rsidRDefault="009B7FF3" w:rsidP="009B7FF3">
            <w:pPr>
              <w:rPr>
                <w:sz w:val="24"/>
                <w:szCs w:val="24"/>
              </w:rPr>
            </w:pPr>
            <w:r w:rsidRPr="00B55B89">
              <w:rPr>
                <w:sz w:val="24"/>
                <w:szCs w:val="24"/>
              </w:rPr>
              <w:t>England</w:t>
            </w:r>
          </w:p>
        </w:tc>
      </w:tr>
      <w:tr w:rsidR="009B7FF3" w:rsidRPr="00B55B89" w14:paraId="04E561CE" w14:textId="77777777" w:rsidTr="009B7FF3">
        <w:tc>
          <w:tcPr>
            <w:tcW w:w="9351" w:type="dxa"/>
          </w:tcPr>
          <w:p w14:paraId="2FFC05FF" w14:textId="6CEC5D14" w:rsidR="009B7FF3" w:rsidRPr="00B55B89" w:rsidRDefault="009B7FF3" w:rsidP="009B7FF3">
            <w:pPr>
              <w:rPr>
                <w:sz w:val="24"/>
                <w:szCs w:val="24"/>
              </w:rPr>
            </w:pPr>
            <w:r w:rsidRPr="00B55B89">
              <w:rPr>
                <w:sz w:val="24"/>
                <w:szCs w:val="24"/>
              </w:rPr>
              <w:t>Reporting level(s)</w:t>
            </w:r>
          </w:p>
        </w:tc>
        <w:tc>
          <w:tcPr>
            <w:tcW w:w="4597" w:type="dxa"/>
          </w:tcPr>
          <w:p w14:paraId="727EC8AC" w14:textId="42BBB25D" w:rsidR="009B7FF3" w:rsidRPr="00B55B89" w:rsidRDefault="009B7FF3" w:rsidP="009B7FF3">
            <w:pPr>
              <w:rPr>
                <w:sz w:val="24"/>
                <w:szCs w:val="24"/>
              </w:rPr>
            </w:pPr>
            <w:r w:rsidRPr="00B55B89">
              <w:rPr>
                <w:sz w:val="24"/>
                <w:szCs w:val="24"/>
              </w:rPr>
              <w:t>National</w:t>
            </w:r>
          </w:p>
        </w:tc>
      </w:tr>
      <w:tr w:rsidR="009B7FF3" w:rsidRPr="00B55B89" w14:paraId="5F326C33" w14:textId="77777777" w:rsidTr="009B7FF3">
        <w:tc>
          <w:tcPr>
            <w:tcW w:w="9351" w:type="dxa"/>
          </w:tcPr>
          <w:p w14:paraId="6EE5BDED" w14:textId="35B67B6B" w:rsidR="009B7FF3" w:rsidRPr="00B55B89" w:rsidRDefault="009B7FF3" w:rsidP="009B7FF3">
            <w:pPr>
              <w:rPr>
                <w:sz w:val="24"/>
                <w:szCs w:val="24"/>
              </w:rPr>
            </w:pPr>
            <w:r w:rsidRPr="00B55B89">
              <w:rPr>
                <w:sz w:val="24"/>
                <w:szCs w:val="24"/>
              </w:rPr>
              <w:t>Based on data from</w:t>
            </w:r>
          </w:p>
        </w:tc>
        <w:tc>
          <w:tcPr>
            <w:tcW w:w="4597" w:type="dxa"/>
          </w:tcPr>
          <w:p w14:paraId="7EB41FBC" w14:textId="34A98559" w:rsidR="009B7FF3" w:rsidRPr="00B55B89" w:rsidRDefault="009B7FF3" w:rsidP="009B7FF3">
            <w:pPr>
              <w:rPr>
                <w:sz w:val="24"/>
                <w:szCs w:val="24"/>
              </w:rPr>
            </w:pPr>
            <w:r w:rsidRPr="00B55B89">
              <w:rPr>
                <w:sz w:val="24"/>
                <w:szCs w:val="24"/>
              </w:rPr>
              <w:t>GP Patients Survey</w:t>
            </w:r>
          </w:p>
        </w:tc>
      </w:tr>
      <w:tr w:rsidR="009B7FF3" w:rsidRPr="00B55B89" w14:paraId="5CEE0A11" w14:textId="77777777" w:rsidTr="009B7FF3">
        <w:tc>
          <w:tcPr>
            <w:tcW w:w="9351" w:type="dxa"/>
          </w:tcPr>
          <w:p w14:paraId="2C6DD8F0" w14:textId="666D7A20" w:rsidR="009B7FF3" w:rsidRPr="00B55B89" w:rsidRDefault="009B7FF3" w:rsidP="009B7FF3">
            <w:pPr>
              <w:rPr>
                <w:sz w:val="24"/>
                <w:szCs w:val="24"/>
              </w:rPr>
            </w:pPr>
            <w:r w:rsidRPr="00B55B89">
              <w:rPr>
                <w:sz w:val="24"/>
                <w:szCs w:val="24"/>
              </w:rPr>
              <w:t>Contact Author Name</w:t>
            </w:r>
          </w:p>
        </w:tc>
        <w:tc>
          <w:tcPr>
            <w:tcW w:w="4597" w:type="dxa"/>
          </w:tcPr>
          <w:p w14:paraId="0D28450F" w14:textId="10F312D1" w:rsidR="009B7FF3" w:rsidRPr="00B55B89" w:rsidRDefault="009B7FF3" w:rsidP="009B7FF3">
            <w:pPr>
              <w:rPr>
                <w:sz w:val="24"/>
                <w:szCs w:val="24"/>
              </w:rPr>
            </w:pPr>
            <w:r w:rsidRPr="00B55B89">
              <w:rPr>
                <w:sz w:val="24"/>
                <w:szCs w:val="24"/>
              </w:rPr>
              <w:t>Department of Health</w:t>
            </w:r>
          </w:p>
        </w:tc>
      </w:tr>
      <w:tr w:rsidR="009B7FF3" w:rsidRPr="00B55B89" w14:paraId="1FB5D707" w14:textId="77777777" w:rsidTr="009B7FF3">
        <w:tc>
          <w:tcPr>
            <w:tcW w:w="9351" w:type="dxa"/>
          </w:tcPr>
          <w:p w14:paraId="3B2462EF" w14:textId="1E06DB52" w:rsidR="009B7FF3" w:rsidRPr="00B55B89" w:rsidRDefault="009B7FF3" w:rsidP="009B7FF3">
            <w:pPr>
              <w:rPr>
                <w:sz w:val="24"/>
                <w:szCs w:val="24"/>
              </w:rPr>
            </w:pPr>
            <w:r w:rsidRPr="00B55B89">
              <w:rPr>
                <w:sz w:val="24"/>
                <w:szCs w:val="24"/>
              </w:rPr>
              <w:t>Contact Author Email</w:t>
            </w:r>
          </w:p>
        </w:tc>
        <w:tc>
          <w:tcPr>
            <w:tcW w:w="4597" w:type="dxa"/>
          </w:tcPr>
          <w:p w14:paraId="7DF44988" w14:textId="08189FFA" w:rsidR="009B7FF3" w:rsidRPr="00B55B89" w:rsidRDefault="009B7FF3" w:rsidP="009B7FF3">
            <w:pPr>
              <w:rPr>
                <w:sz w:val="24"/>
                <w:szCs w:val="24"/>
              </w:rPr>
            </w:pPr>
            <w:r w:rsidRPr="00B55B89">
              <w:rPr>
                <w:sz w:val="24"/>
                <w:szCs w:val="24"/>
              </w:rPr>
              <w:t>Toni.winder@dh.gsi.gov.uk</w:t>
            </w:r>
          </w:p>
        </w:tc>
      </w:tr>
      <w:tr w:rsidR="009B7FF3" w:rsidRPr="00B55B89" w14:paraId="5E5E7C5A" w14:textId="77777777" w:rsidTr="009B7FF3">
        <w:tc>
          <w:tcPr>
            <w:tcW w:w="9351" w:type="dxa"/>
          </w:tcPr>
          <w:p w14:paraId="5BAF7E41" w14:textId="69D56395" w:rsidR="009B7FF3" w:rsidRPr="00B55B89" w:rsidRDefault="009B7FF3" w:rsidP="009B7FF3">
            <w:pPr>
              <w:rPr>
                <w:sz w:val="24"/>
                <w:szCs w:val="24"/>
              </w:rPr>
            </w:pPr>
            <w:r w:rsidRPr="00B55B89">
              <w:rPr>
                <w:sz w:val="24"/>
                <w:szCs w:val="24"/>
              </w:rPr>
              <w:t>Rating</w:t>
            </w:r>
          </w:p>
        </w:tc>
        <w:tc>
          <w:tcPr>
            <w:tcW w:w="4597" w:type="dxa"/>
          </w:tcPr>
          <w:p w14:paraId="768B7042" w14:textId="3A5A31A2" w:rsidR="009B7FF3" w:rsidRPr="00B55B89" w:rsidRDefault="009B7FF3" w:rsidP="009B7FF3">
            <w:pPr>
              <w:rPr>
                <w:sz w:val="24"/>
                <w:szCs w:val="24"/>
              </w:rPr>
            </w:pPr>
            <w:r w:rsidRPr="00B55B89">
              <w:rPr>
                <w:sz w:val="24"/>
                <w:szCs w:val="24"/>
              </w:rPr>
              <w:t>Assured</w:t>
            </w:r>
          </w:p>
        </w:tc>
      </w:tr>
      <w:tr w:rsidR="009B7FF3" w:rsidRPr="00B55B89" w14:paraId="7A0B59A8" w14:textId="77777777" w:rsidTr="009B7FF3">
        <w:tc>
          <w:tcPr>
            <w:tcW w:w="9351" w:type="dxa"/>
          </w:tcPr>
          <w:p w14:paraId="2C9AA6B7" w14:textId="207B6876" w:rsidR="009B7FF3" w:rsidRPr="00B55B89" w:rsidRDefault="009B7FF3" w:rsidP="009B7FF3">
            <w:pPr>
              <w:rPr>
                <w:sz w:val="24"/>
                <w:szCs w:val="24"/>
              </w:rPr>
            </w:pPr>
            <w:r w:rsidRPr="00B55B89">
              <w:rPr>
                <w:sz w:val="24"/>
                <w:szCs w:val="24"/>
              </w:rPr>
              <w:t>Assurance date</w:t>
            </w:r>
          </w:p>
        </w:tc>
        <w:tc>
          <w:tcPr>
            <w:tcW w:w="4597" w:type="dxa"/>
          </w:tcPr>
          <w:p w14:paraId="43FA729A" w14:textId="39633608" w:rsidR="009B7FF3" w:rsidRPr="00B55B89" w:rsidRDefault="009B7FF3" w:rsidP="009B7FF3">
            <w:pPr>
              <w:rPr>
                <w:sz w:val="24"/>
                <w:szCs w:val="24"/>
              </w:rPr>
            </w:pPr>
            <w:r w:rsidRPr="00B55B89">
              <w:rPr>
                <w:sz w:val="24"/>
                <w:szCs w:val="24"/>
              </w:rPr>
              <w:t>06/10/11</w:t>
            </w:r>
          </w:p>
        </w:tc>
      </w:tr>
      <w:tr w:rsidR="009B7FF3" w:rsidRPr="00B55B89" w14:paraId="0F638DF5" w14:textId="77777777" w:rsidTr="009B7FF3">
        <w:tc>
          <w:tcPr>
            <w:tcW w:w="9351" w:type="dxa"/>
          </w:tcPr>
          <w:p w14:paraId="773AAEF3" w14:textId="7949A2CD" w:rsidR="009B7FF3" w:rsidRPr="00B55B89" w:rsidRDefault="009B7FF3" w:rsidP="009B7FF3">
            <w:pPr>
              <w:rPr>
                <w:sz w:val="24"/>
                <w:szCs w:val="24"/>
              </w:rPr>
            </w:pPr>
            <w:r w:rsidRPr="00B55B89">
              <w:rPr>
                <w:sz w:val="24"/>
                <w:szCs w:val="24"/>
              </w:rPr>
              <w:t>Review date</w:t>
            </w:r>
          </w:p>
        </w:tc>
        <w:tc>
          <w:tcPr>
            <w:tcW w:w="4597" w:type="dxa"/>
          </w:tcPr>
          <w:p w14:paraId="2156861B" w14:textId="18F79886" w:rsidR="009B7FF3" w:rsidRPr="00B55B89" w:rsidRDefault="009B7FF3" w:rsidP="009B7FF3">
            <w:pPr>
              <w:rPr>
                <w:sz w:val="24"/>
                <w:szCs w:val="24"/>
              </w:rPr>
            </w:pPr>
            <w:r w:rsidRPr="00B55B89">
              <w:rPr>
                <w:sz w:val="24"/>
                <w:szCs w:val="24"/>
              </w:rPr>
              <w:t>06/10/14</w:t>
            </w:r>
          </w:p>
        </w:tc>
      </w:tr>
      <w:tr w:rsidR="009B7FF3" w:rsidRPr="00B55B89" w14:paraId="7EA5053C" w14:textId="77777777" w:rsidTr="009B7FF3">
        <w:tc>
          <w:tcPr>
            <w:tcW w:w="9351" w:type="dxa"/>
          </w:tcPr>
          <w:p w14:paraId="2DB81AB0" w14:textId="1BC6BA19" w:rsidR="009B7FF3" w:rsidRPr="00B55B89" w:rsidRDefault="009B7FF3" w:rsidP="009B7FF3">
            <w:pPr>
              <w:rPr>
                <w:sz w:val="24"/>
                <w:szCs w:val="24"/>
              </w:rPr>
            </w:pPr>
            <w:r w:rsidRPr="00B55B89">
              <w:rPr>
                <w:sz w:val="24"/>
                <w:szCs w:val="24"/>
              </w:rPr>
              <w:t>Indicator set</w:t>
            </w:r>
          </w:p>
        </w:tc>
        <w:tc>
          <w:tcPr>
            <w:tcW w:w="4597" w:type="dxa"/>
          </w:tcPr>
          <w:p w14:paraId="0AE497ED" w14:textId="31DE08C1" w:rsidR="009B7FF3" w:rsidRPr="00B55B89" w:rsidRDefault="009B7FF3" w:rsidP="009B7FF3">
            <w:pPr>
              <w:rPr>
                <w:sz w:val="24"/>
                <w:szCs w:val="24"/>
              </w:rPr>
            </w:pPr>
            <w:r w:rsidRPr="00B55B89">
              <w:rPr>
                <w:sz w:val="24"/>
                <w:szCs w:val="24"/>
              </w:rPr>
              <w:t>NHS Outcomes Framework 2011/12</w:t>
            </w:r>
          </w:p>
        </w:tc>
      </w:tr>
      <w:tr w:rsidR="00C40C70" w:rsidRPr="00B55B89" w14:paraId="0EF7B89C" w14:textId="77777777" w:rsidTr="00C40C70">
        <w:tc>
          <w:tcPr>
            <w:tcW w:w="9351" w:type="dxa"/>
          </w:tcPr>
          <w:p w14:paraId="6DD99327" w14:textId="77777777" w:rsidR="00C40C70" w:rsidRPr="00B55B89" w:rsidRDefault="00C40C70" w:rsidP="0053000F">
            <w:pPr>
              <w:rPr>
                <w:b/>
                <w:sz w:val="24"/>
                <w:szCs w:val="24"/>
              </w:rPr>
            </w:pPr>
            <w:r w:rsidRPr="00B55B89">
              <w:rPr>
                <w:sz w:val="24"/>
                <w:szCs w:val="24"/>
              </w:rPr>
              <w:t xml:space="preserve">Brief Description </w:t>
            </w:r>
          </w:p>
          <w:p w14:paraId="4EEF3747" w14:textId="77777777" w:rsidR="00C40C70" w:rsidRPr="00B55B89" w:rsidRDefault="00C40C70" w:rsidP="0053000F">
            <w:pPr>
              <w:rPr>
                <w:b/>
                <w:sz w:val="24"/>
                <w:szCs w:val="24"/>
              </w:rPr>
            </w:pPr>
          </w:p>
        </w:tc>
        <w:tc>
          <w:tcPr>
            <w:tcW w:w="4597" w:type="dxa"/>
          </w:tcPr>
          <w:p w14:paraId="4A287F3A" w14:textId="77777777" w:rsidR="00C40C70" w:rsidRPr="00B55B89" w:rsidRDefault="00C40C70" w:rsidP="0053000F">
            <w:pPr>
              <w:spacing w:after="120"/>
              <w:rPr>
                <w:sz w:val="24"/>
                <w:szCs w:val="24"/>
              </w:rPr>
            </w:pPr>
            <w:r w:rsidRPr="00B55B89">
              <w:rPr>
                <w:sz w:val="24"/>
                <w:szCs w:val="24"/>
              </w:rPr>
              <w:t xml:space="preserve">This indicator is part of domain 4, which reflects the importance of providing a positive experience of care for patients, service users and carers. </w:t>
            </w:r>
          </w:p>
          <w:p w14:paraId="0EA5A525" w14:textId="77777777" w:rsidR="00C40C70" w:rsidRPr="00B55B89" w:rsidRDefault="00C40C70" w:rsidP="0053000F">
            <w:pPr>
              <w:rPr>
                <w:sz w:val="24"/>
                <w:szCs w:val="24"/>
              </w:rPr>
            </w:pPr>
            <w:r w:rsidRPr="00B55B89">
              <w:rPr>
                <w:sz w:val="24"/>
                <w:szCs w:val="24"/>
              </w:rPr>
              <w:t xml:space="preserve">Two overarching indicators have been included within Domain 4. These are intended to capture, at a high level, the experience of patients using two of the main elements of NHS </w:t>
            </w:r>
          </w:p>
          <w:p w14:paraId="03BD4474" w14:textId="77777777" w:rsidR="00C40C70" w:rsidRPr="00B55B89" w:rsidRDefault="00C40C70" w:rsidP="0053000F">
            <w:pPr>
              <w:spacing w:after="120"/>
              <w:rPr>
                <w:sz w:val="24"/>
                <w:szCs w:val="24"/>
              </w:rPr>
            </w:pPr>
            <w:r w:rsidRPr="00B55B89">
              <w:rPr>
                <w:sz w:val="24"/>
                <w:szCs w:val="24"/>
              </w:rPr>
              <w:t xml:space="preserve">care: primary and hospital care. </w:t>
            </w:r>
            <w:proofErr w:type="gramStart"/>
            <w:r w:rsidRPr="00B55B89">
              <w:rPr>
                <w:sz w:val="24"/>
                <w:szCs w:val="24"/>
              </w:rPr>
              <w:t>The vast majority of</w:t>
            </w:r>
            <w:proofErr w:type="gramEnd"/>
            <w:r w:rsidRPr="00B55B89">
              <w:rPr>
                <w:sz w:val="24"/>
                <w:szCs w:val="24"/>
              </w:rPr>
              <w:t xml:space="preserve"> the population visit their GP each year; the average person will visit their GP more than five times a year whereas they will go to hospital for </w:t>
            </w:r>
            <w:r w:rsidRPr="00B55B89">
              <w:rPr>
                <w:sz w:val="24"/>
                <w:szCs w:val="24"/>
              </w:rPr>
              <w:lastRenderedPageBreak/>
              <w:t xml:space="preserve">treatment once every five years. Often it is the experience people have of primary care – including GPs, dental and out-of-hours services – that determine their overall view of the NHS. </w:t>
            </w:r>
          </w:p>
        </w:tc>
      </w:tr>
      <w:tr w:rsidR="00C40C70" w:rsidRPr="00B55B89" w14:paraId="7CDF81ED" w14:textId="77777777" w:rsidTr="00C40C70">
        <w:tc>
          <w:tcPr>
            <w:tcW w:w="9351" w:type="dxa"/>
          </w:tcPr>
          <w:p w14:paraId="5072016D" w14:textId="77777777" w:rsidR="00C40C70" w:rsidRPr="00B55B89" w:rsidRDefault="00C40C70" w:rsidP="0053000F">
            <w:pPr>
              <w:rPr>
                <w:b/>
                <w:sz w:val="24"/>
                <w:szCs w:val="24"/>
              </w:rPr>
            </w:pPr>
            <w:r w:rsidRPr="00B55B89">
              <w:rPr>
                <w:sz w:val="24"/>
                <w:szCs w:val="24"/>
              </w:rPr>
              <w:lastRenderedPageBreak/>
              <w:t>Purpose</w:t>
            </w:r>
          </w:p>
        </w:tc>
        <w:tc>
          <w:tcPr>
            <w:tcW w:w="4597" w:type="dxa"/>
          </w:tcPr>
          <w:p w14:paraId="40AD9AC0" w14:textId="77777777" w:rsidR="00C40C70" w:rsidRPr="00B55B89" w:rsidRDefault="00C40C70" w:rsidP="0053000F">
            <w:pPr>
              <w:spacing w:after="120"/>
              <w:rPr>
                <w:sz w:val="24"/>
                <w:szCs w:val="24"/>
              </w:rPr>
            </w:pPr>
            <w:r w:rsidRPr="00B55B89">
              <w:rPr>
                <w:sz w:val="24"/>
                <w:szCs w:val="24"/>
              </w:rPr>
              <w:t xml:space="preserve">The indicator is driven by policy priorities and is assured by the Patient Experience Policy Programme (PEPP) prior to entering the Indicator Governance Board Assurance process. </w:t>
            </w:r>
          </w:p>
          <w:p w14:paraId="5F167DA8" w14:textId="77777777" w:rsidR="00C40C70" w:rsidRPr="00B55B89" w:rsidRDefault="00C40C70" w:rsidP="0053000F">
            <w:pPr>
              <w:spacing w:after="120"/>
              <w:rPr>
                <w:sz w:val="24"/>
                <w:szCs w:val="24"/>
              </w:rPr>
            </w:pPr>
            <w:r w:rsidRPr="00B55B89">
              <w:rPr>
                <w:sz w:val="24"/>
                <w:szCs w:val="24"/>
              </w:rPr>
              <w:t>The PEPP is a collaboration between the Department of Health, Patient and Public Engagement and Experience Division and NHS North West and seeks to produce an Excellence Framework for Patient Experience by March 2012. This will include strategic options for the future of the national patient experience survey architecture and information for Department of Health Policy Leads on best practice in the development of indicators for patient experience.</w:t>
            </w:r>
          </w:p>
        </w:tc>
      </w:tr>
      <w:tr w:rsidR="00C40C70" w:rsidRPr="00B55B89" w14:paraId="4308F1EF" w14:textId="77777777" w:rsidTr="00C40C70">
        <w:tc>
          <w:tcPr>
            <w:tcW w:w="9351" w:type="dxa"/>
          </w:tcPr>
          <w:p w14:paraId="7457F70F" w14:textId="34EFFC7D" w:rsidR="00C40C70" w:rsidRPr="00B55B89" w:rsidRDefault="00C40C70" w:rsidP="00C40C70">
            <w:pPr>
              <w:rPr>
                <w:sz w:val="24"/>
                <w:szCs w:val="24"/>
              </w:rPr>
            </w:pPr>
            <w:r w:rsidRPr="00B55B89">
              <w:rPr>
                <w:sz w:val="24"/>
                <w:szCs w:val="24"/>
              </w:rPr>
              <w:t>Definition</w:t>
            </w:r>
          </w:p>
        </w:tc>
        <w:tc>
          <w:tcPr>
            <w:tcW w:w="4597" w:type="dxa"/>
          </w:tcPr>
          <w:p w14:paraId="75B609F2" w14:textId="77777777" w:rsidR="00C40C70" w:rsidRPr="00B55B89" w:rsidRDefault="00C40C70" w:rsidP="00C40C70">
            <w:pPr>
              <w:spacing w:after="120"/>
              <w:rPr>
                <w:sz w:val="24"/>
                <w:szCs w:val="24"/>
              </w:rPr>
            </w:pPr>
            <w:r w:rsidRPr="00B55B89">
              <w:rPr>
                <w:sz w:val="24"/>
                <w:szCs w:val="24"/>
              </w:rPr>
              <w:t xml:space="preserve">Results from previous surveys have been used in the Quality and Outcomes framework to pay GP Practices for their performance on Access to Services. These measures have also been used nationally by HMT and by the CQC at PCT level. However, the questions on </w:t>
            </w:r>
            <w:r w:rsidRPr="00B55B89">
              <w:rPr>
                <w:sz w:val="24"/>
                <w:szCs w:val="24"/>
              </w:rPr>
              <w:lastRenderedPageBreak/>
              <w:t xml:space="preserve">which access has been measured previously are no longer in the survey. </w:t>
            </w:r>
          </w:p>
          <w:p w14:paraId="6DADE3CC" w14:textId="63A86E24" w:rsidR="00C40C70" w:rsidRPr="00B55B89" w:rsidRDefault="00C40C70" w:rsidP="00C40C70">
            <w:pPr>
              <w:spacing w:after="120"/>
              <w:rPr>
                <w:sz w:val="24"/>
                <w:szCs w:val="24"/>
              </w:rPr>
            </w:pPr>
            <w:r w:rsidRPr="00B55B89">
              <w:rPr>
                <w:sz w:val="24"/>
                <w:szCs w:val="24"/>
              </w:rPr>
              <w:t>The questions have been redesigned to better understand the expectations and experiences of patients. Previous indicators have also received criticism from the GP community due to their link to pay for performance. By changing the indicator, we are making a clearer break from the original access indicators.</w:t>
            </w:r>
          </w:p>
        </w:tc>
      </w:tr>
      <w:tr w:rsidR="00C40C70" w:rsidRPr="00B55B89" w14:paraId="6C4BAED3" w14:textId="77777777" w:rsidTr="00C40C70">
        <w:tc>
          <w:tcPr>
            <w:tcW w:w="9351" w:type="dxa"/>
          </w:tcPr>
          <w:p w14:paraId="2A46FA15" w14:textId="2E7ED78E" w:rsidR="00C40C70" w:rsidRPr="00B55B89" w:rsidRDefault="00C40C70" w:rsidP="00C40C70">
            <w:pPr>
              <w:rPr>
                <w:sz w:val="24"/>
                <w:szCs w:val="24"/>
              </w:rPr>
            </w:pPr>
            <w:r w:rsidRPr="00B55B89">
              <w:rPr>
                <w:sz w:val="24"/>
                <w:szCs w:val="24"/>
              </w:rPr>
              <w:lastRenderedPageBreak/>
              <w:t>Data Source</w:t>
            </w:r>
          </w:p>
        </w:tc>
        <w:tc>
          <w:tcPr>
            <w:tcW w:w="4597" w:type="dxa"/>
          </w:tcPr>
          <w:p w14:paraId="7FF4C58D" w14:textId="532022A6" w:rsidR="00C40C70" w:rsidRPr="00B55B89" w:rsidRDefault="00C40C70" w:rsidP="00C40C70">
            <w:pPr>
              <w:spacing w:after="120"/>
              <w:rPr>
                <w:sz w:val="24"/>
                <w:szCs w:val="24"/>
              </w:rPr>
            </w:pPr>
            <w:r w:rsidRPr="00B55B89">
              <w:rPr>
                <w:sz w:val="24"/>
                <w:szCs w:val="24"/>
              </w:rPr>
              <w:t xml:space="preserve">GP Patient Survey carried out by Ipsos MORI on behalf of the Department of Health </w:t>
            </w:r>
            <w:hyperlink r:id="rId7" w:history="1">
              <w:r w:rsidRPr="00B55B89">
                <w:rPr>
                  <w:rStyle w:val="Hyperlink"/>
                  <w:color w:val="auto"/>
                  <w:sz w:val="24"/>
                  <w:szCs w:val="24"/>
                </w:rPr>
                <w:t>http://www.gp-patient.co.uk/</w:t>
              </w:r>
            </w:hyperlink>
          </w:p>
        </w:tc>
      </w:tr>
      <w:tr w:rsidR="00C40C70" w:rsidRPr="00B55B89" w14:paraId="68D25AD4" w14:textId="77777777" w:rsidTr="00C40C70">
        <w:tc>
          <w:tcPr>
            <w:tcW w:w="9351" w:type="dxa"/>
          </w:tcPr>
          <w:p w14:paraId="446F8086" w14:textId="1803BFC5" w:rsidR="00C40C70" w:rsidRPr="00B55B89" w:rsidRDefault="00C40C70" w:rsidP="00C40C70">
            <w:pPr>
              <w:rPr>
                <w:sz w:val="24"/>
                <w:szCs w:val="24"/>
              </w:rPr>
            </w:pPr>
            <w:r w:rsidRPr="00B55B89">
              <w:rPr>
                <w:sz w:val="24"/>
                <w:szCs w:val="24"/>
              </w:rPr>
              <w:t>Data Source</w:t>
            </w:r>
          </w:p>
        </w:tc>
        <w:tc>
          <w:tcPr>
            <w:tcW w:w="4597" w:type="dxa"/>
          </w:tcPr>
          <w:p w14:paraId="04A27E42" w14:textId="62E0B777" w:rsidR="00C40C70" w:rsidRPr="00B55B89" w:rsidRDefault="00C40C70" w:rsidP="00C40C70">
            <w:pPr>
              <w:spacing w:after="120"/>
              <w:rPr>
                <w:sz w:val="24"/>
                <w:szCs w:val="24"/>
              </w:rPr>
            </w:pPr>
            <w:r w:rsidRPr="00B55B89">
              <w:rPr>
                <w:sz w:val="24"/>
                <w:szCs w:val="24"/>
              </w:rPr>
              <w:t xml:space="preserve">GP Patient Survey carried out by Ipsos MORI on behalf of the Department of Health </w:t>
            </w:r>
            <w:hyperlink r:id="rId8" w:history="1">
              <w:r w:rsidRPr="00B55B89">
                <w:rPr>
                  <w:rStyle w:val="Hyperlink"/>
                  <w:color w:val="auto"/>
                  <w:sz w:val="24"/>
                  <w:szCs w:val="24"/>
                </w:rPr>
                <w:t>http://www.gp-patient.co.uk/</w:t>
              </w:r>
            </w:hyperlink>
          </w:p>
        </w:tc>
      </w:tr>
      <w:tr w:rsidR="00C40C70" w:rsidRPr="00B55B89" w14:paraId="1FF900F8" w14:textId="77777777" w:rsidTr="00C40C70">
        <w:tc>
          <w:tcPr>
            <w:tcW w:w="9351" w:type="dxa"/>
          </w:tcPr>
          <w:p w14:paraId="0A40102E" w14:textId="61EB3455" w:rsidR="00C40C70" w:rsidRPr="00B55B89" w:rsidRDefault="00C40C70" w:rsidP="00C40C70">
            <w:pPr>
              <w:rPr>
                <w:sz w:val="24"/>
                <w:szCs w:val="24"/>
              </w:rPr>
            </w:pPr>
            <w:r w:rsidRPr="00B55B89">
              <w:rPr>
                <w:sz w:val="24"/>
                <w:szCs w:val="24"/>
              </w:rPr>
              <w:t>Numerator</w:t>
            </w:r>
          </w:p>
        </w:tc>
        <w:tc>
          <w:tcPr>
            <w:tcW w:w="4597" w:type="dxa"/>
          </w:tcPr>
          <w:p w14:paraId="56B95B86" w14:textId="1743947F" w:rsidR="00C40C70" w:rsidRPr="00B55B89" w:rsidRDefault="00C40C70" w:rsidP="00C40C70">
            <w:pPr>
              <w:spacing w:after="120"/>
              <w:rPr>
                <w:sz w:val="24"/>
                <w:szCs w:val="24"/>
              </w:rPr>
            </w:pPr>
            <w:r w:rsidRPr="00B55B89">
              <w:rPr>
                <w:sz w:val="24"/>
                <w:szCs w:val="24"/>
              </w:rPr>
              <w:t>The indicator will be based on aggregated data from two collections each year. Although from June 2012 onwards data will be published on a rolling six-monthly basis, the indicator will only be produced annually based on data for the full financial year. Producing the indicator on a six-monthly basis will mean that data will overlap with the previously calculated score.</w:t>
            </w:r>
          </w:p>
        </w:tc>
      </w:tr>
      <w:tr w:rsidR="00C40C70" w:rsidRPr="00B55B89" w14:paraId="130D1B99" w14:textId="77777777" w:rsidTr="00C40C70">
        <w:tc>
          <w:tcPr>
            <w:tcW w:w="9351" w:type="dxa"/>
          </w:tcPr>
          <w:p w14:paraId="0EB5A116" w14:textId="16A48A08" w:rsidR="00C40C70" w:rsidRPr="00B55B89" w:rsidRDefault="00C40C70" w:rsidP="00C40C70">
            <w:pPr>
              <w:rPr>
                <w:sz w:val="24"/>
                <w:szCs w:val="24"/>
              </w:rPr>
            </w:pPr>
            <w:r w:rsidRPr="00B55B89">
              <w:rPr>
                <w:sz w:val="24"/>
                <w:szCs w:val="24"/>
              </w:rPr>
              <w:t>Denominator</w:t>
            </w:r>
          </w:p>
        </w:tc>
        <w:tc>
          <w:tcPr>
            <w:tcW w:w="4597" w:type="dxa"/>
          </w:tcPr>
          <w:p w14:paraId="68F17B1E" w14:textId="415009BB" w:rsidR="00C40C70" w:rsidRPr="00B55B89" w:rsidRDefault="00C40C70" w:rsidP="00C40C70">
            <w:pPr>
              <w:spacing w:after="120"/>
              <w:rPr>
                <w:sz w:val="24"/>
                <w:szCs w:val="24"/>
              </w:rPr>
            </w:pPr>
            <w:r w:rsidRPr="00B55B89">
              <w:rPr>
                <w:sz w:val="24"/>
                <w:szCs w:val="24"/>
              </w:rPr>
              <w:t>The average weighted number of respondents to at least one of the 20 questions.</w:t>
            </w:r>
          </w:p>
        </w:tc>
      </w:tr>
      <w:tr w:rsidR="00C40C70" w:rsidRPr="00B55B89" w14:paraId="4B4845D7" w14:textId="77777777" w:rsidTr="00C40C70">
        <w:tc>
          <w:tcPr>
            <w:tcW w:w="9351" w:type="dxa"/>
          </w:tcPr>
          <w:p w14:paraId="1B6855B2" w14:textId="369226F2" w:rsidR="00C40C70" w:rsidRPr="00B55B89" w:rsidRDefault="00C40C70" w:rsidP="00C40C70">
            <w:pPr>
              <w:rPr>
                <w:sz w:val="24"/>
                <w:szCs w:val="24"/>
              </w:rPr>
            </w:pPr>
            <w:r w:rsidRPr="00B55B89">
              <w:rPr>
                <w:sz w:val="24"/>
                <w:szCs w:val="24"/>
              </w:rPr>
              <w:lastRenderedPageBreak/>
              <w:t>Calculation</w:t>
            </w:r>
          </w:p>
        </w:tc>
        <w:tc>
          <w:tcPr>
            <w:tcW w:w="4597" w:type="dxa"/>
          </w:tcPr>
          <w:p w14:paraId="1FECEDDA" w14:textId="77777777" w:rsidR="00C40C70" w:rsidRPr="00B55B89" w:rsidRDefault="00C40C70" w:rsidP="00C40C70">
            <w:pPr>
              <w:spacing w:after="120"/>
              <w:rPr>
                <w:sz w:val="24"/>
                <w:szCs w:val="24"/>
              </w:rPr>
            </w:pPr>
            <w:r w:rsidRPr="00B55B89">
              <w:rPr>
                <w:sz w:val="24"/>
                <w:szCs w:val="24"/>
              </w:rPr>
              <w:t>[</w:t>
            </w:r>
            <w:r w:rsidRPr="00B55B89">
              <w:rPr>
                <w:rFonts w:ascii="Cambria Math" w:hAnsi="Cambria Math" w:cs="Cambria Math"/>
                <w:sz w:val="24"/>
                <w:szCs w:val="24"/>
              </w:rPr>
              <w:t>𝑁𝑢𝑚𝑒𝑟𝑎𝑡𝑜𝑟𝑖𝐷𝑒𝑛𝑜𝑚𝑖𝑛𝑎𝑡𝑜𝑟𝑖</w:t>
            </w:r>
            <w:r w:rsidRPr="00B55B89">
              <w:rPr>
                <w:sz w:val="24"/>
                <w:szCs w:val="24"/>
              </w:rPr>
              <w:t>]×100</w:t>
            </w:r>
          </w:p>
          <w:p w14:paraId="0CAC5BBE" w14:textId="5F6D992A" w:rsidR="00C40C70" w:rsidRPr="00B55B89" w:rsidRDefault="00C40C70" w:rsidP="00C40C70">
            <w:pPr>
              <w:spacing w:after="120"/>
              <w:rPr>
                <w:sz w:val="24"/>
                <w:szCs w:val="24"/>
              </w:rPr>
            </w:pPr>
            <w:r w:rsidRPr="00B55B89">
              <w:rPr>
                <w:sz w:val="24"/>
                <w:szCs w:val="24"/>
              </w:rPr>
              <w:t>Individual questions are scored according to a pre-defined scoring regime that awards scores between 0 and 100. Therefore, this indicator will take values between 0 and 100, where 0 is the worst score and 100 is the best score.</w:t>
            </w:r>
          </w:p>
        </w:tc>
      </w:tr>
      <w:tr w:rsidR="00C40C70" w:rsidRPr="00B55B89" w14:paraId="74400A19" w14:textId="77777777" w:rsidTr="00C40C70">
        <w:tc>
          <w:tcPr>
            <w:tcW w:w="9351" w:type="dxa"/>
          </w:tcPr>
          <w:p w14:paraId="204ECBFB" w14:textId="0A99B95A" w:rsidR="00C40C70" w:rsidRPr="00B55B89" w:rsidRDefault="00C40C70" w:rsidP="00C40C70">
            <w:pPr>
              <w:rPr>
                <w:sz w:val="24"/>
                <w:szCs w:val="24"/>
              </w:rPr>
            </w:pPr>
            <w:r w:rsidRPr="00B55B89">
              <w:rPr>
                <w:sz w:val="24"/>
                <w:szCs w:val="24"/>
              </w:rPr>
              <w:t>Interpretation Guidelines</w:t>
            </w:r>
          </w:p>
        </w:tc>
        <w:tc>
          <w:tcPr>
            <w:tcW w:w="4597" w:type="dxa"/>
          </w:tcPr>
          <w:p w14:paraId="4668640C" w14:textId="77777777" w:rsidR="00C40C70" w:rsidRPr="00B55B89" w:rsidRDefault="00C40C70" w:rsidP="00C40C70">
            <w:pPr>
              <w:rPr>
                <w:sz w:val="24"/>
                <w:szCs w:val="24"/>
              </w:rPr>
            </w:pPr>
            <w:r w:rsidRPr="00B55B89">
              <w:rPr>
                <w:sz w:val="24"/>
                <w:szCs w:val="24"/>
              </w:rPr>
              <w:t xml:space="preserve">The GP Patient Survey Questionnaire has been redeveloped in conjunction with Ipsos MORI and an Academic Review Group to incorporate questions designed to capture patient </w:t>
            </w:r>
          </w:p>
          <w:p w14:paraId="09F417C1" w14:textId="2DD2FC99" w:rsidR="00C40C70" w:rsidRPr="00B55B89" w:rsidRDefault="00C40C70" w:rsidP="00C40C70">
            <w:pPr>
              <w:spacing w:after="120"/>
              <w:rPr>
                <w:sz w:val="24"/>
                <w:szCs w:val="24"/>
              </w:rPr>
            </w:pPr>
            <w:r w:rsidRPr="00B55B89">
              <w:rPr>
                <w:sz w:val="24"/>
                <w:szCs w:val="24"/>
              </w:rPr>
              <w:t>experience of Primary Care. Their expert advice has been used to develop the three questions to be used. All questions have been fully cognitively tested before being included in the survey questionnaire.</w:t>
            </w:r>
          </w:p>
        </w:tc>
      </w:tr>
      <w:tr w:rsidR="00C40C70" w:rsidRPr="00B55B89" w14:paraId="47DD673A" w14:textId="77777777" w:rsidTr="00C40C70">
        <w:tc>
          <w:tcPr>
            <w:tcW w:w="9351" w:type="dxa"/>
          </w:tcPr>
          <w:p w14:paraId="1456FD16" w14:textId="13CDEC2C" w:rsidR="00C40C70" w:rsidRPr="00B55B89" w:rsidRDefault="00C40C70" w:rsidP="00C40C70">
            <w:pPr>
              <w:rPr>
                <w:sz w:val="24"/>
                <w:szCs w:val="24"/>
              </w:rPr>
            </w:pPr>
            <w:r w:rsidRPr="00B55B89">
              <w:rPr>
                <w:sz w:val="24"/>
                <w:szCs w:val="24"/>
              </w:rPr>
              <w:t>Caveats</w:t>
            </w:r>
          </w:p>
        </w:tc>
        <w:tc>
          <w:tcPr>
            <w:tcW w:w="4597" w:type="dxa"/>
          </w:tcPr>
          <w:p w14:paraId="68380324" w14:textId="77777777" w:rsidR="00C40C70" w:rsidRPr="00B55B89" w:rsidRDefault="00C40C70" w:rsidP="00C40C70">
            <w:pPr>
              <w:rPr>
                <w:sz w:val="24"/>
                <w:szCs w:val="24"/>
              </w:rPr>
            </w:pPr>
          </w:p>
        </w:tc>
      </w:tr>
      <w:tr w:rsidR="00C40C70" w:rsidRPr="00B55B89" w14:paraId="1F43F01E" w14:textId="77777777" w:rsidTr="00711A61">
        <w:tc>
          <w:tcPr>
            <w:tcW w:w="9351" w:type="dxa"/>
            <w:tcBorders>
              <w:right w:val="single" w:sz="4" w:space="0" w:color="auto"/>
            </w:tcBorders>
          </w:tcPr>
          <w:p w14:paraId="0D27E0DB" w14:textId="3AD974D1" w:rsidR="00C40C70" w:rsidRPr="00B55B89" w:rsidRDefault="00C40C70" w:rsidP="00C40C70">
            <w:pPr>
              <w:rPr>
                <w:sz w:val="24"/>
                <w:szCs w:val="24"/>
              </w:rPr>
            </w:pPr>
            <w:r w:rsidRPr="00B55B89">
              <w:rPr>
                <w:sz w:val="24"/>
                <w:szCs w:val="24"/>
              </w:rPr>
              <w:t>Primary Category</w:t>
            </w:r>
          </w:p>
        </w:tc>
        <w:tc>
          <w:tcPr>
            <w:tcW w:w="4597" w:type="dxa"/>
            <w:tcBorders>
              <w:left w:val="single" w:sz="4" w:space="0" w:color="auto"/>
            </w:tcBorders>
          </w:tcPr>
          <w:p w14:paraId="4DE9D958" w14:textId="43635C34" w:rsidR="00C40C70" w:rsidRPr="00B55B89" w:rsidRDefault="00C40C70" w:rsidP="00C40C70">
            <w:pPr>
              <w:rPr>
                <w:sz w:val="24"/>
                <w:szCs w:val="24"/>
              </w:rPr>
            </w:pPr>
            <w:r w:rsidRPr="00B55B89">
              <w:rPr>
                <w:sz w:val="24"/>
                <w:szCs w:val="24"/>
              </w:rPr>
              <w:t>Patient care</w:t>
            </w:r>
          </w:p>
        </w:tc>
      </w:tr>
      <w:tr w:rsidR="003A7343" w:rsidRPr="00B55B89" w14:paraId="7D157F9D" w14:textId="77777777" w:rsidTr="00C40C70">
        <w:tc>
          <w:tcPr>
            <w:tcW w:w="9351" w:type="dxa"/>
          </w:tcPr>
          <w:p w14:paraId="0F9B56CB" w14:textId="77FF8F50" w:rsidR="003A7343" w:rsidRPr="00B55B89" w:rsidRDefault="003A7343" w:rsidP="003A7343">
            <w:pPr>
              <w:rPr>
                <w:sz w:val="24"/>
                <w:szCs w:val="24"/>
              </w:rPr>
            </w:pPr>
            <w:r w:rsidRPr="00B55B89">
              <w:rPr>
                <w:sz w:val="24"/>
                <w:szCs w:val="24"/>
              </w:rPr>
              <w:t>Indicator Title, this is the short title, a concise concept.  Do not include details of calculation, geography, time period or population characteristics</w:t>
            </w:r>
          </w:p>
        </w:tc>
        <w:tc>
          <w:tcPr>
            <w:tcW w:w="4597" w:type="dxa"/>
          </w:tcPr>
          <w:p w14:paraId="555D731A" w14:textId="2229F80F" w:rsidR="003A7343" w:rsidRPr="00B55B89" w:rsidRDefault="003A7343" w:rsidP="003A7343">
            <w:pPr>
              <w:rPr>
                <w:sz w:val="24"/>
                <w:szCs w:val="24"/>
              </w:rPr>
            </w:pPr>
            <w:r w:rsidRPr="00B55B89">
              <w:rPr>
                <w:sz w:val="24"/>
                <w:szCs w:val="24"/>
              </w:rPr>
              <w:t xml:space="preserve">Application Code </w:t>
            </w:r>
            <w:r w:rsidRPr="00B55B89">
              <w:rPr>
                <w:b/>
                <w:sz w:val="24"/>
                <w:szCs w:val="24"/>
              </w:rPr>
              <w:t>(IAP00052)</w:t>
            </w:r>
          </w:p>
        </w:tc>
      </w:tr>
      <w:tr w:rsidR="003A7343" w:rsidRPr="00B55B89" w14:paraId="437ACECB" w14:textId="77777777" w:rsidTr="00C40C70">
        <w:tc>
          <w:tcPr>
            <w:tcW w:w="9351" w:type="dxa"/>
          </w:tcPr>
          <w:p w14:paraId="3F1E2500" w14:textId="77777777" w:rsidR="003A7343" w:rsidRPr="00B55B89" w:rsidRDefault="003A7343" w:rsidP="003A7343">
            <w:pPr>
              <w:rPr>
                <w:bCs/>
                <w:sz w:val="24"/>
                <w:szCs w:val="24"/>
              </w:rPr>
            </w:pPr>
            <w:r w:rsidRPr="00B55B89">
              <w:rPr>
                <w:bCs/>
                <w:sz w:val="24"/>
                <w:szCs w:val="24"/>
              </w:rPr>
              <w:t>The NHS Outcomes Framework 2011/12</w:t>
            </w:r>
          </w:p>
          <w:p w14:paraId="027E4AC5" w14:textId="77777777" w:rsidR="003A7343" w:rsidRPr="00B55B89" w:rsidRDefault="003A7343" w:rsidP="003A7343">
            <w:pPr>
              <w:rPr>
                <w:bCs/>
                <w:sz w:val="24"/>
                <w:szCs w:val="24"/>
              </w:rPr>
            </w:pPr>
            <w:r w:rsidRPr="00B55B89">
              <w:rPr>
                <w:bCs/>
                <w:sz w:val="24"/>
                <w:szCs w:val="24"/>
              </w:rPr>
              <w:t>Domain 4 – Ensuring that people have a positive experience of care</w:t>
            </w:r>
          </w:p>
          <w:p w14:paraId="42070BE8" w14:textId="77777777" w:rsidR="003A7343" w:rsidRPr="00B55B89" w:rsidRDefault="003A7343" w:rsidP="003A7343">
            <w:pPr>
              <w:rPr>
                <w:bCs/>
                <w:sz w:val="24"/>
                <w:szCs w:val="24"/>
              </w:rPr>
            </w:pPr>
          </w:p>
          <w:p w14:paraId="2360A0CC" w14:textId="77777777" w:rsidR="003A7343" w:rsidRPr="00B55B89" w:rsidRDefault="003A7343" w:rsidP="003A7343">
            <w:pPr>
              <w:rPr>
                <w:bCs/>
                <w:sz w:val="24"/>
                <w:szCs w:val="24"/>
              </w:rPr>
            </w:pPr>
            <w:r w:rsidRPr="00B55B89">
              <w:rPr>
                <w:bCs/>
                <w:sz w:val="24"/>
                <w:szCs w:val="24"/>
              </w:rPr>
              <w:t xml:space="preserve">4.4 </w:t>
            </w:r>
            <w:proofErr w:type="gramStart"/>
            <w:r w:rsidRPr="00B55B89">
              <w:rPr>
                <w:bCs/>
                <w:sz w:val="24"/>
                <w:szCs w:val="24"/>
              </w:rPr>
              <w:t>-  Improving</w:t>
            </w:r>
            <w:proofErr w:type="gramEnd"/>
            <w:r w:rsidRPr="00B55B89">
              <w:rPr>
                <w:bCs/>
                <w:sz w:val="24"/>
                <w:szCs w:val="24"/>
              </w:rPr>
              <w:t xml:space="preserve"> access to primary care services (GP)</w:t>
            </w:r>
          </w:p>
          <w:p w14:paraId="341B6061" w14:textId="77777777" w:rsidR="003A7343" w:rsidRPr="00B55B89" w:rsidRDefault="003A7343" w:rsidP="003A7343">
            <w:pPr>
              <w:rPr>
                <w:sz w:val="24"/>
                <w:szCs w:val="24"/>
              </w:rPr>
            </w:pPr>
          </w:p>
        </w:tc>
        <w:tc>
          <w:tcPr>
            <w:tcW w:w="4597" w:type="dxa"/>
          </w:tcPr>
          <w:p w14:paraId="194D3F1C" w14:textId="4D057099" w:rsidR="003A7343" w:rsidRPr="00B55B89" w:rsidRDefault="003A7343" w:rsidP="003A7343">
            <w:pPr>
              <w:rPr>
                <w:sz w:val="24"/>
                <w:szCs w:val="24"/>
              </w:rPr>
            </w:pPr>
            <w:r w:rsidRPr="00B55B89">
              <w:rPr>
                <w:sz w:val="24"/>
                <w:szCs w:val="24"/>
              </w:rPr>
              <w:fldChar w:fldCharType="begin">
                <w:ffData>
                  <w:name w:val="iap_ind_code"/>
                  <w:enabled/>
                  <w:calcOnExit w:val="0"/>
                  <w:textInput/>
                </w:ffData>
              </w:fldChar>
            </w:r>
            <w:r w:rsidRPr="00B55B89">
              <w:rPr>
                <w:sz w:val="24"/>
                <w:szCs w:val="24"/>
              </w:rPr>
              <w:instrText xml:space="preserve"> FORMTEXT </w:instrText>
            </w:r>
            <w:r w:rsidRPr="00B55B89">
              <w:rPr>
                <w:sz w:val="24"/>
                <w:szCs w:val="24"/>
              </w:rPr>
            </w:r>
            <w:r w:rsidRPr="00B55B89">
              <w:rPr>
                <w:sz w:val="24"/>
                <w:szCs w:val="24"/>
              </w:rPr>
              <w:fldChar w:fldCharType="separate"/>
            </w:r>
            <w:r w:rsidRPr="00B55B89">
              <w:rPr>
                <w:noProof/>
                <w:sz w:val="24"/>
                <w:szCs w:val="24"/>
              </w:rPr>
              <w:t> </w:t>
            </w:r>
            <w:r w:rsidRPr="00B55B89">
              <w:rPr>
                <w:noProof/>
                <w:sz w:val="24"/>
                <w:szCs w:val="24"/>
              </w:rPr>
              <w:t> </w:t>
            </w:r>
            <w:r w:rsidRPr="00B55B89">
              <w:rPr>
                <w:noProof/>
                <w:sz w:val="24"/>
                <w:szCs w:val="24"/>
              </w:rPr>
              <w:t> </w:t>
            </w:r>
            <w:r w:rsidRPr="00B55B89">
              <w:rPr>
                <w:noProof/>
                <w:sz w:val="24"/>
                <w:szCs w:val="24"/>
              </w:rPr>
              <w:t> </w:t>
            </w:r>
            <w:r w:rsidRPr="00B55B89">
              <w:rPr>
                <w:noProof/>
                <w:sz w:val="24"/>
                <w:szCs w:val="24"/>
              </w:rPr>
              <w:t> </w:t>
            </w:r>
            <w:r w:rsidRPr="00B55B89">
              <w:rPr>
                <w:sz w:val="24"/>
                <w:szCs w:val="24"/>
              </w:rPr>
              <w:fldChar w:fldCharType="end"/>
            </w:r>
          </w:p>
        </w:tc>
      </w:tr>
    </w:tbl>
    <w:p w14:paraId="68F2991E" w14:textId="02EB871E" w:rsidR="00A8010E" w:rsidRPr="00B55B89" w:rsidRDefault="00A8010E">
      <w:pPr>
        <w:rPr>
          <w:sz w:val="24"/>
          <w:szCs w:val="24"/>
        </w:rPr>
      </w:pPr>
      <w:r w:rsidRPr="00B55B89">
        <w:rPr>
          <w:sz w:val="24"/>
          <w:szCs w:val="24"/>
        </w:rPr>
        <w:br w:type="page"/>
      </w:r>
    </w:p>
    <w:tbl>
      <w:tblPr>
        <w:tblStyle w:val="TableGrid"/>
        <w:tblW w:w="0" w:type="auto"/>
        <w:tblLook w:val="04A0" w:firstRow="1" w:lastRow="0" w:firstColumn="1" w:lastColumn="0" w:noHBand="0" w:noVBand="1"/>
      </w:tblPr>
      <w:tblGrid>
        <w:gridCol w:w="13320"/>
      </w:tblGrid>
      <w:tr w:rsidR="00A8010E" w:rsidRPr="00B55B89" w14:paraId="3CF0E0A3" w14:textId="77777777" w:rsidTr="00A8010E">
        <w:tc>
          <w:tcPr>
            <w:tcW w:w="13320" w:type="dxa"/>
          </w:tcPr>
          <w:p w14:paraId="5EDD7121" w14:textId="77777777" w:rsidR="00A8010E" w:rsidRPr="00B55B89" w:rsidRDefault="00A8010E" w:rsidP="00A8010E">
            <w:pPr>
              <w:rPr>
                <w:b/>
                <w:sz w:val="24"/>
                <w:szCs w:val="24"/>
              </w:rPr>
            </w:pPr>
            <w:r w:rsidRPr="00B55B89">
              <w:rPr>
                <w:b/>
                <w:sz w:val="24"/>
                <w:szCs w:val="24"/>
              </w:rPr>
              <w:lastRenderedPageBreak/>
              <w:t>OVERVIEW OF INDICATOR:</w:t>
            </w:r>
          </w:p>
          <w:p w14:paraId="7049F7D8" w14:textId="77777777" w:rsidR="00A8010E" w:rsidRPr="00B55B89" w:rsidRDefault="00A8010E" w:rsidP="00A8010E">
            <w:pPr>
              <w:rPr>
                <w:sz w:val="24"/>
                <w:szCs w:val="24"/>
              </w:rPr>
            </w:pPr>
            <w:r w:rsidRPr="00B55B89">
              <w:rPr>
                <w:sz w:val="24"/>
                <w:szCs w:val="24"/>
              </w:rPr>
              <w:t>This indicator forms part of the NHS Outcomes Framework, which is designed to provide national level accountability for the outcomes the NHS delivers, and act as a catalyst for driving transparency, quality improvement and outcome measurement throughout the NHS.</w:t>
            </w:r>
          </w:p>
          <w:p w14:paraId="60B61925" w14:textId="77777777" w:rsidR="00A8010E" w:rsidRPr="00B55B89" w:rsidRDefault="00A8010E" w:rsidP="00A8010E">
            <w:pPr>
              <w:rPr>
                <w:sz w:val="24"/>
                <w:szCs w:val="24"/>
              </w:rPr>
            </w:pPr>
          </w:p>
          <w:p w14:paraId="44EF8E10" w14:textId="77777777" w:rsidR="00A8010E" w:rsidRPr="00B55B89" w:rsidRDefault="00A8010E" w:rsidP="00A8010E">
            <w:pPr>
              <w:rPr>
                <w:sz w:val="24"/>
                <w:szCs w:val="24"/>
              </w:rPr>
            </w:pPr>
            <w:r w:rsidRPr="00B55B89">
              <w:rPr>
                <w:sz w:val="24"/>
                <w:szCs w:val="24"/>
              </w:rPr>
              <w:t>The indicator is driven by policy priorities and is assured by the Patient Experience Policy Programme prior to entering the Information Centre Assurance process.  The Patient Experience Policy Programme (PEPP) is a collaboration between the Department of Health Patient and Public, Engagement and Experience Division and NHS North West and seeks to produce by March 2012 an Excellence Framework for Patient Experience.  This will include strategic options for the future of the national patient experience survey architecture and information for Department of Health Policy Leads on best practice in the development of indicators for patient experience.  The Strategic Overview and Recommendations from PEPP are attached in the following draft embedded document ‘Strategic Overview and Recommendations, draft 6</w:t>
            </w:r>
            <w:r w:rsidRPr="00B55B89">
              <w:rPr>
                <w:sz w:val="24"/>
                <w:szCs w:val="24"/>
                <w:vertAlign w:val="superscript"/>
              </w:rPr>
              <w:t xml:space="preserve"> </w:t>
            </w:r>
            <w:r w:rsidRPr="00B55B89">
              <w:rPr>
                <w:sz w:val="24"/>
                <w:szCs w:val="24"/>
              </w:rPr>
              <w:t xml:space="preserve">May 2011.  Indicators developed using data sources from the current national patient experience survey architecture are presented as </w:t>
            </w:r>
            <w:proofErr w:type="gramStart"/>
            <w:r w:rsidRPr="00B55B89">
              <w:rPr>
                <w:sz w:val="24"/>
                <w:szCs w:val="24"/>
              </w:rPr>
              <w:t>short term</w:t>
            </w:r>
            <w:proofErr w:type="gramEnd"/>
            <w:r w:rsidRPr="00B55B89">
              <w:rPr>
                <w:sz w:val="24"/>
                <w:szCs w:val="24"/>
              </w:rPr>
              <w:t xml:space="preserve"> solutions prior to consideration of PEPP recommendations for the future.</w:t>
            </w:r>
          </w:p>
          <w:p w14:paraId="3529CBB0" w14:textId="77777777" w:rsidR="00A8010E" w:rsidRPr="00B55B89" w:rsidRDefault="00A8010E" w:rsidP="00A8010E">
            <w:pPr>
              <w:rPr>
                <w:sz w:val="24"/>
                <w:szCs w:val="24"/>
              </w:rPr>
            </w:pPr>
          </w:p>
          <w:p w14:paraId="1F77EA8B" w14:textId="77777777" w:rsidR="00A8010E" w:rsidRPr="00B55B89" w:rsidRDefault="00A8010E" w:rsidP="00A8010E">
            <w:pPr>
              <w:rPr>
                <w:sz w:val="24"/>
                <w:szCs w:val="24"/>
              </w:rPr>
            </w:pPr>
            <w:r w:rsidRPr="00B55B89">
              <w:rPr>
                <w:sz w:val="24"/>
                <w:szCs w:val="24"/>
              </w:rPr>
              <w:t xml:space="preserve">Document available on request by email to </w:t>
            </w:r>
            <w:hyperlink r:id="rId9" w:history="1">
              <w:r w:rsidRPr="00B55B89">
                <w:rPr>
                  <w:rStyle w:val="Hyperlink"/>
                  <w:sz w:val="24"/>
                  <w:szCs w:val="24"/>
                </w:rPr>
                <w:t>indicators@nice.org.uk</w:t>
              </w:r>
            </w:hyperlink>
          </w:p>
          <w:p w14:paraId="566D9489" w14:textId="77777777" w:rsidR="00A8010E" w:rsidRPr="00B55B89" w:rsidRDefault="00A8010E" w:rsidP="00A8010E">
            <w:pPr>
              <w:rPr>
                <w:sz w:val="24"/>
                <w:szCs w:val="24"/>
              </w:rPr>
            </w:pPr>
          </w:p>
          <w:p w14:paraId="44E834E5" w14:textId="77777777" w:rsidR="00A8010E" w:rsidRPr="00B55B89" w:rsidRDefault="00A8010E" w:rsidP="00A8010E">
            <w:pPr>
              <w:rPr>
                <w:sz w:val="24"/>
                <w:szCs w:val="24"/>
              </w:rPr>
            </w:pPr>
            <w:r w:rsidRPr="00B55B89">
              <w:rPr>
                <w:sz w:val="24"/>
                <w:szCs w:val="24"/>
              </w:rPr>
              <w:t>Quality assurance for the PEPP assurance process for Domain 4 indicator development has been sourced from the NHS North West INSPIRE training and development framework and particularly in the area of analytical and clinical review expertise in developing an understanding of experience data and analysis and creating a shared understanding of service experience values, language and terminology.  In addition, the development of indicators for Domain 4 will be included in the quality assurance process for PEPP which has been commissioned from academic’s experts in this field from Oxford University.</w:t>
            </w:r>
          </w:p>
          <w:p w14:paraId="1B4208F7" w14:textId="77777777" w:rsidR="00A8010E" w:rsidRPr="00B55B89" w:rsidRDefault="00A8010E" w:rsidP="00A8010E">
            <w:pPr>
              <w:rPr>
                <w:sz w:val="24"/>
                <w:szCs w:val="24"/>
              </w:rPr>
            </w:pPr>
          </w:p>
          <w:p w14:paraId="4F5EA20E" w14:textId="77777777" w:rsidR="00A8010E" w:rsidRPr="00B55B89" w:rsidRDefault="00A8010E" w:rsidP="00A8010E">
            <w:pPr>
              <w:rPr>
                <w:sz w:val="24"/>
                <w:szCs w:val="24"/>
              </w:rPr>
            </w:pPr>
            <w:r w:rsidRPr="00B55B89">
              <w:rPr>
                <w:sz w:val="24"/>
                <w:szCs w:val="24"/>
              </w:rPr>
              <w:t>This indicator is part of Domain 4, which reflects the importance of improving access to primary care services, particularly GP services.</w:t>
            </w:r>
          </w:p>
          <w:p w14:paraId="26566D08" w14:textId="77777777" w:rsidR="00A8010E" w:rsidRPr="00B55B89" w:rsidRDefault="00A8010E">
            <w:pPr>
              <w:rPr>
                <w:sz w:val="24"/>
                <w:szCs w:val="24"/>
              </w:rPr>
            </w:pPr>
          </w:p>
        </w:tc>
      </w:tr>
    </w:tbl>
    <w:p w14:paraId="2CAD350F" w14:textId="77777777" w:rsidR="00A8010E" w:rsidRPr="00B55B89" w:rsidRDefault="00A8010E">
      <w:pPr>
        <w:rPr>
          <w:sz w:val="24"/>
          <w:szCs w:val="24"/>
        </w:rPr>
      </w:pPr>
    </w:p>
    <w:tbl>
      <w:tblPr>
        <w:tblStyle w:val="TableGrid"/>
        <w:tblW w:w="5000" w:type="pct"/>
        <w:tblLayout w:type="fixed"/>
        <w:tblLook w:val="01E0" w:firstRow="1" w:lastRow="1" w:firstColumn="1" w:lastColumn="1" w:noHBand="0" w:noVBand="0"/>
      </w:tblPr>
      <w:tblGrid>
        <w:gridCol w:w="13948"/>
      </w:tblGrid>
      <w:tr w:rsidR="005F1306" w:rsidRPr="00B55B89" w14:paraId="720C4468" w14:textId="77777777" w:rsidTr="00C5114A">
        <w:tc>
          <w:tcPr>
            <w:tcW w:w="13948" w:type="dxa"/>
          </w:tcPr>
          <w:p w14:paraId="1CC8FD6A" w14:textId="03A4F008" w:rsidR="00866AFC" w:rsidRPr="00B55B89" w:rsidRDefault="00866AFC">
            <w:pPr>
              <w:autoSpaceDE w:val="0"/>
              <w:autoSpaceDN w:val="0"/>
              <w:adjustRightInd w:val="0"/>
              <w:rPr>
                <w:b/>
                <w:sz w:val="24"/>
                <w:szCs w:val="24"/>
              </w:rPr>
            </w:pPr>
            <w:r w:rsidRPr="00B55B89">
              <w:rPr>
                <w:b/>
                <w:sz w:val="24"/>
                <w:szCs w:val="24"/>
              </w:rPr>
              <w:t xml:space="preserve">IS A </w:t>
            </w:r>
            <w:r w:rsidRPr="00B55B89">
              <w:rPr>
                <w:b/>
                <w:i/>
                <w:sz w:val="24"/>
                <w:szCs w:val="24"/>
              </w:rPr>
              <w:t>COMPOSITE MEASURE</w:t>
            </w:r>
            <w:r w:rsidRPr="00B55B89">
              <w:rPr>
                <w:b/>
                <w:sz w:val="24"/>
                <w:szCs w:val="24"/>
              </w:rPr>
              <w:t xml:space="preserve"> OR </w:t>
            </w:r>
            <w:r w:rsidRPr="00B55B89">
              <w:rPr>
                <w:b/>
                <w:i/>
                <w:sz w:val="24"/>
                <w:szCs w:val="24"/>
              </w:rPr>
              <w:t>SINGLE MEASURE</w:t>
            </w:r>
            <w:r w:rsidRPr="00B55B89">
              <w:rPr>
                <w:b/>
                <w:sz w:val="24"/>
                <w:szCs w:val="24"/>
              </w:rPr>
              <w:t xml:space="preserve"> USED? TBC</w:t>
            </w:r>
          </w:p>
          <w:p w14:paraId="69990958" w14:textId="77777777" w:rsidR="005F1306" w:rsidRPr="00B55B89" w:rsidRDefault="005F1306">
            <w:pPr>
              <w:autoSpaceDE w:val="0"/>
              <w:autoSpaceDN w:val="0"/>
              <w:adjustRightInd w:val="0"/>
              <w:rPr>
                <w:b/>
                <w:sz w:val="24"/>
                <w:szCs w:val="24"/>
              </w:rPr>
            </w:pPr>
          </w:p>
          <w:p w14:paraId="3BA2FBCF" w14:textId="77777777" w:rsidR="00866AFC" w:rsidRPr="00B55B89" w:rsidRDefault="00866AFC">
            <w:pPr>
              <w:autoSpaceDE w:val="0"/>
              <w:autoSpaceDN w:val="0"/>
              <w:adjustRightInd w:val="0"/>
              <w:rPr>
                <w:sz w:val="24"/>
                <w:szCs w:val="24"/>
              </w:rPr>
            </w:pPr>
          </w:p>
          <w:p w14:paraId="76A301D2" w14:textId="77777777" w:rsidR="00866AFC" w:rsidRPr="00B55B89" w:rsidRDefault="00866AFC">
            <w:pPr>
              <w:autoSpaceDE w:val="0"/>
              <w:autoSpaceDN w:val="0"/>
              <w:adjustRightInd w:val="0"/>
              <w:rPr>
                <w:b/>
                <w:sz w:val="24"/>
                <w:szCs w:val="24"/>
              </w:rPr>
            </w:pPr>
          </w:p>
          <w:p w14:paraId="6689DC62" w14:textId="77777777" w:rsidR="00866AFC" w:rsidRPr="00B55B89" w:rsidRDefault="00866AFC">
            <w:pPr>
              <w:autoSpaceDE w:val="0"/>
              <w:autoSpaceDN w:val="0"/>
              <w:adjustRightInd w:val="0"/>
              <w:rPr>
                <w:sz w:val="24"/>
                <w:szCs w:val="24"/>
              </w:rPr>
            </w:pPr>
            <w:r w:rsidRPr="00B55B89">
              <w:rPr>
                <w:sz w:val="24"/>
                <w:szCs w:val="24"/>
              </w:rPr>
              <w:lastRenderedPageBreak/>
              <w:t>Two options have been presented to Ministers:</w:t>
            </w:r>
          </w:p>
          <w:p w14:paraId="51D8889F" w14:textId="77777777" w:rsidR="00866AFC" w:rsidRPr="00B55B89" w:rsidRDefault="00866AFC" w:rsidP="00866AFC">
            <w:pPr>
              <w:pStyle w:val="ListParagraph"/>
              <w:numPr>
                <w:ilvl w:val="0"/>
                <w:numId w:val="12"/>
              </w:numPr>
              <w:autoSpaceDE w:val="0"/>
              <w:autoSpaceDN w:val="0"/>
              <w:adjustRightInd w:val="0"/>
              <w:contextualSpacing w:val="0"/>
              <w:rPr>
                <w:sz w:val="24"/>
                <w:szCs w:val="24"/>
              </w:rPr>
            </w:pPr>
            <w:r w:rsidRPr="00B55B89">
              <w:rPr>
                <w:sz w:val="24"/>
                <w:szCs w:val="24"/>
              </w:rPr>
              <w:t xml:space="preserve">a single question indicator </w:t>
            </w:r>
          </w:p>
          <w:p w14:paraId="7AFE209D" w14:textId="77777777" w:rsidR="00866AFC" w:rsidRPr="00B55B89" w:rsidRDefault="00866AFC" w:rsidP="00866AFC">
            <w:pPr>
              <w:pStyle w:val="ListParagraph"/>
              <w:numPr>
                <w:ilvl w:val="0"/>
                <w:numId w:val="12"/>
              </w:numPr>
              <w:autoSpaceDE w:val="0"/>
              <w:autoSpaceDN w:val="0"/>
              <w:adjustRightInd w:val="0"/>
              <w:contextualSpacing w:val="0"/>
              <w:rPr>
                <w:sz w:val="24"/>
                <w:szCs w:val="24"/>
              </w:rPr>
            </w:pPr>
            <w:r w:rsidRPr="00B55B89">
              <w:rPr>
                <w:sz w:val="24"/>
                <w:szCs w:val="24"/>
              </w:rPr>
              <w:t xml:space="preserve">a composite indicator. </w:t>
            </w:r>
          </w:p>
          <w:p w14:paraId="0236139C" w14:textId="77777777" w:rsidR="00866AFC" w:rsidRPr="00B55B89" w:rsidRDefault="00866AFC">
            <w:pPr>
              <w:autoSpaceDE w:val="0"/>
              <w:autoSpaceDN w:val="0"/>
              <w:adjustRightInd w:val="0"/>
              <w:rPr>
                <w:sz w:val="24"/>
                <w:szCs w:val="24"/>
              </w:rPr>
            </w:pPr>
            <w:r w:rsidRPr="00B55B89">
              <w:rPr>
                <w:sz w:val="24"/>
                <w:szCs w:val="24"/>
              </w:rPr>
              <w:t>A single question indicator is where the indicator is tested through a single question and the results reported directly. Two questions from the GP survey have been identified that might be used:</w:t>
            </w:r>
          </w:p>
          <w:p w14:paraId="6F9B02CA" w14:textId="77777777" w:rsidR="00866AFC" w:rsidRPr="00B55B89" w:rsidRDefault="00866AFC" w:rsidP="00866AFC">
            <w:pPr>
              <w:pStyle w:val="ListParagraph"/>
              <w:numPr>
                <w:ilvl w:val="0"/>
                <w:numId w:val="11"/>
              </w:numPr>
              <w:autoSpaceDE w:val="0"/>
              <w:autoSpaceDN w:val="0"/>
              <w:adjustRightInd w:val="0"/>
              <w:contextualSpacing w:val="0"/>
              <w:rPr>
                <w:sz w:val="24"/>
                <w:szCs w:val="24"/>
              </w:rPr>
            </w:pPr>
            <w:r w:rsidRPr="00B55B89">
              <w:rPr>
                <w:sz w:val="24"/>
                <w:szCs w:val="24"/>
              </w:rPr>
              <w:t>overall experience of making an appointment</w:t>
            </w:r>
          </w:p>
          <w:p w14:paraId="28C6E54A" w14:textId="77777777" w:rsidR="00866AFC" w:rsidRPr="00B55B89" w:rsidRDefault="00866AFC" w:rsidP="00866AFC">
            <w:pPr>
              <w:pStyle w:val="ListParagraph"/>
              <w:numPr>
                <w:ilvl w:val="0"/>
                <w:numId w:val="11"/>
              </w:numPr>
              <w:autoSpaceDE w:val="0"/>
              <w:autoSpaceDN w:val="0"/>
              <w:adjustRightInd w:val="0"/>
              <w:contextualSpacing w:val="0"/>
              <w:rPr>
                <w:sz w:val="24"/>
                <w:szCs w:val="24"/>
              </w:rPr>
            </w:pPr>
            <w:r w:rsidRPr="00B55B89">
              <w:rPr>
                <w:sz w:val="24"/>
                <w:szCs w:val="24"/>
              </w:rPr>
              <w:t xml:space="preserve">count of the people who were able to get an appointment without having to call back. </w:t>
            </w:r>
          </w:p>
          <w:p w14:paraId="715713A2" w14:textId="77777777" w:rsidR="00866AFC" w:rsidRPr="00B55B89" w:rsidRDefault="00866AFC">
            <w:pPr>
              <w:autoSpaceDE w:val="0"/>
              <w:autoSpaceDN w:val="0"/>
              <w:adjustRightInd w:val="0"/>
              <w:rPr>
                <w:sz w:val="24"/>
                <w:szCs w:val="24"/>
              </w:rPr>
            </w:pPr>
            <w:r w:rsidRPr="00B55B89">
              <w:rPr>
                <w:sz w:val="24"/>
                <w:szCs w:val="24"/>
              </w:rPr>
              <w:t xml:space="preserve">The alternative is to develop a more complex composite indicator, using a combination of questions from the access section of the survey to build an indicator which looks at what people wanted and what they </w:t>
            </w:r>
            <w:proofErr w:type="gramStart"/>
            <w:r w:rsidRPr="00B55B89">
              <w:rPr>
                <w:sz w:val="24"/>
                <w:szCs w:val="24"/>
              </w:rPr>
              <w:t>actually got</w:t>
            </w:r>
            <w:proofErr w:type="gramEnd"/>
            <w:r w:rsidRPr="00B55B89">
              <w:rPr>
                <w:sz w:val="24"/>
                <w:szCs w:val="24"/>
              </w:rPr>
              <w:t xml:space="preserve">. </w:t>
            </w:r>
          </w:p>
          <w:p w14:paraId="34992031" w14:textId="77777777" w:rsidR="00866AFC" w:rsidRPr="00B55B89" w:rsidRDefault="00866AFC">
            <w:pPr>
              <w:autoSpaceDE w:val="0"/>
              <w:autoSpaceDN w:val="0"/>
              <w:adjustRightInd w:val="0"/>
              <w:rPr>
                <w:sz w:val="24"/>
                <w:szCs w:val="24"/>
              </w:rPr>
            </w:pPr>
          </w:p>
          <w:p w14:paraId="7174D8D5" w14:textId="77777777" w:rsidR="00866AFC" w:rsidRPr="00B55B89" w:rsidRDefault="00866AFC">
            <w:pPr>
              <w:autoSpaceDE w:val="0"/>
              <w:autoSpaceDN w:val="0"/>
              <w:adjustRightInd w:val="0"/>
              <w:rPr>
                <w:sz w:val="24"/>
                <w:szCs w:val="24"/>
              </w:rPr>
            </w:pPr>
            <w:r w:rsidRPr="00B55B89">
              <w:rPr>
                <w:sz w:val="24"/>
                <w:szCs w:val="24"/>
              </w:rPr>
              <w:t>We've recommended the second option to Ministers and are now waiting for a steer on which option (if any) they prefer.</w:t>
            </w:r>
          </w:p>
          <w:p w14:paraId="2AAF45D6" w14:textId="77777777" w:rsidR="00866AFC" w:rsidRPr="00B55B89" w:rsidRDefault="00866AFC">
            <w:pPr>
              <w:autoSpaceDE w:val="0"/>
              <w:autoSpaceDN w:val="0"/>
              <w:adjustRightInd w:val="0"/>
              <w:rPr>
                <w:b/>
                <w:sz w:val="24"/>
                <w:szCs w:val="24"/>
              </w:rPr>
            </w:pPr>
          </w:p>
          <w:p w14:paraId="2116F04C" w14:textId="77777777" w:rsidR="00866AFC" w:rsidRPr="00B55B89" w:rsidRDefault="00866AFC">
            <w:pPr>
              <w:autoSpaceDE w:val="0"/>
              <w:autoSpaceDN w:val="0"/>
              <w:adjustRightInd w:val="0"/>
              <w:rPr>
                <w:b/>
                <w:sz w:val="24"/>
                <w:szCs w:val="24"/>
              </w:rPr>
            </w:pPr>
            <w:r w:rsidRPr="00B55B89">
              <w:rPr>
                <w:b/>
                <w:sz w:val="24"/>
                <w:szCs w:val="24"/>
              </w:rPr>
              <w:t>QUESTION(S):</w:t>
            </w:r>
          </w:p>
          <w:p w14:paraId="080D4704" w14:textId="77777777" w:rsidR="00866AFC" w:rsidRPr="00B55B89" w:rsidRDefault="00866AFC">
            <w:pPr>
              <w:autoSpaceDE w:val="0"/>
              <w:autoSpaceDN w:val="0"/>
              <w:adjustRightInd w:val="0"/>
              <w:rPr>
                <w:sz w:val="24"/>
                <w:szCs w:val="24"/>
              </w:rPr>
            </w:pPr>
            <w:r w:rsidRPr="00B55B89">
              <w:rPr>
                <w:sz w:val="24"/>
                <w:szCs w:val="24"/>
              </w:rPr>
              <w:t>With Ministers for sign off.</w:t>
            </w:r>
          </w:p>
          <w:p w14:paraId="006A08CC" w14:textId="77777777" w:rsidR="00866AFC" w:rsidRPr="00B55B89" w:rsidRDefault="00866AFC">
            <w:pPr>
              <w:autoSpaceDE w:val="0"/>
              <w:autoSpaceDN w:val="0"/>
              <w:adjustRightInd w:val="0"/>
              <w:rPr>
                <w:b/>
                <w:sz w:val="24"/>
                <w:szCs w:val="24"/>
              </w:rPr>
            </w:pPr>
          </w:p>
          <w:p w14:paraId="7EE03141" w14:textId="77777777" w:rsidR="00866AFC" w:rsidRPr="00B55B89" w:rsidRDefault="00866AFC">
            <w:pPr>
              <w:autoSpaceDE w:val="0"/>
              <w:autoSpaceDN w:val="0"/>
              <w:adjustRightInd w:val="0"/>
              <w:rPr>
                <w:sz w:val="24"/>
                <w:szCs w:val="24"/>
              </w:rPr>
            </w:pPr>
            <w:r w:rsidRPr="00B55B89">
              <w:rPr>
                <w:b/>
                <w:sz w:val="24"/>
                <w:szCs w:val="24"/>
              </w:rPr>
              <w:t xml:space="preserve">MEASUREMENT UNITS: </w:t>
            </w:r>
          </w:p>
          <w:p w14:paraId="79CE7ED3" w14:textId="77777777" w:rsidR="00866AFC" w:rsidRPr="00B55B89" w:rsidRDefault="00866AFC">
            <w:pPr>
              <w:autoSpaceDE w:val="0"/>
              <w:autoSpaceDN w:val="0"/>
              <w:adjustRightInd w:val="0"/>
              <w:rPr>
                <w:sz w:val="24"/>
                <w:szCs w:val="24"/>
              </w:rPr>
            </w:pPr>
            <w:r w:rsidRPr="00B55B89">
              <w:rPr>
                <w:sz w:val="24"/>
                <w:szCs w:val="24"/>
              </w:rPr>
              <w:t>With Ministers for sign off.</w:t>
            </w:r>
          </w:p>
          <w:p w14:paraId="01E468C1" w14:textId="77777777" w:rsidR="00866AFC" w:rsidRPr="00B55B89" w:rsidRDefault="00866AFC">
            <w:pPr>
              <w:autoSpaceDE w:val="0"/>
              <w:autoSpaceDN w:val="0"/>
              <w:adjustRightInd w:val="0"/>
              <w:rPr>
                <w:b/>
                <w:sz w:val="24"/>
                <w:szCs w:val="24"/>
              </w:rPr>
            </w:pPr>
          </w:p>
          <w:p w14:paraId="32937095" w14:textId="77777777" w:rsidR="00866AFC" w:rsidRPr="00B55B89" w:rsidRDefault="00866AFC">
            <w:pPr>
              <w:autoSpaceDE w:val="0"/>
              <w:autoSpaceDN w:val="0"/>
              <w:adjustRightInd w:val="0"/>
              <w:rPr>
                <w:sz w:val="24"/>
                <w:szCs w:val="24"/>
              </w:rPr>
            </w:pPr>
            <w:r w:rsidRPr="00B55B89">
              <w:rPr>
                <w:b/>
                <w:sz w:val="24"/>
                <w:szCs w:val="24"/>
              </w:rPr>
              <w:t>GEOGRAPHICAL RANGE:</w:t>
            </w:r>
            <w:r w:rsidRPr="00B55B89">
              <w:rPr>
                <w:sz w:val="24"/>
                <w:szCs w:val="24"/>
              </w:rPr>
              <w:t xml:space="preserve"> </w:t>
            </w:r>
          </w:p>
          <w:p w14:paraId="5D52CE02" w14:textId="77777777" w:rsidR="00866AFC" w:rsidRPr="00B55B89" w:rsidRDefault="00866AFC">
            <w:pPr>
              <w:autoSpaceDE w:val="0"/>
              <w:autoSpaceDN w:val="0"/>
              <w:adjustRightInd w:val="0"/>
              <w:rPr>
                <w:sz w:val="24"/>
                <w:szCs w:val="24"/>
              </w:rPr>
            </w:pPr>
            <w:r w:rsidRPr="00B55B89">
              <w:rPr>
                <w:sz w:val="24"/>
                <w:szCs w:val="24"/>
              </w:rPr>
              <w:t>England</w:t>
            </w:r>
            <w:r w:rsidRPr="00B55B89">
              <w:rPr>
                <w:b/>
                <w:sz w:val="24"/>
                <w:szCs w:val="24"/>
              </w:rPr>
              <w:t xml:space="preserve"> </w:t>
            </w:r>
          </w:p>
          <w:p w14:paraId="4CB61751" w14:textId="77777777" w:rsidR="00866AFC" w:rsidRPr="00B55B89" w:rsidRDefault="00866AFC">
            <w:pPr>
              <w:autoSpaceDE w:val="0"/>
              <w:autoSpaceDN w:val="0"/>
              <w:adjustRightInd w:val="0"/>
              <w:rPr>
                <w:b/>
                <w:sz w:val="24"/>
                <w:szCs w:val="24"/>
              </w:rPr>
            </w:pPr>
          </w:p>
          <w:p w14:paraId="00A94A2F" w14:textId="77777777" w:rsidR="00866AFC" w:rsidRPr="00B55B89" w:rsidRDefault="00866AFC">
            <w:pPr>
              <w:autoSpaceDE w:val="0"/>
              <w:autoSpaceDN w:val="0"/>
              <w:adjustRightInd w:val="0"/>
              <w:rPr>
                <w:b/>
                <w:sz w:val="24"/>
                <w:szCs w:val="24"/>
              </w:rPr>
            </w:pPr>
            <w:r w:rsidRPr="00B55B89">
              <w:rPr>
                <w:b/>
                <w:sz w:val="24"/>
                <w:szCs w:val="24"/>
              </w:rPr>
              <w:t xml:space="preserve">AGE:  </w:t>
            </w:r>
          </w:p>
          <w:p w14:paraId="798F92AF" w14:textId="77777777" w:rsidR="00866AFC" w:rsidRPr="00B55B89" w:rsidRDefault="00866AFC">
            <w:pPr>
              <w:autoSpaceDE w:val="0"/>
              <w:autoSpaceDN w:val="0"/>
              <w:adjustRightInd w:val="0"/>
              <w:rPr>
                <w:b/>
                <w:sz w:val="24"/>
                <w:szCs w:val="24"/>
              </w:rPr>
            </w:pPr>
            <w:r w:rsidRPr="00B55B89">
              <w:rPr>
                <w:sz w:val="24"/>
                <w:szCs w:val="24"/>
              </w:rPr>
              <w:t xml:space="preserve">The survey is for patients aged 16 and over. </w:t>
            </w:r>
          </w:p>
          <w:p w14:paraId="13FB4AD3" w14:textId="77777777" w:rsidR="00866AFC" w:rsidRPr="00B55B89" w:rsidRDefault="00866AFC">
            <w:pPr>
              <w:autoSpaceDE w:val="0"/>
              <w:autoSpaceDN w:val="0"/>
              <w:adjustRightInd w:val="0"/>
              <w:rPr>
                <w:b/>
                <w:sz w:val="24"/>
                <w:szCs w:val="24"/>
              </w:rPr>
            </w:pPr>
          </w:p>
          <w:p w14:paraId="2A723A6C" w14:textId="77777777" w:rsidR="00866AFC" w:rsidRPr="00B55B89" w:rsidRDefault="00866AFC">
            <w:pPr>
              <w:autoSpaceDE w:val="0"/>
              <w:autoSpaceDN w:val="0"/>
              <w:adjustRightInd w:val="0"/>
              <w:rPr>
                <w:b/>
                <w:sz w:val="24"/>
                <w:szCs w:val="24"/>
              </w:rPr>
            </w:pPr>
            <w:r w:rsidRPr="00B55B89">
              <w:rPr>
                <w:b/>
                <w:sz w:val="24"/>
                <w:szCs w:val="24"/>
              </w:rPr>
              <w:t>DISAGGREGATION:</w:t>
            </w:r>
          </w:p>
          <w:p w14:paraId="7B381CCB" w14:textId="77777777" w:rsidR="00866AFC" w:rsidRPr="00B55B89" w:rsidRDefault="00866AFC">
            <w:pPr>
              <w:autoSpaceDE w:val="0"/>
              <w:autoSpaceDN w:val="0"/>
              <w:adjustRightInd w:val="0"/>
              <w:rPr>
                <w:sz w:val="24"/>
                <w:szCs w:val="24"/>
              </w:rPr>
            </w:pPr>
            <w:r w:rsidRPr="00B55B89">
              <w:rPr>
                <w:sz w:val="24"/>
                <w:szCs w:val="24"/>
              </w:rPr>
              <w:t xml:space="preserve">The Department of Health has made tackling health inequalities a priority.  It is also under a legal obligation to promote equality across the equality strands protected in the Equality Act 2010.  There is, therefore, a legal requirement and a principle that the design and introduction of the NHS Outcomes Framework will not cause any group to be disadvantaged.  </w:t>
            </w:r>
            <w:r w:rsidRPr="00B55B89">
              <w:rPr>
                <w:sz w:val="24"/>
                <w:szCs w:val="24"/>
              </w:rPr>
              <w:br/>
            </w:r>
            <w:r w:rsidRPr="00B55B89">
              <w:rPr>
                <w:sz w:val="24"/>
                <w:szCs w:val="24"/>
              </w:rPr>
              <w:br/>
            </w:r>
            <w:r w:rsidRPr="00B55B89">
              <w:rPr>
                <w:sz w:val="24"/>
                <w:szCs w:val="24"/>
              </w:rPr>
              <w:lastRenderedPageBreak/>
              <w:t>Where possible, all indicators in Domain 4 should be disaggregated by the equality and inequality strands.  It should be noted that not all strands are covered in the surveys.</w:t>
            </w:r>
          </w:p>
          <w:p w14:paraId="32B5969A" w14:textId="77777777" w:rsidR="00866AFC" w:rsidRPr="00B55B89" w:rsidRDefault="00866AFC">
            <w:pPr>
              <w:autoSpaceDE w:val="0"/>
              <w:autoSpaceDN w:val="0"/>
              <w:adjustRightInd w:val="0"/>
              <w:rPr>
                <w:sz w:val="24"/>
                <w:szCs w:val="24"/>
              </w:rPr>
            </w:pPr>
          </w:p>
          <w:p w14:paraId="7B5F5959" w14:textId="2F0855C7" w:rsidR="00866AFC" w:rsidRPr="00B55B89" w:rsidRDefault="00866AFC">
            <w:pPr>
              <w:rPr>
                <w:sz w:val="24"/>
                <w:szCs w:val="24"/>
              </w:rPr>
            </w:pPr>
            <w:r w:rsidRPr="00B55B89">
              <w:rPr>
                <w:sz w:val="24"/>
                <w:szCs w:val="24"/>
              </w:rPr>
              <w:t xml:space="preserve">The following strands are covered in the survey used to measure this indicator </w:t>
            </w:r>
          </w:p>
          <w:p w14:paraId="6DCF80D7" w14:textId="77777777" w:rsidR="005F1306" w:rsidRPr="00B55B89" w:rsidRDefault="005F1306">
            <w:pPr>
              <w:rPr>
                <w:sz w:val="24"/>
                <w:szCs w:val="24"/>
              </w:rPr>
            </w:pPr>
          </w:p>
          <w:p w14:paraId="22F771C8" w14:textId="41644495" w:rsidR="005F1306" w:rsidRPr="00B55B89" w:rsidRDefault="005F1306">
            <w:pPr>
              <w:rPr>
                <w:sz w:val="24"/>
                <w:szCs w:val="24"/>
              </w:rPr>
            </w:pPr>
            <w:r w:rsidRPr="00B55B89">
              <w:rPr>
                <w:sz w:val="24"/>
                <w:szCs w:val="24"/>
              </w:rPr>
              <w:t xml:space="preserve">Gender </w:t>
            </w:r>
          </w:p>
          <w:p w14:paraId="6952FDBE" w14:textId="3EA7D00F" w:rsidR="005F1306" w:rsidRPr="00B55B89" w:rsidRDefault="005F1306">
            <w:pPr>
              <w:rPr>
                <w:sz w:val="24"/>
                <w:szCs w:val="24"/>
              </w:rPr>
            </w:pPr>
            <w:r w:rsidRPr="00B55B89">
              <w:rPr>
                <w:sz w:val="24"/>
                <w:szCs w:val="24"/>
              </w:rPr>
              <w:t xml:space="preserve">Age </w:t>
            </w:r>
          </w:p>
          <w:p w14:paraId="5AF9FDA5" w14:textId="46E5B7AD" w:rsidR="005F1306" w:rsidRPr="00B55B89" w:rsidRDefault="005F1306">
            <w:pPr>
              <w:rPr>
                <w:sz w:val="24"/>
                <w:szCs w:val="24"/>
              </w:rPr>
            </w:pPr>
            <w:r w:rsidRPr="00B55B89">
              <w:rPr>
                <w:sz w:val="24"/>
                <w:szCs w:val="24"/>
              </w:rPr>
              <w:t xml:space="preserve">Ethnicity </w:t>
            </w:r>
          </w:p>
          <w:p w14:paraId="43C9250C" w14:textId="77777777" w:rsidR="005F1306" w:rsidRPr="00B55B89" w:rsidRDefault="005F1306">
            <w:pPr>
              <w:rPr>
                <w:sz w:val="24"/>
                <w:szCs w:val="24"/>
              </w:rPr>
            </w:pPr>
          </w:p>
          <w:p w14:paraId="547101E2" w14:textId="77777777" w:rsidR="00866AFC" w:rsidRPr="00B55B89" w:rsidRDefault="00866AFC">
            <w:pPr>
              <w:autoSpaceDE w:val="0"/>
              <w:autoSpaceDN w:val="0"/>
              <w:adjustRightInd w:val="0"/>
              <w:rPr>
                <w:sz w:val="24"/>
                <w:szCs w:val="24"/>
              </w:rPr>
            </w:pPr>
          </w:p>
          <w:p w14:paraId="0E622222" w14:textId="77777777" w:rsidR="00866AFC" w:rsidRPr="00B55B89" w:rsidRDefault="00866AFC">
            <w:pPr>
              <w:autoSpaceDE w:val="0"/>
              <w:autoSpaceDN w:val="0"/>
              <w:adjustRightInd w:val="0"/>
              <w:rPr>
                <w:sz w:val="24"/>
                <w:szCs w:val="24"/>
              </w:rPr>
            </w:pPr>
            <w:r w:rsidRPr="00B55B89">
              <w:rPr>
                <w:sz w:val="24"/>
                <w:szCs w:val="24"/>
              </w:rPr>
              <w:t>For those strands that are covered, disaggregation is only possible at a national level.  Disaggregation at trust level is unreliable due to sample size.</w:t>
            </w:r>
          </w:p>
          <w:p w14:paraId="65C41C76" w14:textId="77777777" w:rsidR="00866AFC" w:rsidRPr="00B55B89" w:rsidRDefault="00866AFC">
            <w:pPr>
              <w:autoSpaceDE w:val="0"/>
              <w:autoSpaceDN w:val="0"/>
              <w:adjustRightInd w:val="0"/>
              <w:rPr>
                <w:sz w:val="24"/>
                <w:szCs w:val="24"/>
              </w:rPr>
            </w:pPr>
          </w:p>
          <w:p w14:paraId="2F84B7DB" w14:textId="77777777" w:rsidR="00866AFC" w:rsidRPr="00B55B89" w:rsidRDefault="00866AFC">
            <w:pPr>
              <w:autoSpaceDE w:val="0"/>
              <w:autoSpaceDN w:val="0"/>
              <w:adjustRightInd w:val="0"/>
              <w:rPr>
                <w:sz w:val="24"/>
                <w:szCs w:val="24"/>
              </w:rPr>
            </w:pPr>
            <w:r w:rsidRPr="00B55B89">
              <w:rPr>
                <w:sz w:val="24"/>
                <w:szCs w:val="24"/>
              </w:rPr>
              <w:t>Disaggregation is also required by age, using the following age bandings:</w:t>
            </w:r>
          </w:p>
          <w:p w14:paraId="118E0FFF" w14:textId="77777777" w:rsidR="00866AFC" w:rsidRPr="00B55B89" w:rsidRDefault="00866AFC">
            <w:pPr>
              <w:autoSpaceDE w:val="0"/>
              <w:autoSpaceDN w:val="0"/>
              <w:adjustRightInd w:val="0"/>
              <w:rPr>
                <w:sz w:val="24"/>
                <w:szCs w:val="24"/>
              </w:rPr>
            </w:pPr>
            <w:r w:rsidRPr="00B55B89">
              <w:rPr>
                <w:sz w:val="24"/>
                <w:szCs w:val="24"/>
              </w:rPr>
              <w:t>16 to 35</w:t>
            </w:r>
          </w:p>
          <w:p w14:paraId="12086F66" w14:textId="77777777" w:rsidR="00866AFC" w:rsidRPr="00B55B89" w:rsidRDefault="00866AFC">
            <w:pPr>
              <w:autoSpaceDE w:val="0"/>
              <w:autoSpaceDN w:val="0"/>
              <w:adjustRightInd w:val="0"/>
              <w:rPr>
                <w:sz w:val="24"/>
                <w:szCs w:val="24"/>
              </w:rPr>
            </w:pPr>
            <w:r w:rsidRPr="00B55B89">
              <w:rPr>
                <w:sz w:val="24"/>
                <w:szCs w:val="24"/>
              </w:rPr>
              <w:t>36 to 50</w:t>
            </w:r>
          </w:p>
          <w:p w14:paraId="68A653A6" w14:textId="77777777" w:rsidR="00866AFC" w:rsidRPr="00B55B89" w:rsidRDefault="00866AFC">
            <w:pPr>
              <w:autoSpaceDE w:val="0"/>
              <w:autoSpaceDN w:val="0"/>
              <w:adjustRightInd w:val="0"/>
              <w:rPr>
                <w:sz w:val="24"/>
                <w:szCs w:val="24"/>
              </w:rPr>
            </w:pPr>
            <w:r w:rsidRPr="00B55B89">
              <w:rPr>
                <w:sz w:val="24"/>
                <w:szCs w:val="24"/>
              </w:rPr>
              <w:t>51 to 65</w:t>
            </w:r>
          </w:p>
          <w:p w14:paraId="4FE3FEF7" w14:textId="0319113E" w:rsidR="00866AFC" w:rsidRPr="00B55B89" w:rsidRDefault="00866AFC">
            <w:pPr>
              <w:autoSpaceDE w:val="0"/>
              <w:autoSpaceDN w:val="0"/>
              <w:adjustRightInd w:val="0"/>
              <w:rPr>
                <w:sz w:val="24"/>
                <w:szCs w:val="24"/>
              </w:rPr>
            </w:pPr>
            <w:r w:rsidRPr="00B55B89">
              <w:rPr>
                <w:sz w:val="24"/>
                <w:szCs w:val="24"/>
              </w:rPr>
              <w:t>66 and over</w:t>
            </w:r>
          </w:p>
          <w:p w14:paraId="372CFB5D" w14:textId="77777777" w:rsidR="005F1306" w:rsidRPr="00B55B89" w:rsidRDefault="005F1306">
            <w:pPr>
              <w:autoSpaceDE w:val="0"/>
              <w:autoSpaceDN w:val="0"/>
              <w:adjustRightInd w:val="0"/>
              <w:rPr>
                <w:sz w:val="24"/>
                <w:szCs w:val="24"/>
              </w:rPr>
            </w:pPr>
          </w:p>
          <w:p w14:paraId="73B73663" w14:textId="33B80F3A" w:rsidR="005F1306" w:rsidRPr="00B55B89" w:rsidRDefault="005F1306">
            <w:pPr>
              <w:autoSpaceDE w:val="0"/>
              <w:autoSpaceDN w:val="0"/>
              <w:adjustRightInd w:val="0"/>
              <w:rPr>
                <w:sz w:val="24"/>
                <w:szCs w:val="24"/>
              </w:rPr>
            </w:pPr>
            <w:r w:rsidRPr="00B55B89">
              <w:rPr>
                <w:sz w:val="24"/>
                <w:szCs w:val="24"/>
              </w:rPr>
              <w:t>Does this indicator measure a</w:t>
            </w:r>
            <w:bookmarkStart w:id="1" w:name="iap_a2_process"/>
            <w:r w:rsidRPr="00B55B89">
              <w:rPr>
                <w:sz w:val="24"/>
                <w:szCs w:val="24"/>
              </w:rPr>
              <w:t xml:space="preserve"> </w:t>
            </w:r>
            <w:r w:rsidRPr="00B55B89">
              <w:rPr>
                <w:sz w:val="24"/>
                <w:szCs w:val="24"/>
              </w:rPr>
              <w:fldChar w:fldCharType="begin">
                <w:ffData>
                  <w:name w:val="iap_a2_process"/>
                  <w:enabled/>
                  <w:calcOnExit w:val="0"/>
                  <w:checkBox>
                    <w:sizeAuto/>
                    <w:default w:val="0"/>
                  </w:checkBox>
                </w:ffData>
              </w:fldChar>
            </w:r>
            <w:r w:rsidRPr="00B55B89">
              <w:rPr>
                <w:sz w:val="24"/>
                <w:szCs w:val="24"/>
              </w:rPr>
              <w:instrText xml:space="preserve"> FORMCHECKBOX </w:instrText>
            </w:r>
            <w:r w:rsidR="00AF5700" w:rsidRPr="00B55B89">
              <w:rPr>
                <w:sz w:val="24"/>
                <w:szCs w:val="24"/>
              </w:rPr>
            </w:r>
            <w:r w:rsidR="00AF5700" w:rsidRPr="00B55B89">
              <w:rPr>
                <w:sz w:val="24"/>
                <w:szCs w:val="24"/>
              </w:rPr>
              <w:fldChar w:fldCharType="separate"/>
            </w:r>
            <w:r w:rsidRPr="00B55B89">
              <w:rPr>
                <w:sz w:val="24"/>
                <w:szCs w:val="24"/>
              </w:rPr>
              <w:fldChar w:fldCharType="end"/>
            </w:r>
            <w:bookmarkEnd w:id="1"/>
            <w:r w:rsidRPr="00B55B89">
              <w:rPr>
                <w:sz w:val="24"/>
                <w:szCs w:val="24"/>
              </w:rPr>
              <w:t xml:space="preserve"> process </w:t>
            </w:r>
            <w:r w:rsidRPr="00B55B89">
              <w:rPr>
                <w:sz w:val="24"/>
                <w:szCs w:val="24"/>
              </w:rPr>
              <w:fldChar w:fldCharType="begin">
                <w:ffData>
                  <w:name w:val="iap_a3_notcomp"/>
                  <w:enabled/>
                  <w:calcOnExit w:val="0"/>
                  <w:checkBox>
                    <w:sizeAuto/>
                    <w:default w:val="0"/>
                  </w:checkBox>
                </w:ffData>
              </w:fldChar>
            </w:r>
            <w:r w:rsidRPr="00B55B89">
              <w:rPr>
                <w:sz w:val="24"/>
                <w:szCs w:val="24"/>
              </w:rPr>
              <w:instrText xml:space="preserve"> FORMCHECKBOX </w:instrText>
            </w:r>
            <w:r w:rsidR="00AF5700" w:rsidRPr="00B55B89">
              <w:rPr>
                <w:sz w:val="24"/>
                <w:szCs w:val="24"/>
              </w:rPr>
            </w:r>
            <w:r w:rsidR="00AF5700" w:rsidRPr="00B55B89">
              <w:rPr>
                <w:sz w:val="24"/>
                <w:szCs w:val="24"/>
              </w:rPr>
              <w:fldChar w:fldCharType="separate"/>
            </w:r>
            <w:r w:rsidRPr="00B55B89">
              <w:rPr>
                <w:sz w:val="24"/>
                <w:szCs w:val="24"/>
              </w:rPr>
              <w:fldChar w:fldCharType="end"/>
            </w:r>
            <w:r w:rsidRPr="00B55B89">
              <w:rPr>
                <w:sz w:val="24"/>
                <w:szCs w:val="24"/>
              </w:rPr>
              <w:t xml:space="preserve">outcome including process as </w:t>
            </w:r>
            <w:proofErr w:type="gramStart"/>
            <w:r w:rsidRPr="00B55B89">
              <w:rPr>
                <w:sz w:val="24"/>
                <w:szCs w:val="24"/>
              </w:rPr>
              <w:t>proxy</w:t>
            </w:r>
            <w:proofErr w:type="gramEnd"/>
          </w:p>
          <w:p w14:paraId="63A20EF3" w14:textId="5B247A1C" w:rsidR="005F1306" w:rsidRPr="00B55B89" w:rsidRDefault="005F1306">
            <w:pPr>
              <w:autoSpaceDE w:val="0"/>
              <w:autoSpaceDN w:val="0"/>
              <w:adjustRightInd w:val="0"/>
              <w:rPr>
                <w:sz w:val="24"/>
                <w:szCs w:val="24"/>
              </w:rPr>
            </w:pPr>
          </w:p>
          <w:p w14:paraId="2C188991" w14:textId="19D86B84" w:rsidR="005F1306" w:rsidRPr="00B55B89" w:rsidRDefault="005F1306" w:rsidP="00870FD9">
            <w:pPr>
              <w:autoSpaceDE w:val="0"/>
              <w:autoSpaceDN w:val="0"/>
              <w:adjustRightInd w:val="0"/>
              <w:rPr>
                <w:sz w:val="24"/>
                <w:szCs w:val="24"/>
              </w:rPr>
            </w:pPr>
            <w:r w:rsidRPr="00B55B89">
              <w:rPr>
                <w:sz w:val="24"/>
                <w:szCs w:val="24"/>
              </w:rPr>
              <w:t>This measure i</w:t>
            </w:r>
            <w:r w:rsidR="00870FD9" w:rsidRPr="00B55B89">
              <w:rPr>
                <w:sz w:val="24"/>
                <w:szCs w:val="24"/>
              </w:rPr>
              <w:t xml:space="preserve">s </w:t>
            </w:r>
            <w:r w:rsidRPr="00B55B89">
              <w:rPr>
                <w:sz w:val="24"/>
                <w:szCs w:val="24"/>
              </w:rPr>
              <w:t>compared against a national average</w:t>
            </w:r>
          </w:p>
          <w:p w14:paraId="78B926A3" w14:textId="66D8E53E" w:rsidR="005F1306" w:rsidRPr="00B55B89" w:rsidRDefault="005F1306">
            <w:pPr>
              <w:rPr>
                <w:sz w:val="24"/>
                <w:szCs w:val="24"/>
              </w:rPr>
            </w:pPr>
          </w:p>
        </w:tc>
      </w:tr>
      <w:tr w:rsidR="005F1306" w:rsidRPr="00B55B89" w14:paraId="409D2C3A" w14:textId="77777777" w:rsidTr="00C5114A">
        <w:tc>
          <w:tcPr>
            <w:tcW w:w="13948" w:type="dxa"/>
          </w:tcPr>
          <w:p w14:paraId="6EE0C973" w14:textId="77777777" w:rsidR="00866AFC" w:rsidRPr="00B55B89" w:rsidRDefault="00866AFC" w:rsidP="00866AFC">
            <w:pPr>
              <w:numPr>
                <w:ilvl w:val="0"/>
                <w:numId w:val="1"/>
              </w:numPr>
              <w:rPr>
                <w:sz w:val="24"/>
                <w:szCs w:val="24"/>
              </w:rPr>
            </w:pPr>
            <w:r w:rsidRPr="00B55B89">
              <w:rPr>
                <w:sz w:val="24"/>
                <w:szCs w:val="24"/>
              </w:rPr>
              <w:lastRenderedPageBreak/>
              <w:t xml:space="preserve">List any indicators which overlap with the proposed indicator Are there other similar indicators currently in use?  The IC will provide a library of existing indicators as a later part of this project development.  For now, please list any indicator sources you have checked.  </w:t>
            </w:r>
          </w:p>
        </w:tc>
      </w:tr>
      <w:tr w:rsidR="005F1306" w:rsidRPr="00B55B89" w14:paraId="11DEA41F" w14:textId="77777777" w:rsidTr="00C5114A">
        <w:tc>
          <w:tcPr>
            <w:tcW w:w="13948" w:type="dxa"/>
          </w:tcPr>
          <w:p w14:paraId="68B672D4" w14:textId="77777777" w:rsidR="00866AFC" w:rsidRPr="00B55B89" w:rsidRDefault="00866AFC">
            <w:pPr>
              <w:rPr>
                <w:sz w:val="24"/>
                <w:szCs w:val="24"/>
              </w:rPr>
            </w:pPr>
            <w:r w:rsidRPr="00B55B89">
              <w:rPr>
                <w:sz w:val="24"/>
                <w:szCs w:val="24"/>
              </w:rPr>
              <w:t>NHS Comparators, CQC – Both NHS Comparators and CQC have used data from the GP Patient Survey in the past to present information on Access to GP Services in the past, however, different measures of access have been used.  No other organisations have permission from DH to produce and publish indicators based on the GP Patient Survey.</w:t>
            </w:r>
          </w:p>
          <w:p w14:paraId="3A600CFA" w14:textId="77777777" w:rsidR="00866AFC" w:rsidRPr="00B55B89" w:rsidRDefault="00866AFC">
            <w:pPr>
              <w:rPr>
                <w:sz w:val="24"/>
                <w:szCs w:val="24"/>
              </w:rPr>
            </w:pPr>
          </w:p>
        </w:tc>
      </w:tr>
      <w:tr w:rsidR="005F1306" w:rsidRPr="00B55B89" w14:paraId="46DEBB08" w14:textId="77777777" w:rsidTr="00C5114A">
        <w:tc>
          <w:tcPr>
            <w:tcW w:w="13948" w:type="dxa"/>
          </w:tcPr>
          <w:p w14:paraId="254AEFD0" w14:textId="77777777" w:rsidR="00866AFC" w:rsidRPr="00B55B89" w:rsidRDefault="00866AFC" w:rsidP="00866AFC">
            <w:pPr>
              <w:numPr>
                <w:ilvl w:val="0"/>
                <w:numId w:val="1"/>
              </w:numPr>
              <w:rPr>
                <w:sz w:val="24"/>
                <w:szCs w:val="24"/>
              </w:rPr>
            </w:pPr>
            <w:r w:rsidRPr="00B55B89">
              <w:rPr>
                <w:sz w:val="24"/>
                <w:szCs w:val="24"/>
              </w:rPr>
              <w:t xml:space="preserve">What value does the proposed indicator offer over existing indicators? </w:t>
            </w:r>
          </w:p>
        </w:tc>
      </w:tr>
      <w:tr w:rsidR="005F1306" w:rsidRPr="00B55B89" w14:paraId="01017D1D" w14:textId="77777777" w:rsidTr="00C5114A">
        <w:tc>
          <w:tcPr>
            <w:tcW w:w="13948" w:type="dxa"/>
          </w:tcPr>
          <w:p w14:paraId="69B9EBC9" w14:textId="77777777" w:rsidR="00866AFC" w:rsidRPr="00B55B89" w:rsidRDefault="00866AFC">
            <w:pPr>
              <w:rPr>
                <w:sz w:val="24"/>
                <w:szCs w:val="24"/>
              </w:rPr>
            </w:pPr>
            <w:r w:rsidRPr="00B55B89">
              <w:rPr>
                <w:sz w:val="24"/>
                <w:szCs w:val="24"/>
              </w:rPr>
              <w:lastRenderedPageBreak/>
              <w:t xml:space="preserve">Results from previous surveys have been used in the Quality and Outcomes framework to pay GP Practices for their performance on Access to Services.  These measures have also been used nationally by </w:t>
            </w:r>
            <w:smartTag w:uri="urn:schemas-microsoft-com:office:smarttags" w:element="stockticker">
              <w:r w:rsidRPr="00B55B89">
                <w:rPr>
                  <w:sz w:val="24"/>
                  <w:szCs w:val="24"/>
                </w:rPr>
                <w:t>HMT</w:t>
              </w:r>
            </w:smartTag>
            <w:r w:rsidRPr="00B55B89">
              <w:rPr>
                <w:sz w:val="24"/>
                <w:szCs w:val="24"/>
              </w:rPr>
              <w:t xml:space="preserve"> and by the CQC at a PCT level.  However, the questions on which access has been measured previously are no longer in the survey.  </w:t>
            </w:r>
          </w:p>
          <w:p w14:paraId="1C975B9C" w14:textId="77777777" w:rsidR="00866AFC" w:rsidRPr="00B55B89" w:rsidRDefault="00866AFC">
            <w:pPr>
              <w:rPr>
                <w:sz w:val="24"/>
                <w:szCs w:val="24"/>
              </w:rPr>
            </w:pPr>
          </w:p>
          <w:p w14:paraId="75A21E20" w14:textId="37877464" w:rsidR="00866AFC" w:rsidRPr="00B55B89" w:rsidRDefault="00866AFC">
            <w:pPr>
              <w:rPr>
                <w:sz w:val="24"/>
                <w:szCs w:val="24"/>
              </w:rPr>
            </w:pPr>
            <w:r w:rsidRPr="00B55B89">
              <w:rPr>
                <w:sz w:val="24"/>
                <w:szCs w:val="24"/>
              </w:rPr>
              <w:t>The questions have been redesigned to better understand the expectations and experiences of patients.  Previous indicators have also received criticism from the GP community due to their link to pay for performance.  By changing the indicator, we are making a clearer break from the original access indicators.</w:t>
            </w:r>
          </w:p>
          <w:p w14:paraId="676AA324" w14:textId="77777777" w:rsidR="00866AFC" w:rsidRPr="00B55B89" w:rsidRDefault="00866AFC">
            <w:pPr>
              <w:autoSpaceDE w:val="0"/>
              <w:autoSpaceDN w:val="0"/>
              <w:adjustRightInd w:val="0"/>
              <w:rPr>
                <w:sz w:val="24"/>
                <w:szCs w:val="24"/>
              </w:rPr>
            </w:pPr>
          </w:p>
        </w:tc>
      </w:tr>
      <w:tr w:rsidR="005F1306" w:rsidRPr="00B55B89" w14:paraId="1FC556E5" w14:textId="77777777" w:rsidTr="00C5114A">
        <w:tc>
          <w:tcPr>
            <w:tcW w:w="13948" w:type="dxa"/>
          </w:tcPr>
          <w:p w14:paraId="519C1D76" w14:textId="77777777" w:rsidR="00866AFC" w:rsidRPr="00B55B89" w:rsidRDefault="00866AFC" w:rsidP="00866AFC">
            <w:pPr>
              <w:numPr>
                <w:ilvl w:val="0"/>
                <w:numId w:val="1"/>
              </w:numPr>
              <w:rPr>
                <w:sz w:val="24"/>
                <w:szCs w:val="24"/>
              </w:rPr>
            </w:pPr>
            <w:r w:rsidRPr="00B55B89">
              <w:rPr>
                <w:sz w:val="24"/>
                <w:szCs w:val="24"/>
              </w:rPr>
              <w:t>How is the indicator to be derived from its source data?</w:t>
            </w:r>
          </w:p>
          <w:p w14:paraId="75CFB9E5" w14:textId="77777777" w:rsidR="005F1306" w:rsidRPr="00B55B89" w:rsidRDefault="005F1306" w:rsidP="005F1306">
            <w:pPr>
              <w:rPr>
                <w:sz w:val="24"/>
                <w:szCs w:val="24"/>
              </w:rPr>
            </w:pPr>
          </w:p>
          <w:p w14:paraId="5B908046" w14:textId="03EA59C6" w:rsidR="005F1306" w:rsidRPr="00B55B89" w:rsidRDefault="005F1306" w:rsidP="005F1306">
            <w:pPr>
              <w:rPr>
                <w:sz w:val="24"/>
                <w:szCs w:val="24"/>
              </w:rPr>
            </w:pPr>
            <w:r w:rsidRPr="00B55B89">
              <w:rPr>
                <w:sz w:val="24"/>
                <w:szCs w:val="24"/>
              </w:rPr>
              <w:t xml:space="preserve">Existing raw data that require further calculation to answer the indicator question.  </w:t>
            </w:r>
          </w:p>
          <w:p w14:paraId="31297DA1" w14:textId="77777777" w:rsidR="005F1306" w:rsidRPr="00B55B89" w:rsidRDefault="005F1306" w:rsidP="00870FD9">
            <w:pPr>
              <w:rPr>
                <w:sz w:val="24"/>
                <w:szCs w:val="24"/>
              </w:rPr>
            </w:pPr>
          </w:p>
        </w:tc>
      </w:tr>
      <w:tr w:rsidR="005F1306" w:rsidRPr="00B55B89" w14:paraId="0B73ADDF" w14:textId="77777777" w:rsidTr="00C5114A">
        <w:tc>
          <w:tcPr>
            <w:tcW w:w="13948" w:type="dxa"/>
          </w:tcPr>
          <w:p w14:paraId="278098D3" w14:textId="77777777" w:rsidR="00866AFC" w:rsidRPr="00B55B89" w:rsidRDefault="00866AFC" w:rsidP="00866AFC">
            <w:pPr>
              <w:numPr>
                <w:ilvl w:val="0"/>
                <w:numId w:val="1"/>
              </w:numPr>
              <w:rPr>
                <w:sz w:val="24"/>
                <w:szCs w:val="24"/>
              </w:rPr>
            </w:pPr>
            <w:r w:rsidRPr="00B55B89">
              <w:rPr>
                <w:sz w:val="24"/>
                <w:szCs w:val="24"/>
              </w:rPr>
              <w:t xml:space="preserve">Is this indicator linked to another that has been submitted to pipeline?  Give the name and relationship </w:t>
            </w:r>
          </w:p>
        </w:tc>
      </w:tr>
      <w:tr w:rsidR="005F1306" w:rsidRPr="00B55B89" w14:paraId="3501942C" w14:textId="77777777" w:rsidTr="00C5114A">
        <w:tc>
          <w:tcPr>
            <w:tcW w:w="13948" w:type="dxa"/>
          </w:tcPr>
          <w:p w14:paraId="6FE207F8" w14:textId="77777777" w:rsidR="00866AFC" w:rsidRPr="00B55B89" w:rsidRDefault="00866AFC">
            <w:pPr>
              <w:rPr>
                <w:sz w:val="24"/>
                <w:szCs w:val="24"/>
              </w:rPr>
            </w:pPr>
            <w:r w:rsidRPr="00B55B89">
              <w:rPr>
                <w:sz w:val="24"/>
                <w:szCs w:val="24"/>
              </w:rPr>
              <w:t>Yes, this is indicator is part of the Domain 4 indicator set which is being developed as part of The NHS Outcomes Framework 2011/12.</w:t>
            </w:r>
          </w:p>
          <w:p w14:paraId="4D58ABA1" w14:textId="77777777" w:rsidR="00866AFC" w:rsidRPr="00B55B89" w:rsidRDefault="00866AFC">
            <w:pPr>
              <w:rPr>
                <w:sz w:val="24"/>
                <w:szCs w:val="24"/>
              </w:rPr>
            </w:pPr>
          </w:p>
          <w:p w14:paraId="5DBD271D" w14:textId="77777777" w:rsidR="00866AFC" w:rsidRPr="00B55B89" w:rsidRDefault="00866AFC">
            <w:pPr>
              <w:rPr>
                <w:bCs/>
                <w:sz w:val="24"/>
                <w:szCs w:val="24"/>
              </w:rPr>
            </w:pPr>
            <w:r w:rsidRPr="00B55B89">
              <w:rPr>
                <w:bCs/>
                <w:sz w:val="24"/>
                <w:szCs w:val="24"/>
              </w:rPr>
              <w:t xml:space="preserve">4a </w:t>
            </w:r>
            <w:r w:rsidRPr="00B55B89">
              <w:rPr>
                <w:sz w:val="24"/>
                <w:szCs w:val="24"/>
              </w:rPr>
              <w:t xml:space="preserve">Patient experience of primary care </w:t>
            </w:r>
            <w:r w:rsidRPr="00B55B89">
              <w:rPr>
                <w:sz w:val="24"/>
                <w:szCs w:val="24"/>
              </w:rPr>
              <w:br/>
            </w:r>
            <w:r w:rsidRPr="00B55B89">
              <w:rPr>
                <w:bCs/>
                <w:sz w:val="24"/>
                <w:szCs w:val="24"/>
              </w:rPr>
              <w:t xml:space="preserve">4b </w:t>
            </w:r>
            <w:r w:rsidRPr="00B55B89">
              <w:rPr>
                <w:sz w:val="24"/>
                <w:szCs w:val="24"/>
              </w:rPr>
              <w:t xml:space="preserve">Patient experience of hospital care </w:t>
            </w:r>
            <w:r w:rsidRPr="00B55B89">
              <w:rPr>
                <w:sz w:val="24"/>
                <w:szCs w:val="24"/>
              </w:rPr>
              <w:br/>
            </w:r>
            <w:r w:rsidRPr="00B55B89">
              <w:rPr>
                <w:bCs/>
                <w:sz w:val="24"/>
                <w:szCs w:val="24"/>
              </w:rPr>
              <w:t xml:space="preserve">4.1 Improving people’s experience of outpatient care </w:t>
            </w:r>
            <w:r w:rsidRPr="00B55B89">
              <w:rPr>
                <w:sz w:val="24"/>
                <w:szCs w:val="24"/>
              </w:rPr>
              <w:br/>
            </w:r>
            <w:r w:rsidRPr="00B55B89">
              <w:rPr>
                <w:bCs/>
                <w:sz w:val="24"/>
                <w:szCs w:val="24"/>
              </w:rPr>
              <w:t xml:space="preserve">4.2 Improving hospitals’ responsiveness to personal needs </w:t>
            </w:r>
            <w:r w:rsidRPr="00B55B89">
              <w:rPr>
                <w:sz w:val="24"/>
                <w:szCs w:val="24"/>
              </w:rPr>
              <w:br/>
            </w:r>
            <w:r w:rsidRPr="00B55B89">
              <w:rPr>
                <w:bCs/>
                <w:sz w:val="24"/>
                <w:szCs w:val="24"/>
              </w:rPr>
              <w:t>4.3 Improving people’s experience of accident and emergency services</w:t>
            </w:r>
            <w:r w:rsidRPr="00B55B89">
              <w:rPr>
                <w:sz w:val="24"/>
                <w:szCs w:val="24"/>
              </w:rPr>
              <w:br/>
            </w:r>
            <w:r w:rsidRPr="00B55B89">
              <w:rPr>
                <w:bCs/>
                <w:sz w:val="24"/>
                <w:szCs w:val="24"/>
              </w:rPr>
              <w:t xml:space="preserve">4.4 Improving access to primary care services </w:t>
            </w:r>
            <w:r w:rsidRPr="00B55B89">
              <w:rPr>
                <w:sz w:val="24"/>
                <w:szCs w:val="24"/>
              </w:rPr>
              <w:br/>
            </w:r>
            <w:r w:rsidRPr="00B55B89">
              <w:rPr>
                <w:bCs/>
                <w:sz w:val="24"/>
                <w:szCs w:val="24"/>
              </w:rPr>
              <w:t>4.5 Improving women and their families’ experience of maternity services</w:t>
            </w:r>
            <w:r w:rsidRPr="00B55B89">
              <w:rPr>
                <w:sz w:val="24"/>
                <w:szCs w:val="24"/>
              </w:rPr>
              <w:t xml:space="preserve"> </w:t>
            </w:r>
            <w:r w:rsidRPr="00B55B89">
              <w:rPr>
                <w:sz w:val="24"/>
                <w:szCs w:val="24"/>
              </w:rPr>
              <w:br/>
            </w:r>
            <w:r w:rsidRPr="00B55B89">
              <w:rPr>
                <w:bCs/>
                <w:sz w:val="24"/>
                <w:szCs w:val="24"/>
              </w:rPr>
              <w:t>4.6 Improving the experience of care for people at the end of their lives</w:t>
            </w:r>
            <w:r w:rsidRPr="00B55B89">
              <w:rPr>
                <w:i/>
                <w:iCs/>
                <w:sz w:val="24"/>
                <w:szCs w:val="24"/>
              </w:rPr>
              <w:t xml:space="preserve"> </w:t>
            </w:r>
            <w:r w:rsidRPr="00B55B89">
              <w:rPr>
                <w:i/>
                <w:iCs/>
                <w:sz w:val="24"/>
                <w:szCs w:val="24"/>
              </w:rPr>
              <w:br/>
            </w:r>
            <w:r w:rsidRPr="00B55B89">
              <w:rPr>
                <w:bCs/>
                <w:sz w:val="24"/>
                <w:szCs w:val="24"/>
              </w:rPr>
              <w:t xml:space="preserve">4.7 Improving experience of healthcare for people with mental illness </w:t>
            </w:r>
            <w:r w:rsidRPr="00B55B89">
              <w:rPr>
                <w:bCs/>
                <w:sz w:val="24"/>
                <w:szCs w:val="24"/>
              </w:rPr>
              <w:br/>
            </w:r>
            <w:r w:rsidRPr="00B55B89">
              <w:rPr>
                <w:sz w:val="24"/>
                <w:szCs w:val="24"/>
              </w:rPr>
              <w:t xml:space="preserve">4.8 </w:t>
            </w:r>
            <w:r w:rsidRPr="00B55B89">
              <w:rPr>
                <w:bCs/>
                <w:sz w:val="24"/>
                <w:szCs w:val="24"/>
              </w:rPr>
              <w:t>Improving children and young people’s experience of healthcare</w:t>
            </w:r>
          </w:p>
          <w:p w14:paraId="3C926564" w14:textId="77777777" w:rsidR="00866AFC" w:rsidRPr="00B55B89" w:rsidRDefault="00866AFC">
            <w:pPr>
              <w:rPr>
                <w:bCs/>
                <w:sz w:val="24"/>
                <w:szCs w:val="24"/>
              </w:rPr>
            </w:pPr>
          </w:p>
          <w:p w14:paraId="57488FB5" w14:textId="77777777" w:rsidR="00866AFC" w:rsidRPr="00B55B89" w:rsidRDefault="00866AFC">
            <w:pPr>
              <w:rPr>
                <w:bCs/>
                <w:sz w:val="24"/>
                <w:szCs w:val="24"/>
              </w:rPr>
            </w:pPr>
            <w:r w:rsidRPr="00B55B89">
              <w:rPr>
                <w:bCs/>
                <w:sz w:val="24"/>
                <w:szCs w:val="24"/>
              </w:rPr>
              <w:t>Two indicators are being developed as part of 4.4.  The indicator relating to GP services (as detailed in this form), and the indicator relating to dental services.</w:t>
            </w:r>
          </w:p>
          <w:p w14:paraId="15BDFF8D" w14:textId="77777777" w:rsidR="00866AFC" w:rsidRPr="00B55B89" w:rsidRDefault="00866AFC">
            <w:pPr>
              <w:rPr>
                <w:b/>
                <w:sz w:val="24"/>
                <w:szCs w:val="24"/>
              </w:rPr>
            </w:pPr>
          </w:p>
        </w:tc>
      </w:tr>
      <w:tr w:rsidR="005F1306" w:rsidRPr="00B55B89" w14:paraId="6C4FBD0D" w14:textId="77777777" w:rsidTr="00C5114A">
        <w:trPr>
          <w:trHeight w:val="614"/>
        </w:trPr>
        <w:tc>
          <w:tcPr>
            <w:tcW w:w="13948" w:type="dxa"/>
          </w:tcPr>
          <w:p w14:paraId="76887725" w14:textId="77777777" w:rsidR="00866AFC" w:rsidRPr="00B55B89" w:rsidRDefault="00866AFC">
            <w:pPr>
              <w:rPr>
                <w:b/>
                <w:sz w:val="24"/>
                <w:szCs w:val="24"/>
              </w:rPr>
            </w:pPr>
            <w:bookmarkStart w:id="2" w:name="Section_B"/>
            <w:r w:rsidRPr="00B55B89">
              <w:rPr>
                <w:b/>
                <w:sz w:val="24"/>
                <w:szCs w:val="24"/>
              </w:rPr>
              <w:t>Section B – Application contact details (please note all contact details will be treated confidentially</w:t>
            </w:r>
            <w:bookmarkEnd w:id="2"/>
            <w:r w:rsidRPr="00B55B89">
              <w:rPr>
                <w:b/>
                <w:sz w:val="24"/>
                <w:szCs w:val="24"/>
              </w:rPr>
              <w:t>)</w:t>
            </w:r>
          </w:p>
        </w:tc>
      </w:tr>
      <w:tr w:rsidR="00A8010E" w:rsidRPr="00B55B89" w14:paraId="71375B84" w14:textId="77777777" w:rsidTr="00C5114A">
        <w:trPr>
          <w:trHeight w:val="614"/>
        </w:trPr>
        <w:tc>
          <w:tcPr>
            <w:tcW w:w="13948" w:type="dxa"/>
          </w:tcPr>
          <w:p w14:paraId="26786A7E" w14:textId="77777777" w:rsidR="00A8010E" w:rsidRPr="00B55B89" w:rsidRDefault="00A8010E">
            <w:pPr>
              <w:rPr>
                <w:b/>
                <w:sz w:val="24"/>
                <w:szCs w:val="24"/>
              </w:rPr>
            </w:pPr>
            <w:r w:rsidRPr="00B55B89">
              <w:rPr>
                <w:b/>
                <w:sz w:val="24"/>
                <w:szCs w:val="24"/>
              </w:rPr>
              <w:lastRenderedPageBreak/>
              <w:t xml:space="preserve">Applicant Name </w:t>
            </w:r>
          </w:p>
          <w:p w14:paraId="5EF3CB06" w14:textId="77777777" w:rsidR="00A8010E" w:rsidRPr="00B55B89" w:rsidRDefault="00A8010E">
            <w:pPr>
              <w:rPr>
                <w:bCs/>
                <w:sz w:val="24"/>
                <w:szCs w:val="24"/>
              </w:rPr>
            </w:pPr>
            <w:r w:rsidRPr="00B55B89">
              <w:rPr>
                <w:bCs/>
                <w:sz w:val="24"/>
                <w:szCs w:val="24"/>
              </w:rPr>
              <w:t xml:space="preserve">Toni Winder  0113 25 45182  </w:t>
            </w:r>
            <w:hyperlink r:id="rId10" w:history="1">
              <w:r w:rsidRPr="00B55B89">
                <w:rPr>
                  <w:rStyle w:val="Hyperlink"/>
                  <w:bCs/>
                  <w:sz w:val="24"/>
                  <w:szCs w:val="24"/>
                </w:rPr>
                <w:t>toni.winder@dh.gsi.gov.uk</w:t>
              </w:r>
            </w:hyperlink>
          </w:p>
          <w:p w14:paraId="7D3F61A9" w14:textId="77777777" w:rsidR="00A8010E" w:rsidRPr="00B55B89" w:rsidRDefault="00A8010E">
            <w:pPr>
              <w:rPr>
                <w:bCs/>
                <w:sz w:val="24"/>
                <w:szCs w:val="24"/>
              </w:rPr>
            </w:pPr>
          </w:p>
          <w:p w14:paraId="4EA37E76" w14:textId="39E01CD7" w:rsidR="00A8010E" w:rsidRPr="00B55B89" w:rsidRDefault="00A8010E">
            <w:pPr>
              <w:rPr>
                <w:sz w:val="24"/>
                <w:szCs w:val="24"/>
              </w:rPr>
            </w:pPr>
            <w:r w:rsidRPr="00B55B89">
              <w:rPr>
                <w:sz w:val="24"/>
                <w:szCs w:val="24"/>
              </w:rPr>
              <w:t>Senior Operational Research Analyst</w:t>
            </w:r>
          </w:p>
        </w:tc>
      </w:tr>
      <w:tr w:rsidR="00A8010E" w:rsidRPr="00B55B89" w14:paraId="54DB13C9" w14:textId="77777777" w:rsidTr="00C5114A">
        <w:trPr>
          <w:trHeight w:val="614"/>
        </w:trPr>
        <w:tc>
          <w:tcPr>
            <w:tcW w:w="13948" w:type="dxa"/>
          </w:tcPr>
          <w:p w14:paraId="0B12A8D5" w14:textId="77777777" w:rsidR="00A8010E" w:rsidRPr="00B55B89" w:rsidRDefault="00A8010E" w:rsidP="00A8010E">
            <w:pPr>
              <w:rPr>
                <w:b/>
                <w:sz w:val="24"/>
                <w:szCs w:val="24"/>
              </w:rPr>
            </w:pPr>
            <w:r w:rsidRPr="00B55B89">
              <w:rPr>
                <w:b/>
                <w:sz w:val="24"/>
                <w:szCs w:val="24"/>
              </w:rPr>
              <w:t>Acknowledgements</w:t>
            </w:r>
          </w:p>
          <w:p w14:paraId="68CCF981" w14:textId="77777777" w:rsidR="00A8010E" w:rsidRPr="00B55B89" w:rsidRDefault="00A8010E" w:rsidP="00A8010E">
            <w:pPr>
              <w:rPr>
                <w:bCs/>
                <w:sz w:val="24"/>
                <w:szCs w:val="24"/>
              </w:rPr>
            </w:pPr>
          </w:p>
          <w:p w14:paraId="05C44015" w14:textId="78246534" w:rsidR="00A8010E" w:rsidRPr="00B55B89" w:rsidRDefault="00A8010E" w:rsidP="00A8010E">
            <w:pPr>
              <w:rPr>
                <w:b/>
                <w:sz w:val="24"/>
                <w:szCs w:val="24"/>
              </w:rPr>
            </w:pPr>
            <w:r w:rsidRPr="00B55B89">
              <w:rPr>
                <w:bCs/>
                <w:sz w:val="24"/>
                <w:szCs w:val="24"/>
              </w:rPr>
              <w:t xml:space="preserve">Gill </w:t>
            </w:r>
            <w:proofErr w:type="spellStart"/>
            <w:r w:rsidRPr="00B55B89">
              <w:rPr>
                <w:bCs/>
                <w:sz w:val="24"/>
                <w:szCs w:val="24"/>
              </w:rPr>
              <w:t>Littlehales</w:t>
            </w:r>
            <w:proofErr w:type="spellEnd"/>
            <w:r w:rsidRPr="00B55B89">
              <w:rPr>
                <w:bCs/>
                <w:sz w:val="24"/>
                <w:szCs w:val="24"/>
              </w:rPr>
              <w:t>, Primary Medical Care, DH</w:t>
            </w:r>
          </w:p>
        </w:tc>
      </w:tr>
      <w:tr w:rsidR="00A8010E" w:rsidRPr="00B55B89" w14:paraId="16280FD5" w14:textId="77777777" w:rsidTr="00C5114A">
        <w:trPr>
          <w:trHeight w:val="614"/>
        </w:trPr>
        <w:tc>
          <w:tcPr>
            <w:tcW w:w="13948" w:type="dxa"/>
          </w:tcPr>
          <w:p w14:paraId="2559FDF3" w14:textId="77777777" w:rsidR="00A8010E" w:rsidRPr="00B55B89" w:rsidRDefault="00A8010E" w:rsidP="00A8010E">
            <w:pPr>
              <w:rPr>
                <w:b/>
                <w:sz w:val="24"/>
                <w:szCs w:val="24"/>
              </w:rPr>
            </w:pPr>
            <w:r w:rsidRPr="00B55B89">
              <w:rPr>
                <w:b/>
                <w:sz w:val="24"/>
                <w:szCs w:val="24"/>
              </w:rPr>
              <w:t xml:space="preserve">Stakeholder </w:t>
            </w:r>
          </w:p>
          <w:p w14:paraId="4D1BE7A5" w14:textId="77777777" w:rsidR="00A8010E" w:rsidRPr="00B55B89" w:rsidRDefault="00A8010E" w:rsidP="00A8010E">
            <w:pPr>
              <w:rPr>
                <w:b/>
                <w:sz w:val="24"/>
                <w:szCs w:val="24"/>
              </w:rPr>
            </w:pPr>
          </w:p>
          <w:p w14:paraId="4A46B8B0" w14:textId="16FE4EB0" w:rsidR="00A8010E" w:rsidRPr="00B55B89" w:rsidRDefault="00A8010E" w:rsidP="00A8010E">
            <w:pPr>
              <w:rPr>
                <w:b/>
                <w:sz w:val="24"/>
                <w:szCs w:val="24"/>
              </w:rPr>
            </w:pPr>
            <w:r w:rsidRPr="00B55B89">
              <w:rPr>
                <w:b/>
                <w:sz w:val="24"/>
                <w:szCs w:val="24"/>
              </w:rPr>
              <w:t>Ipsos MORI</w:t>
            </w:r>
          </w:p>
        </w:tc>
      </w:tr>
    </w:tbl>
    <w:p w14:paraId="0E2A7F93" w14:textId="77777777" w:rsidR="00682DCD" w:rsidRPr="00B55B89" w:rsidRDefault="00682DCD">
      <w:pPr>
        <w:rPr>
          <w:sz w:val="24"/>
          <w:szCs w:val="24"/>
        </w:rPr>
      </w:pPr>
      <w:bookmarkStart w:id="3" w:name="Section_C"/>
    </w:p>
    <w:p w14:paraId="2E7E1AC9" w14:textId="6A5F0AFE" w:rsidR="002F0D9B" w:rsidRPr="00B55B89" w:rsidRDefault="002F0D9B">
      <w:pPr>
        <w:rPr>
          <w:bCs/>
          <w:sz w:val="24"/>
          <w:szCs w:val="24"/>
        </w:rPr>
      </w:pPr>
      <w:r w:rsidRPr="00B55B89">
        <w:rPr>
          <w:bCs/>
          <w:sz w:val="24"/>
          <w:szCs w:val="24"/>
        </w:rPr>
        <w:t>Users of the Proposed Indicator</w:t>
      </w:r>
    </w:p>
    <w:p w14:paraId="46B7FBD1" w14:textId="77777777" w:rsidR="00682DCD" w:rsidRPr="00B55B89" w:rsidRDefault="00682DCD">
      <w:pPr>
        <w:rPr>
          <w:sz w:val="24"/>
          <w:szCs w:val="24"/>
        </w:rPr>
      </w:pPr>
    </w:p>
    <w:p w14:paraId="260D9D64" w14:textId="77777777" w:rsidR="00682DCD" w:rsidRPr="00B55B89" w:rsidRDefault="00682DCD">
      <w:pPr>
        <w:rPr>
          <w:sz w:val="24"/>
          <w:szCs w:val="24"/>
        </w:rPr>
      </w:pPr>
    </w:p>
    <w:p w14:paraId="20DBE7DD" w14:textId="77777777" w:rsidR="00682DCD" w:rsidRPr="00B55B89" w:rsidRDefault="00682DCD">
      <w:pPr>
        <w:rPr>
          <w:sz w:val="24"/>
          <w:szCs w:val="24"/>
        </w:rPr>
      </w:pPr>
    </w:p>
    <w:p w14:paraId="49A33882" w14:textId="77777777" w:rsidR="00682DCD" w:rsidRPr="00B55B89" w:rsidRDefault="00682DCD">
      <w:pPr>
        <w:rPr>
          <w:sz w:val="24"/>
          <w:szCs w:val="24"/>
        </w:rPr>
      </w:pPr>
    </w:p>
    <w:p w14:paraId="000FEEBB" w14:textId="0EFE0C82" w:rsidR="00A8010E" w:rsidRPr="00B55B89" w:rsidRDefault="00A8010E">
      <w:pPr>
        <w:rPr>
          <w:sz w:val="24"/>
          <w:szCs w:val="24"/>
        </w:rPr>
      </w:pPr>
      <w:r w:rsidRPr="00B55B89">
        <w:rPr>
          <w:sz w:val="24"/>
          <w:szCs w:val="24"/>
        </w:rPr>
        <w:br w:type="page"/>
      </w:r>
    </w:p>
    <w:tbl>
      <w:tblPr>
        <w:tblStyle w:val="TableGrid"/>
        <w:tblW w:w="0" w:type="auto"/>
        <w:tblLook w:val="04A0" w:firstRow="1" w:lastRow="0" w:firstColumn="1" w:lastColumn="0" w:noHBand="0" w:noVBand="1"/>
      </w:tblPr>
      <w:tblGrid>
        <w:gridCol w:w="3487"/>
        <w:gridCol w:w="3487"/>
        <w:gridCol w:w="3487"/>
        <w:gridCol w:w="3487"/>
      </w:tblGrid>
      <w:tr w:rsidR="00A8010E" w:rsidRPr="00B55B89" w14:paraId="55EC72DB" w14:textId="77777777" w:rsidTr="00A8010E">
        <w:tc>
          <w:tcPr>
            <w:tcW w:w="3487" w:type="dxa"/>
          </w:tcPr>
          <w:p w14:paraId="6113DF14" w14:textId="77777777" w:rsidR="00A8010E" w:rsidRPr="00B55B89" w:rsidRDefault="00A8010E">
            <w:pPr>
              <w:rPr>
                <w:sz w:val="24"/>
                <w:szCs w:val="24"/>
              </w:rPr>
            </w:pPr>
          </w:p>
        </w:tc>
        <w:tc>
          <w:tcPr>
            <w:tcW w:w="3487" w:type="dxa"/>
          </w:tcPr>
          <w:p w14:paraId="5261FAAD" w14:textId="0EB60834" w:rsidR="00A8010E" w:rsidRPr="00B55B89" w:rsidRDefault="00682DCD">
            <w:pPr>
              <w:rPr>
                <w:sz w:val="24"/>
                <w:szCs w:val="24"/>
              </w:rPr>
            </w:pPr>
            <w:r w:rsidRPr="00B55B89">
              <w:rPr>
                <w:sz w:val="24"/>
                <w:szCs w:val="24"/>
              </w:rPr>
              <w:t>Primary User</w:t>
            </w:r>
          </w:p>
        </w:tc>
        <w:tc>
          <w:tcPr>
            <w:tcW w:w="3487" w:type="dxa"/>
          </w:tcPr>
          <w:p w14:paraId="13DA94B8" w14:textId="11EEA42F" w:rsidR="00A8010E" w:rsidRPr="00B55B89" w:rsidRDefault="00682DCD">
            <w:pPr>
              <w:rPr>
                <w:sz w:val="24"/>
                <w:szCs w:val="24"/>
              </w:rPr>
            </w:pPr>
            <w:r w:rsidRPr="00B55B89">
              <w:rPr>
                <w:sz w:val="24"/>
                <w:szCs w:val="24"/>
              </w:rPr>
              <w:t>Secondary User</w:t>
            </w:r>
          </w:p>
        </w:tc>
        <w:tc>
          <w:tcPr>
            <w:tcW w:w="3487" w:type="dxa"/>
          </w:tcPr>
          <w:p w14:paraId="43881077" w14:textId="7BC7AA3B" w:rsidR="00A8010E" w:rsidRPr="00B55B89" w:rsidRDefault="00682DCD">
            <w:pPr>
              <w:rPr>
                <w:sz w:val="24"/>
                <w:szCs w:val="24"/>
              </w:rPr>
            </w:pPr>
            <w:r w:rsidRPr="00B55B89">
              <w:rPr>
                <w:sz w:val="24"/>
                <w:szCs w:val="24"/>
              </w:rPr>
              <w:t xml:space="preserve">Not intended for </w:t>
            </w:r>
          </w:p>
        </w:tc>
      </w:tr>
      <w:tr w:rsidR="00A8010E" w:rsidRPr="00B55B89" w14:paraId="4A4B0AB3" w14:textId="77777777" w:rsidTr="00A8010E">
        <w:tc>
          <w:tcPr>
            <w:tcW w:w="3487" w:type="dxa"/>
          </w:tcPr>
          <w:p w14:paraId="6AFF1C4A" w14:textId="77777777" w:rsidR="00A8010E" w:rsidRPr="00B55B89" w:rsidRDefault="00A8010E">
            <w:pPr>
              <w:rPr>
                <w:sz w:val="24"/>
                <w:szCs w:val="24"/>
              </w:rPr>
            </w:pPr>
          </w:p>
        </w:tc>
        <w:tc>
          <w:tcPr>
            <w:tcW w:w="3487" w:type="dxa"/>
          </w:tcPr>
          <w:p w14:paraId="57ED2FD4" w14:textId="77777777" w:rsidR="00A8010E" w:rsidRPr="00B55B89" w:rsidRDefault="00A8010E">
            <w:pPr>
              <w:rPr>
                <w:sz w:val="24"/>
                <w:szCs w:val="24"/>
              </w:rPr>
            </w:pPr>
          </w:p>
        </w:tc>
        <w:tc>
          <w:tcPr>
            <w:tcW w:w="3487" w:type="dxa"/>
          </w:tcPr>
          <w:p w14:paraId="4150B60D" w14:textId="11F25C72" w:rsidR="00A8010E" w:rsidRPr="00B55B89" w:rsidRDefault="00682DCD">
            <w:pPr>
              <w:rPr>
                <w:sz w:val="24"/>
                <w:szCs w:val="24"/>
              </w:rPr>
            </w:pPr>
            <w:r w:rsidRPr="00B55B89">
              <w:rPr>
                <w:sz w:val="24"/>
                <w:szCs w:val="24"/>
              </w:rPr>
              <w:t>Yes</w:t>
            </w:r>
          </w:p>
        </w:tc>
        <w:tc>
          <w:tcPr>
            <w:tcW w:w="3487" w:type="dxa"/>
          </w:tcPr>
          <w:p w14:paraId="5064E8FD" w14:textId="77777777" w:rsidR="00A8010E" w:rsidRPr="00B55B89" w:rsidRDefault="00A8010E">
            <w:pPr>
              <w:rPr>
                <w:sz w:val="24"/>
                <w:szCs w:val="24"/>
              </w:rPr>
            </w:pPr>
          </w:p>
        </w:tc>
      </w:tr>
      <w:tr w:rsidR="00682DCD" w:rsidRPr="00B55B89" w14:paraId="085F2D25" w14:textId="77777777" w:rsidTr="00A8010E">
        <w:tc>
          <w:tcPr>
            <w:tcW w:w="3487" w:type="dxa"/>
          </w:tcPr>
          <w:p w14:paraId="3BE6583C" w14:textId="49036F23" w:rsidR="00682DCD" w:rsidRPr="00B55B89" w:rsidRDefault="00682DCD" w:rsidP="00682DCD">
            <w:pPr>
              <w:rPr>
                <w:sz w:val="24"/>
                <w:szCs w:val="24"/>
              </w:rPr>
            </w:pPr>
            <w:r w:rsidRPr="00B55B89">
              <w:rPr>
                <w:sz w:val="24"/>
                <w:szCs w:val="24"/>
              </w:rPr>
              <w:t>National Government</w:t>
            </w:r>
          </w:p>
        </w:tc>
        <w:tc>
          <w:tcPr>
            <w:tcW w:w="3487" w:type="dxa"/>
          </w:tcPr>
          <w:p w14:paraId="0ED3BC28" w14:textId="77777777" w:rsidR="00682DCD" w:rsidRPr="00B55B89" w:rsidRDefault="00682DCD" w:rsidP="00682DCD">
            <w:pPr>
              <w:rPr>
                <w:sz w:val="24"/>
                <w:szCs w:val="24"/>
              </w:rPr>
            </w:pPr>
          </w:p>
        </w:tc>
        <w:tc>
          <w:tcPr>
            <w:tcW w:w="3487" w:type="dxa"/>
          </w:tcPr>
          <w:p w14:paraId="6BE61382" w14:textId="43771407" w:rsidR="00682DCD" w:rsidRPr="00B55B89" w:rsidRDefault="00682DCD" w:rsidP="00682DCD">
            <w:pPr>
              <w:rPr>
                <w:sz w:val="24"/>
                <w:szCs w:val="24"/>
              </w:rPr>
            </w:pPr>
            <w:r w:rsidRPr="00B55B89">
              <w:rPr>
                <w:sz w:val="24"/>
                <w:szCs w:val="24"/>
              </w:rPr>
              <w:t>Yes</w:t>
            </w:r>
          </w:p>
        </w:tc>
        <w:tc>
          <w:tcPr>
            <w:tcW w:w="3487" w:type="dxa"/>
          </w:tcPr>
          <w:p w14:paraId="74875F47" w14:textId="77777777" w:rsidR="00682DCD" w:rsidRPr="00B55B89" w:rsidRDefault="00682DCD" w:rsidP="00682DCD">
            <w:pPr>
              <w:rPr>
                <w:sz w:val="24"/>
                <w:szCs w:val="24"/>
              </w:rPr>
            </w:pPr>
          </w:p>
        </w:tc>
      </w:tr>
      <w:tr w:rsidR="00682DCD" w:rsidRPr="00B55B89" w14:paraId="75CA98EC" w14:textId="77777777" w:rsidTr="00A8010E">
        <w:tc>
          <w:tcPr>
            <w:tcW w:w="3487" w:type="dxa"/>
          </w:tcPr>
          <w:p w14:paraId="46538BC7" w14:textId="23CB7E4A" w:rsidR="00682DCD" w:rsidRPr="00B55B89" w:rsidRDefault="00682DCD" w:rsidP="00682DCD">
            <w:pPr>
              <w:rPr>
                <w:sz w:val="24"/>
                <w:szCs w:val="24"/>
              </w:rPr>
            </w:pPr>
            <w:r w:rsidRPr="00B55B89">
              <w:rPr>
                <w:sz w:val="24"/>
                <w:szCs w:val="24"/>
              </w:rPr>
              <w:t>Local Government</w:t>
            </w:r>
          </w:p>
        </w:tc>
        <w:tc>
          <w:tcPr>
            <w:tcW w:w="3487" w:type="dxa"/>
          </w:tcPr>
          <w:p w14:paraId="0E2638FF" w14:textId="0300FB90" w:rsidR="00682DCD" w:rsidRPr="00B55B89" w:rsidRDefault="00682DCD" w:rsidP="00682DCD">
            <w:pPr>
              <w:rPr>
                <w:sz w:val="24"/>
                <w:szCs w:val="24"/>
              </w:rPr>
            </w:pPr>
          </w:p>
        </w:tc>
        <w:tc>
          <w:tcPr>
            <w:tcW w:w="3487" w:type="dxa"/>
          </w:tcPr>
          <w:p w14:paraId="6B655119" w14:textId="77777777" w:rsidR="00682DCD" w:rsidRPr="00B55B89" w:rsidRDefault="00682DCD" w:rsidP="00682DCD">
            <w:pPr>
              <w:rPr>
                <w:sz w:val="24"/>
                <w:szCs w:val="24"/>
              </w:rPr>
            </w:pPr>
          </w:p>
        </w:tc>
        <w:tc>
          <w:tcPr>
            <w:tcW w:w="3487" w:type="dxa"/>
          </w:tcPr>
          <w:p w14:paraId="28E50A58" w14:textId="77777777" w:rsidR="00682DCD" w:rsidRPr="00B55B89" w:rsidRDefault="00682DCD" w:rsidP="00682DCD">
            <w:pPr>
              <w:rPr>
                <w:sz w:val="24"/>
                <w:szCs w:val="24"/>
              </w:rPr>
            </w:pPr>
          </w:p>
        </w:tc>
      </w:tr>
      <w:tr w:rsidR="00682DCD" w:rsidRPr="00B55B89" w14:paraId="46103584" w14:textId="77777777" w:rsidTr="00A8010E">
        <w:tc>
          <w:tcPr>
            <w:tcW w:w="3487" w:type="dxa"/>
          </w:tcPr>
          <w:p w14:paraId="76B11207" w14:textId="77777777" w:rsidR="00682DCD" w:rsidRPr="00B55B89" w:rsidRDefault="00682DCD" w:rsidP="00682DCD">
            <w:pPr>
              <w:rPr>
                <w:sz w:val="24"/>
                <w:szCs w:val="24"/>
              </w:rPr>
            </w:pPr>
            <w:r w:rsidRPr="00B55B89">
              <w:rPr>
                <w:sz w:val="24"/>
                <w:szCs w:val="24"/>
              </w:rPr>
              <w:t xml:space="preserve">Governing Boards </w:t>
            </w:r>
          </w:p>
          <w:p w14:paraId="78599675" w14:textId="6799146A" w:rsidR="00682DCD" w:rsidRPr="00B55B89" w:rsidRDefault="00682DCD" w:rsidP="00682DCD">
            <w:pPr>
              <w:rPr>
                <w:sz w:val="24"/>
                <w:szCs w:val="24"/>
              </w:rPr>
            </w:pPr>
            <w:r w:rsidRPr="00B55B89">
              <w:rPr>
                <w:sz w:val="24"/>
                <w:szCs w:val="24"/>
              </w:rPr>
              <w:t>(NHS, local government etc)</w:t>
            </w:r>
          </w:p>
        </w:tc>
        <w:tc>
          <w:tcPr>
            <w:tcW w:w="3487" w:type="dxa"/>
          </w:tcPr>
          <w:p w14:paraId="1FEE091B" w14:textId="6587E101" w:rsidR="00682DCD" w:rsidRPr="00B55B89" w:rsidRDefault="00682DCD" w:rsidP="00682DCD">
            <w:pPr>
              <w:rPr>
                <w:sz w:val="24"/>
                <w:szCs w:val="24"/>
              </w:rPr>
            </w:pPr>
            <w:r w:rsidRPr="00B55B89">
              <w:rPr>
                <w:sz w:val="24"/>
                <w:szCs w:val="24"/>
              </w:rPr>
              <w:t>Yes</w:t>
            </w:r>
          </w:p>
        </w:tc>
        <w:tc>
          <w:tcPr>
            <w:tcW w:w="3487" w:type="dxa"/>
          </w:tcPr>
          <w:p w14:paraId="09E01B5E" w14:textId="77777777" w:rsidR="00682DCD" w:rsidRPr="00B55B89" w:rsidRDefault="00682DCD" w:rsidP="00682DCD">
            <w:pPr>
              <w:rPr>
                <w:sz w:val="24"/>
                <w:szCs w:val="24"/>
              </w:rPr>
            </w:pPr>
          </w:p>
        </w:tc>
        <w:tc>
          <w:tcPr>
            <w:tcW w:w="3487" w:type="dxa"/>
          </w:tcPr>
          <w:p w14:paraId="75868E5B" w14:textId="77777777" w:rsidR="00682DCD" w:rsidRPr="00B55B89" w:rsidRDefault="00682DCD" w:rsidP="00682DCD">
            <w:pPr>
              <w:rPr>
                <w:sz w:val="24"/>
                <w:szCs w:val="24"/>
              </w:rPr>
            </w:pPr>
          </w:p>
        </w:tc>
      </w:tr>
      <w:tr w:rsidR="00682DCD" w:rsidRPr="00B55B89" w14:paraId="759FF214" w14:textId="77777777" w:rsidTr="00A8010E">
        <w:tc>
          <w:tcPr>
            <w:tcW w:w="3487" w:type="dxa"/>
          </w:tcPr>
          <w:p w14:paraId="76E1D78D" w14:textId="54A93E08" w:rsidR="00682DCD" w:rsidRPr="00B55B89" w:rsidRDefault="00682DCD" w:rsidP="00682DCD">
            <w:pPr>
              <w:rPr>
                <w:sz w:val="24"/>
                <w:szCs w:val="24"/>
              </w:rPr>
            </w:pPr>
            <w:r w:rsidRPr="00B55B89">
              <w:rPr>
                <w:sz w:val="24"/>
                <w:szCs w:val="24"/>
              </w:rPr>
              <w:t>Providing Managers</w:t>
            </w:r>
          </w:p>
        </w:tc>
        <w:tc>
          <w:tcPr>
            <w:tcW w:w="3487" w:type="dxa"/>
          </w:tcPr>
          <w:p w14:paraId="51172AD1" w14:textId="6FA274EF" w:rsidR="00682DCD" w:rsidRPr="00B55B89" w:rsidRDefault="00682DCD" w:rsidP="00682DCD">
            <w:pPr>
              <w:rPr>
                <w:sz w:val="24"/>
                <w:szCs w:val="24"/>
              </w:rPr>
            </w:pPr>
            <w:r w:rsidRPr="00B55B89">
              <w:rPr>
                <w:sz w:val="24"/>
                <w:szCs w:val="24"/>
              </w:rPr>
              <w:t>Yes</w:t>
            </w:r>
          </w:p>
        </w:tc>
        <w:tc>
          <w:tcPr>
            <w:tcW w:w="3487" w:type="dxa"/>
          </w:tcPr>
          <w:p w14:paraId="00D271AA" w14:textId="77777777" w:rsidR="00682DCD" w:rsidRPr="00B55B89" w:rsidRDefault="00682DCD" w:rsidP="00682DCD">
            <w:pPr>
              <w:rPr>
                <w:sz w:val="24"/>
                <w:szCs w:val="24"/>
              </w:rPr>
            </w:pPr>
          </w:p>
        </w:tc>
        <w:tc>
          <w:tcPr>
            <w:tcW w:w="3487" w:type="dxa"/>
          </w:tcPr>
          <w:p w14:paraId="245F4327" w14:textId="77777777" w:rsidR="00682DCD" w:rsidRPr="00B55B89" w:rsidRDefault="00682DCD" w:rsidP="00682DCD">
            <w:pPr>
              <w:rPr>
                <w:sz w:val="24"/>
                <w:szCs w:val="24"/>
              </w:rPr>
            </w:pPr>
          </w:p>
        </w:tc>
      </w:tr>
      <w:tr w:rsidR="00682DCD" w:rsidRPr="00B55B89" w14:paraId="16579238" w14:textId="77777777" w:rsidTr="00A8010E">
        <w:tc>
          <w:tcPr>
            <w:tcW w:w="3487" w:type="dxa"/>
          </w:tcPr>
          <w:p w14:paraId="50661AB8" w14:textId="38913082" w:rsidR="00682DCD" w:rsidRPr="00B55B89" w:rsidRDefault="00682DCD" w:rsidP="00682DCD">
            <w:pPr>
              <w:rPr>
                <w:sz w:val="24"/>
                <w:szCs w:val="24"/>
              </w:rPr>
            </w:pPr>
            <w:r w:rsidRPr="00B55B89">
              <w:rPr>
                <w:sz w:val="24"/>
                <w:szCs w:val="24"/>
              </w:rPr>
              <w:t>Commissioning Managers</w:t>
            </w:r>
          </w:p>
        </w:tc>
        <w:tc>
          <w:tcPr>
            <w:tcW w:w="3487" w:type="dxa"/>
          </w:tcPr>
          <w:p w14:paraId="781BF263" w14:textId="7075308F" w:rsidR="00682DCD" w:rsidRPr="00B55B89" w:rsidRDefault="00682DCD" w:rsidP="00682DCD">
            <w:pPr>
              <w:rPr>
                <w:sz w:val="24"/>
                <w:szCs w:val="24"/>
              </w:rPr>
            </w:pPr>
            <w:r w:rsidRPr="00B55B89">
              <w:rPr>
                <w:sz w:val="24"/>
                <w:szCs w:val="24"/>
              </w:rPr>
              <w:t>Yes</w:t>
            </w:r>
          </w:p>
        </w:tc>
        <w:tc>
          <w:tcPr>
            <w:tcW w:w="3487" w:type="dxa"/>
          </w:tcPr>
          <w:p w14:paraId="632EAF3B" w14:textId="77777777" w:rsidR="00682DCD" w:rsidRPr="00B55B89" w:rsidRDefault="00682DCD" w:rsidP="00682DCD">
            <w:pPr>
              <w:rPr>
                <w:sz w:val="24"/>
                <w:szCs w:val="24"/>
              </w:rPr>
            </w:pPr>
          </w:p>
        </w:tc>
        <w:tc>
          <w:tcPr>
            <w:tcW w:w="3487" w:type="dxa"/>
          </w:tcPr>
          <w:p w14:paraId="11056099" w14:textId="77777777" w:rsidR="00682DCD" w:rsidRPr="00B55B89" w:rsidRDefault="00682DCD" w:rsidP="00682DCD">
            <w:pPr>
              <w:rPr>
                <w:sz w:val="24"/>
                <w:szCs w:val="24"/>
              </w:rPr>
            </w:pPr>
          </w:p>
        </w:tc>
      </w:tr>
      <w:tr w:rsidR="00682DCD" w:rsidRPr="00B55B89" w14:paraId="558C1B45" w14:textId="77777777" w:rsidTr="00A8010E">
        <w:tc>
          <w:tcPr>
            <w:tcW w:w="3487" w:type="dxa"/>
          </w:tcPr>
          <w:p w14:paraId="59052AA2" w14:textId="693ED180" w:rsidR="00682DCD" w:rsidRPr="00B55B89" w:rsidRDefault="00682DCD" w:rsidP="00682DCD">
            <w:pPr>
              <w:rPr>
                <w:sz w:val="24"/>
                <w:szCs w:val="24"/>
              </w:rPr>
            </w:pPr>
            <w:r w:rsidRPr="00B55B89">
              <w:rPr>
                <w:sz w:val="24"/>
                <w:szCs w:val="24"/>
              </w:rPr>
              <w:t>Regulators</w:t>
            </w:r>
          </w:p>
        </w:tc>
        <w:tc>
          <w:tcPr>
            <w:tcW w:w="3487" w:type="dxa"/>
          </w:tcPr>
          <w:p w14:paraId="36417E1E" w14:textId="77777777" w:rsidR="00682DCD" w:rsidRPr="00B55B89" w:rsidRDefault="00682DCD" w:rsidP="00682DCD">
            <w:pPr>
              <w:rPr>
                <w:sz w:val="24"/>
                <w:szCs w:val="24"/>
              </w:rPr>
            </w:pPr>
          </w:p>
        </w:tc>
        <w:tc>
          <w:tcPr>
            <w:tcW w:w="3487" w:type="dxa"/>
          </w:tcPr>
          <w:p w14:paraId="099002A5" w14:textId="701CA1D9" w:rsidR="00682DCD" w:rsidRPr="00B55B89" w:rsidRDefault="00682DCD" w:rsidP="00682DCD">
            <w:pPr>
              <w:rPr>
                <w:sz w:val="24"/>
                <w:szCs w:val="24"/>
              </w:rPr>
            </w:pPr>
            <w:r w:rsidRPr="00B55B89">
              <w:rPr>
                <w:sz w:val="24"/>
                <w:szCs w:val="24"/>
              </w:rPr>
              <w:t xml:space="preserve">Yes </w:t>
            </w:r>
          </w:p>
        </w:tc>
        <w:tc>
          <w:tcPr>
            <w:tcW w:w="3487" w:type="dxa"/>
          </w:tcPr>
          <w:p w14:paraId="74C21AD4" w14:textId="77777777" w:rsidR="00682DCD" w:rsidRPr="00B55B89" w:rsidRDefault="00682DCD" w:rsidP="00682DCD">
            <w:pPr>
              <w:rPr>
                <w:sz w:val="24"/>
                <w:szCs w:val="24"/>
              </w:rPr>
            </w:pPr>
          </w:p>
        </w:tc>
      </w:tr>
      <w:tr w:rsidR="00682DCD" w:rsidRPr="00B55B89" w14:paraId="1BD9E608" w14:textId="77777777" w:rsidTr="00A8010E">
        <w:tc>
          <w:tcPr>
            <w:tcW w:w="3487" w:type="dxa"/>
          </w:tcPr>
          <w:p w14:paraId="35973A44" w14:textId="01CA5186" w:rsidR="00682DCD" w:rsidRPr="00B55B89" w:rsidRDefault="00682DCD" w:rsidP="00682DCD">
            <w:pPr>
              <w:rPr>
                <w:sz w:val="24"/>
                <w:szCs w:val="24"/>
              </w:rPr>
            </w:pPr>
            <w:r w:rsidRPr="00B55B89">
              <w:rPr>
                <w:sz w:val="24"/>
                <w:szCs w:val="24"/>
              </w:rPr>
              <w:t>Clinicians</w:t>
            </w:r>
          </w:p>
        </w:tc>
        <w:tc>
          <w:tcPr>
            <w:tcW w:w="3487" w:type="dxa"/>
          </w:tcPr>
          <w:p w14:paraId="05A31954" w14:textId="77777777" w:rsidR="00682DCD" w:rsidRPr="00B55B89" w:rsidRDefault="00682DCD" w:rsidP="00682DCD">
            <w:pPr>
              <w:rPr>
                <w:sz w:val="24"/>
                <w:szCs w:val="24"/>
              </w:rPr>
            </w:pPr>
          </w:p>
        </w:tc>
        <w:tc>
          <w:tcPr>
            <w:tcW w:w="3487" w:type="dxa"/>
          </w:tcPr>
          <w:p w14:paraId="5D0F4EBB" w14:textId="627269AE" w:rsidR="00682DCD" w:rsidRPr="00B55B89" w:rsidRDefault="00682DCD" w:rsidP="00682DCD">
            <w:pPr>
              <w:rPr>
                <w:sz w:val="24"/>
                <w:szCs w:val="24"/>
              </w:rPr>
            </w:pPr>
            <w:r w:rsidRPr="00B55B89">
              <w:rPr>
                <w:sz w:val="24"/>
                <w:szCs w:val="24"/>
              </w:rPr>
              <w:t>Yes</w:t>
            </w:r>
          </w:p>
        </w:tc>
        <w:tc>
          <w:tcPr>
            <w:tcW w:w="3487" w:type="dxa"/>
          </w:tcPr>
          <w:p w14:paraId="2F4C4403" w14:textId="77777777" w:rsidR="00682DCD" w:rsidRPr="00B55B89" w:rsidRDefault="00682DCD" w:rsidP="00682DCD">
            <w:pPr>
              <w:rPr>
                <w:sz w:val="24"/>
                <w:szCs w:val="24"/>
              </w:rPr>
            </w:pPr>
          </w:p>
        </w:tc>
      </w:tr>
      <w:tr w:rsidR="00682DCD" w:rsidRPr="00B55B89" w14:paraId="0CCEDB16" w14:textId="77777777" w:rsidTr="00A8010E">
        <w:tc>
          <w:tcPr>
            <w:tcW w:w="3487" w:type="dxa"/>
          </w:tcPr>
          <w:p w14:paraId="3DC736B7" w14:textId="0964E80C" w:rsidR="00682DCD" w:rsidRPr="00B55B89" w:rsidRDefault="00682DCD" w:rsidP="00682DCD">
            <w:pPr>
              <w:rPr>
                <w:sz w:val="24"/>
                <w:szCs w:val="24"/>
              </w:rPr>
            </w:pPr>
            <w:r w:rsidRPr="00B55B89">
              <w:rPr>
                <w:sz w:val="24"/>
                <w:szCs w:val="24"/>
              </w:rPr>
              <w:t>Patients</w:t>
            </w:r>
          </w:p>
        </w:tc>
        <w:tc>
          <w:tcPr>
            <w:tcW w:w="3487" w:type="dxa"/>
          </w:tcPr>
          <w:p w14:paraId="1E8AD63C" w14:textId="77777777" w:rsidR="00682DCD" w:rsidRPr="00B55B89" w:rsidRDefault="00682DCD" w:rsidP="00682DCD">
            <w:pPr>
              <w:rPr>
                <w:sz w:val="24"/>
                <w:szCs w:val="24"/>
              </w:rPr>
            </w:pPr>
          </w:p>
        </w:tc>
        <w:tc>
          <w:tcPr>
            <w:tcW w:w="3487" w:type="dxa"/>
          </w:tcPr>
          <w:p w14:paraId="4F4987C6" w14:textId="17AC37BB" w:rsidR="00682DCD" w:rsidRPr="00B55B89" w:rsidRDefault="00682DCD" w:rsidP="00682DCD">
            <w:pPr>
              <w:rPr>
                <w:sz w:val="24"/>
                <w:szCs w:val="24"/>
              </w:rPr>
            </w:pPr>
            <w:r w:rsidRPr="00B55B89">
              <w:rPr>
                <w:sz w:val="24"/>
                <w:szCs w:val="24"/>
              </w:rPr>
              <w:t>Yes</w:t>
            </w:r>
          </w:p>
        </w:tc>
        <w:tc>
          <w:tcPr>
            <w:tcW w:w="3487" w:type="dxa"/>
          </w:tcPr>
          <w:p w14:paraId="52EA97D0" w14:textId="77777777" w:rsidR="00682DCD" w:rsidRPr="00B55B89" w:rsidRDefault="00682DCD" w:rsidP="00682DCD">
            <w:pPr>
              <w:rPr>
                <w:sz w:val="24"/>
                <w:szCs w:val="24"/>
              </w:rPr>
            </w:pPr>
          </w:p>
        </w:tc>
      </w:tr>
      <w:tr w:rsidR="00682DCD" w:rsidRPr="00B55B89" w14:paraId="71A61C6D" w14:textId="77777777" w:rsidTr="00A8010E">
        <w:tc>
          <w:tcPr>
            <w:tcW w:w="3487" w:type="dxa"/>
          </w:tcPr>
          <w:p w14:paraId="1AE27DA8" w14:textId="7D0AA024" w:rsidR="00682DCD" w:rsidRPr="00B55B89" w:rsidRDefault="00682DCD" w:rsidP="00682DCD">
            <w:pPr>
              <w:rPr>
                <w:sz w:val="24"/>
                <w:szCs w:val="24"/>
              </w:rPr>
            </w:pPr>
            <w:r w:rsidRPr="00B55B89">
              <w:rPr>
                <w:sz w:val="24"/>
                <w:szCs w:val="24"/>
              </w:rPr>
              <w:t>Public</w:t>
            </w:r>
          </w:p>
        </w:tc>
        <w:tc>
          <w:tcPr>
            <w:tcW w:w="3487" w:type="dxa"/>
          </w:tcPr>
          <w:p w14:paraId="7DFB61A1" w14:textId="77777777" w:rsidR="00682DCD" w:rsidRPr="00B55B89" w:rsidRDefault="00682DCD" w:rsidP="00682DCD">
            <w:pPr>
              <w:rPr>
                <w:sz w:val="24"/>
                <w:szCs w:val="24"/>
              </w:rPr>
            </w:pPr>
          </w:p>
        </w:tc>
        <w:tc>
          <w:tcPr>
            <w:tcW w:w="3487" w:type="dxa"/>
          </w:tcPr>
          <w:p w14:paraId="2FDD6842" w14:textId="7A3682C8" w:rsidR="00682DCD" w:rsidRPr="00B55B89" w:rsidRDefault="00682DCD" w:rsidP="00682DCD">
            <w:pPr>
              <w:rPr>
                <w:sz w:val="24"/>
                <w:szCs w:val="24"/>
              </w:rPr>
            </w:pPr>
            <w:r w:rsidRPr="00B55B89">
              <w:rPr>
                <w:sz w:val="24"/>
                <w:szCs w:val="24"/>
              </w:rPr>
              <w:t>Yes</w:t>
            </w:r>
          </w:p>
        </w:tc>
        <w:tc>
          <w:tcPr>
            <w:tcW w:w="3487" w:type="dxa"/>
          </w:tcPr>
          <w:p w14:paraId="5BF56EBC" w14:textId="77777777" w:rsidR="00682DCD" w:rsidRPr="00B55B89" w:rsidRDefault="00682DCD" w:rsidP="00682DCD">
            <w:pPr>
              <w:rPr>
                <w:sz w:val="24"/>
                <w:szCs w:val="24"/>
              </w:rPr>
            </w:pPr>
          </w:p>
        </w:tc>
      </w:tr>
    </w:tbl>
    <w:p w14:paraId="628D83BC" w14:textId="6A03AA9F" w:rsidR="00A8010E" w:rsidRPr="00B55B89" w:rsidRDefault="00A8010E">
      <w:pPr>
        <w:rPr>
          <w:sz w:val="24"/>
          <w:szCs w:val="24"/>
        </w:rPr>
      </w:pPr>
    </w:p>
    <w:p w14:paraId="29B5821C" w14:textId="334D38AD" w:rsidR="00A8010E" w:rsidRPr="00B55B89" w:rsidRDefault="00A8010E">
      <w:pPr>
        <w:rPr>
          <w:sz w:val="24"/>
          <w:szCs w:val="24"/>
        </w:rPr>
      </w:pPr>
    </w:p>
    <w:bookmarkEnd w:id="3"/>
    <w:p w14:paraId="21372FBE" w14:textId="405E5651" w:rsidR="00866AFC" w:rsidRPr="00B55B89" w:rsidRDefault="00866AFC" w:rsidP="00870FD9">
      <w:pPr>
        <w:rPr>
          <w:sz w:val="24"/>
          <w:szCs w:val="24"/>
        </w:rPr>
      </w:pPr>
      <w:r w:rsidRPr="00B55B89">
        <w:rPr>
          <w:b/>
          <w:sz w:val="24"/>
          <w:szCs w:val="24"/>
        </w:rPr>
        <w:t>Assurance Summary</w:t>
      </w:r>
    </w:p>
    <w:p w14:paraId="5D2F529B" w14:textId="77777777" w:rsidR="00866AFC" w:rsidRPr="00B55B89" w:rsidRDefault="00866AFC" w:rsidP="00C5114A">
      <w:pPr>
        <w:ind w:left="-851"/>
        <w:rPr>
          <w:sz w:val="24"/>
          <w:szCs w:val="24"/>
        </w:rPr>
      </w:pPr>
    </w:p>
    <w:p w14:paraId="1FD5CAFA" w14:textId="5D2AAC4B" w:rsidR="00866AFC" w:rsidRPr="00B55B89" w:rsidRDefault="006C281C" w:rsidP="00C5114A">
      <w:pPr>
        <w:ind w:left="-851"/>
        <w:rPr>
          <w:sz w:val="24"/>
          <w:szCs w:val="24"/>
        </w:rPr>
      </w:pPr>
      <w:r w:rsidRPr="00B55B89">
        <w:rPr>
          <w:sz w:val="24"/>
          <w:szCs w:val="24"/>
        </w:rPr>
        <w:t>Methodology Review Group Discussion</w:t>
      </w:r>
    </w:p>
    <w:p w14:paraId="67D88BFF" w14:textId="16BEAC49" w:rsidR="00866AFC" w:rsidRPr="00B55B89" w:rsidRDefault="00866AFC" w:rsidP="00C5114A">
      <w:pPr>
        <w:ind w:left="-851"/>
        <w:rPr>
          <w:sz w:val="24"/>
          <w:szCs w:val="24"/>
        </w:rPr>
      </w:pPr>
    </w:p>
    <w:tbl>
      <w:tblPr>
        <w:tblStyle w:val="TableGrid"/>
        <w:tblW w:w="0" w:type="auto"/>
        <w:tblInd w:w="-851" w:type="dxa"/>
        <w:tblLook w:val="04A0" w:firstRow="1" w:lastRow="0" w:firstColumn="1" w:lastColumn="0" w:noHBand="0" w:noVBand="1"/>
      </w:tblPr>
      <w:tblGrid>
        <w:gridCol w:w="6974"/>
        <w:gridCol w:w="6974"/>
      </w:tblGrid>
      <w:tr w:rsidR="006C281C" w:rsidRPr="00B55B89" w14:paraId="18747F27" w14:textId="77777777" w:rsidTr="006C281C">
        <w:tc>
          <w:tcPr>
            <w:tcW w:w="6974" w:type="dxa"/>
          </w:tcPr>
          <w:p w14:paraId="5AC5BC37" w14:textId="12C3E748" w:rsidR="006C281C" w:rsidRPr="00B55B89" w:rsidRDefault="006C281C" w:rsidP="00C5114A">
            <w:pPr>
              <w:rPr>
                <w:sz w:val="24"/>
                <w:szCs w:val="24"/>
              </w:rPr>
            </w:pPr>
            <w:r w:rsidRPr="00B55B89">
              <w:rPr>
                <w:sz w:val="24"/>
                <w:szCs w:val="24"/>
              </w:rPr>
              <w:t>Assurance stage</w:t>
            </w:r>
          </w:p>
        </w:tc>
        <w:tc>
          <w:tcPr>
            <w:tcW w:w="6974" w:type="dxa"/>
          </w:tcPr>
          <w:p w14:paraId="6ED264DE" w14:textId="6DD62252" w:rsidR="006C281C" w:rsidRPr="00B55B89" w:rsidRDefault="006C281C" w:rsidP="00C5114A">
            <w:pPr>
              <w:rPr>
                <w:sz w:val="24"/>
                <w:szCs w:val="24"/>
              </w:rPr>
            </w:pPr>
            <w:r w:rsidRPr="00B55B89">
              <w:rPr>
                <w:sz w:val="24"/>
                <w:szCs w:val="24"/>
              </w:rPr>
              <w:t>Date</w:t>
            </w:r>
          </w:p>
        </w:tc>
      </w:tr>
      <w:tr w:rsidR="006C281C" w:rsidRPr="00B55B89" w14:paraId="304D124F" w14:textId="77777777" w:rsidTr="006C281C">
        <w:tc>
          <w:tcPr>
            <w:tcW w:w="6974" w:type="dxa"/>
          </w:tcPr>
          <w:p w14:paraId="483EC13A" w14:textId="265210BE" w:rsidR="006C281C" w:rsidRPr="00B55B89" w:rsidRDefault="006C281C" w:rsidP="00C5114A">
            <w:pPr>
              <w:rPr>
                <w:sz w:val="24"/>
                <w:szCs w:val="24"/>
              </w:rPr>
            </w:pPr>
            <w:r w:rsidRPr="00B55B89">
              <w:rPr>
                <w:sz w:val="24"/>
                <w:szCs w:val="24"/>
              </w:rPr>
              <w:t>Methodology Review Group Discussion</w:t>
            </w:r>
          </w:p>
        </w:tc>
        <w:tc>
          <w:tcPr>
            <w:tcW w:w="6974" w:type="dxa"/>
          </w:tcPr>
          <w:p w14:paraId="2A87A18B" w14:textId="38881968" w:rsidR="006C281C" w:rsidRPr="00B55B89" w:rsidRDefault="006C281C" w:rsidP="00C5114A">
            <w:pPr>
              <w:rPr>
                <w:sz w:val="24"/>
                <w:szCs w:val="24"/>
              </w:rPr>
            </w:pPr>
            <w:r w:rsidRPr="00B55B89">
              <w:rPr>
                <w:sz w:val="24"/>
                <w:szCs w:val="24"/>
              </w:rPr>
              <w:t>27/9/11, 25/5/12, 9/8/12</w:t>
            </w:r>
          </w:p>
        </w:tc>
      </w:tr>
      <w:tr w:rsidR="006C281C" w:rsidRPr="00B55B89" w14:paraId="03DBA08F" w14:textId="77777777" w:rsidTr="006C281C">
        <w:tc>
          <w:tcPr>
            <w:tcW w:w="6974" w:type="dxa"/>
          </w:tcPr>
          <w:p w14:paraId="17C43F1D" w14:textId="1417004D" w:rsidR="006C281C" w:rsidRPr="00B55B89" w:rsidRDefault="006C281C" w:rsidP="00C5114A">
            <w:pPr>
              <w:rPr>
                <w:sz w:val="24"/>
                <w:szCs w:val="24"/>
              </w:rPr>
            </w:pPr>
            <w:r w:rsidRPr="00B55B89">
              <w:rPr>
                <w:sz w:val="24"/>
                <w:szCs w:val="24"/>
              </w:rPr>
              <w:t>Indicator Governance Board Discussion</w:t>
            </w:r>
          </w:p>
        </w:tc>
        <w:tc>
          <w:tcPr>
            <w:tcW w:w="6974" w:type="dxa"/>
          </w:tcPr>
          <w:p w14:paraId="5EB5E9EA" w14:textId="7DDB4CB1" w:rsidR="006C281C" w:rsidRPr="00B55B89" w:rsidRDefault="006C281C" w:rsidP="00C5114A">
            <w:pPr>
              <w:rPr>
                <w:sz w:val="24"/>
                <w:szCs w:val="24"/>
              </w:rPr>
            </w:pPr>
            <w:r w:rsidRPr="00B55B89">
              <w:rPr>
                <w:sz w:val="24"/>
                <w:szCs w:val="24"/>
              </w:rPr>
              <w:t>30/11/12</w:t>
            </w:r>
          </w:p>
        </w:tc>
      </w:tr>
      <w:tr w:rsidR="006C281C" w:rsidRPr="00B55B89" w14:paraId="0D2D700F" w14:textId="77777777" w:rsidTr="006C281C">
        <w:tc>
          <w:tcPr>
            <w:tcW w:w="6974" w:type="dxa"/>
          </w:tcPr>
          <w:p w14:paraId="1BAB4CAB" w14:textId="117A6C90" w:rsidR="006C281C" w:rsidRPr="00B55B89" w:rsidRDefault="006C281C" w:rsidP="00C5114A">
            <w:pPr>
              <w:rPr>
                <w:sz w:val="24"/>
                <w:szCs w:val="24"/>
              </w:rPr>
            </w:pPr>
            <w:r w:rsidRPr="00B55B89">
              <w:rPr>
                <w:sz w:val="24"/>
                <w:szCs w:val="24"/>
              </w:rPr>
              <w:t>Signed-off</w:t>
            </w:r>
          </w:p>
        </w:tc>
        <w:tc>
          <w:tcPr>
            <w:tcW w:w="6974" w:type="dxa"/>
          </w:tcPr>
          <w:p w14:paraId="15A8F0E0" w14:textId="731BFF30" w:rsidR="006C281C" w:rsidRPr="00B55B89" w:rsidRDefault="006C281C" w:rsidP="00C5114A">
            <w:pPr>
              <w:rPr>
                <w:sz w:val="24"/>
                <w:szCs w:val="24"/>
              </w:rPr>
            </w:pPr>
            <w:r w:rsidRPr="00B55B89">
              <w:rPr>
                <w:sz w:val="24"/>
                <w:szCs w:val="24"/>
              </w:rPr>
              <w:t>30/11/12</w:t>
            </w:r>
          </w:p>
        </w:tc>
      </w:tr>
    </w:tbl>
    <w:p w14:paraId="6CD1A5AB" w14:textId="77777777" w:rsidR="00866AFC" w:rsidRPr="00B55B89" w:rsidRDefault="00866AFC" w:rsidP="00C5114A">
      <w:pPr>
        <w:rPr>
          <w:sz w:val="24"/>
          <w:szCs w:val="24"/>
        </w:rPr>
      </w:pPr>
    </w:p>
    <w:p w14:paraId="41CD808A" w14:textId="61DA83CD" w:rsidR="00866AFC" w:rsidRPr="00B55B89" w:rsidRDefault="00866AFC" w:rsidP="00C5114A">
      <w:pPr>
        <w:spacing w:after="120"/>
        <w:ind w:left="-851"/>
        <w:rPr>
          <w:sz w:val="24"/>
          <w:szCs w:val="24"/>
        </w:rPr>
      </w:pPr>
      <w:r w:rsidRPr="00B55B89">
        <w:rPr>
          <w:sz w:val="24"/>
          <w:szCs w:val="24"/>
        </w:rPr>
        <w:t>Methodology Review Group (MRG)</w:t>
      </w:r>
    </w:p>
    <w:p w14:paraId="16FF31DB" w14:textId="665B4147" w:rsidR="006C281C" w:rsidRPr="00B55B89" w:rsidRDefault="006C281C" w:rsidP="00C5114A">
      <w:pPr>
        <w:spacing w:after="120"/>
        <w:ind w:left="-851"/>
        <w:rPr>
          <w:sz w:val="24"/>
          <w:szCs w:val="24"/>
        </w:rPr>
      </w:pPr>
      <w:r w:rsidRPr="00B55B89">
        <w:rPr>
          <w:b/>
          <w:sz w:val="24"/>
          <w:szCs w:val="24"/>
        </w:rPr>
        <w:t>No significant issues identified</w:t>
      </w:r>
    </w:p>
    <w:p w14:paraId="6B65B726" w14:textId="77777777" w:rsidR="00866AFC" w:rsidRPr="00B55B89" w:rsidRDefault="00866AFC" w:rsidP="00C5114A">
      <w:pPr>
        <w:ind w:left="-540"/>
        <w:rPr>
          <w:sz w:val="24"/>
          <w:szCs w:val="24"/>
        </w:rPr>
      </w:pPr>
    </w:p>
    <w:p w14:paraId="3830201F" w14:textId="4418C3EB" w:rsidR="00866AFC" w:rsidRPr="00B55B89" w:rsidRDefault="00866AFC" w:rsidP="00C5114A">
      <w:pPr>
        <w:spacing w:after="120"/>
        <w:ind w:left="-851"/>
        <w:rPr>
          <w:sz w:val="24"/>
          <w:szCs w:val="24"/>
        </w:rPr>
      </w:pPr>
      <w:r w:rsidRPr="00B55B89">
        <w:rPr>
          <w:sz w:val="24"/>
          <w:szCs w:val="24"/>
        </w:rPr>
        <w:t>Indicator Governance Board (IGB)</w:t>
      </w:r>
    </w:p>
    <w:p w14:paraId="0520E6A4" w14:textId="7EA069C4" w:rsidR="006C281C" w:rsidRPr="00B55B89" w:rsidRDefault="006C281C" w:rsidP="00C5114A">
      <w:pPr>
        <w:spacing w:after="120"/>
        <w:ind w:left="-851"/>
        <w:rPr>
          <w:b/>
          <w:bCs/>
          <w:sz w:val="24"/>
          <w:szCs w:val="24"/>
        </w:rPr>
      </w:pPr>
      <w:r w:rsidRPr="00B55B89">
        <w:rPr>
          <w:b/>
          <w:bCs/>
          <w:sz w:val="24"/>
          <w:szCs w:val="24"/>
        </w:rPr>
        <w:t>Assured</w:t>
      </w:r>
    </w:p>
    <w:p w14:paraId="19C73BD9" w14:textId="7E223BB6" w:rsidR="00866AFC" w:rsidRPr="00B55B89" w:rsidRDefault="00866AFC" w:rsidP="005C25E5">
      <w:pPr>
        <w:rPr>
          <w:sz w:val="24"/>
          <w:szCs w:val="24"/>
        </w:rPr>
      </w:pPr>
      <w:r w:rsidRPr="00B55B89">
        <w:rPr>
          <w:sz w:val="24"/>
          <w:szCs w:val="24"/>
        </w:rPr>
        <w:br w:type="page"/>
      </w:r>
    </w:p>
    <w:p w14:paraId="0B4FA118" w14:textId="77777777" w:rsidR="00866AFC" w:rsidRPr="00B55B89" w:rsidRDefault="00866AFC" w:rsidP="00C5114A">
      <w:pPr>
        <w:rPr>
          <w:sz w:val="24"/>
          <w:szCs w:val="24"/>
        </w:rPr>
      </w:pPr>
    </w:p>
    <w:p w14:paraId="5712C3C7" w14:textId="77777777" w:rsidR="00866AFC" w:rsidRPr="00B55B89" w:rsidRDefault="00866AFC" w:rsidP="00C5114A">
      <w:pPr>
        <w:ind w:left="-540"/>
        <w:rPr>
          <w:sz w:val="24"/>
          <w:szCs w:val="24"/>
        </w:rPr>
      </w:pPr>
    </w:p>
    <w:p w14:paraId="05ED8C80" w14:textId="77777777" w:rsidR="00866AFC" w:rsidRPr="00B55B89" w:rsidRDefault="00866AFC" w:rsidP="00C5114A">
      <w:pPr>
        <w:ind w:left="-851"/>
        <w:rPr>
          <w:sz w:val="24"/>
          <w:szCs w:val="24"/>
        </w:rPr>
      </w:pPr>
    </w:p>
    <w:p w14:paraId="0533D0DD" w14:textId="77777777" w:rsidR="00866AFC" w:rsidRPr="00B55B89" w:rsidRDefault="00866AFC" w:rsidP="00C5114A">
      <w:pPr>
        <w:ind w:left="-851"/>
        <w:rPr>
          <w:sz w:val="24"/>
          <w:szCs w:val="24"/>
        </w:rPr>
      </w:pPr>
    </w:p>
    <w:p w14:paraId="2FE050E7" w14:textId="77777777" w:rsidR="00866AFC" w:rsidRPr="00B55B89" w:rsidRDefault="00866AFC" w:rsidP="00C5114A">
      <w:pPr>
        <w:ind w:left="-851"/>
        <w:rPr>
          <w:sz w:val="24"/>
          <w:szCs w:val="24"/>
        </w:rPr>
      </w:pPr>
    </w:p>
    <w:p w14:paraId="6395FEC9" w14:textId="45D8C49C" w:rsidR="00866AFC" w:rsidRPr="00B55B89" w:rsidRDefault="00866AFC" w:rsidP="00870FD9">
      <w:pPr>
        <w:ind w:left="-851"/>
        <w:rPr>
          <w:sz w:val="24"/>
          <w:szCs w:val="24"/>
        </w:rPr>
      </w:pPr>
      <w:r w:rsidRPr="00B55B89">
        <w:rPr>
          <w:sz w:val="24"/>
          <w:szCs w:val="24"/>
        </w:rPr>
        <w:t>Indicator Methodology for Consideration - Methodology Review Group</w:t>
      </w:r>
    </w:p>
    <w:p w14:paraId="0C5C49E0" w14:textId="77777777" w:rsidR="00866AFC" w:rsidRPr="00B55B89" w:rsidRDefault="00866AFC" w:rsidP="00866AFC">
      <w:pPr>
        <w:ind w:left="-851"/>
        <w:rPr>
          <w:sz w:val="24"/>
          <w:szCs w:val="24"/>
        </w:rPr>
      </w:pPr>
    </w:p>
    <w:p w14:paraId="777C4E8B" w14:textId="04844701" w:rsidR="00866AFC" w:rsidRPr="00B55B89" w:rsidRDefault="005C25E5" w:rsidP="00866AFC">
      <w:pPr>
        <w:ind w:left="-851"/>
        <w:rPr>
          <w:sz w:val="24"/>
          <w:szCs w:val="24"/>
        </w:rPr>
      </w:pPr>
      <w:r w:rsidRPr="00B55B89">
        <w:rPr>
          <w:sz w:val="24"/>
          <w:szCs w:val="24"/>
        </w:rPr>
        <w:t>Introduction</w:t>
      </w:r>
    </w:p>
    <w:p w14:paraId="61A4ADE7" w14:textId="05B06E22" w:rsidR="005C25E5" w:rsidRPr="00B55B89" w:rsidRDefault="005C25E5" w:rsidP="00866AFC">
      <w:pPr>
        <w:ind w:left="-851"/>
        <w:rPr>
          <w:sz w:val="24"/>
          <w:szCs w:val="24"/>
        </w:rPr>
      </w:pPr>
    </w:p>
    <w:p w14:paraId="25C31F2F" w14:textId="77777777" w:rsidR="005C25E5" w:rsidRPr="00B55B89" w:rsidRDefault="005C25E5" w:rsidP="005C25E5">
      <w:pPr>
        <w:ind w:left="-851"/>
        <w:rPr>
          <w:sz w:val="24"/>
          <w:szCs w:val="24"/>
        </w:rPr>
      </w:pPr>
      <w:r w:rsidRPr="00B55B89">
        <w:rPr>
          <w:sz w:val="24"/>
          <w:szCs w:val="24"/>
        </w:rPr>
        <w:t xml:space="preserve">[Give a brief background on which indicators are being considered, especially if they form part of a programme of indicators.  Provide any general information such as </w:t>
      </w:r>
    </w:p>
    <w:p w14:paraId="49901C26" w14:textId="77777777" w:rsidR="005C25E5" w:rsidRPr="00B55B89" w:rsidRDefault="005C25E5" w:rsidP="005C25E5">
      <w:pPr>
        <w:ind w:left="-851"/>
        <w:rPr>
          <w:sz w:val="24"/>
          <w:szCs w:val="24"/>
        </w:rPr>
      </w:pPr>
      <w:r w:rsidRPr="00B55B89">
        <w:rPr>
          <w:sz w:val="24"/>
          <w:szCs w:val="24"/>
        </w:rPr>
        <w:t>•urgency of approval / broad timescales</w:t>
      </w:r>
    </w:p>
    <w:p w14:paraId="3894C1FC" w14:textId="77777777" w:rsidR="005C25E5" w:rsidRPr="00B55B89" w:rsidRDefault="005C25E5" w:rsidP="005C25E5">
      <w:pPr>
        <w:ind w:left="-851"/>
        <w:rPr>
          <w:sz w:val="24"/>
          <w:szCs w:val="24"/>
        </w:rPr>
      </w:pPr>
      <w:r w:rsidRPr="00B55B89">
        <w:rPr>
          <w:sz w:val="24"/>
          <w:szCs w:val="24"/>
        </w:rPr>
        <w:t xml:space="preserve">•history and direction of any indicator programmes involved </w:t>
      </w:r>
      <w:proofErr w:type="spellStart"/>
      <w:r w:rsidRPr="00B55B89">
        <w:rPr>
          <w:sz w:val="24"/>
          <w:szCs w:val="24"/>
        </w:rPr>
        <w:t>eg.</w:t>
      </w:r>
      <w:proofErr w:type="spellEnd"/>
      <w:r w:rsidRPr="00B55B89">
        <w:rPr>
          <w:sz w:val="24"/>
          <w:szCs w:val="24"/>
        </w:rPr>
        <w:t xml:space="preserve"> General news about NHS Outcomes Framework</w:t>
      </w:r>
    </w:p>
    <w:p w14:paraId="3DE2B4C4" w14:textId="4577A836" w:rsidR="005C25E5" w:rsidRPr="00B55B89" w:rsidRDefault="005C25E5" w:rsidP="005C25E5">
      <w:pPr>
        <w:ind w:left="-851"/>
        <w:rPr>
          <w:sz w:val="24"/>
          <w:szCs w:val="24"/>
        </w:rPr>
      </w:pPr>
      <w:r w:rsidRPr="00B55B89">
        <w:rPr>
          <w:sz w:val="24"/>
          <w:szCs w:val="24"/>
        </w:rPr>
        <w:t xml:space="preserve">•Level of IC’s involvement, </w:t>
      </w:r>
      <w:proofErr w:type="spellStart"/>
      <w:r w:rsidRPr="00B55B89">
        <w:rPr>
          <w:sz w:val="24"/>
          <w:szCs w:val="24"/>
        </w:rPr>
        <w:t>eg</w:t>
      </w:r>
      <w:proofErr w:type="spellEnd"/>
      <w:r w:rsidRPr="00B55B89">
        <w:rPr>
          <w:sz w:val="24"/>
          <w:szCs w:val="24"/>
        </w:rPr>
        <w:t xml:space="preserve"> is it commissioned to produce or surface the data]</w:t>
      </w:r>
    </w:p>
    <w:p w14:paraId="1AAA7BFC" w14:textId="77777777" w:rsidR="00866AFC" w:rsidRPr="00B55B89" w:rsidRDefault="00866AFC" w:rsidP="00870FD9">
      <w:pPr>
        <w:rPr>
          <w:sz w:val="24"/>
          <w:szCs w:val="24"/>
        </w:rPr>
      </w:pPr>
    </w:p>
    <w:p w14:paraId="19633BC1" w14:textId="239BDDA0" w:rsidR="00866AFC" w:rsidRPr="00B55B89" w:rsidRDefault="00866AFC" w:rsidP="00C5114A">
      <w:pPr>
        <w:ind w:left="-851"/>
        <w:rPr>
          <w:b/>
          <w:sz w:val="24"/>
          <w:szCs w:val="24"/>
        </w:rPr>
      </w:pPr>
      <w:r w:rsidRPr="00B55B89">
        <w:rPr>
          <w:sz w:val="24"/>
          <w:szCs w:val="24"/>
        </w:rPr>
        <w:t xml:space="preserve">Record of Assurance provided by </w:t>
      </w:r>
      <w:r w:rsidRPr="00B55B89">
        <w:rPr>
          <w:b/>
          <w:sz w:val="24"/>
          <w:szCs w:val="24"/>
        </w:rPr>
        <w:t>Indicator Governance Board</w:t>
      </w:r>
    </w:p>
    <w:p w14:paraId="2D920DAE" w14:textId="57239BC9" w:rsidR="00B47610" w:rsidRPr="00B55B89" w:rsidRDefault="00B47610" w:rsidP="00C5114A">
      <w:pPr>
        <w:ind w:left="-851"/>
        <w:rPr>
          <w:b/>
          <w:sz w:val="24"/>
          <w:szCs w:val="24"/>
        </w:rPr>
      </w:pPr>
    </w:p>
    <w:tbl>
      <w:tblPr>
        <w:tblStyle w:val="TableGrid"/>
        <w:tblW w:w="0" w:type="auto"/>
        <w:tblInd w:w="-851" w:type="dxa"/>
        <w:tblLook w:val="04A0" w:firstRow="1" w:lastRow="0" w:firstColumn="1" w:lastColumn="0" w:noHBand="0" w:noVBand="1"/>
      </w:tblPr>
      <w:tblGrid>
        <w:gridCol w:w="6974"/>
        <w:gridCol w:w="6974"/>
      </w:tblGrid>
      <w:tr w:rsidR="00B47610" w:rsidRPr="00B55B89" w14:paraId="462F28A8" w14:textId="77777777" w:rsidTr="00B47610">
        <w:tc>
          <w:tcPr>
            <w:tcW w:w="6974" w:type="dxa"/>
          </w:tcPr>
          <w:p w14:paraId="445A8A95" w14:textId="77777777" w:rsidR="00B47610" w:rsidRPr="00B55B89" w:rsidRDefault="00B47610" w:rsidP="00B47610">
            <w:pPr>
              <w:rPr>
                <w:sz w:val="24"/>
                <w:szCs w:val="24"/>
              </w:rPr>
            </w:pPr>
            <w:r w:rsidRPr="00B55B89">
              <w:rPr>
                <w:sz w:val="24"/>
                <w:szCs w:val="24"/>
              </w:rPr>
              <w:t>Description</w:t>
            </w:r>
          </w:p>
          <w:p w14:paraId="3894551A" w14:textId="77777777" w:rsidR="00B47610" w:rsidRPr="00B55B89" w:rsidRDefault="00B47610" w:rsidP="00C5114A">
            <w:pPr>
              <w:rPr>
                <w:sz w:val="24"/>
                <w:szCs w:val="24"/>
              </w:rPr>
            </w:pPr>
          </w:p>
        </w:tc>
        <w:tc>
          <w:tcPr>
            <w:tcW w:w="6974" w:type="dxa"/>
          </w:tcPr>
          <w:p w14:paraId="2D919C8A" w14:textId="77777777" w:rsidR="00B47610" w:rsidRPr="00B55B89" w:rsidRDefault="00B47610" w:rsidP="00C5114A">
            <w:pPr>
              <w:rPr>
                <w:sz w:val="24"/>
                <w:szCs w:val="24"/>
              </w:rPr>
            </w:pPr>
          </w:p>
        </w:tc>
      </w:tr>
      <w:tr w:rsidR="00B47610" w:rsidRPr="00B55B89" w14:paraId="25EB78D9" w14:textId="77777777" w:rsidTr="00B47610">
        <w:tc>
          <w:tcPr>
            <w:tcW w:w="6974" w:type="dxa"/>
          </w:tcPr>
          <w:p w14:paraId="7464A6E4" w14:textId="77777777" w:rsidR="00B47610" w:rsidRPr="00B55B89" w:rsidRDefault="00B47610" w:rsidP="00B47610">
            <w:pPr>
              <w:rPr>
                <w:sz w:val="24"/>
                <w:szCs w:val="24"/>
              </w:rPr>
            </w:pPr>
            <w:r w:rsidRPr="00B55B89">
              <w:rPr>
                <w:i/>
                <w:sz w:val="24"/>
                <w:szCs w:val="24"/>
              </w:rPr>
              <w:t>Denominator:</w:t>
            </w:r>
            <w:r w:rsidRPr="00B55B89">
              <w:rPr>
                <w:sz w:val="24"/>
                <w:szCs w:val="24"/>
              </w:rPr>
              <w:t xml:space="preserve"> All respondents to GP Patient Survey question: Overall, how would you describe your experience of making an appointment?</w:t>
            </w:r>
          </w:p>
          <w:p w14:paraId="1A379CA9" w14:textId="546376DB" w:rsidR="00B47610" w:rsidRPr="00B55B89" w:rsidRDefault="00B47610" w:rsidP="00B47610">
            <w:pPr>
              <w:rPr>
                <w:sz w:val="24"/>
                <w:szCs w:val="24"/>
              </w:rPr>
            </w:pPr>
            <w:r w:rsidRPr="00B55B89">
              <w:rPr>
                <w:i/>
                <w:sz w:val="24"/>
                <w:szCs w:val="24"/>
              </w:rPr>
              <w:t xml:space="preserve">Numerator: </w:t>
            </w:r>
            <w:r w:rsidRPr="00B55B89">
              <w:rPr>
                <w:sz w:val="24"/>
                <w:szCs w:val="24"/>
              </w:rPr>
              <w:t>The number of people responding, ‘Very Good’ or ‘Fairly Good’.</w:t>
            </w:r>
          </w:p>
        </w:tc>
        <w:tc>
          <w:tcPr>
            <w:tcW w:w="6974" w:type="dxa"/>
          </w:tcPr>
          <w:p w14:paraId="6281BAE3" w14:textId="77777777" w:rsidR="00B47610" w:rsidRPr="00B55B89" w:rsidRDefault="00B47610" w:rsidP="00C5114A">
            <w:pPr>
              <w:rPr>
                <w:sz w:val="24"/>
                <w:szCs w:val="24"/>
              </w:rPr>
            </w:pPr>
          </w:p>
        </w:tc>
      </w:tr>
      <w:tr w:rsidR="00B47610" w:rsidRPr="00B55B89" w14:paraId="33C9143D" w14:textId="77777777" w:rsidTr="00B47610">
        <w:tc>
          <w:tcPr>
            <w:tcW w:w="6974" w:type="dxa"/>
          </w:tcPr>
          <w:p w14:paraId="5587E343" w14:textId="54BACB88" w:rsidR="00B47610" w:rsidRPr="00B55B89" w:rsidRDefault="00B47610" w:rsidP="00C5114A">
            <w:pPr>
              <w:rPr>
                <w:sz w:val="24"/>
                <w:szCs w:val="24"/>
              </w:rPr>
            </w:pPr>
            <w:r w:rsidRPr="00B55B89">
              <w:rPr>
                <w:sz w:val="24"/>
                <w:szCs w:val="24"/>
              </w:rPr>
              <w:t>Initial IGB discussion</w:t>
            </w:r>
          </w:p>
        </w:tc>
        <w:tc>
          <w:tcPr>
            <w:tcW w:w="6974" w:type="dxa"/>
          </w:tcPr>
          <w:p w14:paraId="592677A7" w14:textId="05997E4C" w:rsidR="00B47610" w:rsidRPr="00B55B89" w:rsidRDefault="00B47610" w:rsidP="00C5114A">
            <w:pPr>
              <w:rPr>
                <w:sz w:val="24"/>
                <w:szCs w:val="24"/>
              </w:rPr>
            </w:pPr>
            <w:r w:rsidRPr="00B55B89">
              <w:rPr>
                <w:sz w:val="24"/>
                <w:szCs w:val="24"/>
              </w:rPr>
              <w:t>30/11/12</w:t>
            </w:r>
          </w:p>
        </w:tc>
      </w:tr>
    </w:tbl>
    <w:p w14:paraId="0C1C441E" w14:textId="77777777" w:rsidR="00B47610" w:rsidRPr="00B55B89" w:rsidRDefault="00B47610" w:rsidP="00C5114A">
      <w:pPr>
        <w:ind w:left="-851"/>
        <w:rPr>
          <w:sz w:val="24"/>
          <w:szCs w:val="24"/>
        </w:rPr>
      </w:pPr>
    </w:p>
    <w:tbl>
      <w:tblPr>
        <w:tblStyle w:val="TableGrid"/>
        <w:tblW w:w="0" w:type="auto"/>
        <w:tblInd w:w="-856" w:type="dxa"/>
        <w:tblLook w:val="04A0" w:firstRow="1" w:lastRow="0" w:firstColumn="1" w:lastColumn="0" w:noHBand="0" w:noVBand="1"/>
      </w:tblPr>
      <w:tblGrid>
        <w:gridCol w:w="6947"/>
        <w:gridCol w:w="6945"/>
      </w:tblGrid>
      <w:tr w:rsidR="0030271F" w:rsidRPr="00B55B89" w14:paraId="1CF6F7DB" w14:textId="77777777" w:rsidTr="00B47610">
        <w:tc>
          <w:tcPr>
            <w:tcW w:w="6947" w:type="dxa"/>
          </w:tcPr>
          <w:p w14:paraId="17D395BB" w14:textId="1F3DD271" w:rsidR="0030271F" w:rsidRPr="00B55B89" w:rsidRDefault="0030271F" w:rsidP="00B47610">
            <w:pPr>
              <w:rPr>
                <w:sz w:val="24"/>
                <w:szCs w:val="24"/>
              </w:rPr>
            </w:pPr>
            <w:r w:rsidRPr="00B55B89">
              <w:rPr>
                <w:sz w:val="24"/>
                <w:szCs w:val="24"/>
              </w:rPr>
              <w:t>Strategic considerations and implications</w:t>
            </w:r>
          </w:p>
        </w:tc>
        <w:tc>
          <w:tcPr>
            <w:tcW w:w="6945" w:type="dxa"/>
          </w:tcPr>
          <w:p w14:paraId="2B23F190" w14:textId="77777777" w:rsidR="0030271F" w:rsidRPr="00B55B89" w:rsidRDefault="0030271F">
            <w:pPr>
              <w:rPr>
                <w:sz w:val="24"/>
                <w:szCs w:val="24"/>
              </w:rPr>
            </w:pPr>
          </w:p>
        </w:tc>
      </w:tr>
      <w:tr w:rsidR="00B47610" w:rsidRPr="00B55B89" w14:paraId="3AF95358" w14:textId="77777777" w:rsidTr="00B47610">
        <w:tc>
          <w:tcPr>
            <w:tcW w:w="6947" w:type="dxa"/>
          </w:tcPr>
          <w:p w14:paraId="62421BED" w14:textId="77777777" w:rsidR="00B47610" w:rsidRPr="00B55B89" w:rsidRDefault="00B47610" w:rsidP="00B47610">
            <w:pPr>
              <w:rPr>
                <w:sz w:val="24"/>
                <w:szCs w:val="24"/>
              </w:rPr>
            </w:pPr>
            <w:r w:rsidRPr="00B55B89">
              <w:rPr>
                <w:sz w:val="24"/>
                <w:szCs w:val="24"/>
              </w:rPr>
              <w:t>Department of Health Quality Framework and QIPP Teams</w:t>
            </w:r>
          </w:p>
          <w:p w14:paraId="736C7E33" w14:textId="1D3642AB" w:rsidR="00B47610" w:rsidRPr="00B55B89" w:rsidRDefault="00B47610" w:rsidP="00B47610">
            <w:pPr>
              <w:rPr>
                <w:sz w:val="24"/>
                <w:szCs w:val="24"/>
              </w:rPr>
            </w:pPr>
            <w:r w:rsidRPr="00B55B89">
              <w:rPr>
                <w:sz w:val="24"/>
                <w:szCs w:val="24"/>
              </w:rPr>
              <w:t>*Costing for assurance appraisal included in development cost</w:t>
            </w:r>
          </w:p>
        </w:tc>
        <w:tc>
          <w:tcPr>
            <w:tcW w:w="6945" w:type="dxa"/>
          </w:tcPr>
          <w:p w14:paraId="24325BD2" w14:textId="5BD07C33" w:rsidR="00B47610" w:rsidRPr="00B55B89" w:rsidRDefault="00B47610">
            <w:pPr>
              <w:rPr>
                <w:sz w:val="24"/>
                <w:szCs w:val="24"/>
              </w:rPr>
            </w:pPr>
            <w:r w:rsidRPr="00B55B89">
              <w:rPr>
                <w:sz w:val="24"/>
                <w:szCs w:val="24"/>
              </w:rPr>
              <w:t>Assurance- Yes</w:t>
            </w:r>
          </w:p>
        </w:tc>
      </w:tr>
      <w:tr w:rsidR="00B47610" w:rsidRPr="00B55B89" w14:paraId="0C4743F0" w14:textId="77777777" w:rsidTr="00B47610">
        <w:tc>
          <w:tcPr>
            <w:tcW w:w="6947" w:type="dxa"/>
          </w:tcPr>
          <w:p w14:paraId="09FF1876" w14:textId="3A1128DF" w:rsidR="00B47610" w:rsidRPr="00B55B89" w:rsidRDefault="00B47610">
            <w:pPr>
              <w:rPr>
                <w:sz w:val="24"/>
                <w:szCs w:val="24"/>
              </w:rPr>
            </w:pPr>
            <w:r w:rsidRPr="00B55B89">
              <w:rPr>
                <w:sz w:val="24"/>
                <w:szCs w:val="24"/>
              </w:rPr>
              <w:t>Indicator rationale</w:t>
            </w:r>
          </w:p>
        </w:tc>
        <w:tc>
          <w:tcPr>
            <w:tcW w:w="6945" w:type="dxa"/>
          </w:tcPr>
          <w:p w14:paraId="1A5A10E8" w14:textId="372D9B58" w:rsidR="00B47610" w:rsidRPr="00B55B89" w:rsidRDefault="00B47610">
            <w:pPr>
              <w:rPr>
                <w:sz w:val="24"/>
                <w:szCs w:val="24"/>
              </w:rPr>
            </w:pPr>
            <w:r w:rsidRPr="00B55B89">
              <w:rPr>
                <w:sz w:val="24"/>
                <w:szCs w:val="24"/>
              </w:rPr>
              <w:t xml:space="preserve">The vast majority of the population visit their GP each year, and the average person will visit their GP more than five times a year whereas they will go to hospital for treatment once every </w:t>
            </w:r>
            <w:r w:rsidRPr="00B55B89">
              <w:rPr>
                <w:sz w:val="24"/>
                <w:szCs w:val="24"/>
              </w:rPr>
              <w:lastRenderedPageBreak/>
              <w:t>five years. Often it is the experience people have of primary care – including GPs, that determine their overall view of the NHS.  The indicator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r>
      <w:tr w:rsidR="00B47610" w:rsidRPr="00B55B89" w14:paraId="5853380C" w14:textId="77777777" w:rsidTr="00B47610">
        <w:tc>
          <w:tcPr>
            <w:tcW w:w="6947" w:type="dxa"/>
          </w:tcPr>
          <w:p w14:paraId="526B557B" w14:textId="77777777" w:rsidR="00754D2C" w:rsidRPr="00B55B89" w:rsidRDefault="00754D2C" w:rsidP="00754D2C">
            <w:pPr>
              <w:rPr>
                <w:sz w:val="24"/>
                <w:szCs w:val="24"/>
              </w:rPr>
            </w:pPr>
            <w:r w:rsidRPr="00B55B89">
              <w:rPr>
                <w:sz w:val="24"/>
                <w:szCs w:val="24"/>
              </w:rPr>
              <w:lastRenderedPageBreak/>
              <w:t xml:space="preserve">Basis for rationale </w:t>
            </w:r>
          </w:p>
          <w:p w14:paraId="250615BF" w14:textId="7ABB391B" w:rsidR="00B47610" w:rsidRPr="00B55B89" w:rsidRDefault="00754D2C" w:rsidP="00754D2C">
            <w:pPr>
              <w:rPr>
                <w:sz w:val="24"/>
                <w:szCs w:val="24"/>
              </w:rPr>
            </w:pPr>
            <w:r w:rsidRPr="00B55B89">
              <w:rPr>
                <w:sz w:val="24"/>
                <w:szCs w:val="24"/>
              </w:rPr>
              <w:t>[Details of quality statement, policy etc]</w:t>
            </w:r>
          </w:p>
        </w:tc>
        <w:tc>
          <w:tcPr>
            <w:tcW w:w="6945" w:type="dxa"/>
          </w:tcPr>
          <w:p w14:paraId="757D05C4" w14:textId="22E90E56" w:rsidR="00B47610" w:rsidRPr="00B55B89" w:rsidRDefault="00754D2C">
            <w:pPr>
              <w:rPr>
                <w:sz w:val="24"/>
                <w:szCs w:val="24"/>
              </w:rPr>
            </w:pPr>
            <w:r w:rsidRPr="00B55B89">
              <w:rPr>
                <w:sz w:val="24"/>
                <w:szCs w:val="24"/>
              </w:rPr>
              <w:t xml:space="preserve">The NHS Outcomes Framework will provide national level accountability for the outcomes the NHS delivers. The indicator is driven by policy priorities. </w:t>
            </w:r>
          </w:p>
        </w:tc>
      </w:tr>
      <w:tr w:rsidR="00150EDA" w:rsidRPr="00B55B89" w14:paraId="30A26F60" w14:textId="77777777" w:rsidTr="00B47610">
        <w:tc>
          <w:tcPr>
            <w:tcW w:w="6947" w:type="dxa"/>
          </w:tcPr>
          <w:p w14:paraId="7682B337" w14:textId="21AC3A03" w:rsidR="00150EDA" w:rsidRPr="00B55B89" w:rsidRDefault="00150EDA" w:rsidP="00754D2C">
            <w:pPr>
              <w:rPr>
                <w:sz w:val="24"/>
                <w:szCs w:val="24"/>
              </w:rPr>
            </w:pPr>
            <w:r w:rsidRPr="00B55B89">
              <w:rPr>
                <w:sz w:val="24"/>
                <w:szCs w:val="24"/>
              </w:rPr>
              <w:t>Risks &amp; assumptions</w:t>
            </w:r>
          </w:p>
        </w:tc>
        <w:tc>
          <w:tcPr>
            <w:tcW w:w="6945" w:type="dxa"/>
          </w:tcPr>
          <w:p w14:paraId="619180EA" w14:textId="77777777" w:rsidR="00150EDA" w:rsidRPr="00B55B89" w:rsidRDefault="00150EDA" w:rsidP="00150EDA">
            <w:pPr>
              <w:numPr>
                <w:ilvl w:val="0"/>
                <w:numId w:val="13"/>
              </w:numPr>
              <w:rPr>
                <w:sz w:val="24"/>
                <w:szCs w:val="24"/>
              </w:rPr>
            </w:pPr>
            <w:r w:rsidRPr="00B55B89">
              <w:rPr>
                <w:sz w:val="24"/>
                <w:szCs w:val="24"/>
              </w:rPr>
              <w:t xml:space="preserve">It is assumed that the GP Patient Survey will continue to run.  </w:t>
            </w:r>
          </w:p>
          <w:p w14:paraId="260B835A" w14:textId="77777777" w:rsidR="00150EDA" w:rsidRPr="00B55B89" w:rsidRDefault="00150EDA" w:rsidP="00150EDA">
            <w:pPr>
              <w:numPr>
                <w:ilvl w:val="0"/>
                <w:numId w:val="13"/>
              </w:numPr>
              <w:rPr>
                <w:sz w:val="24"/>
                <w:szCs w:val="24"/>
              </w:rPr>
            </w:pPr>
            <w:r w:rsidRPr="00B55B89">
              <w:rPr>
                <w:sz w:val="24"/>
                <w:szCs w:val="24"/>
              </w:rPr>
              <w:t>The survey is being run centrally and administered by Ipsos MORI with patients selected at random from GP registered lists in order to avoid the possibility of primary care providers being able to ‘game’ the system.</w:t>
            </w:r>
          </w:p>
          <w:p w14:paraId="0F224449" w14:textId="77777777" w:rsidR="00150EDA" w:rsidRPr="00B55B89" w:rsidRDefault="00150EDA">
            <w:pPr>
              <w:rPr>
                <w:sz w:val="24"/>
                <w:szCs w:val="24"/>
              </w:rPr>
            </w:pPr>
          </w:p>
        </w:tc>
      </w:tr>
      <w:tr w:rsidR="00150EDA" w:rsidRPr="00B55B89" w14:paraId="476CDB8A" w14:textId="77777777" w:rsidTr="00B47610">
        <w:tc>
          <w:tcPr>
            <w:tcW w:w="6947" w:type="dxa"/>
          </w:tcPr>
          <w:p w14:paraId="30FEA25E" w14:textId="50EC2A29" w:rsidR="00150EDA" w:rsidRPr="00B55B89" w:rsidRDefault="00150EDA" w:rsidP="00754D2C">
            <w:pPr>
              <w:rPr>
                <w:sz w:val="24"/>
                <w:szCs w:val="24"/>
              </w:rPr>
            </w:pPr>
            <w:r w:rsidRPr="00B55B89">
              <w:rPr>
                <w:sz w:val="24"/>
                <w:szCs w:val="24"/>
              </w:rPr>
              <w:t>IG Considerations  [e.g. release of under-lying data, intermediaries’ access to data, data ownership impact on production]</w:t>
            </w:r>
          </w:p>
        </w:tc>
        <w:tc>
          <w:tcPr>
            <w:tcW w:w="6945" w:type="dxa"/>
          </w:tcPr>
          <w:p w14:paraId="6647AA07" w14:textId="77777777" w:rsidR="00150EDA" w:rsidRPr="00B55B89" w:rsidRDefault="00150EDA" w:rsidP="00150EDA">
            <w:pPr>
              <w:rPr>
                <w:sz w:val="24"/>
                <w:szCs w:val="24"/>
              </w:rPr>
            </w:pPr>
            <w:r w:rsidRPr="00B55B89">
              <w:rPr>
                <w:i/>
                <w:sz w:val="24"/>
                <w:szCs w:val="24"/>
              </w:rPr>
              <w:t>Data Source:</w:t>
            </w:r>
            <w:r w:rsidRPr="00B55B89">
              <w:rPr>
                <w:sz w:val="24"/>
                <w:szCs w:val="24"/>
              </w:rPr>
              <w:t xml:space="preserve"> Indicator based on responses to a single question within the GP Patient Survey (GPPS)</w:t>
            </w:r>
          </w:p>
          <w:p w14:paraId="10203A97" w14:textId="77777777" w:rsidR="00150EDA" w:rsidRPr="00B55B89" w:rsidRDefault="00150EDA" w:rsidP="00150EDA">
            <w:pPr>
              <w:rPr>
                <w:sz w:val="24"/>
                <w:szCs w:val="24"/>
              </w:rPr>
            </w:pPr>
          </w:p>
          <w:p w14:paraId="33A7CCE9" w14:textId="7CC914AF" w:rsidR="00150EDA" w:rsidRPr="00B55B89" w:rsidRDefault="00150EDA" w:rsidP="00150EDA">
            <w:pPr>
              <w:rPr>
                <w:sz w:val="24"/>
                <w:szCs w:val="24"/>
              </w:rPr>
            </w:pPr>
            <w:r w:rsidRPr="00B55B89">
              <w:rPr>
                <w:sz w:val="24"/>
                <w:szCs w:val="24"/>
              </w:rPr>
              <w:t xml:space="preserve">Data is </w:t>
            </w:r>
            <w:proofErr w:type="spellStart"/>
            <w:r w:rsidRPr="00B55B89">
              <w:rPr>
                <w:sz w:val="24"/>
                <w:szCs w:val="24"/>
              </w:rPr>
              <w:t>publically</w:t>
            </w:r>
            <w:proofErr w:type="spellEnd"/>
            <w:r w:rsidRPr="00B55B89">
              <w:rPr>
                <w:sz w:val="24"/>
                <w:szCs w:val="24"/>
              </w:rPr>
              <w:t xml:space="preserve"> available</w:t>
            </w:r>
          </w:p>
        </w:tc>
      </w:tr>
      <w:tr w:rsidR="00150EDA" w:rsidRPr="00B55B89" w14:paraId="525F4DEE" w14:textId="77777777" w:rsidTr="00B47610">
        <w:tc>
          <w:tcPr>
            <w:tcW w:w="6947" w:type="dxa"/>
          </w:tcPr>
          <w:p w14:paraId="08412E04" w14:textId="7768A91B" w:rsidR="00150EDA" w:rsidRPr="00B55B89" w:rsidRDefault="00150EDA" w:rsidP="00754D2C">
            <w:pPr>
              <w:rPr>
                <w:sz w:val="24"/>
                <w:szCs w:val="24"/>
              </w:rPr>
            </w:pPr>
            <w:r w:rsidRPr="00B55B89">
              <w:rPr>
                <w:sz w:val="24"/>
                <w:szCs w:val="24"/>
              </w:rPr>
              <w:t>Potential impacts on other business areas [</w:t>
            </w:r>
            <w:proofErr w:type="spellStart"/>
            <w:r w:rsidRPr="00B55B89">
              <w:rPr>
                <w:sz w:val="24"/>
                <w:szCs w:val="24"/>
              </w:rPr>
              <w:t>inc</w:t>
            </w:r>
            <w:proofErr w:type="spellEnd"/>
            <w:r w:rsidRPr="00B55B89">
              <w:rPr>
                <w:sz w:val="24"/>
                <w:szCs w:val="24"/>
              </w:rPr>
              <w:t xml:space="preserve"> outstanding generic issues]</w:t>
            </w:r>
          </w:p>
        </w:tc>
        <w:tc>
          <w:tcPr>
            <w:tcW w:w="6945" w:type="dxa"/>
          </w:tcPr>
          <w:p w14:paraId="49FA1516" w14:textId="77777777" w:rsidR="00150EDA" w:rsidRPr="00B55B89" w:rsidRDefault="00150EDA" w:rsidP="00150EDA">
            <w:pPr>
              <w:rPr>
                <w:iCs/>
                <w:sz w:val="24"/>
                <w:szCs w:val="24"/>
              </w:rPr>
            </w:pPr>
            <w:r w:rsidRPr="00B55B89">
              <w:rPr>
                <w:iCs/>
                <w:sz w:val="24"/>
                <w:szCs w:val="24"/>
              </w:rPr>
              <w:t>None identified</w:t>
            </w:r>
          </w:p>
          <w:p w14:paraId="478EF524" w14:textId="77777777" w:rsidR="00150EDA" w:rsidRPr="00B55B89" w:rsidRDefault="00150EDA" w:rsidP="00150EDA">
            <w:pPr>
              <w:rPr>
                <w:iCs/>
                <w:sz w:val="24"/>
                <w:szCs w:val="24"/>
              </w:rPr>
            </w:pPr>
          </w:p>
        </w:tc>
      </w:tr>
      <w:tr w:rsidR="00150EDA" w:rsidRPr="00B55B89" w14:paraId="5EF5EC7E" w14:textId="77777777" w:rsidTr="00B47610">
        <w:tc>
          <w:tcPr>
            <w:tcW w:w="6947" w:type="dxa"/>
          </w:tcPr>
          <w:p w14:paraId="170F7253" w14:textId="77777777" w:rsidR="00150EDA" w:rsidRPr="00B55B89" w:rsidRDefault="00150EDA" w:rsidP="00150EDA">
            <w:pPr>
              <w:rPr>
                <w:sz w:val="24"/>
                <w:szCs w:val="24"/>
              </w:rPr>
            </w:pPr>
            <w:r w:rsidRPr="00B55B89">
              <w:rPr>
                <w:sz w:val="24"/>
                <w:szCs w:val="24"/>
              </w:rPr>
              <w:t>Implementation Method</w:t>
            </w:r>
          </w:p>
          <w:p w14:paraId="771281B7" w14:textId="46A1A3E2" w:rsidR="00150EDA" w:rsidRPr="00B55B89" w:rsidRDefault="00150EDA" w:rsidP="00150EDA">
            <w:pPr>
              <w:rPr>
                <w:sz w:val="24"/>
                <w:szCs w:val="24"/>
              </w:rPr>
            </w:pPr>
            <w:r w:rsidRPr="00B55B89">
              <w:rPr>
                <w:sz w:val="24"/>
                <w:szCs w:val="24"/>
              </w:rPr>
              <w:t>[</w:t>
            </w:r>
            <w:proofErr w:type="spellStart"/>
            <w:r w:rsidRPr="00B55B89">
              <w:rPr>
                <w:sz w:val="24"/>
                <w:szCs w:val="24"/>
              </w:rPr>
              <w:t>inc</w:t>
            </w:r>
            <w:proofErr w:type="spellEnd"/>
            <w:r w:rsidRPr="00B55B89">
              <w:rPr>
                <w:sz w:val="24"/>
                <w:szCs w:val="24"/>
              </w:rPr>
              <w:t xml:space="preserve"> production funding]</w:t>
            </w:r>
          </w:p>
        </w:tc>
        <w:tc>
          <w:tcPr>
            <w:tcW w:w="6945" w:type="dxa"/>
          </w:tcPr>
          <w:p w14:paraId="261877EB" w14:textId="77777777" w:rsidR="00150EDA" w:rsidRPr="00B55B89" w:rsidRDefault="00150EDA" w:rsidP="00150EDA">
            <w:pPr>
              <w:numPr>
                <w:ilvl w:val="0"/>
                <w:numId w:val="13"/>
              </w:numPr>
              <w:rPr>
                <w:iCs/>
                <w:sz w:val="24"/>
                <w:szCs w:val="24"/>
              </w:rPr>
            </w:pPr>
            <w:r w:rsidRPr="00B55B89">
              <w:rPr>
                <w:iCs/>
                <w:sz w:val="24"/>
                <w:szCs w:val="24"/>
              </w:rPr>
              <w:t>Funding status secured.</w:t>
            </w:r>
          </w:p>
          <w:p w14:paraId="1C074BDC" w14:textId="13BD2E18" w:rsidR="00150EDA" w:rsidRPr="00B55B89" w:rsidRDefault="00150EDA" w:rsidP="00150EDA">
            <w:pPr>
              <w:numPr>
                <w:ilvl w:val="0"/>
                <w:numId w:val="13"/>
              </w:numPr>
              <w:rPr>
                <w:iCs/>
                <w:sz w:val="24"/>
                <w:szCs w:val="24"/>
              </w:rPr>
            </w:pPr>
            <w:r w:rsidRPr="00B55B89">
              <w:rPr>
                <w:iCs/>
                <w:sz w:val="24"/>
                <w:szCs w:val="24"/>
              </w:rPr>
              <w:t>The indicator will only be based on a data for a full financial year aggregating data from the two six-monthly collections and will be available in June following the applicable financial year.</w:t>
            </w:r>
          </w:p>
        </w:tc>
      </w:tr>
    </w:tbl>
    <w:p w14:paraId="0EF8205A" w14:textId="77777777" w:rsidR="00866AFC" w:rsidRPr="00B55B89" w:rsidRDefault="00866AFC">
      <w:pPr>
        <w:rPr>
          <w:sz w:val="24"/>
          <w:szCs w:val="24"/>
        </w:rPr>
      </w:pPr>
    </w:p>
    <w:p w14:paraId="76FBD0EB" w14:textId="77777777" w:rsidR="00866AFC" w:rsidRPr="00B55B89" w:rsidRDefault="00866AFC">
      <w:pPr>
        <w:rPr>
          <w:sz w:val="24"/>
          <w:szCs w:val="24"/>
        </w:rPr>
      </w:pPr>
    </w:p>
    <w:tbl>
      <w:tblPr>
        <w:tblStyle w:val="TableGrid"/>
        <w:tblW w:w="0" w:type="auto"/>
        <w:tblInd w:w="-845" w:type="dxa"/>
        <w:tblLook w:val="04A0" w:firstRow="1" w:lastRow="0" w:firstColumn="1" w:lastColumn="0" w:noHBand="0" w:noVBand="1"/>
      </w:tblPr>
      <w:tblGrid>
        <w:gridCol w:w="6974"/>
        <w:gridCol w:w="6907"/>
      </w:tblGrid>
      <w:tr w:rsidR="00150EDA" w:rsidRPr="00B55B89" w14:paraId="27574FE2" w14:textId="77777777" w:rsidTr="00150EDA">
        <w:tc>
          <w:tcPr>
            <w:tcW w:w="6974" w:type="dxa"/>
          </w:tcPr>
          <w:p w14:paraId="73D7E0C1" w14:textId="7417453D" w:rsidR="00150EDA" w:rsidRPr="00B55B89" w:rsidRDefault="00150EDA" w:rsidP="00C5114A">
            <w:pPr>
              <w:rPr>
                <w:sz w:val="24"/>
                <w:szCs w:val="24"/>
              </w:rPr>
            </w:pPr>
            <w:r w:rsidRPr="00B55B89">
              <w:rPr>
                <w:sz w:val="24"/>
                <w:szCs w:val="24"/>
              </w:rPr>
              <w:lastRenderedPageBreak/>
              <w:t>Discussion dates: 27/9/11, 25/5/12, 9/8/12</w:t>
            </w:r>
          </w:p>
        </w:tc>
        <w:tc>
          <w:tcPr>
            <w:tcW w:w="6907" w:type="dxa"/>
          </w:tcPr>
          <w:p w14:paraId="3BD64D11" w14:textId="5B2C173F" w:rsidR="00150EDA" w:rsidRPr="00B55B89" w:rsidRDefault="00150EDA" w:rsidP="00C5114A">
            <w:pPr>
              <w:rPr>
                <w:sz w:val="24"/>
                <w:szCs w:val="24"/>
              </w:rPr>
            </w:pPr>
            <w:r w:rsidRPr="00B55B89">
              <w:rPr>
                <w:sz w:val="24"/>
                <w:szCs w:val="24"/>
              </w:rPr>
              <w:t xml:space="preserve">By: HSCIC: Alyson Whitmarsh , John </w:t>
            </w:r>
            <w:proofErr w:type="spellStart"/>
            <w:r w:rsidRPr="00B55B89">
              <w:rPr>
                <w:sz w:val="24"/>
                <w:szCs w:val="24"/>
              </w:rPr>
              <w:t>Varlow</w:t>
            </w:r>
            <w:proofErr w:type="spellEnd"/>
            <w:r w:rsidRPr="00B55B89">
              <w:rPr>
                <w:sz w:val="24"/>
                <w:szCs w:val="24"/>
              </w:rPr>
              <w:t>, Azim Lakhani, Andy Sutherland, Jonathan Hope,</w:t>
            </w:r>
          </w:p>
        </w:tc>
      </w:tr>
      <w:tr w:rsidR="00150EDA" w:rsidRPr="00B55B89" w14:paraId="4331EDB8" w14:textId="77777777" w:rsidTr="00150EDA">
        <w:tc>
          <w:tcPr>
            <w:tcW w:w="6974" w:type="dxa"/>
          </w:tcPr>
          <w:p w14:paraId="5BA0483F" w14:textId="77777777" w:rsidR="00150EDA" w:rsidRPr="00B55B89" w:rsidRDefault="00150EDA" w:rsidP="00C5114A">
            <w:pPr>
              <w:rPr>
                <w:sz w:val="24"/>
                <w:szCs w:val="24"/>
              </w:rPr>
            </w:pPr>
          </w:p>
        </w:tc>
        <w:tc>
          <w:tcPr>
            <w:tcW w:w="6907" w:type="dxa"/>
          </w:tcPr>
          <w:p w14:paraId="5622178B" w14:textId="77777777" w:rsidR="00150EDA" w:rsidRPr="00B55B89" w:rsidRDefault="00150EDA" w:rsidP="00150EDA">
            <w:pPr>
              <w:numPr>
                <w:ilvl w:val="0"/>
                <w:numId w:val="13"/>
              </w:numPr>
              <w:rPr>
                <w:sz w:val="24"/>
                <w:szCs w:val="24"/>
              </w:rPr>
            </w:pPr>
            <w:r w:rsidRPr="00B55B89">
              <w:rPr>
                <w:sz w:val="24"/>
                <w:szCs w:val="24"/>
              </w:rPr>
              <w:t>Initial methodology which included regression analysis of other survey questions discounted - indicator based on responses to a single question.</w:t>
            </w:r>
          </w:p>
          <w:p w14:paraId="74EE22A8" w14:textId="77777777" w:rsidR="00150EDA" w:rsidRPr="00B55B89" w:rsidRDefault="00150EDA" w:rsidP="00150EDA">
            <w:pPr>
              <w:numPr>
                <w:ilvl w:val="0"/>
                <w:numId w:val="13"/>
              </w:numPr>
              <w:rPr>
                <w:sz w:val="24"/>
                <w:szCs w:val="24"/>
              </w:rPr>
            </w:pPr>
            <w:r w:rsidRPr="00B55B89">
              <w:rPr>
                <w:sz w:val="24"/>
                <w:szCs w:val="24"/>
              </w:rPr>
              <w:t>Details of non-response weighting provided - Strategy documents available on GP Patient Survey website.</w:t>
            </w:r>
          </w:p>
          <w:p w14:paraId="6EB48E33" w14:textId="77777777" w:rsidR="00150EDA" w:rsidRPr="00B55B89" w:rsidRDefault="00150EDA" w:rsidP="00150EDA">
            <w:pPr>
              <w:numPr>
                <w:ilvl w:val="0"/>
                <w:numId w:val="13"/>
              </w:numPr>
              <w:rPr>
                <w:sz w:val="24"/>
                <w:szCs w:val="24"/>
              </w:rPr>
            </w:pPr>
            <w:r w:rsidRPr="00B55B89">
              <w:rPr>
                <w:sz w:val="24"/>
                <w:szCs w:val="24"/>
              </w:rPr>
              <w:t xml:space="preserve">MRG noted that the weighting for non-response bias, covered in the Ipsos MORI paper, addressed issues of demographic mix. </w:t>
            </w:r>
          </w:p>
          <w:p w14:paraId="1FC02E72" w14:textId="77777777" w:rsidR="00150EDA" w:rsidRPr="00B55B89" w:rsidRDefault="00150EDA" w:rsidP="00150EDA">
            <w:pPr>
              <w:numPr>
                <w:ilvl w:val="0"/>
                <w:numId w:val="13"/>
              </w:numPr>
              <w:rPr>
                <w:sz w:val="24"/>
                <w:szCs w:val="24"/>
              </w:rPr>
            </w:pPr>
            <w:r w:rsidRPr="00B55B89">
              <w:rPr>
                <w:sz w:val="24"/>
                <w:szCs w:val="24"/>
              </w:rPr>
              <w:t xml:space="preserve">Request made for definitive statement from Ipsos MORI on whether research into people with bad experiences being more inclined to respond has been carried out.  </w:t>
            </w:r>
          </w:p>
          <w:p w14:paraId="2F008D1A" w14:textId="77777777" w:rsidR="00150EDA" w:rsidRPr="00B55B89" w:rsidRDefault="00150EDA" w:rsidP="00C5114A">
            <w:pPr>
              <w:rPr>
                <w:sz w:val="24"/>
                <w:szCs w:val="24"/>
              </w:rPr>
            </w:pPr>
          </w:p>
        </w:tc>
      </w:tr>
      <w:tr w:rsidR="00150EDA" w:rsidRPr="00B55B89" w14:paraId="6F42F06F" w14:textId="77777777" w:rsidTr="00150EDA">
        <w:tc>
          <w:tcPr>
            <w:tcW w:w="6974" w:type="dxa"/>
          </w:tcPr>
          <w:p w14:paraId="6D798C6D" w14:textId="3ACFA905" w:rsidR="00150EDA" w:rsidRPr="00B55B89" w:rsidRDefault="00150EDA" w:rsidP="00C5114A">
            <w:pPr>
              <w:rPr>
                <w:sz w:val="24"/>
                <w:szCs w:val="24"/>
              </w:rPr>
            </w:pPr>
            <w:r w:rsidRPr="00B55B89">
              <w:rPr>
                <w:sz w:val="24"/>
                <w:szCs w:val="24"/>
              </w:rPr>
              <w:t>Summary of MRG discussions:</w:t>
            </w:r>
          </w:p>
        </w:tc>
        <w:tc>
          <w:tcPr>
            <w:tcW w:w="6907" w:type="dxa"/>
          </w:tcPr>
          <w:p w14:paraId="6B0D109B" w14:textId="6751D688" w:rsidR="00150EDA" w:rsidRPr="00B55B89" w:rsidRDefault="00150EDA" w:rsidP="00C5114A">
            <w:pPr>
              <w:rPr>
                <w:sz w:val="24"/>
                <w:szCs w:val="24"/>
              </w:rPr>
            </w:pPr>
            <w:r w:rsidRPr="00B55B89">
              <w:rPr>
                <w:sz w:val="24"/>
                <w:szCs w:val="24"/>
              </w:rPr>
              <w:t>MRG recommended that the numbers for this indicator be compared to the total number of people indicating that they made an appointment.  This would give an indication of how well completed this question is.</w:t>
            </w:r>
          </w:p>
        </w:tc>
      </w:tr>
      <w:tr w:rsidR="00150EDA" w:rsidRPr="00B55B89" w14:paraId="23380B6F" w14:textId="77777777" w:rsidTr="00150EDA">
        <w:tc>
          <w:tcPr>
            <w:tcW w:w="6974" w:type="dxa"/>
          </w:tcPr>
          <w:p w14:paraId="760EC257" w14:textId="184C476B" w:rsidR="00150EDA" w:rsidRPr="00B55B89" w:rsidRDefault="00150EDA" w:rsidP="00C5114A">
            <w:pPr>
              <w:rPr>
                <w:iCs/>
                <w:sz w:val="24"/>
                <w:szCs w:val="24"/>
              </w:rPr>
            </w:pPr>
            <w:r w:rsidRPr="00B55B89">
              <w:rPr>
                <w:iCs/>
                <w:sz w:val="24"/>
                <w:szCs w:val="24"/>
              </w:rPr>
              <w:t>Outcome of MRG consideration:</w:t>
            </w:r>
          </w:p>
        </w:tc>
        <w:tc>
          <w:tcPr>
            <w:tcW w:w="6907" w:type="dxa"/>
          </w:tcPr>
          <w:p w14:paraId="2F4272BA" w14:textId="0552329F" w:rsidR="00150EDA" w:rsidRPr="00B55B89" w:rsidRDefault="00150EDA" w:rsidP="00C5114A">
            <w:pPr>
              <w:rPr>
                <w:sz w:val="24"/>
                <w:szCs w:val="24"/>
              </w:rPr>
            </w:pPr>
            <w:r w:rsidRPr="00B55B89">
              <w:rPr>
                <w:sz w:val="24"/>
                <w:szCs w:val="24"/>
              </w:rPr>
              <w:t>No significant identified</w:t>
            </w:r>
          </w:p>
        </w:tc>
      </w:tr>
      <w:tr w:rsidR="00150EDA" w:rsidRPr="00B55B89" w14:paraId="5E16B3C4" w14:textId="77777777" w:rsidTr="00150EDA">
        <w:tc>
          <w:tcPr>
            <w:tcW w:w="6974" w:type="dxa"/>
          </w:tcPr>
          <w:p w14:paraId="381B6E34" w14:textId="527D2022" w:rsidR="00150EDA" w:rsidRPr="00B55B89" w:rsidRDefault="00840661" w:rsidP="00C5114A">
            <w:pPr>
              <w:rPr>
                <w:sz w:val="24"/>
                <w:szCs w:val="24"/>
              </w:rPr>
            </w:pPr>
            <w:r w:rsidRPr="00B55B89">
              <w:rPr>
                <w:sz w:val="24"/>
                <w:szCs w:val="24"/>
              </w:rPr>
              <w:t>MRG statement of recommendation:</w:t>
            </w:r>
          </w:p>
        </w:tc>
        <w:tc>
          <w:tcPr>
            <w:tcW w:w="6907" w:type="dxa"/>
          </w:tcPr>
          <w:p w14:paraId="0F5F824E" w14:textId="7022A044" w:rsidR="00150EDA" w:rsidRPr="00B55B89" w:rsidRDefault="00840661" w:rsidP="00C5114A">
            <w:pPr>
              <w:rPr>
                <w:sz w:val="24"/>
                <w:szCs w:val="24"/>
              </w:rPr>
            </w:pPr>
            <w:r w:rsidRPr="00B55B89">
              <w:rPr>
                <w:sz w:val="24"/>
                <w:szCs w:val="24"/>
              </w:rPr>
              <w:t>MRG recommended the indicator for appraisal by the Indicator Governance Board on the proviso that the potential issues surrounding non-response bias should be described in the indicator quality statement.</w:t>
            </w:r>
          </w:p>
        </w:tc>
      </w:tr>
      <w:tr w:rsidR="00840661" w:rsidRPr="00B55B89" w14:paraId="04343378" w14:textId="77777777" w:rsidTr="00150EDA">
        <w:tc>
          <w:tcPr>
            <w:tcW w:w="6974" w:type="dxa"/>
          </w:tcPr>
          <w:p w14:paraId="65498C11" w14:textId="6E6A4646" w:rsidR="00840661" w:rsidRPr="00B55B89" w:rsidRDefault="00840661" w:rsidP="00C5114A">
            <w:pPr>
              <w:rPr>
                <w:sz w:val="24"/>
                <w:szCs w:val="24"/>
              </w:rPr>
            </w:pPr>
            <w:r w:rsidRPr="00B55B89">
              <w:rPr>
                <w:sz w:val="24"/>
                <w:szCs w:val="24"/>
              </w:rPr>
              <w:t>Peer Reviewers:</w:t>
            </w:r>
          </w:p>
        </w:tc>
        <w:tc>
          <w:tcPr>
            <w:tcW w:w="6907" w:type="dxa"/>
          </w:tcPr>
          <w:p w14:paraId="518F5EC9" w14:textId="0F935EC9" w:rsidR="00840661" w:rsidRPr="00B55B89" w:rsidRDefault="00840661" w:rsidP="00C5114A">
            <w:pPr>
              <w:rPr>
                <w:sz w:val="24"/>
                <w:szCs w:val="24"/>
              </w:rPr>
            </w:pPr>
            <w:r w:rsidRPr="00B55B89">
              <w:rPr>
                <w:sz w:val="24"/>
                <w:szCs w:val="24"/>
              </w:rPr>
              <w:t>No Peer Review conducted at present</w:t>
            </w:r>
          </w:p>
        </w:tc>
      </w:tr>
      <w:tr w:rsidR="00840661" w:rsidRPr="00B55B89" w14:paraId="3B4203FC" w14:textId="77777777" w:rsidTr="00150EDA">
        <w:tc>
          <w:tcPr>
            <w:tcW w:w="6974" w:type="dxa"/>
          </w:tcPr>
          <w:p w14:paraId="0B98756B" w14:textId="77777777" w:rsidR="00840661" w:rsidRPr="00B55B89" w:rsidRDefault="00840661" w:rsidP="00840661">
            <w:pPr>
              <w:rPr>
                <w:sz w:val="24"/>
                <w:szCs w:val="24"/>
              </w:rPr>
            </w:pPr>
            <w:r w:rsidRPr="00B55B89">
              <w:rPr>
                <w:sz w:val="24"/>
                <w:szCs w:val="24"/>
              </w:rPr>
              <w:t>Range of input</w:t>
            </w:r>
          </w:p>
          <w:p w14:paraId="2C1BA859" w14:textId="72DD3EB1" w:rsidR="00840661" w:rsidRPr="00B55B89" w:rsidRDefault="00840661" w:rsidP="00840661">
            <w:pPr>
              <w:rPr>
                <w:sz w:val="24"/>
                <w:szCs w:val="24"/>
              </w:rPr>
            </w:pPr>
            <w:r w:rsidRPr="00B55B89">
              <w:rPr>
                <w:sz w:val="24"/>
                <w:szCs w:val="24"/>
              </w:rPr>
              <w:t>[Have relevant business areas contributed e.g. clinical assurance?]</w:t>
            </w:r>
          </w:p>
        </w:tc>
        <w:tc>
          <w:tcPr>
            <w:tcW w:w="6907" w:type="dxa"/>
          </w:tcPr>
          <w:p w14:paraId="3C1636D3" w14:textId="17F8D8B8" w:rsidR="00840661" w:rsidRPr="00B55B89" w:rsidRDefault="00840661" w:rsidP="00C5114A">
            <w:pPr>
              <w:rPr>
                <w:sz w:val="24"/>
                <w:szCs w:val="24"/>
              </w:rPr>
            </w:pPr>
            <w:r w:rsidRPr="00B55B89">
              <w:rPr>
                <w:sz w:val="24"/>
                <w:szCs w:val="24"/>
              </w:rPr>
              <w:t>Clinical input on NHSOF level indicator via advice received from (GP Patient Survey research panel) Academic Review Group and Stakeholder Group during development.</w:t>
            </w:r>
          </w:p>
        </w:tc>
      </w:tr>
    </w:tbl>
    <w:p w14:paraId="500073F2" w14:textId="77777777" w:rsidR="00866AFC" w:rsidRPr="00B55B89" w:rsidRDefault="00866AFC" w:rsidP="00C5114A">
      <w:pPr>
        <w:rPr>
          <w:sz w:val="24"/>
          <w:szCs w:val="24"/>
        </w:rPr>
      </w:pPr>
    </w:p>
    <w:p w14:paraId="3C6CE773" w14:textId="004051CC" w:rsidR="00866AFC" w:rsidRPr="00B55B89" w:rsidRDefault="00866AFC" w:rsidP="00C5114A">
      <w:pPr>
        <w:ind w:left="-851"/>
        <w:rPr>
          <w:sz w:val="24"/>
          <w:szCs w:val="24"/>
        </w:rPr>
      </w:pPr>
      <w:r w:rsidRPr="00B55B89">
        <w:rPr>
          <w:sz w:val="24"/>
          <w:szCs w:val="24"/>
        </w:rPr>
        <w:t>Review:</w:t>
      </w:r>
    </w:p>
    <w:p w14:paraId="3E8EB8CE" w14:textId="04548B6F" w:rsidR="00840661" w:rsidRPr="00B55B89" w:rsidRDefault="00840661" w:rsidP="00C5114A">
      <w:pPr>
        <w:ind w:left="-851"/>
        <w:rPr>
          <w:sz w:val="24"/>
          <w:szCs w:val="24"/>
        </w:rPr>
      </w:pPr>
    </w:p>
    <w:p w14:paraId="3A75E5F6" w14:textId="4C1F8654" w:rsidR="00840661" w:rsidRPr="00B55B89" w:rsidRDefault="00840661" w:rsidP="00C5114A">
      <w:pPr>
        <w:ind w:left="-851"/>
        <w:rPr>
          <w:sz w:val="24"/>
          <w:szCs w:val="24"/>
        </w:rPr>
      </w:pPr>
      <w:r w:rsidRPr="00B55B89">
        <w:rPr>
          <w:sz w:val="24"/>
          <w:szCs w:val="24"/>
        </w:rPr>
        <w:t>Timescale- 3 years</w:t>
      </w:r>
    </w:p>
    <w:p w14:paraId="70713428" w14:textId="41EAD519" w:rsidR="00840661" w:rsidRPr="00B55B89" w:rsidRDefault="00840661" w:rsidP="00C5114A">
      <w:pPr>
        <w:ind w:left="-851"/>
        <w:rPr>
          <w:sz w:val="24"/>
          <w:szCs w:val="24"/>
        </w:rPr>
      </w:pPr>
    </w:p>
    <w:p w14:paraId="1F420376" w14:textId="14AC503A" w:rsidR="00840661" w:rsidRPr="00B55B89" w:rsidRDefault="00840661" w:rsidP="00840661">
      <w:pPr>
        <w:ind w:left="-851"/>
        <w:rPr>
          <w:sz w:val="24"/>
          <w:szCs w:val="24"/>
        </w:rPr>
      </w:pPr>
      <w:r w:rsidRPr="00B55B89">
        <w:rPr>
          <w:sz w:val="24"/>
          <w:szCs w:val="24"/>
        </w:rPr>
        <w:lastRenderedPageBreak/>
        <w:t>Rationale [Issues to consider – Changes to process, policy data source, coding definitions HES definitions]</w:t>
      </w:r>
    </w:p>
    <w:p w14:paraId="428B82B6" w14:textId="77777777" w:rsidR="00840661" w:rsidRPr="00B55B89" w:rsidRDefault="00840661" w:rsidP="00840661">
      <w:pPr>
        <w:ind w:left="-851"/>
        <w:rPr>
          <w:sz w:val="24"/>
          <w:szCs w:val="24"/>
        </w:rPr>
      </w:pPr>
      <w:r w:rsidRPr="00B55B89">
        <w:rPr>
          <w:sz w:val="24"/>
          <w:szCs w:val="24"/>
        </w:rPr>
        <w:t>Stability of data source and no immediate likelihood of policy changes impacting on the indicator</w:t>
      </w:r>
    </w:p>
    <w:p w14:paraId="3F20235C" w14:textId="77777777" w:rsidR="00866AFC" w:rsidRPr="00B55B89" w:rsidRDefault="00866AFC" w:rsidP="00C5114A">
      <w:pPr>
        <w:rPr>
          <w:sz w:val="24"/>
          <w:szCs w:val="24"/>
        </w:rPr>
      </w:pPr>
    </w:p>
    <w:p w14:paraId="4EF9486D" w14:textId="77777777" w:rsidR="00866AFC" w:rsidRPr="00B55B89" w:rsidRDefault="00866AFC" w:rsidP="00C5114A">
      <w:pPr>
        <w:rPr>
          <w:sz w:val="24"/>
          <w:szCs w:val="24"/>
        </w:rPr>
      </w:pPr>
    </w:p>
    <w:p w14:paraId="4C5C6CCA" w14:textId="46FA1DE7" w:rsidR="00866AFC" w:rsidRPr="00B55B89" w:rsidRDefault="00866AFC" w:rsidP="00C5114A">
      <w:pPr>
        <w:tabs>
          <w:tab w:val="left" w:pos="2830"/>
        </w:tabs>
        <w:ind w:left="-851"/>
        <w:rPr>
          <w:sz w:val="24"/>
          <w:szCs w:val="24"/>
        </w:rPr>
      </w:pPr>
      <w:r w:rsidRPr="00B55B89">
        <w:rPr>
          <w:sz w:val="24"/>
          <w:szCs w:val="24"/>
        </w:rPr>
        <w:t xml:space="preserve">IGB Sign-off: </w:t>
      </w:r>
    </w:p>
    <w:p w14:paraId="045A0ABA" w14:textId="0D5A32F4" w:rsidR="00840661" w:rsidRPr="00B55B89" w:rsidRDefault="00840661" w:rsidP="00C5114A">
      <w:pPr>
        <w:tabs>
          <w:tab w:val="left" w:pos="2830"/>
        </w:tabs>
        <w:ind w:left="-851"/>
        <w:rPr>
          <w:sz w:val="24"/>
          <w:szCs w:val="24"/>
        </w:rPr>
      </w:pPr>
    </w:p>
    <w:p w14:paraId="586162A7" w14:textId="6AE73772" w:rsidR="00840661" w:rsidRPr="00B55B89" w:rsidRDefault="00840661" w:rsidP="00C5114A">
      <w:pPr>
        <w:tabs>
          <w:tab w:val="left" w:pos="2830"/>
        </w:tabs>
        <w:ind w:left="-851"/>
        <w:rPr>
          <w:sz w:val="24"/>
          <w:szCs w:val="24"/>
        </w:rPr>
      </w:pPr>
      <w:r w:rsidRPr="00B55B89">
        <w:rPr>
          <w:sz w:val="24"/>
          <w:szCs w:val="24"/>
        </w:rPr>
        <w:t>Assured</w:t>
      </w:r>
    </w:p>
    <w:p w14:paraId="434712B7" w14:textId="18A5CB87" w:rsidR="00840661" w:rsidRPr="00B55B89" w:rsidRDefault="00840661" w:rsidP="00C5114A">
      <w:pPr>
        <w:tabs>
          <w:tab w:val="left" w:pos="2830"/>
        </w:tabs>
        <w:ind w:left="-851"/>
        <w:rPr>
          <w:sz w:val="24"/>
          <w:szCs w:val="24"/>
        </w:rPr>
      </w:pPr>
    </w:p>
    <w:p w14:paraId="4E8290E6" w14:textId="77777777" w:rsidR="00840661" w:rsidRPr="00B55B89" w:rsidRDefault="00840661" w:rsidP="00840661">
      <w:pPr>
        <w:tabs>
          <w:tab w:val="left" w:pos="2830"/>
        </w:tabs>
        <w:ind w:left="-851"/>
        <w:rPr>
          <w:sz w:val="24"/>
          <w:szCs w:val="24"/>
        </w:rPr>
      </w:pPr>
      <w:r w:rsidRPr="00B55B89">
        <w:rPr>
          <w:sz w:val="24"/>
          <w:szCs w:val="24"/>
        </w:rPr>
        <w:t>Basis of Sign-off</w:t>
      </w:r>
    </w:p>
    <w:p w14:paraId="2B7DB3BD" w14:textId="1E693765" w:rsidR="00840661" w:rsidRPr="00B55B89" w:rsidRDefault="00840661" w:rsidP="00840661">
      <w:pPr>
        <w:tabs>
          <w:tab w:val="left" w:pos="2830"/>
        </w:tabs>
        <w:ind w:left="-851"/>
        <w:rPr>
          <w:sz w:val="24"/>
          <w:szCs w:val="24"/>
        </w:rPr>
      </w:pPr>
      <w:r w:rsidRPr="00B55B89">
        <w:rPr>
          <w:sz w:val="24"/>
          <w:szCs w:val="24"/>
        </w:rPr>
        <w:t>[Detail caveats and limitations]</w:t>
      </w:r>
    </w:p>
    <w:p w14:paraId="457EDFC7" w14:textId="11810471" w:rsidR="00840661" w:rsidRPr="00B55B89" w:rsidRDefault="00840661" w:rsidP="00840661">
      <w:pPr>
        <w:tabs>
          <w:tab w:val="left" w:pos="2830"/>
        </w:tabs>
        <w:ind w:left="-851"/>
        <w:rPr>
          <w:sz w:val="24"/>
          <w:szCs w:val="24"/>
        </w:rPr>
      </w:pPr>
    </w:p>
    <w:p w14:paraId="58A0A324" w14:textId="53FB1DBC" w:rsidR="00840661" w:rsidRPr="00B55B89" w:rsidRDefault="00840661" w:rsidP="00840661">
      <w:pPr>
        <w:tabs>
          <w:tab w:val="left" w:pos="2830"/>
        </w:tabs>
        <w:ind w:left="-851"/>
        <w:rPr>
          <w:sz w:val="24"/>
          <w:szCs w:val="24"/>
        </w:rPr>
      </w:pPr>
      <w:r w:rsidRPr="00B55B89">
        <w:rPr>
          <w:sz w:val="24"/>
          <w:szCs w:val="24"/>
        </w:rPr>
        <w:t>The indicator is signed off as “Assured” in line with recommendations made by MRG and on the proviso that potential issues surrounding non-response bias are described in the accompanying Quality Statement.</w:t>
      </w:r>
    </w:p>
    <w:p w14:paraId="1D942D75" w14:textId="77777777" w:rsidR="00840661" w:rsidRPr="00B55B89" w:rsidRDefault="00840661" w:rsidP="00840661">
      <w:pPr>
        <w:tabs>
          <w:tab w:val="left" w:pos="2830"/>
        </w:tabs>
        <w:ind w:left="-851"/>
        <w:rPr>
          <w:sz w:val="24"/>
          <w:szCs w:val="24"/>
        </w:rPr>
      </w:pPr>
    </w:p>
    <w:p w14:paraId="6C8B2F50" w14:textId="54770B87" w:rsidR="00840661" w:rsidRPr="00B55B89" w:rsidRDefault="00840661" w:rsidP="00840661">
      <w:pPr>
        <w:tabs>
          <w:tab w:val="left" w:pos="2830"/>
        </w:tabs>
        <w:ind w:left="-851"/>
        <w:rPr>
          <w:sz w:val="24"/>
          <w:szCs w:val="24"/>
        </w:rPr>
      </w:pPr>
      <w:r w:rsidRPr="00B55B89">
        <w:rPr>
          <w:sz w:val="24"/>
          <w:szCs w:val="24"/>
        </w:rPr>
        <w:t>Sign-off Date: 30/11/12</w:t>
      </w:r>
    </w:p>
    <w:p w14:paraId="10C67081" w14:textId="77777777" w:rsidR="00866AFC" w:rsidRPr="00B55B89" w:rsidRDefault="00866AFC" w:rsidP="00C5114A">
      <w:pPr>
        <w:rPr>
          <w:sz w:val="24"/>
          <w:szCs w:val="24"/>
        </w:rPr>
      </w:pPr>
    </w:p>
    <w:p w14:paraId="10FCE45A" w14:textId="77777777" w:rsidR="00866AFC" w:rsidRPr="00B55B89" w:rsidRDefault="00866AFC" w:rsidP="00C5114A">
      <w:pPr>
        <w:rPr>
          <w:sz w:val="24"/>
          <w:szCs w:val="24"/>
        </w:rPr>
      </w:pPr>
    </w:p>
    <w:p w14:paraId="701E8B67" w14:textId="77777777" w:rsidR="00866AFC" w:rsidRPr="00B55B89" w:rsidRDefault="00866AFC">
      <w:pPr>
        <w:rPr>
          <w:sz w:val="24"/>
          <w:szCs w:val="24"/>
        </w:rPr>
      </w:pPr>
    </w:p>
    <w:p w14:paraId="25BCBD1C" w14:textId="77777777" w:rsidR="00866AFC" w:rsidRPr="00B55B89" w:rsidRDefault="00866AFC" w:rsidP="00BD69FE">
      <w:pPr>
        <w:rPr>
          <w:b/>
          <w:sz w:val="24"/>
          <w:szCs w:val="24"/>
        </w:rPr>
      </w:pPr>
    </w:p>
    <w:sectPr w:rsidR="00866AFC" w:rsidRPr="00B55B89" w:rsidSect="00C5114A">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5903D" w14:textId="77777777" w:rsidR="00C5114A" w:rsidRDefault="00C5114A" w:rsidP="00866AFC">
      <w:r>
        <w:separator/>
      </w:r>
    </w:p>
  </w:endnote>
  <w:endnote w:type="continuationSeparator" w:id="0">
    <w:p w14:paraId="61F7038E" w14:textId="77777777" w:rsidR="00C5114A" w:rsidRDefault="00C5114A" w:rsidP="0086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3B4E3" w14:textId="0969C573" w:rsidR="00C5114A" w:rsidRPr="00866AFC" w:rsidRDefault="00C5114A" w:rsidP="00866AFC">
    <w:pPr>
      <w:tabs>
        <w:tab w:val="left" w:pos="426"/>
        <w:tab w:val="center" w:pos="4513"/>
        <w:tab w:val="right" w:pos="9026"/>
      </w:tabs>
      <w:rPr>
        <w:sz w:val="18"/>
        <w:szCs w:val="18"/>
      </w:rPr>
    </w:pPr>
    <w:r w:rsidRPr="00866AFC">
      <w:rPr>
        <w:sz w:val="18"/>
        <w:szCs w:val="18"/>
      </w:rPr>
      <w:t>IAP0</w:t>
    </w:r>
    <w:r>
      <w:rPr>
        <w:sz w:val="18"/>
        <w:szCs w:val="18"/>
      </w:rPr>
      <w:t>0052</w:t>
    </w:r>
    <w:r w:rsidRPr="00866AFC">
      <w:rPr>
        <w:sz w:val="18"/>
        <w:szCs w:val="18"/>
      </w:rPr>
      <w:t xml:space="preserve"> Supporting documentation</w:t>
    </w:r>
  </w:p>
  <w:p w14:paraId="3F8BD6DB" w14:textId="1A2F4FA5" w:rsidR="00C5114A" w:rsidRDefault="00C5114A" w:rsidP="00866AFC">
    <w:pPr>
      <w:pStyle w:val="Footer"/>
    </w:pPr>
    <w:r w:rsidRPr="00866AFC">
      <w:rPr>
        <w:rFonts w:ascii="Arial" w:eastAsiaTheme="minorHAnsi" w:hAnsi="Arial" w:cs="Arial"/>
        <w:sz w:val="18"/>
        <w:szCs w:val="18"/>
        <w:lang w:eastAsia="en-US"/>
      </w:rPr>
      <w:t>Copyright © 2019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5BCD5" w14:textId="77777777" w:rsidR="00C5114A" w:rsidRDefault="00C5114A" w:rsidP="00866AFC">
      <w:r>
        <w:separator/>
      </w:r>
    </w:p>
  </w:footnote>
  <w:footnote w:type="continuationSeparator" w:id="0">
    <w:p w14:paraId="1F6778A1" w14:textId="77777777" w:rsidR="00C5114A" w:rsidRDefault="00C5114A" w:rsidP="0086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9C651" w14:textId="4009D29D" w:rsidR="00C5114A" w:rsidRPr="00F37180" w:rsidRDefault="00C5114A" w:rsidP="00C5114A">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32ED11FD" w14:textId="77777777" w:rsidR="00C5114A" w:rsidRDefault="00C51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2927EC"/>
    <w:multiLevelType w:val="hybridMultilevel"/>
    <w:tmpl w:val="881E91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0551118"/>
    <w:multiLevelType w:val="hybridMultilevel"/>
    <w:tmpl w:val="4C56DD50"/>
    <w:lvl w:ilvl="0" w:tplc="EC1C7CB0">
      <w:start w:val="1"/>
      <w:numFmt w:val="decimal"/>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236B09"/>
    <w:multiLevelType w:val="hybridMultilevel"/>
    <w:tmpl w:val="2C3EA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D3979"/>
    <w:multiLevelType w:val="hybridMultilevel"/>
    <w:tmpl w:val="A968A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9E32E9"/>
    <w:multiLevelType w:val="hybridMultilevel"/>
    <w:tmpl w:val="2F3A5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B6BDE"/>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551840"/>
    <w:multiLevelType w:val="hybridMultilevel"/>
    <w:tmpl w:val="FCEC9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0F944D4"/>
    <w:multiLevelType w:val="hybridMultilevel"/>
    <w:tmpl w:val="45621E8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728367DE"/>
    <w:multiLevelType w:val="hybridMultilevel"/>
    <w:tmpl w:val="C3A636B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73B64B44"/>
    <w:multiLevelType w:val="hybridMultilevel"/>
    <w:tmpl w:val="8DB4CED6"/>
    <w:lvl w:ilvl="0" w:tplc="08090017">
      <w:start w:val="1"/>
      <w:numFmt w:val="lowerLetter"/>
      <w:lvlText w:val="%1)"/>
      <w:lvlJc w:val="left"/>
      <w:pPr>
        <w:tabs>
          <w:tab w:val="num" w:pos="360"/>
        </w:tabs>
        <w:ind w:left="360" w:hanging="360"/>
      </w:pPr>
    </w:lvl>
    <w:lvl w:ilvl="1" w:tplc="0809000F">
      <w:start w:val="1"/>
      <w:numFmt w:val="decimal"/>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746131D"/>
    <w:multiLevelType w:val="hybridMultilevel"/>
    <w:tmpl w:val="C4C668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A252E97"/>
    <w:multiLevelType w:val="hybridMultilevel"/>
    <w:tmpl w:val="D5247DD2"/>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7B012CB7"/>
    <w:multiLevelType w:val="hybridMultilevel"/>
    <w:tmpl w:val="8DDA5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DB73B83"/>
    <w:multiLevelType w:val="hybridMultilevel"/>
    <w:tmpl w:val="48DA5FAA"/>
    <w:lvl w:ilvl="0" w:tplc="731EDEE2">
      <w:start w:val="1"/>
      <w:numFmt w:val="decimal"/>
      <w:lvlText w:val="%1."/>
      <w:lvlJc w:val="left"/>
      <w:pPr>
        <w:tabs>
          <w:tab w:val="num" w:pos="360"/>
        </w:tabs>
        <w:ind w:left="360" w:hanging="360"/>
      </w:pPr>
      <w:rPr>
        <w:sz w:val="24"/>
        <w:szCs w:val="24"/>
      </w:rPr>
    </w:lvl>
    <w:lvl w:ilvl="1" w:tplc="0809001B">
      <w:start w:val="1"/>
      <w:numFmt w:val="lowerRoman"/>
      <w:lvlText w:val="%2."/>
      <w:lvlJc w:val="righ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7"/>
  </w:num>
  <w:num w:numId="3">
    <w:abstractNumId w:val="14"/>
  </w:num>
  <w:num w:numId="4">
    <w:abstractNumId w:val="13"/>
  </w:num>
  <w:num w:numId="5">
    <w:abstractNumId w:val="15"/>
  </w:num>
  <w:num w:numId="6">
    <w:abstractNumId w:val="18"/>
  </w:num>
  <w:num w:numId="7">
    <w:abstractNumId w:val="16"/>
  </w:num>
  <w:num w:numId="8">
    <w:abstractNumId w:val="4"/>
  </w:num>
  <w:num w:numId="9">
    <w:abstractNumId w:val="7"/>
  </w:num>
  <w:num w:numId="10">
    <w:abstractNumId w:val="6"/>
  </w:num>
  <w:num w:numId="11">
    <w:abstractNumId w:val="10"/>
  </w:num>
  <w:num w:numId="12">
    <w:abstractNumId w:val="3"/>
  </w:num>
  <w:num w:numId="13">
    <w:abstractNumId w:val="8"/>
  </w:num>
  <w:num w:numId="14">
    <w:abstractNumId w:val="5"/>
  </w:num>
  <w:num w:numId="15">
    <w:abstractNumId w:val="0"/>
  </w:num>
  <w:num w:numId="16">
    <w:abstractNumId w:val="11"/>
  </w:num>
  <w:num w:numId="17">
    <w:abstractNumId w:val="1"/>
  </w:num>
  <w:num w:numId="18">
    <w:abstractNumId w:val="2"/>
  </w:num>
  <w:num w:numId="19">
    <w:abstractNumId w:val="19"/>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B13"/>
    <w:rsid w:val="00020DA2"/>
    <w:rsid w:val="00030736"/>
    <w:rsid w:val="0005025D"/>
    <w:rsid w:val="00054305"/>
    <w:rsid w:val="00063149"/>
    <w:rsid w:val="00096A9B"/>
    <w:rsid w:val="000A20FA"/>
    <w:rsid w:val="000B185A"/>
    <w:rsid w:val="000C6535"/>
    <w:rsid w:val="00110B49"/>
    <w:rsid w:val="00110F8F"/>
    <w:rsid w:val="00145011"/>
    <w:rsid w:val="001467EA"/>
    <w:rsid w:val="00150EDA"/>
    <w:rsid w:val="00173180"/>
    <w:rsid w:val="001C0977"/>
    <w:rsid w:val="001C2E38"/>
    <w:rsid w:val="001D07D6"/>
    <w:rsid w:val="001D3BCA"/>
    <w:rsid w:val="001D60F1"/>
    <w:rsid w:val="001E3953"/>
    <w:rsid w:val="00210852"/>
    <w:rsid w:val="00230D71"/>
    <w:rsid w:val="002330DA"/>
    <w:rsid w:val="002A48DE"/>
    <w:rsid w:val="002D09CE"/>
    <w:rsid w:val="002D0FDD"/>
    <w:rsid w:val="002D38D9"/>
    <w:rsid w:val="002D39A2"/>
    <w:rsid w:val="002E4519"/>
    <w:rsid w:val="002E5910"/>
    <w:rsid w:val="002F0D9B"/>
    <w:rsid w:val="0030271F"/>
    <w:rsid w:val="003042A5"/>
    <w:rsid w:val="003046B9"/>
    <w:rsid w:val="00305A8E"/>
    <w:rsid w:val="00312DB5"/>
    <w:rsid w:val="003245DC"/>
    <w:rsid w:val="00343077"/>
    <w:rsid w:val="00351EF0"/>
    <w:rsid w:val="0037488A"/>
    <w:rsid w:val="00376806"/>
    <w:rsid w:val="003849F7"/>
    <w:rsid w:val="003918FE"/>
    <w:rsid w:val="00393E21"/>
    <w:rsid w:val="003A3B72"/>
    <w:rsid w:val="003A5F69"/>
    <w:rsid w:val="003A7343"/>
    <w:rsid w:val="003B3FDD"/>
    <w:rsid w:val="003D111D"/>
    <w:rsid w:val="003F2E96"/>
    <w:rsid w:val="00432341"/>
    <w:rsid w:val="00474C37"/>
    <w:rsid w:val="004C64BB"/>
    <w:rsid w:val="004D79E1"/>
    <w:rsid w:val="004F28DC"/>
    <w:rsid w:val="005061F5"/>
    <w:rsid w:val="00507AC8"/>
    <w:rsid w:val="00557D20"/>
    <w:rsid w:val="00570CE0"/>
    <w:rsid w:val="005A48EC"/>
    <w:rsid w:val="005C25E5"/>
    <w:rsid w:val="005C7AAF"/>
    <w:rsid w:val="005D711D"/>
    <w:rsid w:val="005F1306"/>
    <w:rsid w:val="005F360F"/>
    <w:rsid w:val="00606204"/>
    <w:rsid w:val="006106A6"/>
    <w:rsid w:val="00646452"/>
    <w:rsid w:val="00682DCD"/>
    <w:rsid w:val="00697E22"/>
    <w:rsid w:val="006A54FE"/>
    <w:rsid w:val="006B3F04"/>
    <w:rsid w:val="006C281C"/>
    <w:rsid w:val="006E0DB3"/>
    <w:rsid w:val="006F0E9F"/>
    <w:rsid w:val="00724B3F"/>
    <w:rsid w:val="00732A2C"/>
    <w:rsid w:val="00754D2C"/>
    <w:rsid w:val="00763298"/>
    <w:rsid w:val="007701E6"/>
    <w:rsid w:val="00773915"/>
    <w:rsid w:val="00783927"/>
    <w:rsid w:val="007848BC"/>
    <w:rsid w:val="0079546A"/>
    <w:rsid w:val="007A597F"/>
    <w:rsid w:val="007C747D"/>
    <w:rsid w:val="007D537B"/>
    <w:rsid w:val="007D7A25"/>
    <w:rsid w:val="00801899"/>
    <w:rsid w:val="00824327"/>
    <w:rsid w:val="00824585"/>
    <w:rsid w:val="00840661"/>
    <w:rsid w:val="00846F20"/>
    <w:rsid w:val="00847849"/>
    <w:rsid w:val="00864BFE"/>
    <w:rsid w:val="00866AFC"/>
    <w:rsid w:val="00870FD9"/>
    <w:rsid w:val="008D5219"/>
    <w:rsid w:val="008D6588"/>
    <w:rsid w:val="008E36A3"/>
    <w:rsid w:val="008E7722"/>
    <w:rsid w:val="00924901"/>
    <w:rsid w:val="00927611"/>
    <w:rsid w:val="00935F0D"/>
    <w:rsid w:val="00942A47"/>
    <w:rsid w:val="009459A4"/>
    <w:rsid w:val="00971E47"/>
    <w:rsid w:val="00986328"/>
    <w:rsid w:val="009B7FF3"/>
    <w:rsid w:val="009D0B94"/>
    <w:rsid w:val="009F3555"/>
    <w:rsid w:val="00A057A4"/>
    <w:rsid w:val="00A17307"/>
    <w:rsid w:val="00A302E0"/>
    <w:rsid w:val="00A579F8"/>
    <w:rsid w:val="00A8010E"/>
    <w:rsid w:val="00A8619F"/>
    <w:rsid w:val="00AA3A5A"/>
    <w:rsid w:val="00AA51F8"/>
    <w:rsid w:val="00AC525E"/>
    <w:rsid w:val="00AC7602"/>
    <w:rsid w:val="00AF5700"/>
    <w:rsid w:val="00B039AD"/>
    <w:rsid w:val="00B27988"/>
    <w:rsid w:val="00B47610"/>
    <w:rsid w:val="00B55B89"/>
    <w:rsid w:val="00B67723"/>
    <w:rsid w:val="00B73FF5"/>
    <w:rsid w:val="00B86540"/>
    <w:rsid w:val="00BD69FE"/>
    <w:rsid w:val="00BF3EC3"/>
    <w:rsid w:val="00C13F31"/>
    <w:rsid w:val="00C37434"/>
    <w:rsid w:val="00C405E9"/>
    <w:rsid w:val="00C40C70"/>
    <w:rsid w:val="00C46946"/>
    <w:rsid w:val="00C5114A"/>
    <w:rsid w:val="00C524AC"/>
    <w:rsid w:val="00C77CD4"/>
    <w:rsid w:val="00C80DB2"/>
    <w:rsid w:val="00CA213B"/>
    <w:rsid w:val="00CA59C3"/>
    <w:rsid w:val="00CC6A13"/>
    <w:rsid w:val="00CD0F59"/>
    <w:rsid w:val="00CD2542"/>
    <w:rsid w:val="00CE42A4"/>
    <w:rsid w:val="00D36AF8"/>
    <w:rsid w:val="00D37E2E"/>
    <w:rsid w:val="00D4385F"/>
    <w:rsid w:val="00D46F89"/>
    <w:rsid w:val="00D54B10"/>
    <w:rsid w:val="00D65BE5"/>
    <w:rsid w:val="00D94882"/>
    <w:rsid w:val="00DB6F8A"/>
    <w:rsid w:val="00DC46F5"/>
    <w:rsid w:val="00DF2A90"/>
    <w:rsid w:val="00E07B91"/>
    <w:rsid w:val="00E47311"/>
    <w:rsid w:val="00E55904"/>
    <w:rsid w:val="00E924DE"/>
    <w:rsid w:val="00EC32F3"/>
    <w:rsid w:val="00EF428B"/>
    <w:rsid w:val="00F0611B"/>
    <w:rsid w:val="00F1184C"/>
    <w:rsid w:val="00F12B7C"/>
    <w:rsid w:val="00F7715B"/>
    <w:rsid w:val="00FA67EF"/>
    <w:rsid w:val="00FB6778"/>
    <w:rsid w:val="00FC6F40"/>
    <w:rsid w:val="00FE09CF"/>
    <w:rsid w:val="00FE4668"/>
    <w:rsid w:val="7F226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6AFC"/>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nhideWhenUsed/>
    <w:rsid w:val="00724B3F"/>
    <w:rPr>
      <w:color w:val="800080" w:themeColor="followedHyperlink"/>
      <w:u w:val="single"/>
    </w:rPr>
  </w:style>
  <w:style w:type="character" w:styleId="CommentReference">
    <w:name w:val="annotation reference"/>
    <w:basedOn w:val="DefaultParagraphFont"/>
    <w:semiHidden/>
    <w:unhideWhenUsed/>
    <w:rsid w:val="00FA67EF"/>
    <w:rPr>
      <w:sz w:val="16"/>
      <w:szCs w:val="16"/>
    </w:rPr>
  </w:style>
  <w:style w:type="paragraph" w:styleId="CommentText">
    <w:name w:val="annotation text"/>
    <w:basedOn w:val="Normal"/>
    <w:link w:val="CommentTextChar"/>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Heading2Char">
    <w:name w:val="Heading 2 Char"/>
    <w:basedOn w:val="DefaultParagraphFont"/>
    <w:link w:val="Heading2"/>
    <w:uiPriority w:val="9"/>
    <w:rsid w:val="00866AFC"/>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rsid w:val="00866AFC"/>
    <w:pPr>
      <w:tabs>
        <w:tab w:val="center" w:pos="4153"/>
        <w:tab w:val="right" w:pos="830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866AFC"/>
    <w:rPr>
      <w:rFonts w:ascii="Times New Roman" w:eastAsia="Times New Roman" w:hAnsi="Times New Roman" w:cs="Times New Roman"/>
      <w:sz w:val="24"/>
      <w:szCs w:val="24"/>
      <w:lang w:eastAsia="en-GB"/>
    </w:rPr>
  </w:style>
  <w:style w:type="paragraph" w:styleId="Footer">
    <w:name w:val="footer"/>
    <w:basedOn w:val="Normal"/>
    <w:link w:val="FooterChar"/>
    <w:rsid w:val="00866AFC"/>
    <w:pPr>
      <w:tabs>
        <w:tab w:val="center" w:pos="4153"/>
        <w:tab w:val="right" w:pos="830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866AFC"/>
    <w:rPr>
      <w:rFonts w:ascii="Times New Roman" w:eastAsia="Times New Roman" w:hAnsi="Times New Roman" w:cs="Times New Roman"/>
      <w:sz w:val="24"/>
      <w:szCs w:val="24"/>
      <w:lang w:eastAsia="en-GB"/>
    </w:rPr>
  </w:style>
  <w:style w:type="paragraph" w:customStyle="1" w:styleId="CharChar">
    <w:name w:val="Char Char"/>
    <w:basedOn w:val="Normal"/>
    <w:rsid w:val="00866AFC"/>
    <w:pPr>
      <w:spacing w:after="120" w:line="240" w:lineRule="exact"/>
    </w:pPr>
    <w:rPr>
      <w:rFonts w:ascii="Verdana" w:eastAsia="Times New Roman" w:hAnsi="Verdana" w:cs="Times New Roman"/>
      <w:sz w:val="20"/>
      <w:szCs w:val="20"/>
      <w:lang w:val="en-US"/>
    </w:rPr>
  </w:style>
  <w:style w:type="paragraph" w:customStyle="1" w:styleId="Default">
    <w:name w:val="Default"/>
    <w:rsid w:val="00866AFC"/>
    <w:pPr>
      <w:autoSpaceDE w:val="0"/>
      <w:autoSpaceDN w:val="0"/>
      <w:adjustRightInd w:val="0"/>
    </w:pPr>
    <w:rPr>
      <w:rFonts w:ascii="Frutiger 45 Light" w:eastAsia="Times New Roman" w:hAnsi="Frutiger 45 Light" w:cs="Frutiger 45 Light"/>
      <w:color w:val="000000"/>
      <w:sz w:val="24"/>
      <w:szCs w:val="24"/>
      <w:lang w:eastAsia="en-GB"/>
    </w:rPr>
  </w:style>
  <w:style w:type="paragraph" w:styleId="BodyText3">
    <w:name w:val="Body Text 3"/>
    <w:basedOn w:val="Normal"/>
    <w:link w:val="BodyText3Char"/>
    <w:rsid w:val="00866AFC"/>
    <w:pPr>
      <w:overflowPunct w:val="0"/>
      <w:autoSpaceDE w:val="0"/>
      <w:autoSpaceDN w:val="0"/>
      <w:adjustRightInd w:val="0"/>
      <w:textAlignment w:val="baseline"/>
    </w:pPr>
    <w:rPr>
      <w:rFonts w:eastAsia="Times New Roman"/>
    </w:rPr>
  </w:style>
  <w:style w:type="character" w:customStyle="1" w:styleId="BodyText3Char">
    <w:name w:val="Body Text 3 Char"/>
    <w:basedOn w:val="DefaultParagraphFont"/>
    <w:link w:val="BodyText3"/>
    <w:rsid w:val="00866AFC"/>
    <w:rPr>
      <w:rFonts w:eastAsia="Times New Roman"/>
    </w:rPr>
  </w:style>
  <w:style w:type="character" w:styleId="PlaceholderText">
    <w:name w:val="Placeholder Text"/>
    <w:basedOn w:val="DefaultParagraphFont"/>
    <w:uiPriority w:val="99"/>
    <w:semiHidden/>
    <w:rsid w:val="00866A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patient.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patient.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oni.winder@dh.gsi.gov.uk" TargetMode="External"/><Relationship Id="rId4" Type="http://schemas.openxmlformats.org/officeDocument/2006/relationships/webSettings" Target="webSettings.xml"/><Relationship Id="rId9" Type="http://schemas.openxmlformats.org/officeDocument/2006/relationships/hyperlink" Target="mailto:indicators@nic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2020-03-09T11:52:00Z</dcterms:created>
  <dcterms:modified xsi:type="dcterms:W3CDTF">2020-03-20T12:01:00Z</dcterms:modified>
</cp:coreProperties>
</file>