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383595130"/>
      <w:r w:rsidRPr="00861C2E">
        <w:rPr>
          <w:rFonts w:ascii="Arial" w:hAnsi="Arial" w:cs="Arial"/>
          <w:b/>
          <w:sz w:val="32"/>
          <w:szCs w:val="32"/>
        </w:rPr>
        <w:t>NATIONAL INSTITUTE FOR HEALTH AND CARE EXCELLENCE</w:t>
      </w:r>
      <w:bookmarkEnd w:id="0"/>
    </w:p>
    <w:p w14:paraId="513A8F55" w14:textId="77777777" w:rsidR="008C183F" w:rsidRPr="00861C2E" w:rsidRDefault="008C183F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6C6B43FC" w14:textId="280BC990" w:rsidR="00482C01" w:rsidRDefault="009B0E59" w:rsidP="00482C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NICE indicator v</w:t>
      </w:r>
      <w:r w:rsidR="00192B09">
        <w:rPr>
          <w:rFonts w:ascii="Arial" w:hAnsi="Arial" w:cs="Arial"/>
          <w:b/>
          <w:sz w:val="32"/>
          <w:szCs w:val="32"/>
        </w:rPr>
        <w:t>alidity assessment</w:t>
      </w:r>
    </w:p>
    <w:p w14:paraId="674063F0" w14:textId="2C46EB18" w:rsidR="00474A51" w:rsidRDefault="00474A51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44C37D42" w14:textId="086E597B" w:rsidR="00474A51" w:rsidRPr="002921E7" w:rsidRDefault="00474A51" w:rsidP="00474A51">
      <w:pPr>
        <w:spacing w:before="240" w:after="240" w:line="360" w:lineRule="auto"/>
        <w:rPr>
          <w:rFonts w:ascii="Arial" w:hAnsi="Arial"/>
          <w:lang w:eastAsia="en-GB"/>
        </w:rPr>
      </w:pPr>
      <w:r w:rsidRPr="002921E7">
        <w:rPr>
          <w:rFonts w:ascii="Arial" w:hAnsi="Arial"/>
          <w:lang w:eastAsia="en-GB"/>
        </w:rPr>
        <w:t>Assurance date:</w:t>
      </w:r>
      <w:r>
        <w:rPr>
          <w:rFonts w:ascii="Arial" w:hAnsi="Arial"/>
          <w:lang w:eastAsia="en-GB"/>
        </w:rPr>
        <w:t xml:space="preserve"> June 2021</w:t>
      </w:r>
    </w:p>
    <w:p w14:paraId="6A1C1341" w14:textId="3D7EADBC" w:rsidR="00482C01" w:rsidRPr="00474A51" w:rsidRDefault="00474A51" w:rsidP="00474A51">
      <w:pPr>
        <w:spacing w:before="240" w:after="240" w:line="360" w:lineRule="auto"/>
        <w:rPr>
          <w:rFonts w:ascii="Arial" w:hAnsi="Arial"/>
          <w:lang w:eastAsia="en-GB"/>
        </w:rPr>
      </w:pPr>
      <w:r w:rsidRPr="002921E7">
        <w:rPr>
          <w:rFonts w:ascii="Arial" w:hAnsi="Arial"/>
          <w:lang w:eastAsia="en-GB"/>
        </w:rPr>
        <w:t>Review date:</w:t>
      </w:r>
      <w:r>
        <w:rPr>
          <w:rFonts w:ascii="Arial" w:hAnsi="Arial"/>
          <w:lang w:eastAsia="en-GB"/>
        </w:rPr>
        <w:t xml:space="preserve"> June 2024</w:t>
      </w:r>
    </w:p>
    <w:p w14:paraId="047E7BC9" w14:textId="46AD8F54" w:rsidR="009B0E59" w:rsidRPr="009B0E59" w:rsidRDefault="009B0E59" w:rsidP="009B0E59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FF79D5">
        <w:rPr>
          <w:lang w:eastAsia="en-GB"/>
        </w:rPr>
        <w:t>IAP00</w:t>
      </w:r>
      <w:r w:rsidR="00173568">
        <w:rPr>
          <w:lang w:eastAsia="en-GB"/>
        </w:rPr>
        <w:t>069</w:t>
      </w:r>
    </w:p>
    <w:p w14:paraId="6A8B04F7" w14:textId="77777777" w:rsidR="00120867" w:rsidRDefault="00120867" w:rsidP="009B0E59">
      <w:pPr>
        <w:pStyle w:val="Heading1"/>
        <w:rPr>
          <w:b w:val="0"/>
          <w:bCs w:val="0"/>
          <w:kern w:val="0"/>
          <w:sz w:val="24"/>
          <w:szCs w:val="24"/>
          <w:lang w:eastAsia="en-GB"/>
        </w:rPr>
      </w:pPr>
      <w:r w:rsidRPr="00120867">
        <w:rPr>
          <w:b w:val="0"/>
          <w:bCs w:val="0"/>
          <w:kern w:val="0"/>
          <w:sz w:val="24"/>
          <w:szCs w:val="24"/>
          <w:lang w:eastAsia="en-GB"/>
        </w:rPr>
        <w:t xml:space="preserve">Unplanned hospitalisation for asthma, </w:t>
      </w:r>
      <w:proofErr w:type="gramStart"/>
      <w:r w:rsidRPr="00120867">
        <w:rPr>
          <w:b w:val="0"/>
          <w:bCs w:val="0"/>
          <w:kern w:val="0"/>
          <w:sz w:val="24"/>
          <w:szCs w:val="24"/>
          <w:lang w:eastAsia="en-GB"/>
        </w:rPr>
        <w:t>diabetes</w:t>
      </w:r>
      <w:proofErr w:type="gramEnd"/>
      <w:r w:rsidRPr="00120867">
        <w:rPr>
          <w:b w:val="0"/>
          <w:bCs w:val="0"/>
          <w:kern w:val="0"/>
          <w:sz w:val="24"/>
          <w:szCs w:val="24"/>
          <w:lang w:eastAsia="en-GB"/>
        </w:rPr>
        <w:t xml:space="preserve"> and epilepsy in under 19s</w:t>
      </w:r>
    </w:p>
    <w:p w14:paraId="7C25BFBC" w14:textId="4478D4DD" w:rsidR="007136A7" w:rsidRDefault="00192B09" w:rsidP="009B0E59">
      <w:pPr>
        <w:pStyle w:val="Heading1"/>
      </w:pPr>
      <w:r>
        <w:t xml:space="preserve">Validity assessment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8"/>
        <w:gridCol w:w="4092"/>
        <w:gridCol w:w="3047"/>
      </w:tblGrid>
      <w:tr w:rsidR="00455B14" w:rsidRPr="006E1387" w14:paraId="0815D160" w14:textId="1327D684" w:rsidTr="00455B14">
        <w:tc>
          <w:tcPr>
            <w:tcW w:w="1878" w:type="dxa"/>
          </w:tcPr>
          <w:p w14:paraId="04AA61DA" w14:textId="77777777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4092" w:type="dxa"/>
          </w:tcPr>
          <w:p w14:paraId="177895C1" w14:textId="194D65D4" w:rsidR="00455B14" w:rsidRPr="006E1387" w:rsidRDefault="009B5C5F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 w:rsidR="00455B14" w:rsidRPr="006E1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</w:tcPr>
          <w:p w14:paraId="7A5D48DC" w14:textId="7C82261F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</w:tr>
      <w:tr w:rsidR="00455B14" w:rsidRPr="006E1387" w14:paraId="3708A997" w14:textId="67C127FD" w:rsidTr="00455B14">
        <w:tc>
          <w:tcPr>
            <w:tcW w:w="1878" w:type="dxa"/>
          </w:tcPr>
          <w:p w14:paraId="480E158F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Importance</w:t>
            </w:r>
          </w:p>
        </w:tc>
        <w:tc>
          <w:tcPr>
            <w:tcW w:w="4092" w:type="dxa"/>
          </w:tcPr>
          <w:p w14:paraId="00803C67" w14:textId="2FB44619" w:rsidR="00333A96" w:rsidRDefault="00333A96" w:rsidP="00333A9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Indicator is part of the </w:t>
            </w:r>
            <w:r w:rsidR="00853218">
              <w:rPr>
                <w:rFonts w:ascii="Arial" w:hAnsi="Arial" w:cs="Arial"/>
                <w:sz w:val="22"/>
                <w:szCs w:val="22"/>
              </w:rPr>
              <w:t>CCG outcomes indicator set</w:t>
            </w:r>
            <w:r w:rsidR="00402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5B77">
              <w:rPr>
                <w:rFonts w:ascii="Arial" w:hAnsi="Arial" w:cs="Arial"/>
                <w:sz w:val="22"/>
                <w:szCs w:val="22"/>
              </w:rPr>
              <w:t xml:space="preserve">domain </w:t>
            </w:r>
            <w:r w:rsidR="00BA478F">
              <w:rPr>
                <w:rFonts w:ascii="Arial" w:hAnsi="Arial" w:cs="Arial"/>
                <w:sz w:val="22"/>
                <w:szCs w:val="22"/>
              </w:rPr>
              <w:t>2</w:t>
            </w:r>
            <w:r w:rsidR="00F75B7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BA478F">
              <w:rPr>
                <w:rFonts w:ascii="Arial" w:hAnsi="Arial" w:cs="Arial"/>
                <w:sz w:val="22"/>
                <w:szCs w:val="22"/>
              </w:rPr>
              <w:t>Enhancing quality of life for people with long-term conditions</w:t>
            </w:r>
            <w:r w:rsidR="00402B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0AAFD7" w14:textId="652659AC" w:rsidR="00645411" w:rsidRPr="006E1387" w:rsidRDefault="00161404" w:rsidP="0085321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 a national level the </w:t>
            </w:r>
            <w:r w:rsidR="00284539">
              <w:rPr>
                <w:rFonts w:ascii="Arial" w:hAnsi="Arial" w:cs="Arial"/>
                <w:sz w:val="22"/>
                <w:szCs w:val="22"/>
              </w:rPr>
              <w:t xml:space="preserve">value of this indicator has </w:t>
            </w:r>
            <w:r w:rsidR="00853218">
              <w:rPr>
                <w:rFonts w:ascii="Arial" w:hAnsi="Arial" w:cs="Arial"/>
                <w:sz w:val="22"/>
                <w:szCs w:val="22"/>
              </w:rPr>
              <w:t>fallen from 308.8 admissions per 100,000 population</w:t>
            </w:r>
            <w:r w:rsidR="0079433E">
              <w:rPr>
                <w:rFonts w:ascii="Arial" w:hAnsi="Arial" w:cs="Arial"/>
                <w:sz w:val="22"/>
                <w:szCs w:val="22"/>
              </w:rPr>
              <w:t xml:space="preserve"> in 2013/14</w:t>
            </w:r>
            <w:r w:rsidR="00853218">
              <w:rPr>
                <w:rFonts w:ascii="Arial" w:hAnsi="Arial" w:cs="Arial"/>
                <w:sz w:val="22"/>
                <w:szCs w:val="22"/>
              </w:rPr>
              <w:t xml:space="preserve"> to 278.8 in 2018/19. Variation exists between CCGs (611.9 to 39.4 in 2018/19) and </w:t>
            </w:r>
            <w:r w:rsidR="00383115">
              <w:rPr>
                <w:rFonts w:ascii="Arial" w:hAnsi="Arial" w:cs="Arial"/>
                <w:sz w:val="22"/>
                <w:szCs w:val="22"/>
              </w:rPr>
              <w:t>by gender.</w:t>
            </w:r>
          </w:p>
        </w:tc>
        <w:tc>
          <w:tcPr>
            <w:tcW w:w="3047" w:type="dxa"/>
          </w:tcPr>
          <w:p w14:paraId="34B49690" w14:textId="7DD53582" w:rsidR="00E05AB5" w:rsidRDefault="00E05AB5" w:rsidP="00C41156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Indicator is based </w:t>
            </w:r>
            <w:r w:rsidR="005B620E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on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a recognized dataset.</w:t>
            </w:r>
          </w:p>
          <w:p w14:paraId="78280FB7" w14:textId="0DCC06EB" w:rsidR="00E05AB5" w:rsidRPr="006E1387" w:rsidRDefault="00383115" w:rsidP="00EC7278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Indicator showing improvement over time and meaningful comparisons can be made between time periods and CCGs.</w:t>
            </w:r>
          </w:p>
        </w:tc>
      </w:tr>
      <w:tr w:rsidR="00455B14" w:rsidRPr="006E1387" w14:paraId="77F6A4A2" w14:textId="33EFD485" w:rsidTr="00455B14">
        <w:tc>
          <w:tcPr>
            <w:tcW w:w="1878" w:type="dxa"/>
          </w:tcPr>
          <w:p w14:paraId="6AF47F4B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Evidence base</w:t>
            </w:r>
          </w:p>
        </w:tc>
        <w:tc>
          <w:tcPr>
            <w:tcW w:w="4092" w:type="dxa"/>
          </w:tcPr>
          <w:p w14:paraId="67D19D99" w14:textId="1EAEC52D" w:rsidR="0019550C" w:rsidRDefault="0019550C" w:rsidP="005F39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indicator </w:t>
            </w:r>
            <w:r w:rsidR="00521D6D">
              <w:rPr>
                <w:rFonts w:ascii="Arial" w:hAnsi="Arial" w:cs="Arial"/>
                <w:sz w:val="22"/>
                <w:szCs w:val="22"/>
              </w:rPr>
              <w:t>quality statement</w:t>
            </w:r>
            <w:r w:rsidR="00521D6D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="00521D6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A99D640" w14:textId="77777777" w:rsidR="00383115" w:rsidRDefault="0019550C" w:rsidP="0038311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383115" w:rsidRPr="00383115">
              <w:rPr>
                <w:rFonts w:ascii="Arial" w:hAnsi="Arial" w:cs="Arial"/>
                <w:sz w:val="22"/>
                <w:szCs w:val="22"/>
              </w:rPr>
              <w:t>This indicator forms part of Domain 2 - Enhancing quality of life for people with long-term conditions and is intended to measure progress in preventing chronic ambulatory care sensitive (ACS) conditions – such as diabetes, asthma or epilepsy– from becoming more serious.</w:t>
            </w:r>
          </w:p>
          <w:p w14:paraId="46FD2163" w14:textId="2A07DC44" w:rsidR="005F3926" w:rsidRPr="006E1387" w:rsidRDefault="00383115" w:rsidP="0038311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83115">
              <w:rPr>
                <w:rFonts w:ascii="Arial" w:hAnsi="Arial" w:cs="Arial"/>
                <w:sz w:val="22"/>
                <w:szCs w:val="22"/>
              </w:rPr>
              <w:t xml:space="preserve">ACS conditions are those where effective management and treatment, </w:t>
            </w:r>
            <w:r w:rsidRPr="00383115">
              <w:rPr>
                <w:rFonts w:ascii="Arial" w:hAnsi="Arial" w:cs="Arial"/>
                <w:sz w:val="22"/>
                <w:szCs w:val="22"/>
              </w:rPr>
              <w:lastRenderedPageBreak/>
              <w:t xml:space="preserve">for example in primary care, at clinics or in an outpatient setting can help prevent the need for a hospital admission. Asthma, </w:t>
            </w:r>
            <w:proofErr w:type="gramStart"/>
            <w:r w:rsidRPr="00383115">
              <w:rPr>
                <w:rFonts w:ascii="Arial" w:hAnsi="Arial" w:cs="Arial"/>
                <w:sz w:val="22"/>
                <w:szCs w:val="22"/>
              </w:rPr>
              <w:t>diabetes</w:t>
            </w:r>
            <w:proofErr w:type="gramEnd"/>
            <w:r w:rsidRPr="00383115">
              <w:rPr>
                <w:rFonts w:ascii="Arial" w:hAnsi="Arial" w:cs="Arial"/>
                <w:sz w:val="22"/>
                <w:szCs w:val="22"/>
              </w:rPr>
              <w:t xml:space="preserve"> and epilepsy account for approximately 94% of emergency hospital admissions for children (under 19 years) with long-term conditions. Providing effective ambulatory care for these conditions will lead to better patient care and case-management, as well as a reduction in preventable emergency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83115">
              <w:rPr>
                <w:rFonts w:ascii="Arial" w:hAnsi="Arial" w:cs="Arial"/>
                <w:sz w:val="22"/>
                <w:szCs w:val="22"/>
              </w:rPr>
              <w:t>admission;</w:t>
            </w:r>
            <w:proofErr w:type="gramEnd"/>
            <w:r w:rsidRPr="00383115">
              <w:rPr>
                <w:rFonts w:ascii="Arial" w:hAnsi="Arial" w:cs="Arial"/>
                <w:sz w:val="22"/>
                <w:szCs w:val="22"/>
              </w:rPr>
              <w:t xml:space="preserve"> which are costly and expose patients to otherwise avoidable clinical risks such as</w:t>
            </w:r>
            <w:r>
              <w:rPr>
                <w:rFonts w:ascii="Arial" w:hAnsi="Arial" w:cs="Arial"/>
                <w:sz w:val="22"/>
                <w:szCs w:val="22"/>
              </w:rPr>
              <w:t xml:space="preserve"> healthcare acquired infections</w:t>
            </w:r>
            <w:r w:rsidR="0019550C" w:rsidRPr="0019550C">
              <w:rPr>
                <w:rFonts w:ascii="Arial" w:hAnsi="Arial" w:cs="Arial"/>
                <w:sz w:val="22"/>
                <w:szCs w:val="22"/>
              </w:rPr>
              <w:t xml:space="preserve">”.  </w:t>
            </w:r>
          </w:p>
        </w:tc>
        <w:tc>
          <w:tcPr>
            <w:tcW w:w="3047" w:type="dxa"/>
          </w:tcPr>
          <w:p w14:paraId="24137C65" w14:textId="24D22C25" w:rsidR="00E05AB5" w:rsidRDefault="00E25210" w:rsidP="00383115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lastRenderedPageBreak/>
              <w:t>Evidence base exists</w:t>
            </w:r>
            <w:r w:rsidR="005F3926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.</w:t>
            </w:r>
            <w:r w:rsidR="007E7E62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This indicator measures management of </w:t>
            </w:r>
            <w:proofErr w:type="gramStart"/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long term</w:t>
            </w:r>
            <w:proofErr w:type="gramEnd"/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conditions in children and young people and reflects NICE guidance </w:t>
            </w:r>
            <w:r w:rsidR="001E0647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and quality standards 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on Asthma (QS25</w:t>
            </w:r>
            <w:r w:rsidR="00F93D9F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2"/>
            </w:r>
            <w:r w:rsidR="00F93D9F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NG80</w:t>
            </w:r>
            <w:r w:rsidR="00F93D9F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3"/>
            </w:r>
            <w:r w:rsidR="00F93D9F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NG166</w:t>
            </w:r>
            <w:r w:rsidR="00F93D9F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4"/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), Diabetes (</w:t>
            </w:r>
            <w:r w:rsidR="00F93D9F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QS125</w:t>
            </w:r>
            <w:r w:rsidR="00F93D9F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5"/>
            </w:r>
            <w:r w:rsidR="00F93D9F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, 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NG18</w:t>
            </w:r>
            <w:r w:rsidR="00F93D9F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6"/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</w:t>
            </w:r>
            <w:r w:rsidR="00F93D9F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lastRenderedPageBreak/>
              <w:t>and Epilepsy (QS27</w:t>
            </w:r>
            <w:r w:rsidR="00F93D9F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7"/>
            </w:r>
            <w:r w:rsidR="00F93D9F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CG137</w:t>
            </w:r>
            <w:r w:rsidR="00F93D9F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8"/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).</w:t>
            </w:r>
          </w:p>
          <w:p w14:paraId="12B8C1AB" w14:textId="4666A326" w:rsidR="00F93D9F" w:rsidRPr="006E1387" w:rsidRDefault="00F93D9F" w:rsidP="00F93D9F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</w:p>
        </w:tc>
      </w:tr>
      <w:tr w:rsidR="00455B14" w:rsidRPr="006E1387" w14:paraId="3CC8FB8C" w14:textId="54EA7E4F" w:rsidTr="00455B14">
        <w:tc>
          <w:tcPr>
            <w:tcW w:w="1878" w:type="dxa"/>
          </w:tcPr>
          <w:p w14:paraId="4C16DA9B" w14:textId="563A524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lastRenderedPageBreak/>
              <w:t xml:space="preserve">Specification </w:t>
            </w:r>
          </w:p>
        </w:tc>
        <w:tc>
          <w:tcPr>
            <w:tcW w:w="4092" w:type="dxa"/>
          </w:tcPr>
          <w:p w14:paraId="7F5AB8B1" w14:textId="586E81ED" w:rsidR="00455B14" w:rsidRDefault="00F2277C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Numerator: </w:t>
            </w:r>
            <w:r w:rsidR="00383115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Number of emergency admissions with a primary diagnosis of asthma, </w:t>
            </w:r>
            <w:proofErr w:type="gramStart"/>
            <w:r w:rsidR="00383115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diabetes</w:t>
            </w:r>
            <w:proofErr w:type="gramEnd"/>
            <w:r w:rsidR="00383115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or epilepsy (aged 0 to 18).</w:t>
            </w:r>
            <w:r w:rsidR="0012086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ICD-10 codes E10, G40, G41, J45, J46.</w:t>
            </w:r>
          </w:p>
          <w:p w14:paraId="4FC7B690" w14:textId="0A1AE7A6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Denominator:</w:t>
            </w:r>
            <w:r w:rsidR="00402BFB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383115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Registered patient counts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from the National Health Application and Infrastructure Services (NHAIS), NHS Digital.</w:t>
            </w:r>
          </w:p>
          <w:p w14:paraId="158FFEDA" w14:textId="16F64460" w:rsidR="00F77F03" w:rsidRPr="006E1387" w:rsidRDefault="00F77F0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Exclusions: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None</w:t>
            </w:r>
          </w:p>
          <w:p w14:paraId="46400236" w14:textId="4067221C" w:rsidR="00402BFB" w:rsidRDefault="00F656C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Methodology: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The directly age and sex standardised rate per 100,000 population.</w:t>
            </w:r>
          </w:p>
          <w:p w14:paraId="241B73C2" w14:textId="21F37979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Geography: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England, CCG. Additional breakdown by sex</w:t>
            </w:r>
          </w:p>
          <w:p w14:paraId="5B155699" w14:textId="675A3811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Data Source: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Hospital episode statistics (HES).</w:t>
            </w:r>
          </w:p>
          <w:p w14:paraId="134E4565" w14:textId="1574E763" w:rsidR="00A54F81" w:rsidRPr="006E1387" w:rsidRDefault="00873503" w:rsidP="009A1FC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Disclosure control: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Current HES disclosure rules – numerator and denominators between 1 and 7 are suppressed and values calculated from these are also suppressed. Numerator values are rounded after calculation of rates.</w:t>
            </w:r>
          </w:p>
        </w:tc>
        <w:tc>
          <w:tcPr>
            <w:tcW w:w="3047" w:type="dxa"/>
          </w:tcPr>
          <w:p w14:paraId="3C3529D2" w14:textId="0B8323A7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has defined components necessary to construct the indicator</w:t>
            </w:r>
            <w:r w:rsidR="00217BF3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2FC7796" w14:textId="5A354569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="00455B14" w:rsidRPr="006E1387" w14:paraId="23FEA25E" w14:textId="6A849BFE" w:rsidTr="00455B14">
        <w:tc>
          <w:tcPr>
            <w:tcW w:w="1878" w:type="dxa"/>
          </w:tcPr>
          <w:p w14:paraId="05670B1F" w14:textId="657854F2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Feasibility  </w:t>
            </w:r>
          </w:p>
        </w:tc>
        <w:tc>
          <w:tcPr>
            <w:tcW w:w="4092" w:type="dxa"/>
          </w:tcPr>
          <w:p w14:paraId="6164A0BB" w14:textId="3F05EB80" w:rsidR="00F656C3" w:rsidRPr="006E1387" w:rsidRDefault="00F52CF4" w:rsidP="00AF27B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data from long running data sources.</w:t>
            </w:r>
          </w:p>
          <w:p w14:paraId="23202A2C" w14:textId="363ECA27" w:rsidR="002B4762" w:rsidRPr="006E1387" w:rsidRDefault="002B4762" w:rsidP="002B47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7" w:type="dxa"/>
          </w:tcPr>
          <w:p w14:paraId="7C614BB1" w14:textId="0668E0D4" w:rsidR="00455B14" w:rsidRPr="006E1387" w:rsidRDefault="00262A3E" w:rsidP="009A1FC0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Data has been flowing for some time and data sources will continue</w:t>
            </w:r>
            <w:r w:rsidR="009A1FC0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</w:tc>
      </w:tr>
      <w:tr w:rsidR="00455B14" w:rsidRPr="006E1387" w14:paraId="211AFDFC" w14:textId="3BA1BF23" w:rsidTr="00455B14">
        <w:tc>
          <w:tcPr>
            <w:tcW w:w="1878" w:type="dxa"/>
          </w:tcPr>
          <w:p w14:paraId="7AA7B574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Acceptability</w:t>
            </w:r>
          </w:p>
        </w:tc>
        <w:tc>
          <w:tcPr>
            <w:tcW w:w="4092" w:type="dxa"/>
          </w:tcPr>
          <w:p w14:paraId="2117977B" w14:textId="6199D6A4" w:rsidR="009F3187" w:rsidRPr="006E1387" w:rsidRDefault="009A1FC0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Indicator data is from HES and is robust. Care must be paid to </w:t>
            </w:r>
            <w:r w:rsidR="00CB52DF">
              <w:rPr>
                <w:rFonts w:ascii="Arial" w:hAnsi="Arial" w:cs="Arial"/>
                <w:sz w:val="22"/>
                <w:szCs w:val="22"/>
              </w:rPr>
              <w:lastRenderedPageBreak/>
              <w:t>interpretation;</w:t>
            </w:r>
            <w:r>
              <w:rPr>
                <w:rFonts w:ascii="Arial" w:hAnsi="Arial" w:cs="Arial"/>
                <w:sz w:val="22"/>
                <w:szCs w:val="22"/>
              </w:rPr>
              <w:t xml:space="preserve"> this </w:t>
            </w:r>
            <w:r w:rsidR="00F06914">
              <w:rPr>
                <w:rFonts w:ascii="Arial" w:hAnsi="Arial" w:cs="Arial"/>
                <w:sz w:val="22"/>
                <w:szCs w:val="22"/>
              </w:rPr>
              <w:t xml:space="preserve">indicator </w:t>
            </w:r>
            <w:r>
              <w:rPr>
                <w:rFonts w:ascii="Arial" w:hAnsi="Arial" w:cs="Arial"/>
                <w:sz w:val="22"/>
                <w:szCs w:val="22"/>
              </w:rPr>
              <w:t xml:space="preserve">measures the number of </w:t>
            </w:r>
            <w:r w:rsidR="00623719">
              <w:rPr>
                <w:rFonts w:ascii="Arial" w:hAnsi="Arial" w:cs="Arial"/>
                <w:sz w:val="22"/>
                <w:szCs w:val="22"/>
              </w:rPr>
              <w:t xml:space="preserve">potentially avoidable </w:t>
            </w:r>
            <w:r>
              <w:rPr>
                <w:rFonts w:ascii="Arial" w:hAnsi="Arial" w:cs="Arial"/>
                <w:sz w:val="22"/>
                <w:szCs w:val="22"/>
              </w:rPr>
              <w:t>emergency admissions for long term conditions</w:t>
            </w:r>
            <w:r w:rsidR="0079433E">
              <w:rPr>
                <w:rFonts w:ascii="Arial" w:hAnsi="Arial" w:cs="Arial"/>
                <w:sz w:val="22"/>
                <w:szCs w:val="22"/>
              </w:rPr>
              <w:t xml:space="preserve"> in children and young people</w:t>
            </w:r>
            <w:r w:rsidR="00623719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3719">
              <w:rPr>
                <w:rFonts w:ascii="Arial" w:hAnsi="Arial" w:cs="Arial"/>
                <w:sz w:val="22"/>
                <w:szCs w:val="22"/>
              </w:rPr>
              <w:t xml:space="preserve">it is largely an indicator of pre-hospital care </w:t>
            </w:r>
            <w:r>
              <w:rPr>
                <w:rFonts w:ascii="Arial" w:hAnsi="Arial" w:cs="Arial"/>
                <w:sz w:val="22"/>
                <w:szCs w:val="22"/>
              </w:rPr>
              <w:t xml:space="preserve">of conditions </w:t>
            </w:r>
            <w:r w:rsidR="0079433E">
              <w:rPr>
                <w:rFonts w:ascii="Arial" w:hAnsi="Arial" w:cs="Arial"/>
                <w:sz w:val="22"/>
                <w:szCs w:val="22"/>
              </w:rPr>
              <w:t>rather than the outcomes of the admissions.</w:t>
            </w:r>
          </w:p>
        </w:tc>
        <w:tc>
          <w:tcPr>
            <w:tcW w:w="3047" w:type="dxa"/>
          </w:tcPr>
          <w:p w14:paraId="29506238" w14:textId="2D49B6DF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lastRenderedPageBreak/>
              <w:t xml:space="preserve">The indicator assesses performance that is </w:t>
            </w: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lastRenderedPageBreak/>
              <w:t>attributable to or within the control of the audience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5FC4D2AC" w14:textId="77777777" w:rsidR="002223A6" w:rsidRDefault="00455B14" w:rsidP="00455B14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The results of the indicator can be used to improve practice</w:t>
            </w:r>
            <w:r w:rsidR="009B0E59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  <w:p w14:paraId="472E62AD" w14:textId="104A1E45" w:rsidR="00217BF3" w:rsidRPr="006E1387" w:rsidRDefault="00B05610" w:rsidP="009A1FC0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Indicator must be interpreted with caution</w:t>
            </w:r>
            <w:r w:rsidR="009A1FC0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</w:tc>
      </w:tr>
      <w:tr w:rsidR="00041011" w:rsidRPr="006E1387" w14:paraId="515852F3" w14:textId="598C7331" w:rsidTr="009D2922">
        <w:trPr>
          <w:trHeight w:val="2836"/>
        </w:trPr>
        <w:tc>
          <w:tcPr>
            <w:tcW w:w="1878" w:type="dxa"/>
          </w:tcPr>
          <w:p w14:paraId="5DC1BD3A" w14:textId="17F33E7B" w:rsidR="00041011" w:rsidRPr="006E1387" w:rsidRDefault="00041011" w:rsidP="00041011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Risk</w:t>
            </w:r>
          </w:p>
        </w:tc>
        <w:tc>
          <w:tcPr>
            <w:tcW w:w="4092" w:type="dxa"/>
          </w:tcPr>
          <w:p w14:paraId="6C854FEE" w14:textId="2E2E12AA" w:rsidR="00041011" w:rsidRPr="006E1387" w:rsidRDefault="009A1FC0" w:rsidP="00BA30D0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None identified</w:t>
            </w:r>
          </w:p>
        </w:tc>
        <w:tc>
          <w:tcPr>
            <w:tcW w:w="3047" w:type="dxa"/>
          </w:tcPr>
          <w:p w14:paraId="7C2C11AA" w14:textId="092826F4" w:rsidR="00041011" w:rsidRPr="006E1387" w:rsidRDefault="009A1FC0" w:rsidP="00EC7278">
            <w:pPr>
              <w:pStyle w:val="NICEnormal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None identified.</w:t>
            </w:r>
          </w:p>
        </w:tc>
      </w:tr>
    </w:tbl>
    <w:p w14:paraId="37D9A2F5" w14:textId="084C27AB" w:rsidR="004A517E" w:rsidRDefault="004A517E">
      <w:pPr>
        <w:rPr>
          <w:rFonts w:ascii="Arial" w:hAnsi="Arial"/>
          <w:lang w:val="en-US"/>
        </w:rPr>
      </w:pPr>
    </w:p>
    <w:p w14:paraId="55E62290" w14:textId="2250299D" w:rsidR="00937DDA" w:rsidRDefault="00474A51" w:rsidP="00937DDA">
      <w:pPr>
        <w:pStyle w:val="Paragraphnonumbers"/>
      </w:pPr>
      <w:r>
        <w:rPr>
          <w:b/>
        </w:rPr>
        <w:t>S</w:t>
      </w:r>
      <w:r w:rsidR="00937DDA" w:rsidRPr="00B12039">
        <w:rPr>
          <w:b/>
        </w:rPr>
        <w:t>ummary:</w:t>
      </w:r>
      <w:r w:rsidR="00937DDA">
        <w:t xml:space="preserve"> </w:t>
      </w:r>
      <w:r>
        <w:t>I</w:t>
      </w:r>
      <w:r w:rsidR="00B05610">
        <w:t>ndicator</w:t>
      </w:r>
      <w:r>
        <w:t xml:space="preserve"> to be renewed. </w:t>
      </w:r>
    </w:p>
    <w:p w14:paraId="47245041" w14:textId="77777777" w:rsidR="00D8532F" w:rsidRDefault="00937DDA" w:rsidP="00D8532F">
      <w:pPr>
        <w:pStyle w:val="Paragraphnonumbers"/>
        <w:rPr>
          <w:b/>
        </w:rPr>
      </w:pPr>
      <w:r>
        <w:rPr>
          <w:b/>
        </w:rPr>
        <w:t>NHS Digital</w:t>
      </w:r>
      <w:r w:rsidR="00D8532F">
        <w:rPr>
          <w:b/>
        </w:rPr>
        <w:t xml:space="preserve"> Indicator reference</w:t>
      </w:r>
      <w:r>
        <w:rPr>
          <w:b/>
        </w:rPr>
        <w:t xml:space="preserve">: </w:t>
      </w:r>
    </w:p>
    <w:p w14:paraId="123085F8" w14:textId="4F6A96B4" w:rsidR="00D73835" w:rsidRDefault="00D8532F" w:rsidP="00D8532F">
      <w:pPr>
        <w:pStyle w:val="Paragraphnonumbers"/>
      </w:pPr>
      <w:r>
        <w:t xml:space="preserve">CCG Outcomes Indicator Set - </w:t>
      </w:r>
      <w:r w:rsidRPr="00D8532F">
        <w:t xml:space="preserve">2.7 Unplanned hospitalisation for asthma, </w:t>
      </w:r>
      <w:proofErr w:type="gramStart"/>
      <w:r w:rsidRPr="00D8532F">
        <w:t>diabetes</w:t>
      </w:r>
      <w:proofErr w:type="gramEnd"/>
      <w:r w:rsidRPr="00D8532F">
        <w:t xml:space="preserve"> and epilepsy in under 19s</w:t>
      </w:r>
    </w:p>
    <w:sectPr w:rsidR="00D73835" w:rsidSect="00192B0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AE2E" w14:textId="77777777" w:rsidR="00ED6F53" w:rsidRDefault="00ED6F53" w:rsidP="00446BEE">
      <w:r>
        <w:separator/>
      </w:r>
    </w:p>
  </w:endnote>
  <w:endnote w:type="continuationSeparator" w:id="0">
    <w:p w14:paraId="1EE071A7" w14:textId="77777777" w:rsidR="00ED6F53" w:rsidRDefault="00ED6F5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07A" w14:textId="3AA3C1E6" w:rsidR="00BB14CA" w:rsidRPr="008C1C95" w:rsidRDefault="00D8532F" w:rsidP="00D8532F">
    <w:pPr>
      <w:pStyle w:val="Footer"/>
    </w:pPr>
    <w:r>
      <w:t xml:space="preserve">IAP00069 </w:t>
    </w:r>
    <w:r w:rsidRPr="00D8532F">
      <w:t xml:space="preserve">Unplanned hospitalisation for asthma, </w:t>
    </w:r>
    <w:proofErr w:type="gramStart"/>
    <w:r w:rsidRPr="00D8532F">
      <w:t>diabetes</w:t>
    </w:r>
    <w:proofErr w:type="gramEnd"/>
    <w:r w:rsidRPr="00D8532F">
      <w:t xml:space="preserve"> and epilepsy in under 19s</w:t>
    </w:r>
    <w:r w:rsidR="009B0E59">
      <w:t xml:space="preserve">: Validity assessment </w:t>
    </w:r>
    <w:r w:rsidR="006F2FD8">
      <w:t>March</w:t>
    </w:r>
    <w:r>
      <w:t xml:space="preserve"> 2021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D75CD7">
      <w:rPr>
        <w:noProof/>
      </w:rPr>
      <w:t>2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D75CD7">
      <w:rPr>
        <w:noProof/>
      </w:rPr>
      <w:t>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BEBC" w14:textId="77777777" w:rsidR="00ED6F53" w:rsidRDefault="00ED6F53" w:rsidP="00446BEE">
      <w:r>
        <w:separator/>
      </w:r>
    </w:p>
  </w:footnote>
  <w:footnote w:type="continuationSeparator" w:id="0">
    <w:p w14:paraId="28DE568C" w14:textId="77777777" w:rsidR="00ED6F53" w:rsidRDefault="00ED6F53" w:rsidP="00446BEE">
      <w:r>
        <w:continuationSeparator/>
      </w:r>
    </w:p>
  </w:footnote>
  <w:footnote w:id="1">
    <w:p w14:paraId="31CF1D59" w14:textId="155B0256" w:rsidR="00521D6D" w:rsidRDefault="00521D6D">
      <w:pPr>
        <w:pStyle w:val="FootnoteText"/>
      </w:pPr>
      <w:r>
        <w:rPr>
          <w:rStyle w:val="FootnoteReference"/>
        </w:rPr>
        <w:footnoteRef/>
      </w:r>
      <w:r>
        <w:t xml:space="preserve"> NHS Digital. </w:t>
      </w:r>
      <w:r w:rsidR="00383115">
        <w:t>CCG Outcomes indicator set</w:t>
      </w:r>
      <w:r>
        <w:t>, Indicator Quality Statement, Domain 2. 2</w:t>
      </w:r>
      <w:r w:rsidR="00383115">
        <w:t xml:space="preserve">.7 Unplanned hospitalisation for asthma, </w:t>
      </w:r>
      <w:proofErr w:type="gramStart"/>
      <w:r w:rsidR="00383115">
        <w:t>diabetes</w:t>
      </w:r>
      <w:proofErr w:type="gramEnd"/>
      <w:r w:rsidR="00383115">
        <w:t xml:space="preserve"> and epilepsy in under 19s.</w:t>
      </w:r>
      <w:r>
        <w:t xml:space="preserve"> Version </w:t>
      </w:r>
      <w:r w:rsidR="00383115">
        <w:t>1</w:t>
      </w:r>
      <w:r>
        <w:t>.</w:t>
      </w:r>
      <w:r w:rsidR="00383115">
        <w:t>15</w:t>
      </w:r>
      <w:r>
        <w:t xml:space="preserve">, </w:t>
      </w:r>
      <w:r w:rsidR="00383115">
        <w:t>March 2020</w:t>
      </w:r>
    </w:p>
  </w:footnote>
  <w:footnote w:id="2">
    <w:p w14:paraId="7D13A9CB" w14:textId="351EE3B1" w:rsidR="00F93D9F" w:rsidRDefault="00F93D9F">
      <w:pPr>
        <w:pStyle w:val="FootnoteText"/>
      </w:pPr>
      <w:r>
        <w:rPr>
          <w:rStyle w:val="FootnoteReference"/>
        </w:rPr>
        <w:footnoteRef/>
      </w:r>
      <w:r>
        <w:t xml:space="preserve"> Asthma, last updated 20 September 2018, </w:t>
      </w:r>
      <w:hyperlink r:id="rId1" w:history="1">
        <w:r w:rsidRPr="008131FE">
          <w:rPr>
            <w:rStyle w:val="Hyperlink"/>
          </w:rPr>
          <w:t>https://www.nice.org.uk/guidance/qs25</w:t>
        </w:r>
      </w:hyperlink>
      <w:r>
        <w:t xml:space="preserve"> </w:t>
      </w:r>
    </w:p>
  </w:footnote>
  <w:footnote w:id="3">
    <w:p w14:paraId="57A1EBA4" w14:textId="673FF2D4" w:rsidR="00F93D9F" w:rsidRDefault="00F93D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D9F">
        <w:t>Asthma: diagnosis, monitoring and chronic asthma management</w:t>
      </w:r>
      <w:r>
        <w:t xml:space="preserve">, last updated 12 February 2020, </w:t>
      </w:r>
      <w:hyperlink r:id="rId2" w:history="1">
        <w:r w:rsidRPr="008131FE">
          <w:rPr>
            <w:rStyle w:val="Hyperlink"/>
          </w:rPr>
          <w:t>https://www.nice.org.uk/guidance/ng80</w:t>
        </w:r>
      </w:hyperlink>
      <w:r>
        <w:t xml:space="preserve"> </w:t>
      </w:r>
    </w:p>
  </w:footnote>
  <w:footnote w:id="4">
    <w:p w14:paraId="33F9859F" w14:textId="0F7483DA" w:rsidR="00F93D9F" w:rsidRDefault="00F93D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D9F">
        <w:t>COVID-19 rapid guideline: severe asthma</w:t>
      </w:r>
      <w:r>
        <w:t xml:space="preserve">, published 3 April 2020, </w:t>
      </w:r>
      <w:hyperlink r:id="rId3" w:history="1">
        <w:r w:rsidRPr="008131FE">
          <w:rPr>
            <w:rStyle w:val="Hyperlink"/>
          </w:rPr>
          <w:t>https://www.nice.org.uk/guidance/ng166</w:t>
        </w:r>
      </w:hyperlink>
      <w:r>
        <w:t xml:space="preserve"> </w:t>
      </w:r>
    </w:p>
  </w:footnote>
  <w:footnote w:id="5">
    <w:p w14:paraId="719A2362" w14:textId="153F8587" w:rsidR="00F93D9F" w:rsidRDefault="00F93D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D9F">
        <w:t>Diabetes in children and young people</w:t>
      </w:r>
      <w:r>
        <w:t xml:space="preserve">, published 14 July 2016, </w:t>
      </w:r>
      <w:hyperlink r:id="rId4" w:history="1">
        <w:r w:rsidRPr="008131FE">
          <w:rPr>
            <w:rStyle w:val="Hyperlink"/>
          </w:rPr>
          <w:t>https://www.nice.org.uk/guidance/qs125</w:t>
        </w:r>
      </w:hyperlink>
      <w:r>
        <w:t xml:space="preserve"> </w:t>
      </w:r>
    </w:p>
  </w:footnote>
  <w:footnote w:id="6">
    <w:p w14:paraId="1E4FD212" w14:textId="2C751FEC" w:rsidR="00F93D9F" w:rsidRDefault="00F93D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D9F">
        <w:t>Diabetes (type 1 and type 2) in children and young people: diagnosis and management</w:t>
      </w:r>
      <w:r>
        <w:t xml:space="preserve">, last updated </w:t>
      </w:r>
      <w:r w:rsidR="0079433E">
        <w:t>16 December</w:t>
      </w:r>
      <w:r>
        <w:t xml:space="preserve"> 20</w:t>
      </w:r>
      <w:r w:rsidR="0079433E">
        <w:t>20</w:t>
      </w:r>
      <w:r>
        <w:t xml:space="preserve">, </w:t>
      </w:r>
      <w:hyperlink r:id="rId5" w:history="1">
        <w:r w:rsidRPr="008131FE">
          <w:rPr>
            <w:rStyle w:val="Hyperlink"/>
          </w:rPr>
          <w:t>https://www.nice.org.uk/guidance/ng18</w:t>
        </w:r>
      </w:hyperlink>
      <w:r>
        <w:t xml:space="preserve"> </w:t>
      </w:r>
    </w:p>
  </w:footnote>
  <w:footnote w:id="7">
    <w:p w14:paraId="43752D61" w14:textId="43F1EBC8" w:rsidR="00F93D9F" w:rsidRDefault="00F93D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D9F">
        <w:t>Epilepsy in children and young people</w:t>
      </w:r>
      <w:r>
        <w:t xml:space="preserve">, published 28 February 2013, </w:t>
      </w:r>
      <w:hyperlink r:id="rId6" w:history="1">
        <w:r w:rsidRPr="008131FE">
          <w:rPr>
            <w:rStyle w:val="Hyperlink"/>
          </w:rPr>
          <w:t>https://www.nice.org.uk/guidance/qs27</w:t>
        </w:r>
      </w:hyperlink>
      <w:r>
        <w:t xml:space="preserve"> </w:t>
      </w:r>
    </w:p>
  </w:footnote>
  <w:footnote w:id="8">
    <w:p w14:paraId="40AD167C" w14:textId="0C6E2C6B" w:rsidR="00F93D9F" w:rsidRDefault="00F93D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D9F">
        <w:t>Epilepsies: diagnosis and management</w:t>
      </w:r>
      <w:r>
        <w:t xml:space="preserve">, last updated 11 February 2020, </w:t>
      </w:r>
      <w:hyperlink r:id="rId7" w:history="1">
        <w:r w:rsidRPr="008131FE">
          <w:rPr>
            <w:rStyle w:val="Hyperlink"/>
          </w:rPr>
          <w:t>https://www.nice.org.uk/guidance/cg137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A576E9A"/>
    <w:multiLevelType w:val="hybridMultilevel"/>
    <w:tmpl w:val="CF58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7"/>
  </w:num>
  <w:num w:numId="4">
    <w:abstractNumId w:val="12"/>
  </w:num>
  <w:num w:numId="5">
    <w:abstractNumId w:val="24"/>
  </w:num>
  <w:num w:numId="6">
    <w:abstractNumId w:val="1"/>
  </w:num>
  <w:num w:numId="7">
    <w:abstractNumId w:val="10"/>
  </w:num>
  <w:num w:numId="8">
    <w:abstractNumId w:val="22"/>
  </w:num>
  <w:num w:numId="9">
    <w:abstractNumId w:val="23"/>
  </w:num>
  <w:num w:numId="10">
    <w:abstractNumId w:val="5"/>
  </w:num>
  <w:num w:numId="11">
    <w:abstractNumId w:val="7"/>
  </w:num>
  <w:num w:numId="12">
    <w:abstractNumId w:val="3"/>
  </w:num>
  <w:num w:numId="13">
    <w:abstractNumId w:val="30"/>
  </w:num>
  <w:num w:numId="14">
    <w:abstractNumId w:val="14"/>
  </w:num>
  <w:num w:numId="15">
    <w:abstractNumId w:val="9"/>
  </w:num>
  <w:num w:numId="16">
    <w:abstractNumId w:val="19"/>
  </w:num>
  <w:num w:numId="17">
    <w:abstractNumId w:val="16"/>
  </w:num>
  <w:num w:numId="18">
    <w:abstractNumId w:val="21"/>
  </w:num>
  <w:num w:numId="19">
    <w:abstractNumId w:val="25"/>
  </w:num>
  <w:num w:numId="20">
    <w:abstractNumId w:val="6"/>
  </w:num>
  <w:num w:numId="21">
    <w:abstractNumId w:val="28"/>
  </w:num>
  <w:num w:numId="22">
    <w:abstractNumId w:val="0"/>
  </w:num>
  <w:num w:numId="23">
    <w:abstractNumId w:val="4"/>
  </w:num>
  <w:num w:numId="24">
    <w:abstractNumId w:val="26"/>
  </w:num>
  <w:num w:numId="25">
    <w:abstractNumId w:val="18"/>
  </w:num>
  <w:num w:numId="26">
    <w:abstractNumId w:val="1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</w:num>
  <w:num w:numId="37">
    <w:abstractNumId w:val="5"/>
  </w:num>
  <w:num w:numId="38">
    <w:abstractNumId w:val="29"/>
  </w:num>
  <w:num w:numId="39">
    <w:abstractNumId w:val="20"/>
  </w:num>
  <w:num w:numId="4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4649"/>
    <w:rsid w:val="00035D96"/>
    <w:rsid w:val="00036EE4"/>
    <w:rsid w:val="00037552"/>
    <w:rsid w:val="00041011"/>
    <w:rsid w:val="000414CD"/>
    <w:rsid w:val="0004386A"/>
    <w:rsid w:val="000438E0"/>
    <w:rsid w:val="000453F8"/>
    <w:rsid w:val="00047C9B"/>
    <w:rsid w:val="00050710"/>
    <w:rsid w:val="000523A6"/>
    <w:rsid w:val="000524FA"/>
    <w:rsid w:val="00052A67"/>
    <w:rsid w:val="00052B85"/>
    <w:rsid w:val="00053145"/>
    <w:rsid w:val="00056013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24A0"/>
    <w:rsid w:val="000E4899"/>
    <w:rsid w:val="000E7E3C"/>
    <w:rsid w:val="000F3B49"/>
    <w:rsid w:val="000F6502"/>
    <w:rsid w:val="001043B0"/>
    <w:rsid w:val="001066B8"/>
    <w:rsid w:val="00110A94"/>
    <w:rsid w:val="00110AD8"/>
    <w:rsid w:val="00112FAE"/>
    <w:rsid w:val="001131E2"/>
    <w:rsid w:val="001134E7"/>
    <w:rsid w:val="0012086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377B8"/>
    <w:rsid w:val="00140B46"/>
    <w:rsid w:val="00140D83"/>
    <w:rsid w:val="001413FC"/>
    <w:rsid w:val="00145D3C"/>
    <w:rsid w:val="001503E8"/>
    <w:rsid w:val="00154516"/>
    <w:rsid w:val="00155A83"/>
    <w:rsid w:val="00156264"/>
    <w:rsid w:val="00156529"/>
    <w:rsid w:val="001579DA"/>
    <w:rsid w:val="00161404"/>
    <w:rsid w:val="00161EBC"/>
    <w:rsid w:val="00165770"/>
    <w:rsid w:val="00165B01"/>
    <w:rsid w:val="00166C1A"/>
    <w:rsid w:val="0017169E"/>
    <w:rsid w:val="00173568"/>
    <w:rsid w:val="0017396B"/>
    <w:rsid w:val="00175BE8"/>
    <w:rsid w:val="00175F5D"/>
    <w:rsid w:val="00177200"/>
    <w:rsid w:val="001773DC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550C"/>
    <w:rsid w:val="00196653"/>
    <w:rsid w:val="00196E29"/>
    <w:rsid w:val="001976DA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76D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647"/>
    <w:rsid w:val="001E08E9"/>
    <w:rsid w:val="001E0B63"/>
    <w:rsid w:val="001E0E8C"/>
    <w:rsid w:val="001E586B"/>
    <w:rsid w:val="001E6F20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17BF3"/>
    <w:rsid w:val="00220661"/>
    <w:rsid w:val="00220702"/>
    <w:rsid w:val="002213B0"/>
    <w:rsid w:val="0022189B"/>
    <w:rsid w:val="002223A6"/>
    <w:rsid w:val="002229AD"/>
    <w:rsid w:val="00224AEE"/>
    <w:rsid w:val="00225FF4"/>
    <w:rsid w:val="00230A13"/>
    <w:rsid w:val="002331C6"/>
    <w:rsid w:val="002363B6"/>
    <w:rsid w:val="00236B76"/>
    <w:rsid w:val="002408EA"/>
    <w:rsid w:val="00241410"/>
    <w:rsid w:val="002549B2"/>
    <w:rsid w:val="002563DF"/>
    <w:rsid w:val="0026014A"/>
    <w:rsid w:val="0026108E"/>
    <w:rsid w:val="002614ED"/>
    <w:rsid w:val="00262A3E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4539"/>
    <w:rsid w:val="00284F52"/>
    <w:rsid w:val="00286537"/>
    <w:rsid w:val="00286C3A"/>
    <w:rsid w:val="00287467"/>
    <w:rsid w:val="00291A5B"/>
    <w:rsid w:val="00292B2C"/>
    <w:rsid w:val="0029330E"/>
    <w:rsid w:val="00296E2E"/>
    <w:rsid w:val="002A23A7"/>
    <w:rsid w:val="002A5503"/>
    <w:rsid w:val="002A6812"/>
    <w:rsid w:val="002A7339"/>
    <w:rsid w:val="002A7A24"/>
    <w:rsid w:val="002B4762"/>
    <w:rsid w:val="002B565A"/>
    <w:rsid w:val="002B71D2"/>
    <w:rsid w:val="002C0DA9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3A96"/>
    <w:rsid w:val="003351B7"/>
    <w:rsid w:val="00335D34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5698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5E5F"/>
    <w:rsid w:val="00376C2A"/>
    <w:rsid w:val="00377277"/>
    <w:rsid w:val="00377304"/>
    <w:rsid w:val="00381BEA"/>
    <w:rsid w:val="00381FB7"/>
    <w:rsid w:val="00382495"/>
    <w:rsid w:val="0038311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4CBB"/>
    <w:rsid w:val="003B0286"/>
    <w:rsid w:val="003B091A"/>
    <w:rsid w:val="003B1C33"/>
    <w:rsid w:val="003B254D"/>
    <w:rsid w:val="003B298F"/>
    <w:rsid w:val="003B69AA"/>
    <w:rsid w:val="003C1C18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776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2BFB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16EA1"/>
    <w:rsid w:val="00420952"/>
    <w:rsid w:val="00422E2D"/>
    <w:rsid w:val="00423C0E"/>
    <w:rsid w:val="00423DB4"/>
    <w:rsid w:val="0042425C"/>
    <w:rsid w:val="004247FB"/>
    <w:rsid w:val="004271A0"/>
    <w:rsid w:val="0042742A"/>
    <w:rsid w:val="004306C0"/>
    <w:rsid w:val="00431F8B"/>
    <w:rsid w:val="00433F81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5CD"/>
    <w:rsid w:val="00461C01"/>
    <w:rsid w:val="00462AFA"/>
    <w:rsid w:val="0046325E"/>
    <w:rsid w:val="0046445C"/>
    <w:rsid w:val="0046709A"/>
    <w:rsid w:val="00472CEC"/>
    <w:rsid w:val="00474A51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A6E5F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6448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1D6D"/>
    <w:rsid w:val="00523BB4"/>
    <w:rsid w:val="005243EC"/>
    <w:rsid w:val="005245EF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135A"/>
    <w:rsid w:val="005533F8"/>
    <w:rsid w:val="005536FB"/>
    <w:rsid w:val="00555CC8"/>
    <w:rsid w:val="00556B58"/>
    <w:rsid w:val="005577FA"/>
    <w:rsid w:val="00561A27"/>
    <w:rsid w:val="0056425E"/>
    <w:rsid w:val="00565745"/>
    <w:rsid w:val="00566CCC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20E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C95"/>
    <w:rsid w:val="005E0AC1"/>
    <w:rsid w:val="005E2508"/>
    <w:rsid w:val="005E437F"/>
    <w:rsid w:val="005E58ED"/>
    <w:rsid w:val="005E62A7"/>
    <w:rsid w:val="005E6B30"/>
    <w:rsid w:val="005F25FD"/>
    <w:rsid w:val="005F2905"/>
    <w:rsid w:val="005F3926"/>
    <w:rsid w:val="005F3989"/>
    <w:rsid w:val="005F3C5C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1798B"/>
    <w:rsid w:val="0062228B"/>
    <w:rsid w:val="00623719"/>
    <w:rsid w:val="00624430"/>
    <w:rsid w:val="00625AEE"/>
    <w:rsid w:val="00627687"/>
    <w:rsid w:val="006276D1"/>
    <w:rsid w:val="006279C2"/>
    <w:rsid w:val="00630A12"/>
    <w:rsid w:val="00630A5B"/>
    <w:rsid w:val="00637F2A"/>
    <w:rsid w:val="00642C45"/>
    <w:rsid w:val="0064313B"/>
    <w:rsid w:val="006434DF"/>
    <w:rsid w:val="00645411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1387"/>
    <w:rsid w:val="006E2124"/>
    <w:rsid w:val="006E23A2"/>
    <w:rsid w:val="006E299B"/>
    <w:rsid w:val="006E303F"/>
    <w:rsid w:val="006E46C1"/>
    <w:rsid w:val="006E4E37"/>
    <w:rsid w:val="006E5D76"/>
    <w:rsid w:val="006F17D4"/>
    <w:rsid w:val="006F255A"/>
    <w:rsid w:val="006F2843"/>
    <w:rsid w:val="006F2FD8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50F1"/>
    <w:rsid w:val="00726FF0"/>
    <w:rsid w:val="00727230"/>
    <w:rsid w:val="00730AA4"/>
    <w:rsid w:val="0073113B"/>
    <w:rsid w:val="00732C44"/>
    <w:rsid w:val="00734CC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8B2"/>
    <w:rsid w:val="007839C3"/>
    <w:rsid w:val="00783E53"/>
    <w:rsid w:val="00785266"/>
    <w:rsid w:val="00785616"/>
    <w:rsid w:val="007910D0"/>
    <w:rsid w:val="00791BB8"/>
    <w:rsid w:val="00792D69"/>
    <w:rsid w:val="0079433E"/>
    <w:rsid w:val="007969DF"/>
    <w:rsid w:val="00796B64"/>
    <w:rsid w:val="0079772A"/>
    <w:rsid w:val="007977F2"/>
    <w:rsid w:val="007A19BF"/>
    <w:rsid w:val="007B1A6C"/>
    <w:rsid w:val="007B5378"/>
    <w:rsid w:val="007C1642"/>
    <w:rsid w:val="007C33F3"/>
    <w:rsid w:val="007C40AD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E7E62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3F79"/>
    <w:rsid w:val="00844032"/>
    <w:rsid w:val="008443D8"/>
    <w:rsid w:val="008445E7"/>
    <w:rsid w:val="00844854"/>
    <w:rsid w:val="00847D3A"/>
    <w:rsid w:val="00853218"/>
    <w:rsid w:val="00855549"/>
    <w:rsid w:val="0086032D"/>
    <w:rsid w:val="00861B3D"/>
    <w:rsid w:val="00862879"/>
    <w:rsid w:val="00865CE7"/>
    <w:rsid w:val="0086701C"/>
    <w:rsid w:val="00867262"/>
    <w:rsid w:val="00870BDD"/>
    <w:rsid w:val="008717F1"/>
    <w:rsid w:val="00873503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C183F"/>
    <w:rsid w:val="008C1C95"/>
    <w:rsid w:val="008C3D9F"/>
    <w:rsid w:val="008C4122"/>
    <w:rsid w:val="008C4BD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DDA"/>
    <w:rsid w:val="00937E8B"/>
    <w:rsid w:val="009460E7"/>
    <w:rsid w:val="00947483"/>
    <w:rsid w:val="00947FDB"/>
    <w:rsid w:val="00952219"/>
    <w:rsid w:val="009535CF"/>
    <w:rsid w:val="009539B0"/>
    <w:rsid w:val="00953F4A"/>
    <w:rsid w:val="009540CD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6715D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1FC0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2922"/>
    <w:rsid w:val="009D49AA"/>
    <w:rsid w:val="009D4FBB"/>
    <w:rsid w:val="009D7602"/>
    <w:rsid w:val="009E3151"/>
    <w:rsid w:val="009E680B"/>
    <w:rsid w:val="009F1902"/>
    <w:rsid w:val="009F3187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427"/>
    <w:rsid w:val="00A4094A"/>
    <w:rsid w:val="00A426B6"/>
    <w:rsid w:val="00A426BE"/>
    <w:rsid w:val="00A526EF"/>
    <w:rsid w:val="00A53E97"/>
    <w:rsid w:val="00A54F81"/>
    <w:rsid w:val="00A60794"/>
    <w:rsid w:val="00A611CE"/>
    <w:rsid w:val="00A614C6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560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24C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5610"/>
    <w:rsid w:val="00B06D4E"/>
    <w:rsid w:val="00B119ED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0D0"/>
    <w:rsid w:val="00BA31F9"/>
    <w:rsid w:val="00BA3317"/>
    <w:rsid w:val="00BA3FDA"/>
    <w:rsid w:val="00BA4313"/>
    <w:rsid w:val="00BA4784"/>
    <w:rsid w:val="00BA478F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066A3"/>
    <w:rsid w:val="00C130C8"/>
    <w:rsid w:val="00C13168"/>
    <w:rsid w:val="00C13F60"/>
    <w:rsid w:val="00C14404"/>
    <w:rsid w:val="00C17D6A"/>
    <w:rsid w:val="00C203C9"/>
    <w:rsid w:val="00C21776"/>
    <w:rsid w:val="00C22E43"/>
    <w:rsid w:val="00C23238"/>
    <w:rsid w:val="00C235DF"/>
    <w:rsid w:val="00C2539E"/>
    <w:rsid w:val="00C278DE"/>
    <w:rsid w:val="00C2796B"/>
    <w:rsid w:val="00C3004B"/>
    <w:rsid w:val="00C318B8"/>
    <w:rsid w:val="00C31F4C"/>
    <w:rsid w:val="00C3209A"/>
    <w:rsid w:val="00C32ADC"/>
    <w:rsid w:val="00C35755"/>
    <w:rsid w:val="00C41156"/>
    <w:rsid w:val="00C42E13"/>
    <w:rsid w:val="00C4427F"/>
    <w:rsid w:val="00C462B7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69C"/>
    <w:rsid w:val="00CB4A8A"/>
    <w:rsid w:val="00CB52DF"/>
    <w:rsid w:val="00CB60DD"/>
    <w:rsid w:val="00CB6E1F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8D0"/>
    <w:rsid w:val="00CF5DD6"/>
    <w:rsid w:val="00D0069F"/>
    <w:rsid w:val="00D007C0"/>
    <w:rsid w:val="00D05493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5CD7"/>
    <w:rsid w:val="00D76F5A"/>
    <w:rsid w:val="00D7722A"/>
    <w:rsid w:val="00D80B1B"/>
    <w:rsid w:val="00D82293"/>
    <w:rsid w:val="00D8405B"/>
    <w:rsid w:val="00D84E7D"/>
    <w:rsid w:val="00D8532F"/>
    <w:rsid w:val="00D86BF0"/>
    <w:rsid w:val="00D86DCB"/>
    <w:rsid w:val="00D90ED0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E165D"/>
    <w:rsid w:val="00DE2FD7"/>
    <w:rsid w:val="00DE45A3"/>
    <w:rsid w:val="00DE466D"/>
    <w:rsid w:val="00DE488C"/>
    <w:rsid w:val="00DE5EE7"/>
    <w:rsid w:val="00DF1EC1"/>
    <w:rsid w:val="00DF343E"/>
    <w:rsid w:val="00DF67C3"/>
    <w:rsid w:val="00DF6CEB"/>
    <w:rsid w:val="00E0098A"/>
    <w:rsid w:val="00E009D9"/>
    <w:rsid w:val="00E027D1"/>
    <w:rsid w:val="00E03F71"/>
    <w:rsid w:val="00E045EE"/>
    <w:rsid w:val="00E05AB5"/>
    <w:rsid w:val="00E06ED0"/>
    <w:rsid w:val="00E1082D"/>
    <w:rsid w:val="00E130CB"/>
    <w:rsid w:val="00E14934"/>
    <w:rsid w:val="00E172BE"/>
    <w:rsid w:val="00E2160E"/>
    <w:rsid w:val="00E24E02"/>
    <w:rsid w:val="00E25210"/>
    <w:rsid w:val="00E255EC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C50D6"/>
    <w:rsid w:val="00EC7278"/>
    <w:rsid w:val="00ED07B2"/>
    <w:rsid w:val="00ED246E"/>
    <w:rsid w:val="00ED379C"/>
    <w:rsid w:val="00ED4D08"/>
    <w:rsid w:val="00ED5834"/>
    <w:rsid w:val="00ED6AAF"/>
    <w:rsid w:val="00ED6F53"/>
    <w:rsid w:val="00EE065C"/>
    <w:rsid w:val="00EE093B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06914"/>
    <w:rsid w:val="00F100EB"/>
    <w:rsid w:val="00F15458"/>
    <w:rsid w:val="00F158C7"/>
    <w:rsid w:val="00F162F4"/>
    <w:rsid w:val="00F16C11"/>
    <w:rsid w:val="00F22278"/>
    <w:rsid w:val="00F2277C"/>
    <w:rsid w:val="00F24175"/>
    <w:rsid w:val="00F25246"/>
    <w:rsid w:val="00F307D6"/>
    <w:rsid w:val="00F31A8E"/>
    <w:rsid w:val="00F32C2D"/>
    <w:rsid w:val="00F33108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2CF4"/>
    <w:rsid w:val="00F53495"/>
    <w:rsid w:val="00F559F9"/>
    <w:rsid w:val="00F56168"/>
    <w:rsid w:val="00F561EE"/>
    <w:rsid w:val="00F63D66"/>
    <w:rsid w:val="00F64504"/>
    <w:rsid w:val="00F6458C"/>
    <w:rsid w:val="00F6478A"/>
    <w:rsid w:val="00F656C3"/>
    <w:rsid w:val="00F6661C"/>
    <w:rsid w:val="00F6682D"/>
    <w:rsid w:val="00F701C7"/>
    <w:rsid w:val="00F7531F"/>
    <w:rsid w:val="00F75B77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3D9F"/>
    <w:rsid w:val="00F94BD6"/>
    <w:rsid w:val="00F958CC"/>
    <w:rsid w:val="00FA464E"/>
    <w:rsid w:val="00FA60EE"/>
    <w:rsid w:val="00FA701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2CE"/>
    <w:rsid w:val="00FD05BA"/>
    <w:rsid w:val="00FD0638"/>
    <w:rsid w:val="00FD0AFD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E1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title">
    <w:name w:val="product-title"/>
    <w:basedOn w:val="Normal"/>
    <w:rsid w:val="00FA701E"/>
    <w:pPr>
      <w:spacing w:before="100" w:beforeAutospacing="1" w:after="100" w:afterAutospacing="1"/>
    </w:pPr>
    <w:rPr>
      <w:lang w:eastAsia="en-GB"/>
    </w:rPr>
  </w:style>
  <w:style w:type="character" w:customStyle="1" w:styleId="prod-title">
    <w:name w:val="prod-title"/>
    <w:basedOn w:val="DefaultParagraphFont"/>
    <w:rsid w:val="00FA701E"/>
  </w:style>
  <w:style w:type="character" w:customStyle="1" w:styleId="published-date">
    <w:name w:val="published-date"/>
    <w:basedOn w:val="DefaultParagraphFont"/>
    <w:rsid w:val="00FA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ice.org.uk/guidance/ng166" TargetMode="External"/><Relationship Id="rId7" Type="http://schemas.openxmlformats.org/officeDocument/2006/relationships/hyperlink" Target="https://www.nice.org.uk/guidance/cg137" TargetMode="External"/><Relationship Id="rId2" Type="http://schemas.openxmlformats.org/officeDocument/2006/relationships/hyperlink" Target="https://www.nice.org.uk/guidance/ng80" TargetMode="External"/><Relationship Id="rId1" Type="http://schemas.openxmlformats.org/officeDocument/2006/relationships/hyperlink" Target="https://www.nice.org.uk/guidance/qs25" TargetMode="External"/><Relationship Id="rId6" Type="http://schemas.openxmlformats.org/officeDocument/2006/relationships/hyperlink" Target="https://www.nice.org.uk/guidance/qs27" TargetMode="External"/><Relationship Id="rId5" Type="http://schemas.openxmlformats.org/officeDocument/2006/relationships/hyperlink" Target="https://www.nice.org.uk/guidance/ng18" TargetMode="External"/><Relationship Id="rId4" Type="http://schemas.openxmlformats.org/officeDocument/2006/relationships/hyperlink" Target="https://www.nice.org.uk/guidance/qs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EF14-668E-41AF-9348-7D830174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2021-09-14T08:38:00Z</dcterms:created>
  <dcterms:modified xsi:type="dcterms:W3CDTF">2021-09-17T13:33:00Z</dcterms:modified>
</cp:coreProperties>
</file>