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A330C" w14:textId="54BFE32B" w:rsidR="00B22F66" w:rsidRPr="00993442" w:rsidRDefault="00B22F66" w:rsidP="00B22F66">
      <w:pPr>
        <w:ind w:firstLine="720"/>
        <w:jc w:val="center"/>
        <w:rPr>
          <w:b/>
          <w:bCs/>
          <w:sz w:val="28"/>
          <w:szCs w:val="28"/>
        </w:rPr>
      </w:pPr>
      <w:r w:rsidRPr="00993442">
        <w:rPr>
          <w:b/>
          <w:bCs/>
          <w:sz w:val="28"/>
          <w:szCs w:val="28"/>
        </w:rPr>
        <w:t>NHS Digital</w:t>
      </w:r>
    </w:p>
    <w:p w14:paraId="69F52CD2" w14:textId="77777777" w:rsidR="00B22F66" w:rsidRPr="00993442" w:rsidRDefault="00B22F66" w:rsidP="00B22F66">
      <w:pPr>
        <w:jc w:val="center"/>
        <w:rPr>
          <w:b/>
          <w:bCs/>
          <w:sz w:val="28"/>
          <w:szCs w:val="28"/>
        </w:rPr>
      </w:pPr>
      <w:r w:rsidRPr="00993442">
        <w:rPr>
          <w:b/>
          <w:bCs/>
          <w:sz w:val="28"/>
          <w:szCs w:val="28"/>
        </w:rPr>
        <w:t>Indicator Supporting Documentation</w:t>
      </w:r>
    </w:p>
    <w:p w14:paraId="7DC56FD8" w14:textId="1F33D6DD" w:rsidR="00B22F66" w:rsidRPr="00993442" w:rsidRDefault="00B22F66" w:rsidP="00B22F66">
      <w:pPr>
        <w:jc w:val="center"/>
        <w:rPr>
          <w:b/>
          <w:bCs/>
          <w:sz w:val="28"/>
          <w:szCs w:val="28"/>
        </w:rPr>
      </w:pPr>
      <w:r w:rsidRPr="00993442">
        <w:rPr>
          <w:b/>
          <w:bCs/>
          <w:sz w:val="28"/>
          <w:szCs w:val="28"/>
        </w:rPr>
        <w:t>IAP00091 Mortality rate within 30 days of hospital admission for stroke</w:t>
      </w:r>
    </w:p>
    <w:p w14:paraId="7AA6AC26" w14:textId="67273978" w:rsidR="00B22F66" w:rsidRPr="00993442" w:rsidRDefault="00B22F66">
      <w:bookmarkStart w:id="0" w:name="_GoBack"/>
      <w:bookmarkEnd w:id="0"/>
    </w:p>
    <w:p w14:paraId="16B801CF" w14:textId="77777777" w:rsidR="00B22F66" w:rsidRPr="00993442" w:rsidRDefault="00B22F66"/>
    <w:tbl>
      <w:tblPr>
        <w:tblStyle w:val="ListTable3-Accent1"/>
        <w:tblW w:w="15593" w:type="dxa"/>
        <w:tblInd w:w="-856" w:type="dxa"/>
        <w:tblLayout w:type="fixed"/>
        <w:tblLook w:val="04A0" w:firstRow="1" w:lastRow="0" w:firstColumn="1" w:lastColumn="0" w:noHBand="0" w:noVBand="1"/>
      </w:tblPr>
      <w:tblGrid>
        <w:gridCol w:w="1763"/>
        <w:gridCol w:w="13830"/>
      </w:tblGrid>
      <w:tr w:rsidR="00B22F66" w:rsidRPr="00993442" w14:paraId="61E7FAC6" w14:textId="77777777" w:rsidTr="002D36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tcPr>
          <w:p w14:paraId="22A05EAB" w14:textId="62BFCDDA" w:rsidR="00BD69FE" w:rsidRPr="00993442" w:rsidRDefault="00BD69FE" w:rsidP="00B22F66">
            <w:pPr>
              <w:rPr>
                <w:b w:val="0"/>
                <w:color w:val="auto"/>
                <w:sz w:val="24"/>
                <w:szCs w:val="24"/>
              </w:rPr>
            </w:pPr>
            <w:r w:rsidRPr="00993442">
              <w:rPr>
                <w:b w:val="0"/>
                <w:color w:val="auto"/>
                <w:sz w:val="24"/>
                <w:szCs w:val="24"/>
              </w:rPr>
              <w:t>FIELD</w:t>
            </w:r>
          </w:p>
        </w:tc>
        <w:tc>
          <w:tcPr>
            <w:tcW w:w="13830" w:type="dxa"/>
            <w:tcBorders>
              <w:bottom w:val="single" w:sz="4" w:space="0" w:color="4F81BD" w:themeColor="accent1"/>
            </w:tcBorders>
          </w:tcPr>
          <w:p w14:paraId="7D5C885B" w14:textId="7C99E994" w:rsidR="00BD69FE" w:rsidRPr="00993442" w:rsidRDefault="00BD69FE" w:rsidP="00B22F66">
            <w:pPr>
              <w:cnfStyle w:val="100000000000" w:firstRow="1" w:lastRow="0" w:firstColumn="0" w:lastColumn="0" w:oddVBand="0" w:evenVBand="0" w:oddHBand="0" w:evenHBand="0" w:firstRowFirstColumn="0" w:firstRowLastColumn="0" w:lastRowFirstColumn="0" w:lastRowLastColumn="0"/>
              <w:rPr>
                <w:color w:val="auto"/>
                <w:sz w:val="24"/>
                <w:szCs w:val="24"/>
              </w:rPr>
            </w:pPr>
            <w:r w:rsidRPr="00993442">
              <w:rPr>
                <w:color w:val="auto"/>
                <w:sz w:val="24"/>
                <w:szCs w:val="24"/>
              </w:rPr>
              <w:t>CONTENTS</w:t>
            </w:r>
          </w:p>
        </w:tc>
      </w:tr>
      <w:tr w:rsidR="00B22F66" w:rsidRPr="00993442" w14:paraId="5489D00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C6EE05F" w14:textId="3079C9EF" w:rsidR="00BD69FE" w:rsidRPr="00993442" w:rsidRDefault="00BD69FE" w:rsidP="00B22F66">
            <w:pPr>
              <w:rPr>
                <w:b w:val="0"/>
                <w:sz w:val="24"/>
                <w:szCs w:val="24"/>
              </w:rPr>
            </w:pPr>
            <w:r w:rsidRPr="00993442">
              <w:rPr>
                <w:sz w:val="24"/>
                <w:szCs w:val="24"/>
              </w:rPr>
              <w:t>IAP</w:t>
            </w:r>
            <w:r w:rsidR="004C64BB" w:rsidRPr="00993442">
              <w:rPr>
                <w:sz w:val="24"/>
                <w:szCs w:val="24"/>
              </w:rPr>
              <w:t xml:space="preserve"> </w:t>
            </w:r>
            <w:r w:rsidRPr="00993442">
              <w:rPr>
                <w:sz w:val="24"/>
                <w:szCs w:val="24"/>
              </w:rPr>
              <w:t>Code</w:t>
            </w:r>
          </w:p>
        </w:tc>
        <w:tc>
          <w:tcPr>
            <w:tcW w:w="13830" w:type="dxa"/>
            <w:tcBorders>
              <w:left w:val="single" w:sz="4" w:space="0" w:color="auto"/>
            </w:tcBorders>
          </w:tcPr>
          <w:p w14:paraId="34A261AC" w14:textId="66712793" w:rsidR="00BD69FE" w:rsidRPr="00993442" w:rsidRDefault="00F1531F" w:rsidP="00B22F66">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IAP000</w:t>
            </w:r>
            <w:r w:rsidR="006E7857" w:rsidRPr="00993442">
              <w:rPr>
                <w:sz w:val="24"/>
                <w:szCs w:val="24"/>
              </w:rPr>
              <w:t>91</w:t>
            </w:r>
          </w:p>
        </w:tc>
      </w:tr>
      <w:tr w:rsidR="00B22F66" w:rsidRPr="00993442" w14:paraId="6629A3E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997C39" w14:textId="77777777" w:rsidR="00BD69FE" w:rsidRPr="00993442" w:rsidRDefault="00BD69FE" w:rsidP="00B22F66">
            <w:pPr>
              <w:rPr>
                <w:b w:val="0"/>
                <w:sz w:val="24"/>
                <w:szCs w:val="24"/>
              </w:rPr>
            </w:pPr>
            <w:r w:rsidRPr="00993442">
              <w:rPr>
                <w:sz w:val="24"/>
                <w:szCs w:val="24"/>
              </w:rPr>
              <w:t>Title</w:t>
            </w:r>
          </w:p>
        </w:tc>
        <w:tc>
          <w:tcPr>
            <w:tcW w:w="13830" w:type="dxa"/>
            <w:tcBorders>
              <w:left w:val="single" w:sz="4" w:space="0" w:color="auto"/>
            </w:tcBorders>
          </w:tcPr>
          <w:p w14:paraId="523F6C46" w14:textId="752334C0" w:rsidR="00BD69FE" w:rsidRPr="00993442" w:rsidRDefault="006E7857" w:rsidP="00B22F66">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Mortality within 30 days of hospital admission for stroke</w:t>
            </w:r>
            <w:r w:rsidR="00FE7D28" w:rsidRPr="00993442">
              <w:rPr>
                <w:sz w:val="24"/>
                <w:szCs w:val="24"/>
              </w:rPr>
              <w:t xml:space="preserve"> </w:t>
            </w:r>
          </w:p>
        </w:tc>
      </w:tr>
      <w:tr w:rsidR="00B22F66" w:rsidRPr="00993442" w14:paraId="28621C4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052110F3" w14:textId="77777777" w:rsidR="00BD69FE" w:rsidRPr="00993442" w:rsidRDefault="00BD69FE" w:rsidP="00B22F66">
            <w:pPr>
              <w:rPr>
                <w:b w:val="0"/>
                <w:sz w:val="24"/>
                <w:szCs w:val="24"/>
              </w:rPr>
            </w:pPr>
            <w:r w:rsidRPr="00993442">
              <w:rPr>
                <w:sz w:val="24"/>
                <w:szCs w:val="24"/>
              </w:rPr>
              <w:t>Published by</w:t>
            </w:r>
          </w:p>
        </w:tc>
        <w:tc>
          <w:tcPr>
            <w:tcW w:w="13830" w:type="dxa"/>
            <w:tcBorders>
              <w:left w:val="single" w:sz="4" w:space="0" w:color="auto"/>
            </w:tcBorders>
          </w:tcPr>
          <w:p w14:paraId="6093FD1D" w14:textId="5B75D0FC" w:rsidR="00BD69FE" w:rsidRPr="00993442" w:rsidRDefault="00E47E82" w:rsidP="00B22F66">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 xml:space="preserve">Department of Health and Social </w:t>
            </w:r>
            <w:r w:rsidR="00E7285A" w:rsidRPr="00993442">
              <w:rPr>
                <w:sz w:val="24"/>
                <w:szCs w:val="24"/>
              </w:rPr>
              <w:t>C</w:t>
            </w:r>
            <w:r w:rsidRPr="00993442">
              <w:rPr>
                <w:sz w:val="24"/>
                <w:szCs w:val="24"/>
              </w:rPr>
              <w:t>are</w:t>
            </w:r>
          </w:p>
        </w:tc>
      </w:tr>
      <w:tr w:rsidR="00B22F66" w:rsidRPr="00993442" w14:paraId="5181966B"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CFA607F" w14:textId="77777777" w:rsidR="00BD69FE" w:rsidRPr="00993442" w:rsidRDefault="00BD69FE" w:rsidP="00B22F66">
            <w:pPr>
              <w:rPr>
                <w:b w:val="0"/>
                <w:sz w:val="24"/>
                <w:szCs w:val="24"/>
              </w:rPr>
            </w:pPr>
            <w:r w:rsidRPr="00993442">
              <w:rPr>
                <w:sz w:val="24"/>
                <w:szCs w:val="24"/>
              </w:rPr>
              <w:t>Reporting period</w:t>
            </w:r>
          </w:p>
        </w:tc>
        <w:tc>
          <w:tcPr>
            <w:tcW w:w="13830" w:type="dxa"/>
            <w:tcBorders>
              <w:left w:val="single" w:sz="4" w:space="0" w:color="auto"/>
            </w:tcBorders>
          </w:tcPr>
          <w:p w14:paraId="2C54EFD5" w14:textId="796FC58C" w:rsidR="00BD69FE" w:rsidRPr="00993442" w:rsidRDefault="00117176" w:rsidP="00B22F66">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Annua</w:t>
            </w:r>
            <w:r w:rsidR="00AB5C38" w:rsidRPr="00993442">
              <w:rPr>
                <w:sz w:val="24"/>
                <w:szCs w:val="24"/>
              </w:rPr>
              <w:t>l</w:t>
            </w:r>
          </w:p>
        </w:tc>
      </w:tr>
      <w:tr w:rsidR="00B22F66" w:rsidRPr="00993442" w14:paraId="1B9AB23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4ECB6F" w14:textId="77777777" w:rsidR="00BD69FE" w:rsidRPr="00993442" w:rsidRDefault="00BD69FE" w:rsidP="00B22F66">
            <w:pPr>
              <w:rPr>
                <w:b w:val="0"/>
                <w:sz w:val="24"/>
                <w:szCs w:val="24"/>
              </w:rPr>
            </w:pPr>
            <w:r w:rsidRPr="00993442">
              <w:rPr>
                <w:sz w:val="24"/>
                <w:szCs w:val="24"/>
              </w:rPr>
              <w:t>Geographical Coverage</w:t>
            </w:r>
          </w:p>
        </w:tc>
        <w:tc>
          <w:tcPr>
            <w:tcW w:w="13830" w:type="dxa"/>
            <w:tcBorders>
              <w:left w:val="single" w:sz="4" w:space="0" w:color="auto"/>
            </w:tcBorders>
          </w:tcPr>
          <w:p w14:paraId="50DF24FC" w14:textId="57392D02" w:rsidR="00BD69FE" w:rsidRPr="00993442" w:rsidRDefault="00AB5C38" w:rsidP="00B22F66">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England</w:t>
            </w:r>
          </w:p>
        </w:tc>
      </w:tr>
      <w:tr w:rsidR="00B22F66" w:rsidRPr="00993442" w14:paraId="64620C9C"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55C73694" w14:textId="77777777" w:rsidR="00BD69FE" w:rsidRPr="00993442" w:rsidRDefault="00BD69FE" w:rsidP="00B22F66">
            <w:pPr>
              <w:rPr>
                <w:b w:val="0"/>
                <w:sz w:val="24"/>
                <w:szCs w:val="24"/>
              </w:rPr>
            </w:pPr>
            <w:r w:rsidRPr="00993442">
              <w:rPr>
                <w:sz w:val="24"/>
                <w:szCs w:val="24"/>
              </w:rPr>
              <w:t>Reporting level(s)</w:t>
            </w:r>
          </w:p>
        </w:tc>
        <w:tc>
          <w:tcPr>
            <w:tcW w:w="13830" w:type="dxa"/>
            <w:tcBorders>
              <w:left w:val="single" w:sz="4" w:space="0" w:color="auto"/>
            </w:tcBorders>
          </w:tcPr>
          <w:p w14:paraId="5685C1A0" w14:textId="03937D4E" w:rsidR="00BD69FE" w:rsidRPr="00993442" w:rsidRDefault="009A6A53" w:rsidP="00B22F66">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National</w:t>
            </w:r>
          </w:p>
        </w:tc>
      </w:tr>
      <w:tr w:rsidR="00B22F66" w:rsidRPr="00993442" w14:paraId="7A68395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C73D882" w14:textId="77777777" w:rsidR="005F36B2" w:rsidRPr="00993442" w:rsidRDefault="005F36B2" w:rsidP="005F36B2">
            <w:pPr>
              <w:rPr>
                <w:b w:val="0"/>
                <w:sz w:val="24"/>
                <w:szCs w:val="24"/>
              </w:rPr>
            </w:pPr>
            <w:r w:rsidRPr="00993442">
              <w:rPr>
                <w:sz w:val="24"/>
                <w:szCs w:val="24"/>
              </w:rPr>
              <w:t>Based on data from</w:t>
            </w:r>
          </w:p>
        </w:tc>
        <w:tc>
          <w:tcPr>
            <w:tcW w:w="13830" w:type="dxa"/>
            <w:tcBorders>
              <w:left w:val="single" w:sz="4" w:space="0" w:color="auto"/>
            </w:tcBorders>
          </w:tcPr>
          <w:p w14:paraId="1345DE27" w14:textId="0F1368A7" w:rsidR="00CD39AF" w:rsidRPr="00993442" w:rsidRDefault="006E7857" w:rsidP="000242E0">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The Royal College of Physicians (RCP) Sentinel Stroke National Audit Programme (SSNAP) and Office for National Statistics (ONS) mortality data</w:t>
            </w:r>
          </w:p>
        </w:tc>
      </w:tr>
      <w:tr w:rsidR="00B22F66" w:rsidRPr="00993442" w14:paraId="1B0918A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7B4A4E" w14:textId="77777777" w:rsidR="00BD69FE" w:rsidRPr="00993442" w:rsidRDefault="00BD69FE" w:rsidP="00B22F66">
            <w:pPr>
              <w:rPr>
                <w:b w:val="0"/>
                <w:sz w:val="24"/>
                <w:szCs w:val="24"/>
              </w:rPr>
            </w:pPr>
            <w:r w:rsidRPr="00993442">
              <w:rPr>
                <w:sz w:val="24"/>
                <w:szCs w:val="24"/>
              </w:rPr>
              <w:t>Contact Author Name</w:t>
            </w:r>
          </w:p>
        </w:tc>
        <w:tc>
          <w:tcPr>
            <w:tcW w:w="13830" w:type="dxa"/>
            <w:tcBorders>
              <w:left w:val="single" w:sz="4" w:space="0" w:color="auto"/>
            </w:tcBorders>
          </w:tcPr>
          <w:p w14:paraId="7BDE5252" w14:textId="41B9338E" w:rsidR="00BD69FE" w:rsidRPr="00993442" w:rsidRDefault="008A2AC8" w:rsidP="00B22F66">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 xml:space="preserve">Jonathan </w:t>
            </w:r>
            <w:proofErr w:type="spellStart"/>
            <w:r w:rsidRPr="00993442">
              <w:rPr>
                <w:sz w:val="24"/>
                <w:szCs w:val="24"/>
              </w:rPr>
              <w:t>Trepczyk</w:t>
            </w:r>
            <w:proofErr w:type="spellEnd"/>
          </w:p>
        </w:tc>
      </w:tr>
      <w:tr w:rsidR="00B22F66" w:rsidRPr="00993442" w14:paraId="12572889"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6C94C25" w14:textId="77777777" w:rsidR="00BD69FE" w:rsidRPr="00993442" w:rsidRDefault="00BD69FE" w:rsidP="00B22F66">
            <w:pPr>
              <w:rPr>
                <w:b w:val="0"/>
                <w:sz w:val="24"/>
                <w:szCs w:val="24"/>
              </w:rPr>
            </w:pPr>
            <w:r w:rsidRPr="00993442">
              <w:rPr>
                <w:sz w:val="24"/>
                <w:szCs w:val="24"/>
              </w:rPr>
              <w:t>Contact Author Email</w:t>
            </w:r>
          </w:p>
        </w:tc>
        <w:tc>
          <w:tcPr>
            <w:tcW w:w="13830" w:type="dxa"/>
            <w:tcBorders>
              <w:left w:val="single" w:sz="4" w:space="0" w:color="auto"/>
            </w:tcBorders>
          </w:tcPr>
          <w:p w14:paraId="337B0AB9" w14:textId="03CF9674" w:rsidR="00BD69FE" w:rsidRPr="00993442" w:rsidRDefault="00BD69FE" w:rsidP="00B22F66">
            <w:pPr>
              <w:cnfStyle w:val="000000100000" w:firstRow="0" w:lastRow="0" w:firstColumn="0" w:lastColumn="0" w:oddVBand="0" w:evenVBand="0" w:oddHBand="1" w:evenHBand="0" w:firstRowFirstColumn="0" w:firstRowLastColumn="0" w:lastRowFirstColumn="0" w:lastRowLastColumn="0"/>
              <w:rPr>
                <w:sz w:val="24"/>
                <w:szCs w:val="24"/>
              </w:rPr>
            </w:pPr>
          </w:p>
        </w:tc>
      </w:tr>
      <w:tr w:rsidR="00B22F66" w:rsidRPr="00993442" w14:paraId="146CE663"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471F2F3" w14:textId="77777777" w:rsidR="00BD69FE" w:rsidRPr="00993442" w:rsidRDefault="00BD69FE" w:rsidP="00B22F66">
            <w:pPr>
              <w:rPr>
                <w:b w:val="0"/>
                <w:sz w:val="24"/>
                <w:szCs w:val="24"/>
              </w:rPr>
            </w:pPr>
            <w:r w:rsidRPr="00993442">
              <w:rPr>
                <w:sz w:val="24"/>
                <w:szCs w:val="24"/>
              </w:rPr>
              <w:t>Rating</w:t>
            </w:r>
          </w:p>
        </w:tc>
        <w:tc>
          <w:tcPr>
            <w:tcW w:w="13830" w:type="dxa"/>
            <w:tcBorders>
              <w:left w:val="single" w:sz="4" w:space="0" w:color="auto"/>
            </w:tcBorders>
          </w:tcPr>
          <w:p w14:paraId="42821BAF" w14:textId="07DCA116" w:rsidR="00BD69FE" w:rsidRPr="00993442" w:rsidRDefault="00327C29" w:rsidP="00B22F66">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Fit for use</w:t>
            </w:r>
            <w:r w:rsidR="006E7857" w:rsidRPr="00993442">
              <w:rPr>
                <w:sz w:val="24"/>
                <w:szCs w:val="24"/>
              </w:rPr>
              <w:t xml:space="preserve"> with caveats</w:t>
            </w:r>
          </w:p>
        </w:tc>
      </w:tr>
      <w:tr w:rsidR="00B22F66" w:rsidRPr="00993442" w14:paraId="36C90CD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DDE63CB" w14:textId="77777777" w:rsidR="00BD69FE" w:rsidRPr="00993442" w:rsidRDefault="00BD69FE" w:rsidP="00B22F66">
            <w:pPr>
              <w:rPr>
                <w:b w:val="0"/>
                <w:sz w:val="24"/>
                <w:szCs w:val="24"/>
              </w:rPr>
            </w:pPr>
            <w:r w:rsidRPr="00993442">
              <w:rPr>
                <w:sz w:val="24"/>
                <w:szCs w:val="24"/>
              </w:rPr>
              <w:t>Assurance date</w:t>
            </w:r>
          </w:p>
        </w:tc>
        <w:tc>
          <w:tcPr>
            <w:tcW w:w="13830" w:type="dxa"/>
            <w:tcBorders>
              <w:left w:val="single" w:sz="4" w:space="0" w:color="auto"/>
            </w:tcBorders>
          </w:tcPr>
          <w:p w14:paraId="07A7432F" w14:textId="1C715B98" w:rsidR="00BD69FE" w:rsidRPr="00993442" w:rsidRDefault="00455ABB" w:rsidP="00B22F66">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14/12/201</w:t>
            </w:r>
            <w:r w:rsidR="006E7857" w:rsidRPr="00993442">
              <w:rPr>
                <w:sz w:val="24"/>
                <w:szCs w:val="24"/>
              </w:rPr>
              <w:t>5</w:t>
            </w:r>
          </w:p>
        </w:tc>
      </w:tr>
      <w:tr w:rsidR="00B22F66" w:rsidRPr="00993442" w14:paraId="2FD2A140"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1690B01" w14:textId="77777777" w:rsidR="00BD69FE" w:rsidRPr="00993442" w:rsidRDefault="00BD69FE" w:rsidP="00B22F66">
            <w:pPr>
              <w:rPr>
                <w:b w:val="0"/>
                <w:sz w:val="24"/>
                <w:szCs w:val="24"/>
              </w:rPr>
            </w:pPr>
            <w:r w:rsidRPr="00993442">
              <w:rPr>
                <w:sz w:val="24"/>
                <w:szCs w:val="24"/>
              </w:rPr>
              <w:t>Review date</w:t>
            </w:r>
          </w:p>
        </w:tc>
        <w:tc>
          <w:tcPr>
            <w:tcW w:w="13830" w:type="dxa"/>
            <w:tcBorders>
              <w:left w:val="single" w:sz="4" w:space="0" w:color="auto"/>
            </w:tcBorders>
          </w:tcPr>
          <w:p w14:paraId="65D82364" w14:textId="3E6010C0" w:rsidR="00BD69FE" w:rsidRPr="00993442" w:rsidRDefault="005A0891" w:rsidP="00B22F66">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14/12/201</w:t>
            </w:r>
            <w:r w:rsidR="008A2AC8" w:rsidRPr="00993442">
              <w:rPr>
                <w:sz w:val="24"/>
                <w:szCs w:val="24"/>
              </w:rPr>
              <w:t>9</w:t>
            </w:r>
          </w:p>
        </w:tc>
      </w:tr>
      <w:tr w:rsidR="00B22F66" w:rsidRPr="00993442" w14:paraId="5F25EAD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54752B2" w14:textId="77777777" w:rsidR="00BD69FE" w:rsidRPr="00993442" w:rsidRDefault="00BD69FE" w:rsidP="00B22F66">
            <w:pPr>
              <w:rPr>
                <w:b w:val="0"/>
                <w:sz w:val="24"/>
                <w:szCs w:val="24"/>
              </w:rPr>
            </w:pPr>
            <w:r w:rsidRPr="00993442">
              <w:rPr>
                <w:sz w:val="24"/>
                <w:szCs w:val="24"/>
              </w:rPr>
              <w:t>Indicator set</w:t>
            </w:r>
          </w:p>
        </w:tc>
        <w:tc>
          <w:tcPr>
            <w:tcW w:w="13830" w:type="dxa"/>
            <w:tcBorders>
              <w:left w:val="single" w:sz="4" w:space="0" w:color="auto"/>
            </w:tcBorders>
          </w:tcPr>
          <w:p w14:paraId="6C3C44BD" w14:textId="070E7A2E" w:rsidR="00BD69FE" w:rsidRPr="00993442" w:rsidRDefault="006E7857" w:rsidP="00B22F66">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CCG Outcomes Indicator Set (OIS) 1.5</w:t>
            </w:r>
          </w:p>
        </w:tc>
      </w:tr>
      <w:tr w:rsidR="00B22F66" w:rsidRPr="00993442" w14:paraId="6F4A3701"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2EBDFE1" w14:textId="77777777" w:rsidR="00BD69FE" w:rsidRPr="00993442" w:rsidRDefault="00BD69FE" w:rsidP="00B22F66">
            <w:pPr>
              <w:rPr>
                <w:b w:val="0"/>
                <w:sz w:val="24"/>
                <w:szCs w:val="24"/>
              </w:rPr>
            </w:pPr>
            <w:r w:rsidRPr="00993442">
              <w:rPr>
                <w:sz w:val="24"/>
                <w:szCs w:val="24"/>
              </w:rPr>
              <w:t xml:space="preserve">Brief Description </w:t>
            </w:r>
          </w:p>
          <w:p w14:paraId="71948065" w14:textId="12F4584B" w:rsidR="00BD69FE" w:rsidRPr="00993442" w:rsidRDefault="00BD69FE" w:rsidP="00B22F66">
            <w:pPr>
              <w:rPr>
                <w:b w:val="0"/>
                <w:sz w:val="24"/>
                <w:szCs w:val="24"/>
              </w:rPr>
            </w:pPr>
            <w:r w:rsidRPr="00993442">
              <w:rPr>
                <w:sz w:val="24"/>
                <w:szCs w:val="24"/>
              </w:rPr>
              <w:t xml:space="preserve">[This appears as a blurb in </w:t>
            </w:r>
            <w:r w:rsidRPr="00993442">
              <w:rPr>
                <w:sz w:val="24"/>
                <w:szCs w:val="24"/>
              </w:rPr>
              <w:lastRenderedPageBreak/>
              <w:t>search results]</w:t>
            </w:r>
          </w:p>
        </w:tc>
        <w:tc>
          <w:tcPr>
            <w:tcW w:w="13830" w:type="dxa"/>
            <w:tcBorders>
              <w:left w:val="single" w:sz="4" w:space="0" w:color="auto"/>
            </w:tcBorders>
          </w:tcPr>
          <w:p w14:paraId="690E93D5" w14:textId="0611B522" w:rsidR="00BD69FE" w:rsidRPr="00993442" w:rsidRDefault="006E7857" w:rsidP="00A60CBB">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shd w:val="clear" w:color="auto" w:fill="F0F4F5"/>
              </w:rPr>
              <w:lastRenderedPageBreak/>
              <w:t>This indicator is the ratio of deaths in the 30 days following a hospital admission for a stroke to the number of deaths expected.</w:t>
            </w:r>
          </w:p>
        </w:tc>
      </w:tr>
      <w:tr w:rsidR="00B22F66" w:rsidRPr="00993442" w14:paraId="30049EB2"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DB2E955" w14:textId="77777777" w:rsidR="00BD69FE" w:rsidRPr="00993442" w:rsidRDefault="00BD69FE" w:rsidP="00B22F66">
            <w:pPr>
              <w:rPr>
                <w:b w:val="0"/>
                <w:sz w:val="24"/>
                <w:szCs w:val="24"/>
              </w:rPr>
            </w:pPr>
            <w:r w:rsidRPr="00993442">
              <w:rPr>
                <w:sz w:val="24"/>
                <w:szCs w:val="24"/>
              </w:rPr>
              <w:t>Purpose</w:t>
            </w:r>
          </w:p>
        </w:tc>
        <w:tc>
          <w:tcPr>
            <w:tcW w:w="13830" w:type="dxa"/>
            <w:tcBorders>
              <w:left w:val="single" w:sz="4" w:space="0" w:color="auto"/>
            </w:tcBorders>
          </w:tcPr>
          <w:p w14:paraId="63AE47C8" w14:textId="1E4C2ED0" w:rsidR="00BD69FE" w:rsidRPr="00993442" w:rsidRDefault="006E7857" w:rsidP="00AE3DF6">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Some (but not all) deaths within 30 days of admission to hospital may be avoidable through high-quality co-ordinated specialist stroke care. This indicator provides CCGs with a tool to monitor their standardised mortality ratio. Reductions in the ratio could be made by improving aspects of the services CCGs commission for patients.</w:t>
            </w:r>
          </w:p>
        </w:tc>
      </w:tr>
      <w:tr w:rsidR="00B22F66" w:rsidRPr="00993442" w14:paraId="54849C45"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0E47248" w14:textId="77777777" w:rsidR="00BD69FE" w:rsidRPr="00993442" w:rsidRDefault="00BD69FE" w:rsidP="00B22F66">
            <w:pPr>
              <w:rPr>
                <w:bCs w:val="0"/>
                <w:sz w:val="24"/>
                <w:szCs w:val="24"/>
              </w:rPr>
            </w:pPr>
            <w:r w:rsidRPr="00993442">
              <w:rPr>
                <w:bCs w:val="0"/>
                <w:sz w:val="24"/>
                <w:szCs w:val="24"/>
              </w:rPr>
              <w:t>Definition</w:t>
            </w:r>
          </w:p>
        </w:tc>
        <w:tc>
          <w:tcPr>
            <w:tcW w:w="13830" w:type="dxa"/>
            <w:tcBorders>
              <w:left w:val="single" w:sz="4" w:space="0" w:color="auto"/>
            </w:tcBorders>
          </w:tcPr>
          <w:p w14:paraId="6CC1033F" w14:textId="77777777" w:rsidR="006E7857" w:rsidRPr="00993442" w:rsidRDefault="006E7857" w:rsidP="006E7857">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The ratio of observed number of deaths within 30 days of being admitted to hospital with a known stroke type to the expected number of deaths within the same period following being admitted to hospital with a known stroke type.</w:t>
            </w:r>
          </w:p>
          <w:p w14:paraId="43A689F6" w14:textId="77777777" w:rsidR="006E7857" w:rsidRPr="00993442" w:rsidRDefault="006E7857" w:rsidP="006E7857">
            <w:pPr>
              <w:cnfStyle w:val="000000000000" w:firstRow="0" w:lastRow="0" w:firstColumn="0" w:lastColumn="0" w:oddVBand="0" w:evenVBand="0" w:oddHBand="0" w:evenHBand="0" w:firstRowFirstColumn="0" w:firstRowLastColumn="0" w:lastRowFirstColumn="0" w:lastRowLastColumn="0"/>
              <w:rPr>
                <w:sz w:val="24"/>
                <w:szCs w:val="24"/>
              </w:rPr>
            </w:pPr>
          </w:p>
          <w:p w14:paraId="07013616" w14:textId="670788CB" w:rsidR="00BD69FE" w:rsidRPr="00993442" w:rsidRDefault="006E7857" w:rsidP="006E7857">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Stroke is defined within this indicator as intracerebral haemorrhage, cerebral infarction and stroke, not specified as haemorrhage or infarction.</w:t>
            </w:r>
          </w:p>
        </w:tc>
      </w:tr>
      <w:tr w:rsidR="00B22F66" w:rsidRPr="00993442" w14:paraId="6E1036B1"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3CE98FA2" w14:textId="77777777" w:rsidR="003F156D" w:rsidRPr="00993442" w:rsidRDefault="003F156D" w:rsidP="003F156D">
            <w:pPr>
              <w:rPr>
                <w:b w:val="0"/>
                <w:sz w:val="24"/>
                <w:szCs w:val="24"/>
              </w:rPr>
            </w:pPr>
            <w:r w:rsidRPr="00993442">
              <w:rPr>
                <w:sz w:val="24"/>
                <w:szCs w:val="24"/>
              </w:rPr>
              <w:t>Data Source</w:t>
            </w:r>
          </w:p>
        </w:tc>
        <w:tc>
          <w:tcPr>
            <w:tcW w:w="13830" w:type="dxa"/>
            <w:tcBorders>
              <w:left w:val="single" w:sz="4" w:space="0" w:color="auto"/>
            </w:tcBorders>
          </w:tcPr>
          <w:p w14:paraId="6738187C" w14:textId="7E7AEA6E" w:rsidR="003F156D" w:rsidRPr="00993442" w:rsidRDefault="008A2AC8" w:rsidP="00BC310E">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RCP SSNAP and Office for National Statistics (ONS) mortality data, via record linkage.</w:t>
            </w:r>
          </w:p>
        </w:tc>
      </w:tr>
      <w:tr w:rsidR="00B22F66" w:rsidRPr="00993442" w14:paraId="1EF5CCA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5E42FA3" w14:textId="77777777" w:rsidR="003F156D" w:rsidRPr="00993442" w:rsidRDefault="003F156D" w:rsidP="003F156D">
            <w:pPr>
              <w:rPr>
                <w:b w:val="0"/>
                <w:sz w:val="24"/>
                <w:szCs w:val="24"/>
              </w:rPr>
            </w:pPr>
            <w:r w:rsidRPr="00993442">
              <w:rPr>
                <w:sz w:val="24"/>
                <w:szCs w:val="24"/>
              </w:rPr>
              <w:t>Numerator</w:t>
            </w:r>
          </w:p>
        </w:tc>
        <w:tc>
          <w:tcPr>
            <w:tcW w:w="13830" w:type="dxa"/>
            <w:tcBorders>
              <w:left w:val="single" w:sz="4" w:space="0" w:color="auto"/>
            </w:tcBorders>
          </w:tcPr>
          <w:p w14:paraId="4E048882" w14:textId="6C7124D5" w:rsidR="003F156D" w:rsidRPr="00993442" w:rsidRDefault="008A2AC8" w:rsidP="00F01683">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The observed number of deaths that occurred in the 30 days following an admission to hospital with a primary diagnosis of stroke.</w:t>
            </w:r>
          </w:p>
        </w:tc>
      </w:tr>
      <w:tr w:rsidR="00B22F66" w:rsidRPr="00993442" w14:paraId="22216F2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B547D53" w14:textId="77777777" w:rsidR="003F156D" w:rsidRPr="00993442" w:rsidRDefault="003F156D" w:rsidP="003F156D">
            <w:pPr>
              <w:rPr>
                <w:b w:val="0"/>
                <w:sz w:val="24"/>
                <w:szCs w:val="24"/>
              </w:rPr>
            </w:pPr>
            <w:r w:rsidRPr="00993442">
              <w:rPr>
                <w:sz w:val="24"/>
                <w:szCs w:val="24"/>
              </w:rPr>
              <w:t>Denominator</w:t>
            </w:r>
          </w:p>
        </w:tc>
        <w:tc>
          <w:tcPr>
            <w:tcW w:w="13830" w:type="dxa"/>
            <w:tcBorders>
              <w:left w:val="single" w:sz="4" w:space="0" w:color="auto"/>
            </w:tcBorders>
          </w:tcPr>
          <w:p w14:paraId="2358D649" w14:textId="14F19F07" w:rsidR="003F156D" w:rsidRPr="00993442" w:rsidRDefault="008A2AC8" w:rsidP="003F156D">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The number of deaths expected (</w:t>
            </w:r>
            <w:proofErr w:type="spellStart"/>
            <w:r w:rsidRPr="00993442">
              <w:rPr>
                <w:sz w:val="24"/>
                <w:szCs w:val="24"/>
              </w:rPr>
              <w:t>casemix</w:t>
            </w:r>
            <w:proofErr w:type="spellEnd"/>
            <w:r w:rsidRPr="00993442">
              <w:rPr>
                <w:sz w:val="24"/>
                <w:szCs w:val="24"/>
              </w:rPr>
              <w:t xml:space="preserve"> adjusted) to occur in the 30 days following an admission to hospital with a primary diagnosis of stroke.</w:t>
            </w:r>
          </w:p>
        </w:tc>
      </w:tr>
      <w:tr w:rsidR="00B22F66" w:rsidRPr="00993442" w14:paraId="5FC03589"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1F9D9B3" w14:textId="6258CCEF" w:rsidR="003F156D" w:rsidRPr="00993442" w:rsidRDefault="00F01683" w:rsidP="003F156D">
            <w:pPr>
              <w:rPr>
                <w:sz w:val="24"/>
                <w:szCs w:val="24"/>
              </w:rPr>
            </w:pPr>
            <w:r w:rsidRPr="00993442">
              <w:rPr>
                <w:sz w:val="24"/>
                <w:szCs w:val="24"/>
              </w:rPr>
              <w:t>Calculation</w:t>
            </w:r>
          </w:p>
        </w:tc>
        <w:tc>
          <w:tcPr>
            <w:tcW w:w="13830" w:type="dxa"/>
            <w:tcBorders>
              <w:left w:val="single" w:sz="4" w:space="0" w:color="auto"/>
            </w:tcBorders>
          </w:tcPr>
          <w:p w14:paraId="09215B82" w14:textId="26B1DB0A" w:rsidR="00C3717E" w:rsidRPr="00993442" w:rsidRDefault="008A2AC8" w:rsidP="00430392">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 xml:space="preserve">The indicator is calculated as a </w:t>
            </w:r>
            <w:proofErr w:type="spellStart"/>
            <w:r w:rsidRPr="00993442">
              <w:rPr>
                <w:sz w:val="24"/>
                <w:szCs w:val="24"/>
              </w:rPr>
              <w:t>casemix</w:t>
            </w:r>
            <w:proofErr w:type="spellEnd"/>
            <w:r w:rsidRPr="00993442">
              <w:rPr>
                <w:sz w:val="24"/>
                <w:szCs w:val="24"/>
              </w:rPr>
              <w:t xml:space="preserve"> adjusted standardised mortality ratio.</w:t>
            </w:r>
          </w:p>
        </w:tc>
      </w:tr>
      <w:tr w:rsidR="00B22F66" w:rsidRPr="00993442" w14:paraId="4E697DFD"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31E676E" w14:textId="77777777" w:rsidR="003F156D" w:rsidRPr="00993442" w:rsidRDefault="003F156D" w:rsidP="003F156D">
            <w:pPr>
              <w:rPr>
                <w:b w:val="0"/>
                <w:sz w:val="24"/>
                <w:szCs w:val="24"/>
              </w:rPr>
            </w:pPr>
            <w:r w:rsidRPr="00993442">
              <w:rPr>
                <w:sz w:val="24"/>
                <w:szCs w:val="24"/>
              </w:rPr>
              <w:t>Interpretation Guidelines</w:t>
            </w:r>
          </w:p>
        </w:tc>
        <w:tc>
          <w:tcPr>
            <w:tcW w:w="13830" w:type="dxa"/>
            <w:tcBorders>
              <w:left w:val="single" w:sz="4" w:space="0" w:color="auto"/>
            </w:tcBorders>
          </w:tcPr>
          <w:p w14:paraId="36EF9D60" w14:textId="04A0C0B0"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 xml:space="preserve">A low </w:t>
            </w:r>
            <w:proofErr w:type="spellStart"/>
            <w:r w:rsidRPr="00993442">
              <w:rPr>
                <w:sz w:val="24"/>
                <w:szCs w:val="24"/>
              </w:rPr>
              <w:t>casemix</w:t>
            </w:r>
            <w:proofErr w:type="spellEnd"/>
            <w:r w:rsidRPr="00993442">
              <w:rPr>
                <w:sz w:val="24"/>
                <w:szCs w:val="24"/>
              </w:rPr>
              <w:t xml:space="preserve"> adjusted standardised mortality ratio is desirable.</w:t>
            </w:r>
          </w:p>
          <w:p w14:paraId="260CE420" w14:textId="77777777"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p>
          <w:p w14:paraId="217531EF" w14:textId="57985E57"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Due to the construction of the SMR, it is inappropriate to compare across CCGs or rank different CCGs. A CCG’s SMR should be compared against the national figure of 1. CCGs with an SMR below 1 have fewer deaths within 30 days than the national level, whereas those with an SMR above 1 have more deaths than the national level.</w:t>
            </w:r>
          </w:p>
          <w:p w14:paraId="0B680AB9" w14:textId="77777777"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p>
          <w:p w14:paraId="2809714C" w14:textId="317009E3"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 xml:space="preserve">Having a higher than expected mortality ratio should not necessarily be interpreted as being the result of poorer quality or unsafe care. Mortality data needs to be understood in the context of other stroke measures (such as the other CCG OIS indicators), SSNAP data and other factors. For example, mortality rates could be affected by the quality or accuracy of the data or by patient characteristics that were not </w:t>
            </w:r>
            <w:proofErr w:type="gramStart"/>
            <w:r w:rsidRPr="00993442">
              <w:rPr>
                <w:sz w:val="24"/>
                <w:szCs w:val="24"/>
              </w:rPr>
              <w:t>taken into account</w:t>
            </w:r>
            <w:proofErr w:type="gramEnd"/>
            <w:r w:rsidRPr="00993442">
              <w:rPr>
                <w:sz w:val="24"/>
                <w:szCs w:val="24"/>
              </w:rPr>
              <w:t xml:space="preserve"> when calculating the adjusted mortality rates, such as social deprivation. CCGs should use the data to help better understand mortality in their patients and should consider commissioning case reviews to identify opportunities to improve the quality of care that stroke patients receive.</w:t>
            </w:r>
          </w:p>
          <w:p w14:paraId="32382986" w14:textId="77777777"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p>
          <w:p w14:paraId="0D4C316D" w14:textId="2F9DCE46"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It is not possible to draw conclusions about which CCG provides better or safer patient care solely using this indicator. Attempting to do so could result in incorrect conclusions being drawn, which in turn could have an adverse (and unwarranted) impact by stigmatising individual CCGs, lowering staff morale and public confidence, or jeopardising the safety of care by providing false reassurance.</w:t>
            </w:r>
          </w:p>
          <w:p w14:paraId="53FF300A" w14:textId="77777777" w:rsidR="008A2AC8"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p>
          <w:p w14:paraId="0072C7D9" w14:textId="3F10DAA5" w:rsidR="003F156D" w:rsidRPr="00993442" w:rsidRDefault="008A2AC8" w:rsidP="008A2AC8">
            <w:pPr>
              <w:cnfStyle w:val="000000100000" w:firstRow="0" w:lastRow="0" w:firstColumn="0" w:lastColumn="0" w:oddVBand="0" w:evenVBand="0" w:oddHBand="1" w:evenHBand="0" w:firstRowFirstColumn="0" w:firstRowLastColumn="0" w:lastRowFirstColumn="0" w:lastRowLastColumn="0"/>
              <w:rPr>
                <w:sz w:val="24"/>
                <w:szCs w:val="24"/>
              </w:rPr>
            </w:pPr>
            <w:r w:rsidRPr="00993442">
              <w:rPr>
                <w:sz w:val="24"/>
                <w:szCs w:val="24"/>
              </w:rPr>
              <w:t>This indicator is presented with 99.8% control limits, as opposed to the usual convention within CCG OIS of 95% confidence limits. This methodology aligns with the RCP output published on the SSNAP results portal. Control limits are used to indicate that a CCG is not operating predictably and therefore, when a CCG is identified as an outlier, their SMR will not fall within the lower and upper control limits.</w:t>
            </w:r>
          </w:p>
        </w:tc>
      </w:tr>
      <w:tr w:rsidR="00B22F66" w:rsidRPr="00993442" w14:paraId="0E3B777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26D945" w14:textId="77777777" w:rsidR="003F156D" w:rsidRPr="00993442" w:rsidRDefault="003F156D" w:rsidP="003F156D">
            <w:pPr>
              <w:rPr>
                <w:b w:val="0"/>
                <w:sz w:val="24"/>
                <w:szCs w:val="24"/>
              </w:rPr>
            </w:pPr>
            <w:r w:rsidRPr="00993442">
              <w:rPr>
                <w:sz w:val="24"/>
                <w:szCs w:val="24"/>
              </w:rPr>
              <w:lastRenderedPageBreak/>
              <w:t>Caveats</w:t>
            </w:r>
          </w:p>
        </w:tc>
        <w:tc>
          <w:tcPr>
            <w:tcW w:w="13830" w:type="dxa"/>
            <w:tcBorders>
              <w:left w:val="single" w:sz="4" w:space="0" w:color="auto"/>
            </w:tcBorders>
          </w:tcPr>
          <w:p w14:paraId="2469E9CF" w14:textId="2E001B15" w:rsidR="003F156D" w:rsidRPr="00993442" w:rsidRDefault="008A2AC8" w:rsidP="003F156D">
            <w:pPr>
              <w:cnfStyle w:val="000000000000" w:firstRow="0" w:lastRow="0" w:firstColumn="0" w:lastColumn="0" w:oddVBand="0" w:evenVBand="0" w:oddHBand="0" w:evenHBand="0" w:firstRowFirstColumn="0" w:firstRowLastColumn="0" w:lastRowFirstColumn="0" w:lastRowLastColumn="0"/>
              <w:rPr>
                <w:sz w:val="24"/>
                <w:szCs w:val="24"/>
              </w:rPr>
            </w:pPr>
            <w:r w:rsidRPr="00993442">
              <w:rPr>
                <w:sz w:val="24"/>
                <w:szCs w:val="24"/>
              </w:rPr>
              <w:t>Control limits within the methodology to be reviewed in future applications to ensure it is not centred around 1 but is centred around the national average.</w:t>
            </w:r>
          </w:p>
        </w:tc>
      </w:tr>
    </w:tbl>
    <w:p w14:paraId="0F0CA932" w14:textId="2C11C090" w:rsidR="00173180" w:rsidRPr="00993442" w:rsidRDefault="00173180" w:rsidP="00BD69FE">
      <w:pPr>
        <w:rPr>
          <w:b/>
          <w:sz w:val="24"/>
          <w:szCs w:val="24"/>
        </w:rPr>
      </w:pPr>
    </w:p>
    <w:p w14:paraId="4015259C" w14:textId="0650AE96" w:rsidR="00CB2802" w:rsidRPr="00993442" w:rsidRDefault="00CB2802" w:rsidP="00BD69FE">
      <w:pPr>
        <w:rPr>
          <w:b/>
          <w:sz w:val="24"/>
          <w:szCs w:val="24"/>
        </w:rPr>
      </w:pPr>
    </w:p>
    <w:p w14:paraId="60466CF5" w14:textId="08CEE340" w:rsidR="00CB2802" w:rsidRPr="00993442" w:rsidRDefault="00CB2802" w:rsidP="00BD69FE">
      <w:pPr>
        <w:rPr>
          <w:b/>
          <w:sz w:val="24"/>
          <w:szCs w:val="24"/>
        </w:rPr>
      </w:pPr>
    </w:p>
    <w:p w14:paraId="03F0C57A" w14:textId="46D487C7" w:rsidR="00CB2802" w:rsidRPr="00993442" w:rsidRDefault="00CB2802" w:rsidP="00BD69FE">
      <w:pPr>
        <w:rPr>
          <w:b/>
          <w:sz w:val="24"/>
          <w:szCs w:val="24"/>
        </w:rPr>
      </w:pPr>
    </w:p>
    <w:p w14:paraId="6269A872" w14:textId="0A6FFE60" w:rsidR="00CB2802" w:rsidRPr="00993442" w:rsidRDefault="00CB2802" w:rsidP="00BD69FE">
      <w:pPr>
        <w:rPr>
          <w:b/>
          <w:sz w:val="24"/>
          <w:szCs w:val="24"/>
        </w:rPr>
      </w:pPr>
    </w:p>
    <w:p w14:paraId="057E5E01" w14:textId="5BE8F785" w:rsidR="00CB2802" w:rsidRPr="00993442" w:rsidRDefault="00CB2802" w:rsidP="00BD69FE">
      <w:pPr>
        <w:rPr>
          <w:b/>
          <w:sz w:val="24"/>
          <w:szCs w:val="24"/>
        </w:rPr>
      </w:pPr>
    </w:p>
    <w:p w14:paraId="6AD25F55" w14:textId="77777777" w:rsidR="00CB2802" w:rsidRPr="00993442" w:rsidRDefault="00CB2802" w:rsidP="00CB2802">
      <w:pPr>
        <w:pStyle w:val="Frontpagesubhead"/>
        <w:rPr>
          <w:rFonts w:cs="Arial"/>
          <w:noProof/>
          <w:color w:val="auto"/>
          <w:lang w:eastAsia="en-GB"/>
        </w:rPr>
      </w:pPr>
    </w:p>
    <w:p w14:paraId="23A03226" w14:textId="77777777" w:rsidR="00CB2802" w:rsidRPr="00993442" w:rsidRDefault="00CB2802" w:rsidP="00CB2802">
      <w:pPr>
        <w:pStyle w:val="Frontpagesubhead"/>
        <w:rPr>
          <w:rFonts w:cs="Arial"/>
          <w:noProof/>
          <w:color w:val="auto"/>
          <w:lang w:eastAsia="en-GB"/>
        </w:rPr>
      </w:pPr>
    </w:p>
    <w:p w14:paraId="53B08F6E" w14:textId="795AF3AD" w:rsidR="00CB2802" w:rsidRPr="00993442" w:rsidRDefault="00CB2802" w:rsidP="00CB2802">
      <w:pPr>
        <w:pStyle w:val="Frontpagesubhead"/>
        <w:rPr>
          <w:rFonts w:cs="Arial"/>
          <w:color w:val="auto"/>
        </w:rPr>
      </w:pPr>
    </w:p>
    <w:p w14:paraId="377B4E92" w14:textId="77777777" w:rsidR="00CB2802" w:rsidRPr="00993442" w:rsidRDefault="00CB2802" w:rsidP="00CB2802">
      <w:pPr>
        <w:pStyle w:val="Frontpagesubhead"/>
        <w:rPr>
          <w:rFonts w:cs="Arial"/>
          <w:color w:val="auto"/>
        </w:rPr>
        <w:sectPr w:rsidR="00CB2802" w:rsidRPr="00993442" w:rsidSect="005340D1">
          <w:headerReference w:type="default" r:id="rId7"/>
          <w:footerReference w:type="default" r:id="rId8"/>
          <w:pgSz w:w="16838" w:h="11906" w:orient="landscape"/>
          <w:pgMar w:top="1021" w:right="1021" w:bottom="1021" w:left="1021" w:header="454" w:footer="680" w:gutter="0"/>
          <w:cols w:space="708"/>
          <w:docGrid w:linePitch="360"/>
        </w:sectPr>
      </w:pPr>
    </w:p>
    <w:p w14:paraId="5F078B9C" w14:textId="77777777" w:rsidR="00B22F66" w:rsidRPr="00993442" w:rsidRDefault="00B22F66" w:rsidP="00CB2802">
      <w:pPr>
        <w:pStyle w:val="Heading1"/>
        <w:rPr>
          <w:rFonts w:eastAsia="MS Mincho"/>
          <w:color w:val="auto"/>
        </w:rPr>
      </w:pPr>
    </w:p>
    <w:p w14:paraId="3C67DD24" w14:textId="7AD3E075" w:rsidR="00B22F66" w:rsidRPr="00993442" w:rsidRDefault="00B22F66">
      <w:pPr>
        <w:rPr>
          <w:rFonts w:eastAsia="MS Mincho"/>
          <w:b/>
          <w:bCs/>
          <w:spacing w:val="-14"/>
          <w:kern w:val="28"/>
          <w:sz w:val="42"/>
          <w:szCs w:val="32"/>
          <w14:ligatures w14:val="standardContextual"/>
        </w:rPr>
      </w:pPr>
      <w:r w:rsidRPr="00993442">
        <w:rPr>
          <w:rFonts w:eastAsia="MS Mincho"/>
        </w:rPr>
        <w:br w:type="page"/>
      </w:r>
      <w:r w:rsidRPr="00993442">
        <w:rPr>
          <w:noProof/>
          <w:lang w:eastAsia="en-GB"/>
        </w:rPr>
        <w:lastRenderedPageBreak/>
        <mc:AlternateContent>
          <mc:Choice Requires="wps">
            <w:drawing>
              <wp:inline distT="0" distB="0" distL="0" distR="0" wp14:anchorId="2D56E988" wp14:editId="2291DD0A">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txbx>
                        <w:txbxContent>
                          <w:p w14:paraId="495A0D59" w14:textId="77777777" w:rsidR="00B22F66" w:rsidRPr="00B22F66" w:rsidRDefault="00B22F66" w:rsidP="00B22F66">
                            <w:pPr>
                              <w:pStyle w:val="FrontpageTitle"/>
                              <w:rPr>
                                <w:color w:val="auto"/>
                              </w:rPr>
                            </w:pPr>
                            <w:permStart w:id="1927095250" w:edGrp="everyone"/>
                            <w:r w:rsidRPr="00B22F66">
                              <w:rPr>
                                <w:color w:val="auto"/>
                              </w:rPr>
                              <w:t>Application Form</w:t>
                            </w:r>
                          </w:p>
                          <w:p w14:paraId="1EBEE307" w14:textId="77777777" w:rsidR="00B22F66" w:rsidRPr="00B22F66" w:rsidRDefault="00B22F66" w:rsidP="00B22F66"/>
                          <w:p w14:paraId="1C185943" w14:textId="77777777" w:rsidR="00B22F66" w:rsidRPr="00B22F66" w:rsidRDefault="00B22F66" w:rsidP="00B22F66">
                            <w:pPr>
                              <w:pStyle w:val="Frontpagesubhead"/>
                              <w:rPr>
                                <w:color w:val="auto"/>
                              </w:rPr>
                            </w:pPr>
                            <w:r w:rsidRPr="00B22F66">
                              <w:rPr>
                                <w:color w:val="auto"/>
                              </w:rPr>
                              <w:t>Indicator and Methodology Assurance Service</w:t>
                            </w:r>
                          </w:p>
                          <w:p w14:paraId="6D253162" w14:textId="77777777" w:rsidR="00B22F66" w:rsidRPr="00B22F66" w:rsidRDefault="00B22F66" w:rsidP="00B22F66">
                            <w:pPr>
                              <w:textboxTightWrap w:val="allLines"/>
                            </w:pPr>
                          </w:p>
                          <w:p w14:paraId="46E478D5" w14:textId="77777777" w:rsidR="00B22F66" w:rsidRPr="00B22F66" w:rsidRDefault="00B22F66" w:rsidP="00B22F66">
                            <w:pPr>
                              <w:textboxTightWrap w:val="allLines"/>
                            </w:pPr>
                          </w:p>
                          <w:p w14:paraId="45FC6383" w14:textId="77777777" w:rsidR="00B22F66" w:rsidRPr="00B22F66" w:rsidRDefault="00B22F66" w:rsidP="00B22F66">
                            <w:pPr>
                              <w:textboxTightWrap w:val="allLines"/>
                            </w:pPr>
                          </w:p>
                          <w:p w14:paraId="7E827426" w14:textId="0BB5D142" w:rsidR="00B22F66" w:rsidRPr="00B22F66" w:rsidRDefault="00B22F66" w:rsidP="00B22F66">
                            <w:pPr>
                              <w:spacing w:line="360" w:lineRule="auto"/>
                              <w:textboxTightWrap w:val="allLines"/>
                              <w:rPr>
                                <w:b/>
                                <w:sz w:val="36"/>
                              </w:rPr>
                            </w:pPr>
                            <w:r w:rsidRPr="00B22F66">
                              <w:rPr>
                                <w:b/>
                                <w:sz w:val="36"/>
                              </w:rPr>
                              <w:t xml:space="preserve">Title: </w:t>
                            </w:r>
                          </w:p>
                          <w:p w14:paraId="6DAED4A8" w14:textId="77777777" w:rsidR="00B22F66" w:rsidRPr="00B22F66" w:rsidRDefault="00B22F66" w:rsidP="00B22F66">
                            <w:pPr>
                              <w:spacing w:line="360" w:lineRule="auto"/>
                              <w:textboxTightWrap w:val="allLines"/>
                              <w:rPr>
                                <w:b/>
                                <w:sz w:val="28"/>
                              </w:rPr>
                            </w:pPr>
                            <w:r w:rsidRPr="00B22F66">
                              <w:rPr>
                                <w:b/>
                                <w:sz w:val="28"/>
                              </w:rPr>
                              <w:t xml:space="preserve">Set or domain: </w:t>
                            </w:r>
                            <w:r w:rsidRPr="00B22F66">
                              <w:rPr>
                                <w:sz w:val="28"/>
                              </w:rPr>
                              <w:t>CCG OIS 1.5</w:t>
                            </w:r>
                          </w:p>
                          <w:p w14:paraId="67211ECD" w14:textId="77777777" w:rsidR="00B22F66" w:rsidRPr="00B22F66" w:rsidRDefault="00B22F66" w:rsidP="00B22F66">
                            <w:pPr>
                              <w:spacing w:line="360" w:lineRule="auto"/>
                              <w:textboxTightWrap w:val="allLines"/>
                              <w:rPr>
                                <w:b/>
                                <w:sz w:val="28"/>
                              </w:rPr>
                            </w:pPr>
                            <w:r w:rsidRPr="00B22F66">
                              <w:rPr>
                                <w:b/>
                                <w:sz w:val="28"/>
                              </w:rPr>
                              <w:t xml:space="preserve">IAS Reference Code: </w:t>
                            </w:r>
                            <w:r w:rsidRPr="00B22F66">
                              <w:rPr>
                                <w:sz w:val="28"/>
                              </w:rPr>
                              <w:t>IAP00091</w:t>
                            </w:r>
                          </w:p>
                          <w:p w14:paraId="7CA77C5B" w14:textId="77777777" w:rsidR="00B22F66" w:rsidRPr="00B22F66" w:rsidRDefault="00B22F66" w:rsidP="00B22F66">
                            <w:pPr>
                              <w:textboxTightWrap w:val="allLines"/>
                            </w:pPr>
                          </w:p>
                          <w:p w14:paraId="405A9FC0" w14:textId="77777777" w:rsidR="00B22F66" w:rsidRPr="00B22F66" w:rsidRDefault="00B22F66" w:rsidP="00B22F66">
                            <w:pPr>
                              <w:textboxTightWrap w:val="allLines"/>
                            </w:pPr>
                          </w:p>
                          <w:p w14:paraId="6FAF69C8" w14:textId="77777777" w:rsidR="00B22F66" w:rsidRPr="00B22F66" w:rsidRDefault="00B22F66" w:rsidP="00B22F66">
                            <w:pPr>
                              <w:textboxTightWrap w:val="allLines"/>
                            </w:pPr>
                          </w:p>
                          <w:p w14:paraId="377A001D" w14:textId="77777777" w:rsidR="00B22F66" w:rsidRPr="00B22F66" w:rsidRDefault="00B22F66" w:rsidP="00B22F66">
                            <w:pPr>
                              <w:textboxTightWrap w:val="allLines"/>
                            </w:pPr>
                          </w:p>
                          <w:p w14:paraId="5E632616" w14:textId="77777777" w:rsidR="00B22F66" w:rsidRPr="00B22F66" w:rsidRDefault="00B22F66" w:rsidP="00B22F66">
                            <w:pPr>
                              <w:textboxTightWrap w:val="allLines"/>
                            </w:pPr>
                          </w:p>
                          <w:p w14:paraId="1CB8F3C2" w14:textId="77777777" w:rsidR="00B22F66" w:rsidRPr="00B22F66" w:rsidRDefault="00B22F66" w:rsidP="00B22F66">
                            <w:pPr>
                              <w:textboxTightWrap w:val="allLines"/>
                            </w:pPr>
                          </w:p>
                          <w:p w14:paraId="7E6C242D" w14:textId="77777777" w:rsidR="00B22F66" w:rsidRPr="00B22F66" w:rsidRDefault="00B22F66" w:rsidP="00B22F66">
                            <w:pPr>
                              <w:textboxTightWrap w:val="allLines"/>
                            </w:pPr>
                          </w:p>
                          <w:p w14:paraId="15B4D639" w14:textId="77777777" w:rsidR="00B22F66" w:rsidRPr="00B22F66" w:rsidRDefault="00B22F66" w:rsidP="00B22F66">
                            <w:pPr>
                              <w:textboxTightWrap w:val="allLines"/>
                            </w:pPr>
                          </w:p>
                          <w:p w14:paraId="558B168E" w14:textId="77777777" w:rsidR="00B22F66" w:rsidRPr="00B22F66" w:rsidRDefault="00B22F66" w:rsidP="00B22F66">
                            <w:pPr>
                              <w:rPr>
                                <w:b/>
                                <w:sz w:val="20"/>
                                <w:szCs w:val="20"/>
                              </w:rPr>
                            </w:pPr>
                            <w:r w:rsidRPr="00B22F66">
                              <w:rPr>
                                <w:b/>
                                <w:sz w:val="20"/>
                                <w:szCs w:val="20"/>
                              </w:rPr>
                              <w:t>Version History</w:t>
                            </w:r>
                          </w:p>
                          <w:tbl>
                            <w:tblPr>
                              <w:tblStyle w:val="TableGri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7"/>
                              <w:gridCol w:w="1117"/>
                              <w:gridCol w:w="2379"/>
                              <w:gridCol w:w="5148"/>
                            </w:tblGrid>
                            <w:tr w:rsidR="00B22F66" w:rsidRPr="00B22F66" w14:paraId="03C7EF96"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53ED3B39" w14:textId="77777777" w:rsidR="00B22F66" w:rsidRPr="00B22F66" w:rsidRDefault="00B22F66">
                                  <w:pPr>
                                    <w:rPr>
                                      <w:sz w:val="20"/>
                                      <w:szCs w:val="20"/>
                                    </w:rPr>
                                  </w:pPr>
                                  <w:r w:rsidRPr="00B22F66">
                                    <w:rPr>
                                      <w:sz w:val="20"/>
                                      <w:szCs w:val="20"/>
                                    </w:rPr>
                                    <w:t>Version</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4F05DA4A" w14:textId="77777777" w:rsidR="00B22F66" w:rsidRPr="00B22F66" w:rsidRDefault="00B22F66">
                                  <w:pPr>
                                    <w:rPr>
                                      <w:sz w:val="20"/>
                                      <w:szCs w:val="20"/>
                                    </w:rPr>
                                  </w:pPr>
                                  <w:r w:rsidRPr="00B22F66">
                                    <w:rPr>
                                      <w:sz w:val="20"/>
                                      <w:szCs w:val="20"/>
                                    </w:rPr>
                                    <w:t>Date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2E9427E5" w14:textId="77777777" w:rsidR="00B22F66" w:rsidRPr="00B22F66" w:rsidRDefault="00B22F66">
                                  <w:pPr>
                                    <w:rPr>
                                      <w:sz w:val="20"/>
                                      <w:szCs w:val="20"/>
                                    </w:rPr>
                                  </w:pPr>
                                  <w:r w:rsidRPr="00B22F66">
                                    <w:rPr>
                                      <w:sz w:val="20"/>
                                      <w:szCs w:val="20"/>
                                    </w:rPr>
                                    <w:t>Changed By</w:t>
                                  </w: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04CB3BF6" w14:textId="77777777" w:rsidR="00B22F66" w:rsidRPr="00B22F66" w:rsidRDefault="00B22F66">
                                  <w:pPr>
                                    <w:rPr>
                                      <w:sz w:val="20"/>
                                      <w:szCs w:val="20"/>
                                    </w:rPr>
                                  </w:pPr>
                                  <w:r w:rsidRPr="00B22F66">
                                    <w:rPr>
                                      <w:sz w:val="20"/>
                                      <w:szCs w:val="20"/>
                                    </w:rPr>
                                    <w:t>Change</w:t>
                                  </w:r>
                                </w:p>
                              </w:tc>
                            </w:tr>
                            <w:tr w:rsidR="00B22F66" w:rsidRPr="00B22F66" w14:paraId="1B87B947"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hideMark/>
                                </w:tcPr>
                                <w:p w14:paraId="283F0F35" w14:textId="77777777" w:rsidR="00B22F66" w:rsidRPr="00B22F66" w:rsidRDefault="00B22F66">
                                  <w:pPr>
                                    <w:rPr>
                                      <w:sz w:val="18"/>
                                      <w:szCs w:val="20"/>
                                    </w:rPr>
                                  </w:pPr>
                                  <w:r w:rsidRPr="00B22F66">
                                    <w:rPr>
                                      <w:sz w:val="18"/>
                                      <w:szCs w:val="20"/>
                                    </w:rPr>
                                    <w:t>V0.1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16372332" w14:textId="77777777" w:rsidR="00B22F66" w:rsidRPr="00B22F66" w:rsidRDefault="00B22F66">
                                  <w:pPr>
                                    <w:rPr>
                                      <w:sz w:val="18"/>
                                      <w:szCs w:val="20"/>
                                    </w:rPr>
                                  </w:pPr>
                                  <w:r w:rsidRPr="00B22F66">
                                    <w:rPr>
                                      <w:sz w:val="18"/>
                                      <w:szCs w:val="20"/>
                                    </w:rPr>
                                    <w:t>23/06/2017</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5C4DFED1" w14:textId="77777777" w:rsidR="00B22F66" w:rsidRPr="00B22F66" w:rsidRDefault="00B22F66">
                                  <w:pPr>
                                    <w:rPr>
                                      <w:sz w:val="18"/>
                                      <w:szCs w:val="20"/>
                                    </w:rPr>
                                  </w:pPr>
                                  <w:r w:rsidRPr="00B22F66">
                                    <w:rPr>
                                      <w:sz w:val="18"/>
                                      <w:szCs w:val="20"/>
                                    </w:rPr>
                                    <w:t xml:space="preserve">Andrew </w:t>
                                  </w:r>
                                  <w:proofErr w:type="spellStart"/>
                                  <w:r w:rsidRPr="00B22F66">
                                    <w:rPr>
                                      <w:sz w:val="18"/>
                                      <w:szCs w:val="20"/>
                                    </w:rPr>
                                    <w:t>Besch</w:t>
                                  </w:r>
                                  <w:proofErr w:type="spellEnd"/>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373586F8" w14:textId="77777777" w:rsidR="00B22F66" w:rsidRPr="00B22F66" w:rsidRDefault="00B22F66">
                                  <w:pPr>
                                    <w:rPr>
                                      <w:sz w:val="18"/>
                                      <w:szCs w:val="20"/>
                                    </w:rPr>
                                  </w:pPr>
                                  <w:r w:rsidRPr="00B22F66">
                                    <w:rPr>
                                      <w:sz w:val="18"/>
                                      <w:szCs w:val="20"/>
                                    </w:rPr>
                                    <w:t>Initiated uplift onto latest version of the form</w:t>
                                  </w:r>
                                </w:p>
                              </w:tc>
                            </w:tr>
                            <w:tr w:rsidR="00B22F66" w:rsidRPr="00B22F66" w14:paraId="573ED019"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hideMark/>
                                </w:tcPr>
                                <w:p w14:paraId="40DBA2D3" w14:textId="77777777" w:rsidR="00B22F66" w:rsidRPr="00B22F66" w:rsidRDefault="00B22F66" w:rsidP="00B22F66">
                                  <w:pPr>
                                    <w:rPr>
                                      <w:sz w:val="18"/>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45023DD0" w14:textId="77777777" w:rsidR="00B22F66" w:rsidRPr="00B22F66" w:rsidRDefault="00B22F66">
                                  <w:pPr>
                                    <w:rPr>
                                      <w:sz w:val="18"/>
                                      <w:szCs w:val="20"/>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020A2125" w14:textId="77777777" w:rsidR="00B22F66" w:rsidRPr="00B22F66" w:rsidRDefault="00B22F66">
                                  <w:pPr>
                                    <w:rPr>
                                      <w:sz w:val="18"/>
                                      <w:szCs w:val="20"/>
                                    </w:rPr>
                                  </w:pP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59A62DFB" w14:textId="77777777" w:rsidR="00B22F66" w:rsidRPr="00B22F66" w:rsidRDefault="00B22F66">
                                  <w:pPr>
                                    <w:rPr>
                                      <w:sz w:val="18"/>
                                      <w:szCs w:val="20"/>
                                    </w:rPr>
                                  </w:pPr>
                                </w:p>
                              </w:tc>
                            </w:tr>
                            <w:tr w:rsidR="00B22F66" w:rsidRPr="00B22F66" w14:paraId="68A37BBF"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1FC23EBA" w14:textId="77777777" w:rsidR="00B22F66" w:rsidRPr="00B22F66" w:rsidRDefault="00B22F66">
                                  <w:pPr>
                                    <w:rPr>
                                      <w:sz w:val="18"/>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79ED31C5" w14:textId="77777777" w:rsidR="00B22F66" w:rsidRPr="00B22F66" w:rsidRDefault="00B22F66">
                                  <w:pPr>
                                    <w:rPr>
                                      <w:sz w:val="18"/>
                                      <w:szCs w:val="20"/>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1B9B485B" w14:textId="77777777" w:rsidR="00B22F66" w:rsidRPr="00B22F66" w:rsidRDefault="00B22F66">
                                  <w:pPr>
                                    <w:rPr>
                                      <w:sz w:val="18"/>
                                      <w:szCs w:val="20"/>
                                    </w:rPr>
                                  </w:pP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2F339337" w14:textId="77777777" w:rsidR="00B22F66" w:rsidRPr="00B22F66" w:rsidRDefault="00B22F66">
                                  <w:pPr>
                                    <w:rPr>
                                      <w:sz w:val="18"/>
                                      <w:szCs w:val="20"/>
                                    </w:rPr>
                                  </w:pPr>
                                </w:p>
                              </w:tc>
                            </w:tr>
                            <w:tr w:rsidR="00B22F66" w:rsidRPr="00B22F66" w14:paraId="3A35DE68"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62CF3543" w14:textId="77777777" w:rsidR="00B22F66" w:rsidRPr="00B22F66" w:rsidRDefault="00B22F66">
                                  <w:pPr>
                                    <w:rPr>
                                      <w:b/>
                                      <w:sz w:val="20"/>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423B343D" w14:textId="77777777" w:rsidR="00B22F66" w:rsidRPr="00B22F66" w:rsidRDefault="00B22F66">
                                  <w:pPr>
                                    <w:rPr>
                                      <w:b/>
                                      <w:sz w:val="20"/>
                                      <w:szCs w:val="20"/>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744FED63" w14:textId="77777777" w:rsidR="00B22F66" w:rsidRPr="00B22F66" w:rsidRDefault="00B22F66">
                                  <w:pPr>
                                    <w:rPr>
                                      <w:b/>
                                      <w:sz w:val="20"/>
                                      <w:szCs w:val="20"/>
                                    </w:rPr>
                                  </w:pP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3952D804" w14:textId="77777777" w:rsidR="00B22F66" w:rsidRPr="00B22F66" w:rsidRDefault="00B22F66">
                                  <w:pPr>
                                    <w:rPr>
                                      <w:b/>
                                      <w:sz w:val="20"/>
                                      <w:szCs w:val="20"/>
                                    </w:rPr>
                                  </w:pPr>
                                </w:p>
                              </w:tc>
                            </w:tr>
                          </w:tbl>
                          <w:p w14:paraId="3FA2042A" w14:textId="77777777" w:rsidR="00B22F66" w:rsidRPr="00B22F66" w:rsidRDefault="00B22F66" w:rsidP="00B22F66">
                            <w:pPr>
                              <w:textboxTightWrap w:val="allLines"/>
                            </w:pPr>
                          </w:p>
                          <w:p w14:paraId="45868491" w14:textId="77777777" w:rsidR="00B22F66" w:rsidRPr="00B22F66" w:rsidRDefault="00B22F66" w:rsidP="00B22F66">
                            <w:pPr>
                              <w:textboxTightWrap w:val="allLines"/>
                            </w:pPr>
                          </w:p>
                          <w:permEnd w:id="1927095250"/>
                          <w:p w14:paraId="54988930" w14:textId="77777777" w:rsidR="00B22F66" w:rsidRPr="00B22F66" w:rsidRDefault="00B22F66" w:rsidP="00B22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D56E988"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" filled="f" stroked="f" strokeweight=".5pt">
                <v:textbox>
                  <w:txbxContent>
                    <w:p w14:paraId="495A0D59" w14:textId="77777777" w:rsidR="00B22F66" w:rsidRPr="00B22F66" w:rsidRDefault="00B22F66" w:rsidP="00B22F66">
                      <w:pPr>
                        <w:pStyle w:val="FrontpageTitle"/>
                        <w:rPr>
                          <w:color w:val="auto"/>
                        </w:rPr>
                      </w:pPr>
                      <w:permStart w:id="1927095250" w:edGrp="everyone"/>
                      <w:r w:rsidRPr="00B22F66">
                        <w:rPr>
                          <w:color w:val="auto"/>
                        </w:rPr>
                        <w:t>Application Form</w:t>
                      </w:r>
                    </w:p>
                    <w:p w14:paraId="1EBEE307" w14:textId="77777777" w:rsidR="00B22F66" w:rsidRPr="00B22F66" w:rsidRDefault="00B22F66" w:rsidP="00B22F66"/>
                    <w:p w14:paraId="1C185943" w14:textId="77777777" w:rsidR="00B22F66" w:rsidRPr="00B22F66" w:rsidRDefault="00B22F66" w:rsidP="00B22F66">
                      <w:pPr>
                        <w:pStyle w:val="Frontpagesubhead"/>
                        <w:rPr>
                          <w:color w:val="auto"/>
                        </w:rPr>
                      </w:pPr>
                      <w:r w:rsidRPr="00B22F66">
                        <w:rPr>
                          <w:color w:val="auto"/>
                        </w:rPr>
                        <w:t>Indicator and Methodology Assurance Service</w:t>
                      </w:r>
                    </w:p>
                    <w:p w14:paraId="6D253162" w14:textId="77777777" w:rsidR="00B22F66" w:rsidRPr="00B22F66" w:rsidRDefault="00B22F66" w:rsidP="00B22F66">
                      <w:pPr>
                        <w:textboxTightWrap w:val="allLines"/>
                      </w:pPr>
                    </w:p>
                    <w:p w14:paraId="46E478D5" w14:textId="77777777" w:rsidR="00B22F66" w:rsidRPr="00B22F66" w:rsidRDefault="00B22F66" w:rsidP="00B22F66">
                      <w:pPr>
                        <w:textboxTightWrap w:val="allLines"/>
                      </w:pPr>
                    </w:p>
                    <w:p w14:paraId="45FC6383" w14:textId="77777777" w:rsidR="00B22F66" w:rsidRPr="00B22F66" w:rsidRDefault="00B22F66" w:rsidP="00B22F66">
                      <w:pPr>
                        <w:textboxTightWrap w:val="allLines"/>
                      </w:pPr>
                    </w:p>
                    <w:p w14:paraId="7E827426" w14:textId="0BB5D142" w:rsidR="00B22F66" w:rsidRPr="00B22F66" w:rsidRDefault="00B22F66" w:rsidP="00B22F66">
                      <w:pPr>
                        <w:spacing w:line="360" w:lineRule="auto"/>
                        <w:textboxTightWrap w:val="allLines"/>
                        <w:rPr>
                          <w:b/>
                          <w:sz w:val="36"/>
                        </w:rPr>
                      </w:pPr>
                      <w:r w:rsidRPr="00B22F66">
                        <w:rPr>
                          <w:b/>
                          <w:sz w:val="36"/>
                        </w:rPr>
                        <w:t xml:space="preserve">Title: </w:t>
                      </w:r>
                    </w:p>
                    <w:p w14:paraId="6DAED4A8" w14:textId="77777777" w:rsidR="00B22F66" w:rsidRPr="00B22F66" w:rsidRDefault="00B22F66" w:rsidP="00B22F66">
                      <w:pPr>
                        <w:spacing w:line="360" w:lineRule="auto"/>
                        <w:textboxTightWrap w:val="allLines"/>
                        <w:rPr>
                          <w:b/>
                          <w:sz w:val="28"/>
                        </w:rPr>
                      </w:pPr>
                      <w:r w:rsidRPr="00B22F66">
                        <w:rPr>
                          <w:b/>
                          <w:sz w:val="28"/>
                        </w:rPr>
                        <w:t xml:space="preserve">Set or domain: </w:t>
                      </w:r>
                      <w:r w:rsidRPr="00B22F66">
                        <w:rPr>
                          <w:sz w:val="28"/>
                        </w:rPr>
                        <w:t>CCG OIS 1.5</w:t>
                      </w:r>
                    </w:p>
                    <w:p w14:paraId="67211ECD" w14:textId="77777777" w:rsidR="00B22F66" w:rsidRPr="00B22F66" w:rsidRDefault="00B22F66" w:rsidP="00B22F66">
                      <w:pPr>
                        <w:spacing w:line="360" w:lineRule="auto"/>
                        <w:textboxTightWrap w:val="allLines"/>
                        <w:rPr>
                          <w:b/>
                          <w:sz w:val="28"/>
                        </w:rPr>
                      </w:pPr>
                      <w:r w:rsidRPr="00B22F66">
                        <w:rPr>
                          <w:b/>
                          <w:sz w:val="28"/>
                        </w:rPr>
                        <w:t xml:space="preserve">IAS Reference Code: </w:t>
                      </w:r>
                      <w:r w:rsidRPr="00B22F66">
                        <w:rPr>
                          <w:sz w:val="28"/>
                        </w:rPr>
                        <w:t>IAP00091</w:t>
                      </w:r>
                    </w:p>
                    <w:p w14:paraId="7CA77C5B" w14:textId="77777777" w:rsidR="00B22F66" w:rsidRPr="00B22F66" w:rsidRDefault="00B22F66" w:rsidP="00B22F66">
                      <w:pPr>
                        <w:textboxTightWrap w:val="allLines"/>
                      </w:pPr>
                    </w:p>
                    <w:p w14:paraId="405A9FC0" w14:textId="77777777" w:rsidR="00B22F66" w:rsidRPr="00B22F66" w:rsidRDefault="00B22F66" w:rsidP="00B22F66">
                      <w:pPr>
                        <w:textboxTightWrap w:val="allLines"/>
                      </w:pPr>
                    </w:p>
                    <w:p w14:paraId="6FAF69C8" w14:textId="77777777" w:rsidR="00B22F66" w:rsidRPr="00B22F66" w:rsidRDefault="00B22F66" w:rsidP="00B22F66">
                      <w:pPr>
                        <w:textboxTightWrap w:val="allLines"/>
                      </w:pPr>
                    </w:p>
                    <w:p w14:paraId="377A001D" w14:textId="77777777" w:rsidR="00B22F66" w:rsidRPr="00B22F66" w:rsidRDefault="00B22F66" w:rsidP="00B22F66">
                      <w:pPr>
                        <w:textboxTightWrap w:val="allLines"/>
                      </w:pPr>
                    </w:p>
                    <w:p w14:paraId="5E632616" w14:textId="77777777" w:rsidR="00B22F66" w:rsidRPr="00B22F66" w:rsidRDefault="00B22F66" w:rsidP="00B22F66">
                      <w:pPr>
                        <w:textboxTightWrap w:val="allLines"/>
                      </w:pPr>
                    </w:p>
                    <w:p w14:paraId="1CB8F3C2" w14:textId="77777777" w:rsidR="00B22F66" w:rsidRPr="00B22F66" w:rsidRDefault="00B22F66" w:rsidP="00B22F66">
                      <w:pPr>
                        <w:textboxTightWrap w:val="allLines"/>
                      </w:pPr>
                    </w:p>
                    <w:p w14:paraId="7E6C242D" w14:textId="77777777" w:rsidR="00B22F66" w:rsidRPr="00B22F66" w:rsidRDefault="00B22F66" w:rsidP="00B22F66">
                      <w:pPr>
                        <w:textboxTightWrap w:val="allLines"/>
                      </w:pPr>
                    </w:p>
                    <w:p w14:paraId="15B4D639" w14:textId="77777777" w:rsidR="00B22F66" w:rsidRPr="00B22F66" w:rsidRDefault="00B22F66" w:rsidP="00B22F66">
                      <w:pPr>
                        <w:textboxTightWrap w:val="allLines"/>
                      </w:pPr>
                    </w:p>
                    <w:p w14:paraId="558B168E" w14:textId="77777777" w:rsidR="00B22F66" w:rsidRPr="00B22F66" w:rsidRDefault="00B22F66" w:rsidP="00B22F66">
                      <w:pPr>
                        <w:rPr>
                          <w:b/>
                          <w:sz w:val="20"/>
                          <w:szCs w:val="20"/>
                        </w:rPr>
                      </w:pPr>
                      <w:r w:rsidRPr="00B22F66">
                        <w:rPr>
                          <w:b/>
                          <w:sz w:val="20"/>
                          <w:szCs w:val="20"/>
                        </w:rPr>
                        <w:t>Version History</w:t>
                      </w:r>
                    </w:p>
                    <w:tbl>
                      <w:tblPr>
                        <w:tblStyle w:val="TableGri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7"/>
                        <w:gridCol w:w="1117"/>
                        <w:gridCol w:w="2379"/>
                        <w:gridCol w:w="5148"/>
                      </w:tblGrid>
                      <w:tr w:rsidR="00B22F66" w:rsidRPr="00B22F66" w14:paraId="03C7EF96"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53ED3B39" w14:textId="77777777" w:rsidR="00B22F66" w:rsidRPr="00B22F66" w:rsidRDefault="00B22F66">
                            <w:pPr>
                              <w:rPr>
                                <w:sz w:val="20"/>
                                <w:szCs w:val="20"/>
                              </w:rPr>
                            </w:pPr>
                            <w:r w:rsidRPr="00B22F66">
                              <w:rPr>
                                <w:sz w:val="20"/>
                                <w:szCs w:val="20"/>
                              </w:rPr>
                              <w:t>Version</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4F05DA4A" w14:textId="77777777" w:rsidR="00B22F66" w:rsidRPr="00B22F66" w:rsidRDefault="00B22F66">
                            <w:pPr>
                              <w:rPr>
                                <w:sz w:val="20"/>
                                <w:szCs w:val="20"/>
                              </w:rPr>
                            </w:pPr>
                            <w:r w:rsidRPr="00B22F66">
                              <w:rPr>
                                <w:sz w:val="20"/>
                                <w:szCs w:val="20"/>
                              </w:rPr>
                              <w:t>Date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2E9427E5" w14:textId="77777777" w:rsidR="00B22F66" w:rsidRPr="00B22F66" w:rsidRDefault="00B22F66">
                            <w:pPr>
                              <w:rPr>
                                <w:sz w:val="20"/>
                                <w:szCs w:val="20"/>
                              </w:rPr>
                            </w:pPr>
                            <w:r w:rsidRPr="00B22F66">
                              <w:rPr>
                                <w:sz w:val="20"/>
                                <w:szCs w:val="20"/>
                              </w:rPr>
                              <w:t>Changed By</w:t>
                            </w: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hemeFill="background1" w:themeFillShade="E6"/>
                            <w:hideMark/>
                          </w:tcPr>
                          <w:p w14:paraId="04CB3BF6" w14:textId="77777777" w:rsidR="00B22F66" w:rsidRPr="00B22F66" w:rsidRDefault="00B22F66">
                            <w:pPr>
                              <w:rPr>
                                <w:sz w:val="20"/>
                                <w:szCs w:val="20"/>
                              </w:rPr>
                            </w:pPr>
                            <w:r w:rsidRPr="00B22F66">
                              <w:rPr>
                                <w:sz w:val="20"/>
                                <w:szCs w:val="20"/>
                              </w:rPr>
                              <w:t>Change</w:t>
                            </w:r>
                          </w:p>
                        </w:tc>
                      </w:tr>
                      <w:tr w:rsidR="00B22F66" w:rsidRPr="00B22F66" w14:paraId="1B87B947"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hideMark/>
                          </w:tcPr>
                          <w:p w14:paraId="283F0F35" w14:textId="77777777" w:rsidR="00B22F66" w:rsidRPr="00B22F66" w:rsidRDefault="00B22F66">
                            <w:pPr>
                              <w:rPr>
                                <w:sz w:val="18"/>
                                <w:szCs w:val="20"/>
                              </w:rPr>
                            </w:pPr>
                            <w:r w:rsidRPr="00B22F66">
                              <w:rPr>
                                <w:sz w:val="18"/>
                                <w:szCs w:val="20"/>
                              </w:rPr>
                              <w:t>V0.1</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16372332" w14:textId="77777777" w:rsidR="00B22F66" w:rsidRPr="00B22F66" w:rsidRDefault="00B22F66">
                            <w:pPr>
                              <w:rPr>
                                <w:sz w:val="18"/>
                                <w:szCs w:val="20"/>
                              </w:rPr>
                            </w:pPr>
                            <w:r w:rsidRPr="00B22F66">
                              <w:rPr>
                                <w:sz w:val="18"/>
                                <w:szCs w:val="20"/>
                              </w:rPr>
                              <w:t>23/06/2017</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5C4DFED1" w14:textId="77777777" w:rsidR="00B22F66" w:rsidRPr="00B22F66" w:rsidRDefault="00B22F66">
                            <w:pPr>
                              <w:rPr>
                                <w:sz w:val="18"/>
                                <w:szCs w:val="20"/>
                              </w:rPr>
                            </w:pPr>
                            <w:r w:rsidRPr="00B22F66">
                              <w:rPr>
                                <w:sz w:val="18"/>
                                <w:szCs w:val="20"/>
                              </w:rPr>
                              <w:t xml:space="preserve">Andrew </w:t>
                            </w:r>
                            <w:proofErr w:type="spellStart"/>
                            <w:r w:rsidRPr="00B22F66">
                              <w:rPr>
                                <w:sz w:val="18"/>
                                <w:szCs w:val="20"/>
                              </w:rPr>
                              <w:t>Besch</w:t>
                            </w:r>
                            <w:proofErr w:type="spellEnd"/>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373586F8" w14:textId="77777777" w:rsidR="00B22F66" w:rsidRPr="00B22F66" w:rsidRDefault="00B22F66">
                            <w:pPr>
                              <w:rPr>
                                <w:sz w:val="18"/>
                                <w:szCs w:val="20"/>
                              </w:rPr>
                            </w:pPr>
                            <w:r w:rsidRPr="00B22F66">
                              <w:rPr>
                                <w:sz w:val="18"/>
                                <w:szCs w:val="20"/>
                              </w:rPr>
                              <w:t>Initiated uplift onto latest version of the form</w:t>
                            </w:r>
                          </w:p>
                        </w:tc>
                      </w:tr>
                      <w:tr w:rsidR="00B22F66" w:rsidRPr="00B22F66" w14:paraId="573ED019"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hideMark/>
                          </w:tcPr>
                          <w:p w14:paraId="40DBA2D3" w14:textId="77777777" w:rsidR="00B22F66" w:rsidRPr="00B22F66" w:rsidRDefault="00B22F66" w:rsidP="00B22F66">
                            <w:pPr>
                              <w:rPr>
                                <w:sz w:val="18"/>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45023DD0" w14:textId="77777777" w:rsidR="00B22F66" w:rsidRPr="00B22F66" w:rsidRDefault="00B22F66">
                            <w:pPr>
                              <w:rPr>
                                <w:sz w:val="18"/>
                                <w:szCs w:val="20"/>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020A2125" w14:textId="77777777" w:rsidR="00B22F66" w:rsidRPr="00B22F66" w:rsidRDefault="00B22F66">
                            <w:pPr>
                              <w:rPr>
                                <w:sz w:val="18"/>
                                <w:szCs w:val="20"/>
                              </w:rPr>
                            </w:pP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59A62DFB" w14:textId="77777777" w:rsidR="00B22F66" w:rsidRPr="00B22F66" w:rsidRDefault="00B22F66">
                            <w:pPr>
                              <w:rPr>
                                <w:sz w:val="18"/>
                                <w:szCs w:val="20"/>
                              </w:rPr>
                            </w:pPr>
                          </w:p>
                        </w:tc>
                      </w:tr>
                      <w:tr w:rsidR="00B22F66" w:rsidRPr="00B22F66" w14:paraId="68A37BBF"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1FC23EBA" w14:textId="77777777" w:rsidR="00B22F66" w:rsidRPr="00B22F66" w:rsidRDefault="00B22F66">
                            <w:pPr>
                              <w:rPr>
                                <w:sz w:val="18"/>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79ED31C5" w14:textId="77777777" w:rsidR="00B22F66" w:rsidRPr="00B22F66" w:rsidRDefault="00B22F66">
                            <w:pPr>
                              <w:rPr>
                                <w:sz w:val="18"/>
                                <w:szCs w:val="20"/>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1B9B485B" w14:textId="77777777" w:rsidR="00B22F66" w:rsidRPr="00B22F66" w:rsidRDefault="00B22F66">
                            <w:pPr>
                              <w:rPr>
                                <w:sz w:val="18"/>
                                <w:szCs w:val="20"/>
                              </w:rPr>
                            </w:pP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2F339337" w14:textId="77777777" w:rsidR="00B22F66" w:rsidRPr="00B22F66" w:rsidRDefault="00B22F66">
                            <w:pPr>
                              <w:rPr>
                                <w:sz w:val="18"/>
                                <w:szCs w:val="20"/>
                              </w:rPr>
                            </w:pPr>
                          </w:p>
                        </w:tc>
                      </w:tr>
                      <w:tr w:rsidR="00B22F66" w:rsidRPr="00B22F66" w14:paraId="3A35DE68" w14:textId="77777777" w:rsidTr="00B22F66">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62CF3543" w14:textId="77777777" w:rsidR="00B22F66" w:rsidRPr="00B22F66" w:rsidRDefault="00B22F66">
                            <w:pPr>
                              <w:rPr>
                                <w:b/>
                                <w:sz w:val="20"/>
                                <w:szCs w:val="20"/>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423B343D" w14:textId="77777777" w:rsidR="00B22F66" w:rsidRPr="00B22F66" w:rsidRDefault="00B22F66">
                            <w:pPr>
                              <w:rPr>
                                <w:b/>
                                <w:sz w:val="20"/>
                                <w:szCs w:val="20"/>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744FED63" w14:textId="77777777" w:rsidR="00B22F66" w:rsidRPr="00B22F66" w:rsidRDefault="00B22F66">
                            <w:pPr>
                              <w:rPr>
                                <w:b/>
                                <w:sz w:val="20"/>
                                <w:szCs w:val="20"/>
                              </w:rPr>
                            </w:pP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3952D804" w14:textId="77777777" w:rsidR="00B22F66" w:rsidRPr="00B22F66" w:rsidRDefault="00B22F66">
                            <w:pPr>
                              <w:rPr>
                                <w:b/>
                                <w:sz w:val="20"/>
                                <w:szCs w:val="20"/>
                              </w:rPr>
                            </w:pPr>
                          </w:p>
                        </w:tc>
                      </w:tr>
                    </w:tbl>
                    <w:p w14:paraId="3FA2042A" w14:textId="77777777" w:rsidR="00B22F66" w:rsidRPr="00B22F66" w:rsidRDefault="00B22F66" w:rsidP="00B22F66">
                      <w:pPr>
                        <w:textboxTightWrap w:val="allLines"/>
                      </w:pPr>
                    </w:p>
                    <w:p w14:paraId="45868491" w14:textId="77777777" w:rsidR="00B22F66" w:rsidRPr="00B22F66" w:rsidRDefault="00B22F66" w:rsidP="00B22F66">
                      <w:pPr>
                        <w:textboxTightWrap w:val="allLines"/>
                      </w:pPr>
                    </w:p>
                    <w:permEnd w:id="1927095250"/>
                    <w:p w14:paraId="54988930" w14:textId="77777777" w:rsidR="00B22F66" w:rsidRPr="00B22F66" w:rsidRDefault="00B22F66" w:rsidP="00B22F66"/>
                  </w:txbxContent>
                </v:textbox>
                <w10:anchorlock/>
              </v:shape>
            </w:pict>
          </mc:Fallback>
        </mc:AlternateContent>
      </w:r>
    </w:p>
    <w:p w14:paraId="10820831" w14:textId="57A836DB" w:rsidR="00CB2802" w:rsidRPr="00993442" w:rsidRDefault="00CB2802" w:rsidP="00CB2802">
      <w:pPr>
        <w:pStyle w:val="Heading1"/>
        <w:rPr>
          <w:rFonts w:eastAsia="MS Mincho"/>
          <w:color w:val="auto"/>
        </w:rPr>
      </w:pPr>
      <w:r w:rsidRPr="00993442">
        <w:rPr>
          <w:rFonts w:eastAsia="MS Mincho"/>
          <w:color w:val="auto"/>
        </w:rPr>
        <w:t>Application Form</w:t>
      </w:r>
    </w:p>
    <w:p w14:paraId="6B4D5E3A" w14:textId="0CA33DC2" w:rsidR="000710BB" w:rsidRPr="00993442" w:rsidRDefault="000710BB" w:rsidP="000710BB">
      <w:r w:rsidRPr="00993442">
        <w:t>Section 1 Introduction / Overview</w:t>
      </w:r>
    </w:p>
    <w:tbl>
      <w:tblPr>
        <w:tblStyle w:val="TableGrid2"/>
        <w:tblW w:w="0" w:type="auto"/>
        <w:tblLook w:val="04A0" w:firstRow="1" w:lastRow="0" w:firstColumn="1" w:lastColumn="0" w:noHBand="0" w:noVBand="1"/>
      </w:tblPr>
      <w:tblGrid>
        <w:gridCol w:w="2268"/>
        <w:gridCol w:w="6853"/>
      </w:tblGrid>
      <w:tr w:rsidR="00993442" w:rsidRPr="00993442" w14:paraId="41BB6C4D" w14:textId="77777777" w:rsidTr="00B22F66">
        <w:tc>
          <w:tcPr>
            <w:tcW w:w="2268" w:type="dxa"/>
          </w:tcPr>
          <w:p w14:paraId="130D0697" w14:textId="62394CB2" w:rsidR="000710BB" w:rsidRPr="00993442" w:rsidRDefault="000710BB" w:rsidP="00B22F66">
            <w:pPr>
              <w:spacing w:before="240"/>
              <w:rPr>
                <w:b/>
              </w:rPr>
            </w:pPr>
            <w:permStart w:id="1445275325" w:edGrp="everyone" w:colFirst="1" w:colLast="1"/>
            <w:r w:rsidRPr="00993442">
              <w:rPr>
                <w:b/>
              </w:rPr>
              <w:t>1.1 Title</w:t>
            </w:r>
          </w:p>
        </w:tc>
        <w:tc>
          <w:tcPr>
            <w:tcW w:w="6853" w:type="dxa"/>
          </w:tcPr>
          <w:p w14:paraId="75C28028" w14:textId="592995D6" w:rsidR="000710BB" w:rsidRPr="00993442" w:rsidRDefault="000710BB" w:rsidP="00B22F66">
            <w:pPr>
              <w:spacing w:before="240"/>
            </w:pPr>
          </w:p>
        </w:tc>
      </w:tr>
      <w:tr w:rsidR="00993442" w:rsidRPr="00993442" w14:paraId="34A1C59D" w14:textId="77777777" w:rsidTr="00B22F66">
        <w:tc>
          <w:tcPr>
            <w:tcW w:w="2268" w:type="dxa"/>
          </w:tcPr>
          <w:p w14:paraId="2138F941" w14:textId="6FDC83F9" w:rsidR="000710BB" w:rsidRPr="00993442" w:rsidRDefault="000710BB" w:rsidP="00B22F66">
            <w:pPr>
              <w:spacing w:before="240"/>
              <w:rPr>
                <w:b/>
              </w:rPr>
            </w:pPr>
            <w:permStart w:id="1038555572" w:edGrp="everyone" w:colFirst="1" w:colLast="1"/>
            <w:permEnd w:id="1445275325"/>
            <w:r w:rsidRPr="00993442">
              <w:rPr>
                <w:b/>
              </w:rPr>
              <w:t>1.2 Set or domain</w:t>
            </w:r>
          </w:p>
        </w:tc>
        <w:tc>
          <w:tcPr>
            <w:tcW w:w="6853" w:type="dxa"/>
          </w:tcPr>
          <w:p w14:paraId="21BEED49" w14:textId="77777777" w:rsidR="000710BB" w:rsidRPr="00993442" w:rsidRDefault="000710BB" w:rsidP="00B22F66">
            <w:pPr>
              <w:spacing w:before="240"/>
            </w:pPr>
            <w:r w:rsidRPr="00993442">
              <w:t>CCG Outcomes Indicator Set (OIS) 1.5</w:t>
            </w:r>
          </w:p>
        </w:tc>
      </w:tr>
      <w:tr w:rsidR="00993442" w:rsidRPr="00993442" w14:paraId="2D0AF351" w14:textId="77777777" w:rsidTr="00B22F66">
        <w:tc>
          <w:tcPr>
            <w:tcW w:w="2268" w:type="dxa"/>
          </w:tcPr>
          <w:p w14:paraId="183CC585" w14:textId="6976E9AD" w:rsidR="000710BB" w:rsidRPr="00993442" w:rsidRDefault="000710BB" w:rsidP="00B22F66">
            <w:pPr>
              <w:spacing w:before="240"/>
              <w:rPr>
                <w:b/>
              </w:rPr>
            </w:pPr>
            <w:permStart w:id="1399920890" w:edGrp="everyone" w:colFirst="1" w:colLast="1"/>
            <w:permEnd w:id="1038555572"/>
            <w:r w:rsidRPr="00993442">
              <w:rPr>
                <w:b/>
              </w:rPr>
              <w:lastRenderedPageBreak/>
              <w:t>1.3 Topic area</w:t>
            </w:r>
          </w:p>
        </w:tc>
        <w:tc>
          <w:tcPr>
            <w:tcW w:w="6853" w:type="dxa"/>
          </w:tcPr>
          <w:p w14:paraId="6E722BE5" w14:textId="77777777" w:rsidR="000710BB" w:rsidRPr="00993442" w:rsidRDefault="000710BB" w:rsidP="00B22F66">
            <w:pPr>
              <w:spacing w:before="240"/>
            </w:pPr>
            <w:r w:rsidRPr="00993442">
              <w:t>Cardiovascular</w:t>
            </w:r>
          </w:p>
        </w:tc>
      </w:tr>
      <w:tr w:rsidR="00993442" w:rsidRPr="00993442" w14:paraId="26A55DF3" w14:textId="77777777" w:rsidTr="00B22F66">
        <w:tc>
          <w:tcPr>
            <w:tcW w:w="2268" w:type="dxa"/>
          </w:tcPr>
          <w:p w14:paraId="6800BEA6" w14:textId="6BE1C78C" w:rsidR="000710BB" w:rsidRPr="00993442" w:rsidRDefault="000710BB" w:rsidP="00B22F66">
            <w:pPr>
              <w:spacing w:before="240"/>
              <w:rPr>
                <w:b/>
              </w:rPr>
            </w:pPr>
            <w:permStart w:id="1249397906" w:edGrp="everyone" w:colFirst="1" w:colLast="1"/>
            <w:permEnd w:id="1399920890"/>
            <w:r w:rsidRPr="00993442">
              <w:rPr>
                <w:b/>
              </w:rPr>
              <w:t>1.4 Definition</w:t>
            </w:r>
          </w:p>
        </w:tc>
        <w:tc>
          <w:tcPr>
            <w:tcW w:w="6853" w:type="dxa"/>
          </w:tcPr>
          <w:p w14:paraId="7F9EE142" w14:textId="77777777" w:rsidR="000710BB" w:rsidRPr="00993442" w:rsidRDefault="000710BB" w:rsidP="00B22F66">
            <w:pPr>
              <w:spacing w:before="240"/>
            </w:pPr>
            <w:r w:rsidRPr="00993442">
              <w:t xml:space="preserve">The </w:t>
            </w:r>
            <w:proofErr w:type="spellStart"/>
            <w:r w:rsidRPr="00993442">
              <w:t>casemix</w:t>
            </w:r>
            <w:proofErr w:type="spellEnd"/>
            <w:r w:rsidRPr="00993442">
              <w:t xml:space="preserve"> adjusted standardised mortality ratio of people with known stroke type who die within 30 days of hospital admission.</w:t>
            </w:r>
          </w:p>
          <w:p w14:paraId="0D34A3F4" w14:textId="77777777" w:rsidR="000710BB" w:rsidRPr="00993442" w:rsidRDefault="000710BB" w:rsidP="00B22F66">
            <w:pPr>
              <w:spacing w:before="240"/>
            </w:pPr>
            <w:r w:rsidRPr="00993442">
              <w:t>Stroke is defined within this indicator as intracerebral haemorrhage (ICD-10 code: I61), cerebral infarction (I63) and stroke, not specified as haemorrhage or infarction (I64).</w:t>
            </w:r>
          </w:p>
          <w:p w14:paraId="37828E99" w14:textId="77777777" w:rsidR="000710BB" w:rsidRPr="00993442" w:rsidRDefault="000710BB" w:rsidP="00B22F66">
            <w:pPr>
              <w:spacing w:before="240"/>
            </w:pPr>
            <w:r w:rsidRPr="00993442">
              <w:t>The indicator is published annually in December for each CCG in England. It was published for the first time in December 2014 (2013/14 data).</w:t>
            </w:r>
          </w:p>
        </w:tc>
      </w:tr>
      <w:tr w:rsidR="00993442" w:rsidRPr="00993442" w14:paraId="67D1EB73" w14:textId="77777777" w:rsidTr="00B22F66">
        <w:tc>
          <w:tcPr>
            <w:tcW w:w="2268" w:type="dxa"/>
          </w:tcPr>
          <w:p w14:paraId="172487E8" w14:textId="09B347D3" w:rsidR="000710BB" w:rsidRPr="00993442" w:rsidRDefault="000710BB" w:rsidP="00B22F66">
            <w:pPr>
              <w:spacing w:before="240"/>
              <w:rPr>
                <w:b/>
              </w:rPr>
            </w:pPr>
            <w:permStart w:id="875109135" w:edGrp="everyone" w:colFirst="1" w:colLast="1"/>
            <w:permEnd w:id="1249397906"/>
            <w:r w:rsidRPr="00993442">
              <w:rPr>
                <w:b/>
              </w:rPr>
              <w:t>1.5 Indicator owner &amp; contact details</w:t>
            </w:r>
          </w:p>
        </w:tc>
        <w:tc>
          <w:tcPr>
            <w:tcW w:w="6853" w:type="dxa"/>
          </w:tcPr>
          <w:p w14:paraId="6F7EA020" w14:textId="77777777" w:rsidR="000710BB" w:rsidRPr="00993442" w:rsidRDefault="000710BB" w:rsidP="00B22F66">
            <w:pPr>
              <w:spacing w:before="240"/>
            </w:pPr>
          </w:p>
        </w:tc>
      </w:tr>
      <w:tr w:rsidR="00993442" w:rsidRPr="00993442" w14:paraId="02924E15" w14:textId="77777777" w:rsidTr="00B22F66">
        <w:tc>
          <w:tcPr>
            <w:tcW w:w="2268" w:type="dxa"/>
          </w:tcPr>
          <w:p w14:paraId="4493E89D" w14:textId="3807B5B1" w:rsidR="000710BB" w:rsidRPr="00993442" w:rsidRDefault="000710BB" w:rsidP="00B22F66">
            <w:pPr>
              <w:spacing w:before="240"/>
              <w:rPr>
                <w:b/>
              </w:rPr>
            </w:pPr>
            <w:permStart w:id="1656437635" w:edGrp="everyone" w:colFirst="1" w:colLast="1"/>
            <w:permEnd w:id="875109135"/>
            <w:r w:rsidRPr="00993442">
              <w:rPr>
                <w:b/>
              </w:rPr>
              <w:t>1.6 Publication status</w:t>
            </w:r>
          </w:p>
        </w:tc>
        <w:sdt>
          <w:sdtPr>
            <w:alias w:val="Publication status"/>
            <w:tag w:val="Publication status"/>
            <w:id w:val="-694159432"/>
            <w:placeholder>
              <w:docPart w:val="D22511886D5543A986EA254C373C5DBC"/>
            </w:placeholder>
            <w:comboBox>
              <w:listItem w:value="Choose an item."/>
              <w:listItem w:displayText="Currently in publication" w:value="Currently in publication"/>
              <w:listItem w:displayText="Not currently in publication" w:value="Not currently in publication"/>
            </w:comboBox>
          </w:sdtPr>
          <w:sdtEndPr/>
          <w:sdtContent>
            <w:tc>
              <w:tcPr>
                <w:tcW w:w="6853" w:type="dxa"/>
              </w:tcPr>
              <w:p w14:paraId="794FB9A8" w14:textId="77777777" w:rsidR="000710BB" w:rsidRPr="00993442" w:rsidRDefault="000710BB" w:rsidP="00B22F66">
                <w:pPr>
                  <w:spacing w:before="240"/>
                </w:pPr>
                <w:r w:rsidRPr="00993442">
                  <w:t>Currently in publication</w:t>
                </w:r>
              </w:p>
            </w:tc>
          </w:sdtContent>
        </w:sdt>
      </w:tr>
    </w:tbl>
    <w:permEnd w:id="1656437635"/>
    <w:p w14:paraId="2B8C8399" w14:textId="2EF07A8D" w:rsidR="000710BB" w:rsidRPr="00993442" w:rsidRDefault="000710BB">
      <w:r w:rsidRPr="00993442">
        <w:t>Section 2 Rationale</w:t>
      </w:r>
    </w:p>
    <w:tbl>
      <w:tblPr>
        <w:tblStyle w:val="TableGrid2"/>
        <w:tblW w:w="0" w:type="auto"/>
        <w:tblLook w:val="04A0" w:firstRow="1" w:lastRow="0" w:firstColumn="1" w:lastColumn="0" w:noHBand="0" w:noVBand="1"/>
      </w:tblPr>
      <w:tblGrid>
        <w:gridCol w:w="2268"/>
        <w:gridCol w:w="6853"/>
      </w:tblGrid>
      <w:tr w:rsidR="00993442" w:rsidRPr="00993442" w14:paraId="65A10A7D" w14:textId="77777777" w:rsidTr="00B22F66">
        <w:tc>
          <w:tcPr>
            <w:tcW w:w="2268" w:type="dxa"/>
          </w:tcPr>
          <w:p w14:paraId="37E57020" w14:textId="216BBFEC" w:rsidR="000710BB" w:rsidRPr="00993442" w:rsidRDefault="000710BB" w:rsidP="00B22F66">
            <w:pPr>
              <w:spacing w:before="240"/>
              <w:rPr>
                <w:b/>
              </w:rPr>
            </w:pPr>
            <w:permStart w:id="1636397766" w:edGrp="everyone" w:colFirst="1" w:colLast="1"/>
            <w:r w:rsidRPr="00993442">
              <w:rPr>
                <w:b/>
              </w:rPr>
              <w:t>2.1 Purpose</w:t>
            </w:r>
          </w:p>
        </w:tc>
        <w:tc>
          <w:tcPr>
            <w:tcW w:w="6853" w:type="dxa"/>
          </w:tcPr>
          <w:p w14:paraId="780B53F6" w14:textId="77777777" w:rsidR="000710BB" w:rsidRPr="00993442" w:rsidRDefault="000710BB" w:rsidP="00B22F66">
            <w:pPr>
              <w:spacing w:before="240"/>
            </w:pPr>
            <w:r w:rsidRPr="00993442">
              <w:t>Some (but not all) deaths within 30 days of admission to hospital may be avoidable through high-quality co-ordinated specialist stroke care. This indicator provides CCGs with a tool to monitor their standardised mortality ratio. Reductions in the ratio could be made by improving aspects of the services CCGs commission for patients.</w:t>
            </w:r>
          </w:p>
        </w:tc>
      </w:tr>
      <w:tr w:rsidR="00993442" w:rsidRPr="00993442" w14:paraId="7F209E30" w14:textId="77777777" w:rsidTr="00B22F66">
        <w:tc>
          <w:tcPr>
            <w:tcW w:w="2268" w:type="dxa"/>
          </w:tcPr>
          <w:p w14:paraId="4C4F5A9C" w14:textId="26F6E7E2" w:rsidR="000710BB" w:rsidRPr="00993442" w:rsidRDefault="000710BB" w:rsidP="00B22F66">
            <w:pPr>
              <w:spacing w:before="240"/>
              <w:rPr>
                <w:b/>
              </w:rPr>
            </w:pPr>
            <w:permStart w:id="997227799" w:edGrp="everyone" w:colFirst="1" w:colLast="1"/>
            <w:permEnd w:id="1636397766"/>
            <w:r w:rsidRPr="00993442">
              <w:rPr>
                <w:b/>
              </w:rPr>
              <w:t>2.2 Sponsor</w:t>
            </w:r>
          </w:p>
        </w:tc>
        <w:tc>
          <w:tcPr>
            <w:tcW w:w="6853" w:type="dxa"/>
          </w:tcPr>
          <w:p w14:paraId="1B53F667" w14:textId="77777777" w:rsidR="000710BB" w:rsidRPr="00993442" w:rsidRDefault="000710BB" w:rsidP="00B22F66">
            <w:pPr>
              <w:spacing w:before="240"/>
            </w:pPr>
          </w:p>
        </w:tc>
      </w:tr>
      <w:tr w:rsidR="00993442" w:rsidRPr="00993442" w14:paraId="5C38CB08" w14:textId="77777777" w:rsidTr="00B22F66">
        <w:tc>
          <w:tcPr>
            <w:tcW w:w="2268" w:type="dxa"/>
          </w:tcPr>
          <w:p w14:paraId="36E98D00" w14:textId="6B23676A" w:rsidR="000710BB" w:rsidRPr="00993442" w:rsidRDefault="000710BB" w:rsidP="00B22F66">
            <w:pPr>
              <w:spacing w:before="240"/>
              <w:rPr>
                <w:b/>
              </w:rPr>
            </w:pPr>
            <w:permStart w:id="2085780955" w:edGrp="everyone" w:colFirst="1" w:colLast="1"/>
            <w:permEnd w:id="997227799"/>
            <w:r w:rsidRPr="00993442">
              <w:rPr>
                <w:b/>
              </w:rPr>
              <w:t>2.3 Endorsement</w:t>
            </w:r>
          </w:p>
        </w:tc>
        <w:tc>
          <w:tcPr>
            <w:tcW w:w="6853" w:type="dxa"/>
          </w:tcPr>
          <w:p w14:paraId="38D3073A" w14:textId="77777777" w:rsidR="000710BB" w:rsidRPr="00993442" w:rsidRDefault="000710BB" w:rsidP="00B22F66">
            <w:pPr>
              <w:spacing w:before="240"/>
            </w:pPr>
            <w:r w:rsidRPr="00993442">
              <w:t xml:space="preserve">The indicator was constructed following consultation with the following clinical and stroke data experts: </w:t>
            </w:r>
          </w:p>
          <w:p w14:paraId="12C907D3" w14:textId="77777777" w:rsidR="000710BB" w:rsidRPr="00993442" w:rsidRDefault="000710BB" w:rsidP="00CB2802">
            <w:pPr>
              <w:pStyle w:val="ListParagraph"/>
              <w:numPr>
                <w:ilvl w:val="0"/>
                <w:numId w:val="11"/>
              </w:numPr>
              <w:spacing w:before="240" w:after="180" w:line="240" w:lineRule="auto"/>
              <w:contextualSpacing w:val="0"/>
              <w:textboxTightWrap w:val="lastLineOnly"/>
              <w:rPr>
                <w:rFonts w:ascii="Arial" w:hAnsi="Arial" w:cs="Arial"/>
              </w:rPr>
            </w:pPr>
            <w:r w:rsidRPr="00993442">
              <w:rPr>
                <w:rFonts w:ascii="Arial" w:hAnsi="Arial" w:cs="Arial"/>
              </w:rPr>
              <w:t xml:space="preserve">Professor Anthony Rudd, Chair of the Intercollegiate Stroke Working Party, Associate Director for Stroke, Consultant Stroke Physician </w:t>
            </w:r>
          </w:p>
          <w:p w14:paraId="453DF5A1" w14:textId="77777777" w:rsidR="000710BB" w:rsidRPr="00993442" w:rsidRDefault="000710BB" w:rsidP="00CB2802">
            <w:pPr>
              <w:pStyle w:val="ListParagraph"/>
              <w:numPr>
                <w:ilvl w:val="0"/>
                <w:numId w:val="11"/>
              </w:numPr>
              <w:spacing w:before="240" w:after="180" w:line="240" w:lineRule="auto"/>
              <w:contextualSpacing w:val="0"/>
              <w:textboxTightWrap w:val="lastLineOnly"/>
              <w:rPr>
                <w:rFonts w:ascii="Arial" w:hAnsi="Arial" w:cs="Arial"/>
              </w:rPr>
            </w:pPr>
            <w:r w:rsidRPr="00993442">
              <w:rPr>
                <w:rFonts w:ascii="Arial" w:hAnsi="Arial" w:cs="Arial"/>
              </w:rPr>
              <w:t xml:space="preserve">James Campbell, Sentinel Stroke National Audit Programme (SSNAP) Intelligence Programme Manager, Royal College of Physicians (RCP) </w:t>
            </w:r>
          </w:p>
          <w:p w14:paraId="7505025E" w14:textId="77777777" w:rsidR="000710BB" w:rsidRPr="00993442" w:rsidRDefault="000710BB" w:rsidP="00CB2802">
            <w:pPr>
              <w:pStyle w:val="ListParagraph"/>
              <w:numPr>
                <w:ilvl w:val="0"/>
                <w:numId w:val="11"/>
              </w:numPr>
              <w:spacing w:before="240" w:after="180" w:line="240" w:lineRule="auto"/>
              <w:contextualSpacing w:val="0"/>
              <w:textboxTightWrap w:val="lastLineOnly"/>
              <w:rPr>
                <w:rFonts w:ascii="Arial" w:hAnsi="Arial" w:cs="Arial"/>
              </w:rPr>
            </w:pPr>
            <w:proofErr w:type="spellStart"/>
            <w:r w:rsidRPr="00993442">
              <w:rPr>
                <w:rFonts w:ascii="Arial" w:hAnsi="Arial" w:cs="Arial"/>
              </w:rPr>
              <w:t>Lizz</w:t>
            </w:r>
            <w:proofErr w:type="spellEnd"/>
            <w:r w:rsidRPr="00993442">
              <w:rPr>
                <w:rFonts w:ascii="Arial" w:hAnsi="Arial" w:cs="Arial"/>
              </w:rPr>
              <w:t xml:space="preserve"> Paley, Acting Stroke Programme Intelligence Manager – Data, RCP</w:t>
            </w:r>
          </w:p>
        </w:tc>
      </w:tr>
      <w:tr w:rsidR="00993442" w:rsidRPr="00993442" w14:paraId="40F9CADE" w14:textId="77777777" w:rsidTr="00B22F66">
        <w:tc>
          <w:tcPr>
            <w:tcW w:w="2268" w:type="dxa"/>
          </w:tcPr>
          <w:p w14:paraId="4FE1374D" w14:textId="38181929" w:rsidR="000710BB" w:rsidRPr="00993442" w:rsidRDefault="000710BB" w:rsidP="00B22F66">
            <w:pPr>
              <w:spacing w:before="240"/>
              <w:rPr>
                <w:b/>
              </w:rPr>
            </w:pPr>
            <w:permStart w:id="1633494027" w:edGrp="everyone" w:colFirst="1" w:colLast="1"/>
            <w:permEnd w:id="2085780955"/>
            <w:r w:rsidRPr="00993442">
              <w:rPr>
                <w:b/>
              </w:rPr>
              <w:t>2.4 Evidence and Policy base</w:t>
            </w:r>
          </w:p>
          <w:p w14:paraId="0E135EF7" w14:textId="77777777" w:rsidR="000710BB" w:rsidRPr="00993442" w:rsidRDefault="000710BB" w:rsidP="00B22F66">
            <w:r w:rsidRPr="00993442">
              <w:t xml:space="preserve">Including related national incentives, critical business question, NICE </w:t>
            </w:r>
            <w:r w:rsidRPr="00993442">
              <w:lastRenderedPageBreak/>
              <w:t>quality standard and set or domain rationale, if appropriate</w:t>
            </w:r>
          </w:p>
        </w:tc>
        <w:tc>
          <w:tcPr>
            <w:tcW w:w="6853" w:type="dxa"/>
          </w:tcPr>
          <w:p w14:paraId="182EE2FA" w14:textId="77777777" w:rsidR="000710BB" w:rsidRPr="00993442" w:rsidRDefault="000710BB" w:rsidP="00B22F66">
            <w:pPr>
              <w:spacing w:before="240"/>
            </w:pPr>
            <w:r w:rsidRPr="00993442">
              <w:lastRenderedPageBreak/>
              <w:t>This indicator supports the NICE Quality Standard for stroke (QS2)</w:t>
            </w:r>
            <w:r w:rsidRPr="00993442">
              <w:rPr>
                <w:rStyle w:val="FootnoteReference"/>
              </w:rPr>
              <w:footnoteReference w:id="1"/>
            </w:r>
            <w:r w:rsidRPr="00993442">
              <w:t xml:space="preserve"> which covers care provided to adult stroke patients during diagnosis and initial management, acute-phase care, rehabilitation and long-term management.</w:t>
            </w:r>
          </w:p>
          <w:p w14:paraId="59C661F7" w14:textId="77777777" w:rsidR="000710BB" w:rsidRPr="00993442" w:rsidRDefault="000710BB" w:rsidP="00B22F66">
            <w:pPr>
              <w:spacing w:before="240"/>
            </w:pPr>
            <w:r w:rsidRPr="00993442">
              <w:lastRenderedPageBreak/>
              <w:t>Over the last 20 years, a growing body of evidence has overturned the traditional perception that stroke is simply a consequence of ageing that inevitably results in death or severe disability. Evidence is accumulating for more effective primary and secondary prevention strategies, better recognition of people at highest risk who are most in need of active intervention, interventions that are effective soon after the onset of symptoms, and an understanding of the processes of care that contribute to a better outcome¹.</w:t>
            </w:r>
          </w:p>
          <w:p w14:paraId="2AA93612" w14:textId="77777777" w:rsidR="000710BB" w:rsidRPr="00993442" w:rsidRDefault="000710BB" w:rsidP="00B22F66">
            <w:pPr>
              <w:spacing w:before="240"/>
            </w:pPr>
            <w:r w:rsidRPr="00993442">
              <w:t>Stroke is a major health challenge, particularly for Western healthcare systems. Alongside death it generates serious long-term disability, placing a substantial burden on families and the wider community. Every year 5.5 million people die as a result of having a stroke, accounting for 10% of total deaths worldwide</w:t>
            </w:r>
            <w:r w:rsidRPr="00993442">
              <w:rPr>
                <w:rStyle w:val="FootnoteReference"/>
              </w:rPr>
              <w:footnoteReference w:id="2"/>
            </w:r>
            <w:r w:rsidRPr="00993442">
              <w:t>.</w:t>
            </w:r>
          </w:p>
          <w:p w14:paraId="388C1540" w14:textId="77777777" w:rsidR="000710BB" w:rsidRPr="00993442" w:rsidRDefault="000710BB" w:rsidP="00B22F66">
            <w:pPr>
              <w:spacing w:before="240"/>
            </w:pPr>
            <w:r w:rsidRPr="00993442">
              <w:t>Stroke is a medical emergency associated with a very high risk of death in the acute and sub-acute phases and with a continuous excess risk of death. Better prevention and management of strokes may improve the long-term survival rate</w:t>
            </w:r>
            <w:r w:rsidRPr="00993442">
              <w:rPr>
                <w:rStyle w:val="FootnoteReference"/>
              </w:rPr>
              <w:footnoteReference w:id="3"/>
            </w:r>
            <w:r w:rsidRPr="00993442">
              <w:t>.</w:t>
            </w:r>
          </w:p>
          <w:p w14:paraId="71180161" w14:textId="77777777" w:rsidR="000710BB" w:rsidRPr="00993442" w:rsidRDefault="000710BB" w:rsidP="00B22F66">
            <w:pPr>
              <w:spacing w:before="240"/>
            </w:pPr>
          </w:p>
        </w:tc>
      </w:tr>
      <w:permEnd w:id="1633494027"/>
    </w:tbl>
    <w:p w14:paraId="49E87E64" w14:textId="77777777" w:rsidR="00CB2802" w:rsidRPr="00993442" w:rsidRDefault="00CB2802" w:rsidP="00CB2802">
      <w:r w:rsidRPr="00993442">
        <w:lastRenderedPageBreak/>
        <w:br w:type="page"/>
      </w:r>
    </w:p>
    <w:p w14:paraId="5A9A383B" w14:textId="09A42EE8" w:rsidR="000710BB" w:rsidRPr="00993442" w:rsidRDefault="000710BB">
      <w:r w:rsidRPr="00993442">
        <w:lastRenderedPageBreak/>
        <w:t>Section 3 Data</w:t>
      </w:r>
    </w:p>
    <w:tbl>
      <w:tblPr>
        <w:tblStyle w:val="TableGrid2"/>
        <w:tblW w:w="9356" w:type="dxa"/>
        <w:tblLayout w:type="fixed"/>
        <w:tblLook w:val="04A0" w:firstRow="1" w:lastRow="0" w:firstColumn="1" w:lastColumn="0" w:noHBand="0" w:noVBand="1"/>
      </w:tblPr>
      <w:tblGrid>
        <w:gridCol w:w="1843"/>
        <w:gridCol w:w="7513"/>
      </w:tblGrid>
      <w:tr w:rsidR="00993442" w:rsidRPr="00993442" w14:paraId="025F2B9C" w14:textId="77777777" w:rsidTr="000710BB">
        <w:tc>
          <w:tcPr>
            <w:tcW w:w="1843" w:type="dxa"/>
          </w:tcPr>
          <w:p w14:paraId="4F62D149" w14:textId="399DFD2E" w:rsidR="000710BB" w:rsidRPr="00993442" w:rsidRDefault="000710BB" w:rsidP="00B22F66">
            <w:pPr>
              <w:spacing w:before="240"/>
              <w:ind w:left="34"/>
              <w:rPr>
                <w:b/>
              </w:rPr>
            </w:pPr>
            <w:permStart w:id="338916950" w:edGrp="everyone" w:colFirst="1" w:colLast="1"/>
            <w:r w:rsidRPr="00993442">
              <w:rPr>
                <w:b/>
              </w:rPr>
              <w:t>3.1 Data source</w:t>
            </w:r>
          </w:p>
        </w:tc>
        <w:tc>
          <w:tcPr>
            <w:tcW w:w="7513" w:type="dxa"/>
          </w:tcPr>
          <w:p w14:paraId="1D03CD3D" w14:textId="77777777" w:rsidR="000710BB" w:rsidRPr="00993442" w:rsidRDefault="000710BB" w:rsidP="00B22F66">
            <w:pPr>
              <w:spacing w:before="240"/>
            </w:pPr>
            <w:r w:rsidRPr="00993442">
              <w:t>RCP SSNAP and Office for National Statistics (ONS) mortality data, via record linkage.</w:t>
            </w:r>
          </w:p>
          <w:p w14:paraId="35E57055" w14:textId="77777777" w:rsidR="000710BB" w:rsidRPr="00993442" w:rsidRDefault="000710BB" w:rsidP="00B22F66">
            <w:pPr>
              <w:spacing w:before="240"/>
            </w:pPr>
            <w:r w:rsidRPr="00993442">
              <w:t>The SSNAP is guided by the Intercollegiate Stroke Working Party (ICSWP) and delivered by the Stroke Programme within the Clinical Effectiveness and Evaluation Unit in the RCP. It is centrally funded by the Healthcare Quality Improvement Partnership (HQIP) on behalf of NHS England as part of the National Clinical Audit and Patient Outcomes Programme (NCAPOP).</w:t>
            </w:r>
          </w:p>
          <w:p w14:paraId="3E13382F" w14:textId="77777777" w:rsidR="000710BB" w:rsidRPr="00993442" w:rsidRDefault="005340D1" w:rsidP="00B22F66">
            <w:pPr>
              <w:spacing w:before="240"/>
            </w:pPr>
            <w:hyperlink r:id="rId9" w:history="1">
              <w:r w:rsidR="000710BB" w:rsidRPr="00993442">
                <w:rPr>
                  <w:rStyle w:val="Hyperlink"/>
                  <w:color w:val="auto"/>
                </w:rPr>
                <w:t>http://www.rcplondon.ac.uk/projects/sentinel-stroke-national-audit-programme</w:t>
              </w:r>
            </w:hyperlink>
            <w:r w:rsidR="000710BB" w:rsidRPr="00993442">
              <w:t>.</w:t>
            </w:r>
          </w:p>
        </w:tc>
      </w:tr>
      <w:tr w:rsidR="00993442" w:rsidRPr="00993442" w14:paraId="4AFDC59D" w14:textId="77777777" w:rsidTr="000710BB">
        <w:tc>
          <w:tcPr>
            <w:tcW w:w="1843" w:type="dxa"/>
          </w:tcPr>
          <w:p w14:paraId="05A095DD" w14:textId="51D273DD" w:rsidR="000710BB" w:rsidRPr="00993442" w:rsidRDefault="000710BB" w:rsidP="00B22F66">
            <w:pPr>
              <w:spacing w:before="240"/>
              <w:ind w:left="34"/>
              <w:rPr>
                <w:b/>
              </w:rPr>
            </w:pPr>
            <w:permStart w:id="1808537029" w:edGrp="everyone" w:colFirst="1" w:colLast="1"/>
            <w:permEnd w:id="338916950"/>
            <w:r w:rsidRPr="00993442">
              <w:rPr>
                <w:b/>
              </w:rPr>
              <w:t>3.2 Justification of source and others considered</w:t>
            </w:r>
          </w:p>
        </w:tc>
        <w:tc>
          <w:tcPr>
            <w:tcW w:w="7513" w:type="dxa"/>
          </w:tcPr>
          <w:p w14:paraId="7CA1F455" w14:textId="77777777" w:rsidR="000710BB" w:rsidRPr="00993442" w:rsidRDefault="000710BB" w:rsidP="00B22F66">
            <w:pPr>
              <w:spacing w:before="240"/>
            </w:pPr>
            <w:r w:rsidRPr="00993442">
              <w:t xml:space="preserve"> The SSNAP is the single source of data on stroke services, processes of care and outcomes. It provides the data for other statutory reporting mechanisms in England, including the NICE Quality Standard and the five other CCG OIS stroke measures; it is also due to be used for the NHS Outcomes Framework. SSNAP metrics are aligned with those in the Cardiovascular Disease Outcomes Strategy.</w:t>
            </w:r>
          </w:p>
          <w:p w14:paraId="6C2751CB" w14:textId="77777777" w:rsidR="000710BB" w:rsidRPr="00993442" w:rsidRDefault="000710BB" w:rsidP="00B22F66">
            <w:pPr>
              <w:spacing w:before="240"/>
            </w:pPr>
            <w:r w:rsidRPr="00993442">
              <w:t>Hospital Episode Statistics (HES) was considered as a data source for this indicator, however HES does not contain stroke severity information or known history of atrial fibrillation prior to stroke, which are key parts of the mortality case mix adjustment model and would be a fundamental limitation to using HES data to measure mortality. Both of these factors are included in the SSNAP model because they are significantly associated with the risk of dying (as would be expected).</w:t>
            </w:r>
          </w:p>
          <w:p w14:paraId="3B79CEC2" w14:textId="77777777" w:rsidR="000710BB" w:rsidRPr="00993442" w:rsidRDefault="000710BB" w:rsidP="00B22F66">
            <w:pPr>
              <w:spacing w:before="240"/>
            </w:pPr>
            <w:r w:rsidRPr="00993442">
              <w:t>In the original MRG discussion in 2012, the RCP cited their view that there can be over-coding of stroke in HES compared to epidemiological studies and that clinicians have reported poor coding for stroke in some instances when they use HES as the sole means of identifying cases.</w:t>
            </w:r>
          </w:p>
        </w:tc>
      </w:tr>
      <w:tr w:rsidR="00993442" w:rsidRPr="00993442" w14:paraId="5422D8F3" w14:textId="77777777" w:rsidTr="000710BB">
        <w:tc>
          <w:tcPr>
            <w:tcW w:w="1843" w:type="dxa"/>
          </w:tcPr>
          <w:p w14:paraId="13111EAA" w14:textId="6AF311A3" w:rsidR="000710BB" w:rsidRPr="00993442" w:rsidRDefault="000710BB" w:rsidP="00B22F66">
            <w:pPr>
              <w:spacing w:before="240"/>
              <w:ind w:left="34"/>
              <w:rPr>
                <w:b/>
              </w:rPr>
            </w:pPr>
            <w:permStart w:id="1984705205" w:edGrp="everyone" w:colFirst="1" w:colLast="1"/>
            <w:permEnd w:id="1808537029"/>
            <w:r w:rsidRPr="00993442">
              <w:rPr>
                <w:b/>
              </w:rPr>
              <w:t>3.3 Data availability</w:t>
            </w:r>
          </w:p>
        </w:tc>
        <w:tc>
          <w:tcPr>
            <w:tcW w:w="7513" w:type="dxa"/>
          </w:tcPr>
          <w:p w14:paraId="12D2181B" w14:textId="77777777" w:rsidR="000710BB" w:rsidRPr="00993442" w:rsidRDefault="000710BB" w:rsidP="00B22F66">
            <w:pPr>
              <w:spacing w:before="240"/>
            </w:pPr>
            <w:r w:rsidRPr="00993442">
              <w:t xml:space="preserve">CCG OIS indicators are published annually. SSNAP data for the full financial year is available to produce the indicator approximately 8 months after the financial year end; </w:t>
            </w:r>
            <w:proofErr w:type="gramStart"/>
            <w:r w:rsidRPr="00993442">
              <w:t>therefore</w:t>
            </w:r>
            <w:proofErr w:type="gramEnd"/>
            <w:r w:rsidRPr="00993442">
              <w:t xml:space="preserve"> the indicator is published each year in December.</w:t>
            </w:r>
          </w:p>
          <w:p w14:paraId="20F38E11" w14:textId="77777777" w:rsidR="000710BB" w:rsidRPr="00993442" w:rsidRDefault="000710BB" w:rsidP="00B22F66">
            <w:pPr>
              <w:spacing w:before="240"/>
            </w:pPr>
            <w:r w:rsidRPr="00993442">
              <w:t>CCG OIS indicators are official statistics and the publication date is pre-announced. There is no gap between the planned and actual publication date.</w:t>
            </w:r>
          </w:p>
          <w:p w14:paraId="3A9DD5E1" w14:textId="77777777" w:rsidR="000710BB" w:rsidRPr="00993442" w:rsidRDefault="000710BB" w:rsidP="00B22F66">
            <w:pPr>
              <w:spacing w:before="240"/>
            </w:pPr>
            <w:r w:rsidRPr="00993442">
              <w:t>The RCP make this indicator, along with a number of others, accessible to the public via RCP reporting, including an Easy Access Version aimed at stroke survivors and carers. It is available via Excel spreadsheets and other formats including graphical representation.</w:t>
            </w:r>
          </w:p>
        </w:tc>
      </w:tr>
      <w:tr w:rsidR="00993442" w:rsidRPr="00993442" w14:paraId="0D7DACF2" w14:textId="77777777" w:rsidTr="008D751F">
        <w:trPr>
          <w:trHeight w:val="18305"/>
        </w:trPr>
        <w:tc>
          <w:tcPr>
            <w:tcW w:w="1843" w:type="dxa"/>
          </w:tcPr>
          <w:p w14:paraId="40B6D078" w14:textId="6D88E1E9" w:rsidR="000710BB" w:rsidRPr="00993442" w:rsidRDefault="000710BB" w:rsidP="00B22F66">
            <w:pPr>
              <w:spacing w:before="240"/>
              <w:ind w:left="34"/>
              <w:rPr>
                <w:b/>
              </w:rPr>
            </w:pPr>
            <w:permStart w:id="1621171720" w:edGrp="everyone" w:colFirst="1" w:colLast="1"/>
            <w:permEnd w:id="1984705205"/>
            <w:r w:rsidRPr="00993442">
              <w:rPr>
                <w:b/>
              </w:rPr>
              <w:lastRenderedPageBreak/>
              <w:t>3.4 Data quality</w:t>
            </w:r>
          </w:p>
        </w:tc>
        <w:tc>
          <w:tcPr>
            <w:tcW w:w="7513" w:type="dxa"/>
          </w:tcPr>
          <w:p w14:paraId="40687325" w14:textId="77777777" w:rsidR="000710BB" w:rsidRPr="00993442" w:rsidRDefault="000710BB" w:rsidP="00B22F66">
            <w:pPr>
              <w:spacing w:before="240"/>
              <w:rPr>
                <w:b/>
              </w:rPr>
            </w:pPr>
            <w:r w:rsidRPr="00993442">
              <w:rPr>
                <w:b/>
              </w:rPr>
              <w:t xml:space="preserve"> </w:t>
            </w:r>
            <w:proofErr w:type="spellStart"/>
            <w:r w:rsidRPr="00993442">
              <w:rPr>
                <w:b/>
              </w:rPr>
              <w:t>i</w:t>
            </w:r>
            <w:proofErr w:type="spellEnd"/>
            <w:r w:rsidRPr="00993442">
              <w:rPr>
                <w:b/>
              </w:rPr>
              <w:t>) What data quality checks are relevant to this indicator?</w:t>
            </w:r>
          </w:p>
          <w:p w14:paraId="02162D55" w14:textId="77777777" w:rsidR="000710BB" w:rsidRPr="00993442" w:rsidRDefault="000710BB" w:rsidP="00B22F66">
            <w:pPr>
              <w:spacing w:before="240"/>
            </w:pPr>
            <w:r w:rsidRPr="00993442">
              <w:rPr>
                <w:b/>
              </w:rPr>
              <w:t>Coverage</w:t>
            </w:r>
            <w:r w:rsidRPr="00993442">
              <w:t xml:space="preserve"> </w:t>
            </w:r>
            <w:sdt>
              <w:sdtPr>
                <w:id w:val="-1734614186"/>
                <w14:checkbox>
                  <w14:checked w14:val="0"/>
                  <w14:checkedState w14:val="2612" w14:font="MS Gothic"/>
                  <w14:uncheckedState w14:val="2610" w14:font="MS Gothic"/>
                </w14:checkbox>
              </w:sdtPr>
              <w:sdtEndPr/>
              <w:sdtContent>
                <w:r w:rsidRPr="00993442">
                  <w:rPr>
                    <w:rFonts w:ascii="Segoe UI Symbol" w:eastAsia="MS Gothic" w:hAnsi="Segoe UI Symbol" w:cs="Segoe UI Symbol"/>
                  </w:rPr>
                  <w:t>☐</w:t>
                </w:r>
              </w:sdtContent>
            </w:sdt>
            <w:r w:rsidRPr="00993442">
              <w:t xml:space="preserve"> </w:t>
            </w:r>
          </w:p>
          <w:p w14:paraId="27D5D605" w14:textId="77777777" w:rsidR="000710BB" w:rsidRPr="00993442" w:rsidRDefault="000710BB" w:rsidP="00B22F66">
            <w:pPr>
              <w:spacing w:before="240"/>
              <w:rPr>
                <w:sz w:val="20"/>
              </w:rPr>
            </w:pPr>
            <w:r w:rsidRPr="00993442">
              <w:rPr>
                <w:b/>
              </w:rPr>
              <w:t>Completeness</w:t>
            </w:r>
            <w:r w:rsidRPr="00993442">
              <w:t xml:space="preserve"> </w:t>
            </w:r>
            <w:sdt>
              <w:sdtPr>
                <w:id w:val="-1726368152"/>
                <w14:checkbox>
                  <w14:checked w14:val="0"/>
                  <w14:checkedState w14:val="2612" w14:font="MS Gothic"/>
                  <w14:uncheckedState w14:val="2610" w14:font="MS Gothic"/>
                </w14:checkbox>
              </w:sdtPr>
              <w:sdtEndPr/>
              <w:sdtContent>
                <w:r w:rsidRPr="00993442">
                  <w:rPr>
                    <w:rFonts w:ascii="Segoe UI Symbol" w:eastAsia="MS Gothic" w:hAnsi="Segoe UI Symbol" w:cs="Segoe UI Symbol"/>
                  </w:rPr>
                  <w:t>☐</w:t>
                </w:r>
              </w:sdtContent>
            </w:sdt>
            <w:r w:rsidRPr="00993442">
              <w:t xml:space="preserve"> </w:t>
            </w:r>
            <w:r w:rsidRPr="00993442">
              <w:rPr>
                <w:b/>
              </w:rPr>
              <w:t>Validity</w:t>
            </w:r>
            <w:r w:rsidRPr="00993442">
              <w:rPr>
                <w:szCs w:val="20"/>
              </w:rPr>
              <w:t xml:space="preserve"> </w:t>
            </w:r>
            <w:sdt>
              <w:sdtPr>
                <w:rPr>
                  <w:szCs w:val="20"/>
                </w:rPr>
                <w:id w:val="325330801"/>
                <w14:checkbox>
                  <w14:checked w14:val="0"/>
                  <w14:checkedState w14:val="2612" w14:font="MS Gothic"/>
                  <w14:uncheckedState w14:val="2610" w14:font="MS Gothic"/>
                </w14:checkbox>
              </w:sdtPr>
              <w:sdtEndPr/>
              <w:sdtContent>
                <w:r w:rsidRPr="00993442">
                  <w:rPr>
                    <w:rFonts w:ascii="Segoe UI Symbol" w:eastAsia="MS Gothic" w:hAnsi="Segoe UI Symbol" w:cs="Segoe UI Symbol"/>
                    <w:szCs w:val="20"/>
                  </w:rPr>
                  <w:t>☐</w:t>
                </w:r>
              </w:sdtContent>
            </w:sdt>
            <w:r w:rsidRPr="00993442">
              <w:t xml:space="preserve"> </w:t>
            </w:r>
          </w:p>
          <w:p w14:paraId="518043E0" w14:textId="77777777" w:rsidR="000710BB" w:rsidRPr="00993442" w:rsidRDefault="000710BB" w:rsidP="00B22F66">
            <w:pPr>
              <w:spacing w:before="240"/>
              <w:rPr>
                <w:sz w:val="20"/>
              </w:rPr>
            </w:pPr>
            <w:r w:rsidRPr="00993442">
              <w:rPr>
                <w:b/>
              </w:rPr>
              <w:t>Default</w:t>
            </w:r>
            <w:r w:rsidRPr="00993442">
              <w:t xml:space="preserve"> </w:t>
            </w:r>
            <w:sdt>
              <w:sdtPr>
                <w:id w:val="1614473230"/>
                <w14:checkbox>
                  <w14:checked w14:val="0"/>
                  <w14:checkedState w14:val="2612" w14:font="MS Gothic"/>
                  <w14:uncheckedState w14:val="2610" w14:font="MS Gothic"/>
                </w14:checkbox>
              </w:sdtPr>
              <w:sdtEndPr/>
              <w:sdtContent>
                <w:r w:rsidRPr="00993442">
                  <w:rPr>
                    <w:rFonts w:ascii="Segoe UI Symbol" w:eastAsia="MS Gothic" w:hAnsi="Segoe UI Symbol" w:cs="Segoe UI Symbol"/>
                  </w:rPr>
                  <w:t>☐</w:t>
                </w:r>
              </w:sdtContent>
            </w:sdt>
            <w:r w:rsidRPr="00993442">
              <w:t xml:space="preserve"> </w:t>
            </w:r>
          </w:p>
          <w:p w14:paraId="2BC4DE8C" w14:textId="77777777" w:rsidR="000710BB" w:rsidRPr="00993442" w:rsidRDefault="000710BB" w:rsidP="00B22F66">
            <w:pPr>
              <w:spacing w:before="240"/>
            </w:pPr>
            <w:r w:rsidRPr="00993442">
              <w:rPr>
                <w:b/>
              </w:rPr>
              <w:t>Integrity</w:t>
            </w:r>
            <w:r w:rsidRPr="00993442">
              <w:t xml:space="preserve"> </w:t>
            </w:r>
            <w:sdt>
              <w:sdtPr>
                <w:id w:val="-1098483664"/>
                <w14:checkbox>
                  <w14:checked w14:val="0"/>
                  <w14:checkedState w14:val="2612" w14:font="MS Gothic"/>
                  <w14:uncheckedState w14:val="2610" w14:font="MS Gothic"/>
                </w14:checkbox>
              </w:sdtPr>
              <w:sdtEndPr/>
              <w:sdtContent>
                <w:r w:rsidRPr="00993442">
                  <w:rPr>
                    <w:rFonts w:ascii="Segoe UI Symbol" w:eastAsia="MS Gothic" w:hAnsi="Segoe UI Symbol" w:cs="Segoe UI Symbol"/>
                  </w:rPr>
                  <w:t>☐</w:t>
                </w:r>
              </w:sdtContent>
            </w:sdt>
            <w:r w:rsidRPr="00993442">
              <w:t xml:space="preserve"> </w:t>
            </w:r>
            <w:r w:rsidRPr="00993442">
              <w:rPr>
                <w:b/>
              </w:rPr>
              <w:t>Timeliness</w:t>
            </w:r>
            <w:r w:rsidRPr="00993442">
              <w:t xml:space="preserve"> </w:t>
            </w:r>
            <w:sdt>
              <w:sdtPr>
                <w:id w:val="1086498859"/>
                <w14:checkbox>
                  <w14:checked w14:val="0"/>
                  <w14:checkedState w14:val="2612" w14:font="MS Gothic"/>
                  <w14:uncheckedState w14:val="2610" w14:font="MS Gothic"/>
                </w14:checkbox>
              </w:sdtPr>
              <w:sdtEndPr/>
              <w:sdtContent>
                <w:r w:rsidRPr="00993442">
                  <w:rPr>
                    <w:rFonts w:ascii="Segoe UI Symbol" w:eastAsia="MS Gothic" w:hAnsi="Segoe UI Symbol" w:cs="Segoe UI Symbol"/>
                  </w:rPr>
                  <w:t>☐</w:t>
                </w:r>
              </w:sdtContent>
            </w:sdt>
            <w:r w:rsidRPr="00993442">
              <w:t xml:space="preserve"> </w:t>
            </w:r>
            <w:r w:rsidRPr="00993442">
              <w:rPr>
                <w:b/>
              </w:rPr>
              <w:t>Other</w:t>
            </w:r>
            <w:r w:rsidRPr="00993442">
              <w:rPr>
                <w:szCs w:val="20"/>
              </w:rPr>
              <w:t xml:space="preserve"> </w:t>
            </w:r>
            <w:sdt>
              <w:sdtPr>
                <w:rPr>
                  <w:szCs w:val="20"/>
                </w:rPr>
                <w:id w:val="1928450506"/>
                <w14:checkbox>
                  <w14:checked w14:val="0"/>
                  <w14:checkedState w14:val="2612" w14:font="MS Gothic"/>
                  <w14:uncheckedState w14:val="2610" w14:font="MS Gothic"/>
                </w14:checkbox>
              </w:sdtPr>
              <w:sdtEndPr/>
              <w:sdtContent>
                <w:r w:rsidRPr="00993442">
                  <w:rPr>
                    <w:rFonts w:ascii="Segoe UI Symbol" w:eastAsia="MS Gothic" w:hAnsi="Segoe UI Symbol" w:cs="Segoe UI Symbol"/>
                    <w:szCs w:val="20"/>
                  </w:rPr>
                  <w:t>☐</w:t>
                </w:r>
              </w:sdtContent>
            </w:sdt>
          </w:p>
          <w:p w14:paraId="3A9A62A6" w14:textId="77777777" w:rsidR="000710BB" w:rsidRPr="00993442" w:rsidRDefault="000710BB" w:rsidP="00B22F66">
            <w:pPr>
              <w:textboxTightWrap w:val="allLines"/>
              <w:rPr>
                <w:b/>
              </w:rPr>
            </w:pPr>
            <w:r w:rsidRPr="00993442">
              <w:rPr>
                <w:b/>
              </w:rPr>
              <w:t xml:space="preserve">If you included ‘Other’ as a data quality check, please describe the check, how it will be measured, and its reason for use below: </w:t>
            </w:r>
          </w:p>
          <w:p w14:paraId="0A96DBF2" w14:textId="77777777" w:rsidR="000710BB" w:rsidRPr="00993442" w:rsidRDefault="000710BB" w:rsidP="00B22F66">
            <w:pPr>
              <w:textboxTightWrap w:val="allLines"/>
            </w:pPr>
            <w:r w:rsidRPr="00993442">
              <w:rPr>
                <w:b/>
              </w:rPr>
              <w:fldChar w:fldCharType="begin">
                <w:ffData>
                  <w:name w:val="Text5"/>
                  <w:enabled/>
                  <w:calcOnExit w:val="0"/>
                  <w:textInput/>
                </w:ffData>
              </w:fldChar>
            </w:r>
            <w:r w:rsidRPr="00993442">
              <w:rPr>
                <w:b/>
              </w:rPr>
              <w:instrText xml:space="preserve"> FORMTEXT </w:instrText>
            </w:r>
            <w:r w:rsidRPr="00993442">
              <w:rPr>
                <w:b/>
              </w:rPr>
            </w:r>
            <w:r w:rsidRPr="00993442">
              <w:rPr>
                <w:b/>
              </w:rPr>
              <w:fldChar w:fldCharType="separate"/>
            </w:r>
            <w:r w:rsidRPr="00993442">
              <w:rPr>
                <w:b/>
              </w:rPr>
              <w:t> </w:t>
            </w:r>
            <w:r w:rsidRPr="00993442">
              <w:rPr>
                <w:b/>
              </w:rPr>
              <w:t> </w:t>
            </w:r>
            <w:r w:rsidRPr="00993442">
              <w:rPr>
                <w:b/>
              </w:rPr>
              <w:t> </w:t>
            </w:r>
            <w:r w:rsidRPr="00993442">
              <w:rPr>
                <w:b/>
              </w:rPr>
              <w:t> </w:t>
            </w:r>
            <w:r w:rsidRPr="00993442">
              <w:rPr>
                <w:b/>
              </w:rPr>
              <w:t> </w:t>
            </w:r>
            <w:r w:rsidRPr="00993442">
              <w:rPr>
                <w:b/>
              </w:rPr>
              <w:fldChar w:fldCharType="end"/>
            </w:r>
            <w:r w:rsidRPr="00993442">
              <w:rPr>
                <w:b/>
              </w:rPr>
              <w:t xml:space="preserve">                                                                                                   </w:t>
            </w:r>
          </w:p>
          <w:p w14:paraId="5880796D" w14:textId="77777777" w:rsidR="000710BB" w:rsidRPr="00993442" w:rsidRDefault="000710BB" w:rsidP="00B22F66">
            <w:pPr>
              <w:textboxTightWrap w:val="allLines"/>
              <w:rPr>
                <w:sz w:val="20"/>
              </w:rPr>
            </w:pPr>
            <w:r w:rsidRPr="00993442">
              <w:rPr>
                <w:b/>
              </w:rPr>
              <w:t xml:space="preserve">ii)  What are the current values for the data quality checks selected? </w:t>
            </w:r>
            <w:r w:rsidRPr="00993442">
              <w:rPr>
                <w:sz w:val="20"/>
              </w:rPr>
              <w:t xml:space="preserve">The period of data the current values are calculated from should be stated. Current values should be recorded as a percentage and calculated as described below. </w:t>
            </w:r>
          </w:p>
          <w:p w14:paraId="53BF325F" w14:textId="77777777" w:rsidR="000710BB" w:rsidRPr="00993442" w:rsidRDefault="000710BB" w:rsidP="00B22F66">
            <w:pPr>
              <w:textboxTightWrap w:val="allLines"/>
              <w:rPr>
                <w:b/>
                <w:sz w:val="20"/>
              </w:rPr>
            </w:pPr>
            <w:r w:rsidRPr="00993442">
              <w:rPr>
                <w:b/>
              </w:rPr>
              <w:t>Period of data:</w:t>
            </w:r>
            <w:r w:rsidRPr="00993442">
              <w:rPr>
                <w:b/>
                <w:sz w:val="20"/>
              </w:rPr>
              <w:t xml:space="preserve">                    </w:t>
            </w:r>
          </w:p>
          <w:p w14:paraId="68FC564D" w14:textId="77777777" w:rsidR="000710BB" w:rsidRPr="00993442" w:rsidRDefault="000710BB" w:rsidP="00B22F66">
            <w:pPr>
              <w:textboxTightWrap w:val="allLines"/>
              <w:rPr>
                <w:b/>
              </w:rPr>
            </w:pPr>
            <w:r w:rsidRPr="00993442">
              <w:rPr>
                <w:b/>
              </w:rPr>
              <w:t xml:space="preserve">Coverage:           </w:t>
            </w:r>
          </w:p>
          <w:p w14:paraId="3387C87A" w14:textId="77777777" w:rsidR="000710BB" w:rsidRPr="00993442" w:rsidRDefault="000710BB" w:rsidP="00B22F66">
            <w:pPr>
              <w:textboxTightWrap w:val="allLines"/>
              <w:rPr>
                <w:b/>
                <w:lang w:eastAsia="en-GB"/>
              </w:rPr>
            </w:pPr>
            <w:r w:rsidRPr="00993442">
              <w:rPr>
                <w:b/>
                <w:sz w:val="20"/>
              </w:rPr>
              <w:t xml:space="preserve">Calculation:        </w:t>
            </w:r>
          </w:p>
          <w:p w14:paraId="7B22B780" w14:textId="77777777" w:rsidR="000710BB" w:rsidRPr="00993442" w:rsidRDefault="000710BB" w:rsidP="00B22F66">
            <w:pPr>
              <w:textboxTightWrap w:val="allLines"/>
            </w:pPr>
            <w:r w:rsidRPr="00993442">
              <w:rPr>
                <w:b/>
              </w:rPr>
              <w:t>Completeness:</w:t>
            </w:r>
            <w:r w:rsidRPr="00993442">
              <w:t xml:space="preserve">          </w:t>
            </w:r>
          </w:p>
          <w:p w14:paraId="7DE698C4" w14:textId="77777777" w:rsidR="000710BB" w:rsidRPr="00993442" w:rsidRDefault="000710BB" w:rsidP="00B22F66">
            <w:pPr>
              <w:textboxTightWrap w:val="allLines"/>
            </w:pPr>
            <w:r w:rsidRPr="00993442">
              <w:rPr>
                <w:b/>
                <w:sz w:val="20"/>
              </w:rPr>
              <w:t xml:space="preserve">Calculation:             </w:t>
            </w:r>
          </w:p>
          <w:p w14:paraId="127F8D5E" w14:textId="77777777" w:rsidR="000710BB" w:rsidRPr="00993442" w:rsidRDefault="000710BB" w:rsidP="00B22F66">
            <w:pPr>
              <w:textboxTightWrap w:val="allLines"/>
            </w:pPr>
            <w:r w:rsidRPr="00993442">
              <w:rPr>
                <w:b/>
              </w:rPr>
              <w:t>Validity:</w:t>
            </w:r>
            <w:r w:rsidRPr="00993442">
              <w:t xml:space="preserve">         </w:t>
            </w:r>
          </w:p>
          <w:p w14:paraId="425F13DC" w14:textId="77777777" w:rsidR="000710BB" w:rsidRPr="00993442" w:rsidRDefault="000710BB" w:rsidP="00B22F66">
            <w:pPr>
              <w:textboxTightWrap w:val="allLines"/>
              <w:rPr>
                <w:sz w:val="20"/>
              </w:rPr>
            </w:pPr>
            <w:r w:rsidRPr="00993442">
              <w:rPr>
                <w:b/>
                <w:sz w:val="20"/>
              </w:rPr>
              <w:t xml:space="preserve">Calculation:    </w:t>
            </w:r>
          </w:p>
          <w:p w14:paraId="5489A80D" w14:textId="77777777" w:rsidR="000710BB" w:rsidRPr="00993442" w:rsidRDefault="000710BB" w:rsidP="00B22F66">
            <w:pPr>
              <w:textboxTightWrap w:val="allLines"/>
            </w:pPr>
            <w:r w:rsidRPr="00993442">
              <w:rPr>
                <w:b/>
              </w:rPr>
              <w:t>Default:</w:t>
            </w:r>
            <w:r w:rsidRPr="00993442">
              <w:t xml:space="preserve">         </w:t>
            </w:r>
          </w:p>
          <w:p w14:paraId="4000DF5A" w14:textId="77777777" w:rsidR="000710BB" w:rsidRPr="00993442" w:rsidRDefault="000710BB" w:rsidP="00B22F66">
            <w:pPr>
              <w:textboxTightWrap w:val="allLines"/>
              <w:rPr>
                <w:sz w:val="20"/>
              </w:rPr>
            </w:pPr>
            <w:r w:rsidRPr="00993442">
              <w:rPr>
                <w:b/>
                <w:sz w:val="20"/>
              </w:rPr>
              <w:t>Calculation:</w:t>
            </w:r>
            <w:r w:rsidRPr="00993442">
              <w:t xml:space="preserve">     </w:t>
            </w:r>
          </w:p>
          <w:p w14:paraId="7C85575C" w14:textId="77777777" w:rsidR="000710BB" w:rsidRPr="00993442" w:rsidRDefault="000710BB" w:rsidP="00B22F66">
            <w:pPr>
              <w:textboxTightWrap w:val="allLines"/>
            </w:pPr>
            <w:r w:rsidRPr="00993442">
              <w:rPr>
                <w:b/>
              </w:rPr>
              <w:t>Integrity:</w:t>
            </w:r>
            <w:r w:rsidRPr="00993442">
              <w:t xml:space="preserve">         </w:t>
            </w:r>
          </w:p>
          <w:p w14:paraId="22755232" w14:textId="77777777" w:rsidR="000710BB" w:rsidRPr="00993442" w:rsidRDefault="000710BB" w:rsidP="00B22F66">
            <w:pPr>
              <w:textboxTightWrap w:val="allLines"/>
              <w:rPr>
                <w:sz w:val="20"/>
              </w:rPr>
            </w:pPr>
            <w:r w:rsidRPr="00993442">
              <w:rPr>
                <w:b/>
                <w:sz w:val="20"/>
              </w:rPr>
              <w:t xml:space="preserve">Calculation:       </w:t>
            </w:r>
          </w:p>
          <w:p w14:paraId="09DEFFB1" w14:textId="77777777" w:rsidR="000710BB" w:rsidRPr="00993442" w:rsidRDefault="000710BB" w:rsidP="00B22F66">
            <w:pPr>
              <w:textboxTightWrap w:val="allLines"/>
            </w:pPr>
            <w:r w:rsidRPr="00993442">
              <w:rPr>
                <w:b/>
              </w:rPr>
              <w:t>Timeliness:</w:t>
            </w:r>
            <w:r w:rsidRPr="00993442">
              <w:t xml:space="preserve">         </w:t>
            </w:r>
          </w:p>
          <w:p w14:paraId="4B03CD44" w14:textId="77777777" w:rsidR="000710BB" w:rsidRPr="00993442" w:rsidRDefault="000710BB" w:rsidP="00B22F66">
            <w:pPr>
              <w:textboxTightWrap w:val="allLines"/>
            </w:pPr>
            <w:r w:rsidRPr="00993442">
              <w:rPr>
                <w:b/>
                <w:sz w:val="20"/>
              </w:rPr>
              <w:t xml:space="preserve">Calculation: </w:t>
            </w:r>
          </w:p>
          <w:p w14:paraId="6BE68ABC" w14:textId="77777777" w:rsidR="000710BB" w:rsidRPr="00993442" w:rsidRDefault="000710BB" w:rsidP="00B22F66">
            <w:pPr>
              <w:textboxTightWrap w:val="allLines"/>
              <w:rPr>
                <w:b/>
              </w:rPr>
            </w:pPr>
            <w:r w:rsidRPr="00993442">
              <w:rPr>
                <w:b/>
              </w:rPr>
              <w:t xml:space="preserve">Other:            </w:t>
            </w:r>
          </w:p>
          <w:p w14:paraId="36FE0425" w14:textId="77777777" w:rsidR="000710BB" w:rsidRPr="00993442" w:rsidRDefault="000710BB" w:rsidP="00B22F66">
            <w:pPr>
              <w:textboxTightWrap w:val="allLines"/>
            </w:pPr>
            <w:r w:rsidRPr="00993442">
              <w:rPr>
                <w:b/>
                <w:sz w:val="20"/>
              </w:rPr>
              <w:t>Calculation:</w:t>
            </w:r>
          </w:p>
          <w:p w14:paraId="49F1C918" w14:textId="77777777" w:rsidR="000710BB" w:rsidRPr="00993442" w:rsidRDefault="000710BB" w:rsidP="00B22F66">
            <w:pPr>
              <w:textboxTightWrap w:val="allLines"/>
              <w:rPr>
                <w:sz w:val="20"/>
              </w:rPr>
            </w:pPr>
            <w:r w:rsidRPr="00993442">
              <w:rPr>
                <w:b/>
              </w:rPr>
              <w:t xml:space="preserve">iii) What are the thresholds for the data quality checks selected? </w:t>
            </w:r>
          </w:p>
          <w:p w14:paraId="5BBC8CC3" w14:textId="77777777" w:rsidR="000710BB" w:rsidRPr="00993442" w:rsidRDefault="000710BB" w:rsidP="00B22F66">
            <w:pPr>
              <w:textboxTightWrap w:val="allLines"/>
              <w:rPr>
                <w:b/>
              </w:rPr>
            </w:pPr>
            <w:r w:rsidRPr="00993442">
              <w:rPr>
                <w:b/>
              </w:rPr>
              <w:t xml:space="preserve">Coverage:           </w:t>
            </w:r>
          </w:p>
          <w:p w14:paraId="6B70F605" w14:textId="77777777" w:rsidR="000710BB" w:rsidRPr="00993442" w:rsidRDefault="000710BB" w:rsidP="00B22F66">
            <w:pPr>
              <w:textboxTightWrap w:val="allLines"/>
            </w:pPr>
            <w:r w:rsidRPr="00993442">
              <w:rPr>
                <w:b/>
              </w:rPr>
              <w:t>Completeness:</w:t>
            </w:r>
            <w:r w:rsidRPr="00993442">
              <w:t xml:space="preserve">          </w:t>
            </w:r>
          </w:p>
          <w:p w14:paraId="679B0E35" w14:textId="77777777" w:rsidR="000710BB" w:rsidRPr="00993442" w:rsidRDefault="000710BB" w:rsidP="00B22F66">
            <w:pPr>
              <w:textboxTightWrap w:val="allLines"/>
            </w:pPr>
            <w:r w:rsidRPr="00993442">
              <w:rPr>
                <w:b/>
              </w:rPr>
              <w:t>Validity:</w:t>
            </w:r>
            <w:r w:rsidRPr="00993442">
              <w:t xml:space="preserve">         </w:t>
            </w:r>
          </w:p>
          <w:p w14:paraId="427CF2C7" w14:textId="77777777" w:rsidR="000710BB" w:rsidRPr="00993442" w:rsidRDefault="000710BB" w:rsidP="00B22F66">
            <w:pPr>
              <w:textboxTightWrap w:val="allLines"/>
            </w:pPr>
            <w:r w:rsidRPr="00993442">
              <w:rPr>
                <w:b/>
              </w:rPr>
              <w:t>Default:</w:t>
            </w:r>
            <w:r w:rsidRPr="00993442">
              <w:t xml:space="preserve">         </w:t>
            </w:r>
          </w:p>
          <w:p w14:paraId="4E7A88DE" w14:textId="77777777" w:rsidR="000710BB" w:rsidRPr="00993442" w:rsidRDefault="000710BB" w:rsidP="00B22F66">
            <w:pPr>
              <w:textboxTightWrap w:val="allLines"/>
            </w:pPr>
            <w:r w:rsidRPr="00993442">
              <w:rPr>
                <w:b/>
              </w:rPr>
              <w:t>Integrity:</w:t>
            </w:r>
            <w:r w:rsidRPr="00993442">
              <w:t xml:space="preserve">         </w:t>
            </w:r>
          </w:p>
          <w:p w14:paraId="4DE19EEA" w14:textId="77777777" w:rsidR="000710BB" w:rsidRPr="00993442" w:rsidRDefault="000710BB" w:rsidP="00B22F66">
            <w:pPr>
              <w:textboxTightWrap w:val="allLines"/>
            </w:pPr>
            <w:r w:rsidRPr="00993442">
              <w:rPr>
                <w:b/>
              </w:rPr>
              <w:t>Timeliness:</w:t>
            </w:r>
            <w:r w:rsidRPr="00993442">
              <w:t xml:space="preserve">         </w:t>
            </w:r>
          </w:p>
          <w:p w14:paraId="526328F7" w14:textId="77777777" w:rsidR="000710BB" w:rsidRPr="00993442" w:rsidRDefault="000710BB" w:rsidP="00B22F66">
            <w:pPr>
              <w:textboxTightWrap w:val="allLines"/>
            </w:pPr>
            <w:r w:rsidRPr="00993442">
              <w:rPr>
                <w:b/>
              </w:rPr>
              <w:t xml:space="preserve">Other:            </w:t>
            </w:r>
            <w:r w:rsidRPr="00993442">
              <w:rPr>
                <w:b/>
                <w:sz w:val="20"/>
              </w:rPr>
              <w:t xml:space="preserve"> </w:t>
            </w:r>
          </w:p>
          <w:p w14:paraId="41275D1A" w14:textId="77777777" w:rsidR="000710BB" w:rsidRPr="00993442" w:rsidRDefault="000710BB" w:rsidP="00B22F66">
            <w:pPr>
              <w:textboxTightWrap w:val="allLines"/>
              <w:rPr>
                <w:sz w:val="20"/>
              </w:rPr>
            </w:pPr>
            <w:r w:rsidRPr="00993442">
              <w:rPr>
                <w:b/>
              </w:rPr>
              <w:t xml:space="preserve">iv) What is the rationale for the selection of the data quality checks and thresholds selected above? </w:t>
            </w:r>
          </w:p>
          <w:p w14:paraId="19475418" w14:textId="77777777" w:rsidR="000710BB" w:rsidRPr="00993442" w:rsidRDefault="000710BB" w:rsidP="00B22F66">
            <w:pPr>
              <w:textboxTightWrap w:val="allLines"/>
            </w:pPr>
            <w:r w:rsidRPr="00993442">
              <w:rPr>
                <w:sz w:val="20"/>
              </w:rPr>
              <w:t xml:space="preserve">                                                                                                                              </w:t>
            </w:r>
          </w:p>
          <w:p w14:paraId="6071CC72" w14:textId="77777777" w:rsidR="000710BB" w:rsidRPr="00993442" w:rsidRDefault="000710BB" w:rsidP="00B22F66">
            <w:pPr>
              <w:textboxTightWrap w:val="allLines"/>
              <w:rPr>
                <w:sz w:val="20"/>
              </w:rPr>
            </w:pPr>
            <w:r w:rsidRPr="00993442">
              <w:rPr>
                <w:b/>
              </w:rPr>
              <w:t xml:space="preserve">v) Describe how you would plan to improve data quality should it not meet, or subsequently fall below, the thresholds required for this indicator. </w:t>
            </w:r>
          </w:p>
          <w:p w14:paraId="2E110E6E" w14:textId="77777777" w:rsidR="000710BB" w:rsidRPr="00993442" w:rsidRDefault="000710BB" w:rsidP="00B22F66">
            <w:pPr>
              <w:textboxTightWrap w:val="allLines"/>
            </w:pPr>
            <w:r w:rsidRPr="00993442">
              <w:rPr>
                <w:b/>
              </w:rPr>
              <w:t xml:space="preserve">                                                                                                                  </w:t>
            </w:r>
          </w:p>
          <w:p w14:paraId="5F6352D9" w14:textId="77777777" w:rsidR="000710BB" w:rsidRPr="00993442" w:rsidRDefault="000710BB" w:rsidP="00B22F66">
            <w:pPr>
              <w:textboxTightWrap w:val="allLines"/>
              <w:rPr>
                <w:b/>
              </w:rPr>
            </w:pPr>
            <w:r w:rsidRPr="00993442">
              <w:rPr>
                <w:b/>
              </w:rPr>
              <w:t xml:space="preserve">vi) Who will own the data quality risks and issues for this indicator? </w:t>
            </w:r>
          </w:p>
          <w:p w14:paraId="006E3437" w14:textId="77777777" w:rsidR="000710BB" w:rsidRPr="00993442" w:rsidRDefault="000710BB" w:rsidP="00B22F66">
            <w:pPr>
              <w:textboxTightWrap w:val="allLines"/>
            </w:pPr>
            <w:r w:rsidRPr="00993442">
              <w:rPr>
                <w:b/>
              </w:rPr>
              <w:t>Name:</w:t>
            </w:r>
            <w:r w:rsidRPr="00993442">
              <w:t xml:space="preserve">                               </w:t>
            </w:r>
          </w:p>
          <w:p w14:paraId="1ED5CC3E" w14:textId="77777777" w:rsidR="000710BB" w:rsidRPr="00993442" w:rsidRDefault="000710BB" w:rsidP="00B22F66">
            <w:pPr>
              <w:textboxTightWrap w:val="allLines"/>
            </w:pPr>
            <w:r w:rsidRPr="00993442">
              <w:rPr>
                <w:b/>
              </w:rPr>
              <w:t>Job Title:</w:t>
            </w:r>
            <w:r w:rsidRPr="00993442">
              <w:t xml:space="preserve">                               </w:t>
            </w:r>
          </w:p>
          <w:p w14:paraId="0B092B16" w14:textId="77777777" w:rsidR="000710BB" w:rsidRPr="00993442" w:rsidRDefault="000710BB" w:rsidP="00B22F66">
            <w:pPr>
              <w:textboxTightWrap w:val="allLines"/>
            </w:pPr>
            <w:r w:rsidRPr="00993442">
              <w:rPr>
                <w:b/>
              </w:rPr>
              <w:t>Role:</w:t>
            </w:r>
            <w:r w:rsidRPr="00993442">
              <w:t xml:space="preserve">                               </w:t>
            </w:r>
          </w:p>
          <w:p w14:paraId="79C6B1AF" w14:textId="77777777" w:rsidR="000710BB" w:rsidRPr="00993442" w:rsidRDefault="000710BB" w:rsidP="00B22F66">
            <w:pPr>
              <w:textboxTightWrap w:val="allLines"/>
            </w:pPr>
            <w:r w:rsidRPr="00993442">
              <w:rPr>
                <w:b/>
              </w:rPr>
              <w:t>Email:</w:t>
            </w:r>
            <w:r w:rsidRPr="00993442">
              <w:t xml:space="preserve">                               </w:t>
            </w:r>
          </w:p>
          <w:p w14:paraId="56C9A223" w14:textId="77777777" w:rsidR="000710BB" w:rsidRPr="00993442" w:rsidRDefault="000710BB" w:rsidP="00B22F66">
            <w:pPr>
              <w:textboxTightWrap w:val="allLines"/>
            </w:pPr>
            <w:r w:rsidRPr="00993442">
              <w:rPr>
                <w:b/>
              </w:rPr>
              <w:t>Telephone:</w:t>
            </w:r>
            <w:r w:rsidRPr="00993442">
              <w:t xml:space="preserve">                               </w:t>
            </w:r>
          </w:p>
          <w:p w14:paraId="105DF3D5" w14:textId="77777777" w:rsidR="000710BB" w:rsidRPr="00993442" w:rsidRDefault="000710BB" w:rsidP="00B22F66">
            <w:pPr>
              <w:spacing w:before="240"/>
              <w:textboxTightWrap w:val="allLines"/>
              <w:rPr>
                <w:sz w:val="20"/>
              </w:rPr>
            </w:pPr>
            <w:r w:rsidRPr="00993442">
              <w:rPr>
                <w:b/>
              </w:rPr>
              <w:lastRenderedPageBreak/>
              <w:t xml:space="preserve">vii) Describe how the data quality risks and issues will be managed for this indicator, including the escalation process. </w:t>
            </w:r>
          </w:p>
          <w:p w14:paraId="7F5FE10E" w14:textId="77777777" w:rsidR="000710BB" w:rsidRPr="00993442" w:rsidRDefault="000710BB" w:rsidP="00B22F66">
            <w:pPr>
              <w:textboxTightWrap w:val="allLines"/>
              <w:rPr>
                <w:b/>
              </w:rPr>
            </w:pPr>
            <w:r w:rsidRPr="00993442">
              <w:rPr>
                <w:b/>
              </w:rPr>
              <w:t xml:space="preserve">                                                                                                                  </w:t>
            </w:r>
          </w:p>
          <w:p w14:paraId="1C49DC83" w14:textId="77777777" w:rsidR="000710BB" w:rsidRPr="00993442" w:rsidRDefault="000710BB" w:rsidP="00B22F66">
            <w:pPr>
              <w:textboxTightWrap w:val="allLines"/>
              <w:rPr>
                <w:sz w:val="20"/>
              </w:rPr>
            </w:pPr>
            <w:r w:rsidRPr="00993442">
              <w:rPr>
                <w:b/>
              </w:rPr>
              <w:t xml:space="preserve">viii) Describe any assumptions you have made about data quality for this indicator. </w:t>
            </w:r>
          </w:p>
          <w:p w14:paraId="589D3BF8" w14:textId="77777777" w:rsidR="000710BB" w:rsidRPr="00993442" w:rsidRDefault="000710BB" w:rsidP="00B22F66">
            <w:pPr>
              <w:textboxTightWrap w:val="allLines"/>
              <w:rPr>
                <w:b/>
              </w:rPr>
            </w:pPr>
            <w:r w:rsidRPr="00993442">
              <w:rPr>
                <w:b/>
              </w:rPr>
              <w:t xml:space="preserve">                                                                                                                  </w:t>
            </w:r>
          </w:p>
          <w:p w14:paraId="231283A5" w14:textId="77777777" w:rsidR="000710BB" w:rsidRPr="00993442" w:rsidRDefault="000710BB" w:rsidP="00B22F66">
            <w:pPr>
              <w:textboxTightWrap w:val="allLines"/>
              <w:rPr>
                <w:b/>
              </w:rPr>
            </w:pPr>
            <w:r w:rsidRPr="00993442">
              <w:rPr>
                <w:b/>
              </w:rPr>
              <w:t>ix) Describe any data quality constraints you are aware of for this indicator.</w:t>
            </w:r>
            <w:r w:rsidRPr="00993442">
              <w:rPr>
                <w:sz w:val="20"/>
              </w:rPr>
              <w:t xml:space="preserve"> </w:t>
            </w:r>
          </w:p>
          <w:p w14:paraId="18510FA9" w14:textId="77777777" w:rsidR="000710BB" w:rsidRPr="00993442" w:rsidRDefault="000710BB" w:rsidP="00B22F66">
            <w:pPr>
              <w:textboxTightWrap w:val="allLines"/>
              <w:rPr>
                <w:b/>
              </w:rPr>
            </w:pPr>
            <w:r w:rsidRPr="00993442">
              <w:rPr>
                <w:b/>
              </w:rPr>
              <w:t xml:space="preserve">                                                                                                                  </w:t>
            </w:r>
          </w:p>
          <w:p w14:paraId="78D27B24" w14:textId="77777777" w:rsidR="000710BB" w:rsidRPr="00993442" w:rsidRDefault="000710BB" w:rsidP="00B22F66">
            <w:pPr>
              <w:spacing w:before="240"/>
              <w:rPr>
                <w:b/>
              </w:rPr>
            </w:pPr>
            <w:r w:rsidRPr="00993442">
              <w:rPr>
                <w:b/>
              </w:rPr>
              <w:t xml:space="preserve">x) Additional data quality information: </w:t>
            </w:r>
          </w:p>
          <w:p w14:paraId="3DCB0F7C" w14:textId="77777777" w:rsidR="000710BB" w:rsidRPr="00993442" w:rsidRDefault="000710BB" w:rsidP="00B22F66">
            <w:pPr>
              <w:spacing w:before="240"/>
              <w:rPr>
                <w:b/>
              </w:rPr>
            </w:pPr>
            <w:r w:rsidRPr="00993442">
              <w:rPr>
                <w:b/>
              </w:rPr>
              <w:t xml:space="preserve">                                                                                                                 </w:t>
            </w:r>
          </w:p>
          <w:p w14:paraId="40B8D2D9" w14:textId="321DE82E" w:rsidR="000710BB" w:rsidRPr="00993442" w:rsidRDefault="000710BB" w:rsidP="00B22F66">
            <w:pPr>
              <w:spacing w:before="240"/>
            </w:pPr>
            <w:r w:rsidRPr="00993442">
              <w:rPr>
                <w:b/>
              </w:rPr>
              <w:t xml:space="preserve">                                                                                                                  </w:t>
            </w:r>
          </w:p>
        </w:tc>
      </w:tr>
      <w:tr w:rsidR="00993442" w:rsidRPr="00993442" w14:paraId="2EF9999D" w14:textId="77777777" w:rsidTr="000710BB">
        <w:tc>
          <w:tcPr>
            <w:tcW w:w="1843" w:type="dxa"/>
          </w:tcPr>
          <w:p w14:paraId="2AA3D7EA" w14:textId="01E35745" w:rsidR="000710BB" w:rsidRPr="00993442" w:rsidRDefault="000710BB" w:rsidP="00B22F66">
            <w:pPr>
              <w:spacing w:before="240"/>
              <w:ind w:left="34"/>
              <w:rPr>
                <w:b/>
              </w:rPr>
            </w:pPr>
            <w:permStart w:id="1509492878" w:edGrp="everyone" w:colFirst="1" w:colLast="1"/>
            <w:permEnd w:id="1621171720"/>
            <w:r w:rsidRPr="00993442">
              <w:rPr>
                <w:b/>
              </w:rPr>
              <w:lastRenderedPageBreak/>
              <w:t>3.5 Quality assurance</w:t>
            </w:r>
          </w:p>
        </w:tc>
        <w:tc>
          <w:tcPr>
            <w:tcW w:w="7513" w:type="dxa"/>
          </w:tcPr>
          <w:p w14:paraId="6A9F0326" w14:textId="77777777" w:rsidR="000710BB" w:rsidRPr="00993442" w:rsidRDefault="000710BB" w:rsidP="00B22F66">
            <w:pPr>
              <w:spacing w:before="240"/>
            </w:pPr>
            <w:r w:rsidRPr="00993442">
              <w:t>As SSNAP data is subject to strong built-in validation via the secure web tool, it means that it is not possible for providers to enter illogical timings; however, this is double checked during analysis and therefore the accuracy of the indicator is very high. No assumptions are made regarding the arrival and discharge times, apart from when a patient died in hospital. When calculating hospital discharges the indicator uses an assumed time component for time of death, for example 23:59. Firstly, this is due to information governance reasons as it was felt that it would be excessive to capture the exact time of death of patients. Secondly, clinicians need to feel confident that there will not be any negative consequences to providing the most suitable care when their patient is dying. Clinically, it may be best for the patient to be on another ward for their last few hours, which would negatively impact on some indicators if exact times were used.</w:t>
            </w:r>
          </w:p>
          <w:p w14:paraId="7148AC28" w14:textId="77777777" w:rsidR="000710BB" w:rsidRPr="00993442" w:rsidRDefault="000710BB" w:rsidP="00B22F66">
            <w:pPr>
              <w:spacing w:before="240"/>
            </w:pPr>
            <w:r w:rsidRPr="00993442">
              <w:t xml:space="preserve">When submitting SSNAP data, security and confidentiality are maintained through the use of passwords and a person-specific registration process. A dedicated helpdesk is in place to answer queries from SSNAP participants, helping to ensure questions are interpreted consistently (which informs updates to FAQs and data set help notes). Users can register for their team on the SSNAP web tool and input data for their team. Once records are complete and </w:t>
            </w:r>
            <w:proofErr w:type="gramStart"/>
            <w:r w:rsidRPr="00993442">
              <w:t>correct</w:t>
            </w:r>
            <w:proofErr w:type="gramEnd"/>
            <w:r w:rsidRPr="00993442">
              <w:t xml:space="preserve"> they can be ‘locked’ at different levels. Records can be ‘locked’ to 72 hours once this information is completed, they can then be locked to discharge once this is applicable. Locking confirms that all data have been clinically signed off and are ready for central analysis. The ‘Lead clinical contact’ role is responsible for ensuring that the overall system of data collection and entry onto the web tool is accurate, robust and functioning. The SSNAP encourage the lead to routinely check data. Only complete and locked to 72 hours records go into data analysis for the </w:t>
            </w:r>
            <w:proofErr w:type="gramStart"/>
            <w:r w:rsidRPr="00993442">
              <w:t>72 hour</w:t>
            </w:r>
            <w:proofErr w:type="gramEnd"/>
            <w:r w:rsidRPr="00993442">
              <w:t xml:space="preserve"> section and complete and locked to discharge records go into data analysis for the post-72h section.</w:t>
            </w:r>
          </w:p>
          <w:p w14:paraId="0C017531" w14:textId="77777777" w:rsidR="000710BB" w:rsidRPr="00993442" w:rsidRDefault="000710BB" w:rsidP="00B22F66">
            <w:pPr>
              <w:spacing w:before="240"/>
            </w:pPr>
            <w:r w:rsidRPr="00993442">
              <w:t>Eligibility criteria are applied to determine which records can be included in the audit. The criteria are: ICD-10 codes I61, I63, I64, but hospitals have means of checking for eligible patients other than their coding system and participants are encouraged to enter cases prospectively meaning the stroke team have more control over selecting records to be included and can also refer to their stroke register, should they have one.</w:t>
            </w:r>
          </w:p>
        </w:tc>
      </w:tr>
      <w:tr w:rsidR="00993442" w:rsidRPr="00993442" w14:paraId="51B62558" w14:textId="77777777" w:rsidTr="000710BB">
        <w:tc>
          <w:tcPr>
            <w:tcW w:w="1843" w:type="dxa"/>
          </w:tcPr>
          <w:p w14:paraId="2D42BC29" w14:textId="082D4C15" w:rsidR="000710BB" w:rsidRPr="00993442" w:rsidRDefault="000710BB" w:rsidP="00B22F66">
            <w:pPr>
              <w:spacing w:before="240"/>
              <w:ind w:left="34"/>
              <w:rPr>
                <w:b/>
              </w:rPr>
            </w:pPr>
            <w:permStart w:id="521956076" w:edGrp="everyone" w:colFirst="1" w:colLast="1"/>
            <w:permEnd w:id="1509492878"/>
            <w:r w:rsidRPr="00993442">
              <w:rPr>
                <w:b/>
              </w:rPr>
              <w:t>3.6 Data linkage</w:t>
            </w:r>
          </w:p>
        </w:tc>
        <w:tc>
          <w:tcPr>
            <w:tcW w:w="7513" w:type="dxa"/>
          </w:tcPr>
          <w:p w14:paraId="74393514" w14:textId="77777777" w:rsidR="000710BB" w:rsidRPr="00993442" w:rsidRDefault="000710BB" w:rsidP="00B22F66">
            <w:pPr>
              <w:spacing w:before="240"/>
            </w:pPr>
            <w:r w:rsidRPr="00993442">
              <w:t xml:space="preserve">SSNAP records are linked with mortality information from ONS. The SSNAP data are securely sent for linkage following each quarterly deadline, and the information on any death notifications is provided back monthly. This enables SSNAP to track mortality other than as reported on SSNAP (i.e. after patients have left care). As well as providing </w:t>
            </w:r>
            <w:proofErr w:type="spellStart"/>
            <w:r w:rsidRPr="00993442">
              <w:t>casemix</w:t>
            </w:r>
            <w:proofErr w:type="spellEnd"/>
            <w:r w:rsidRPr="00993442">
              <w:t xml:space="preserve"> adjusted mortality rates, this is also used for other purposes, such as to determine eligibility for receiving a </w:t>
            </w:r>
            <w:proofErr w:type="gramStart"/>
            <w:r w:rsidRPr="00993442">
              <w:t>six month</w:t>
            </w:r>
            <w:proofErr w:type="gramEnd"/>
            <w:r w:rsidRPr="00993442">
              <w:t xml:space="preserve"> assessment.</w:t>
            </w:r>
          </w:p>
        </w:tc>
      </w:tr>
      <w:tr w:rsidR="00993442" w:rsidRPr="00993442" w14:paraId="4A03FF56" w14:textId="77777777" w:rsidTr="000710BB">
        <w:trPr>
          <w:trHeight w:val="1979"/>
        </w:trPr>
        <w:tc>
          <w:tcPr>
            <w:tcW w:w="1843" w:type="dxa"/>
          </w:tcPr>
          <w:p w14:paraId="0D7EE68C" w14:textId="2DD27171" w:rsidR="000710BB" w:rsidRPr="00993442" w:rsidRDefault="000710BB" w:rsidP="00B22F66">
            <w:pPr>
              <w:spacing w:before="240"/>
              <w:ind w:left="34"/>
              <w:rPr>
                <w:b/>
              </w:rPr>
            </w:pPr>
            <w:permStart w:id="746985901" w:edGrp="everyone" w:colFirst="2" w:colLast="2"/>
            <w:permEnd w:id="521956076"/>
            <w:r w:rsidRPr="00993442">
              <w:rPr>
                <w:b/>
              </w:rPr>
              <w:lastRenderedPageBreak/>
              <w:t>3.7 Quality of data linkage</w:t>
            </w:r>
          </w:p>
        </w:tc>
        <w:tc>
          <w:tcPr>
            <w:tcW w:w="7513" w:type="dxa"/>
          </w:tcPr>
          <w:p w14:paraId="585F3E6F" w14:textId="77777777" w:rsidR="000710BB" w:rsidRPr="00993442" w:rsidRDefault="000710BB" w:rsidP="00B22F66">
            <w:pPr>
              <w:autoSpaceDE w:val="0"/>
              <w:autoSpaceDN w:val="0"/>
              <w:adjustRightInd w:val="0"/>
            </w:pPr>
          </w:p>
          <w:p w14:paraId="58EAFD4B" w14:textId="77777777" w:rsidR="000710BB" w:rsidRPr="00993442" w:rsidRDefault="000710BB" w:rsidP="00B22F66">
            <w:pPr>
              <w:spacing w:before="240"/>
            </w:pPr>
            <w:r w:rsidRPr="00993442">
              <w:t xml:space="preserve">The match rate between SSNAP and ONS data stood at over 98% for 2013/14 data; </w:t>
            </w:r>
            <w:proofErr w:type="gramStart"/>
            <w:r w:rsidRPr="00993442">
              <w:t>therefore</w:t>
            </w:r>
            <w:proofErr w:type="gramEnd"/>
            <w:r w:rsidRPr="00993442">
              <w:t xml:space="preserve"> the indicator is considered an accurate representation of mortality for stroke patients. The RCP are still awaiting 2014/15 mortality data but there are not expected to be concerns with the linkage.</w:t>
            </w:r>
          </w:p>
        </w:tc>
      </w:tr>
      <w:tr w:rsidR="00993442" w:rsidRPr="00993442" w14:paraId="774C0BC3" w14:textId="77777777" w:rsidTr="000710BB">
        <w:trPr>
          <w:trHeight w:val="1358"/>
        </w:trPr>
        <w:tc>
          <w:tcPr>
            <w:tcW w:w="1843" w:type="dxa"/>
          </w:tcPr>
          <w:p w14:paraId="16B2B93E" w14:textId="452563C8" w:rsidR="000710BB" w:rsidRPr="00993442" w:rsidRDefault="000710BB" w:rsidP="00B22F66">
            <w:pPr>
              <w:spacing w:before="240"/>
              <w:ind w:left="34"/>
              <w:rPr>
                <w:b/>
              </w:rPr>
            </w:pPr>
            <w:permStart w:id="852117643" w:edGrp="everyone" w:colFirst="1" w:colLast="1"/>
            <w:r w:rsidRPr="00993442">
              <w:rPr>
                <w:b/>
              </w:rPr>
              <w:t>3.8 Da</w:t>
            </w:r>
            <w:permEnd w:id="746985901"/>
            <w:r w:rsidRPr="00993442">
              <w:rPr>
                <w:b/>
              </w:rPr>
              <w:t>ta fields</w:t>
            </w:r>
          </w:p>
        </w:tc>
        <w:tc>
          <w:tcPr>
            <w:tcW w:w="7513" w:type="dxa"/>
          </w:tcPr>
          <w:p w14:paraId="61794A00" w14:textId="77777777" w:rsidR="000710BB" w:rsidRPr="00993442" w:rsidRDefault="000710BB" w:rsidP="00B22F66">
            <w:pPr>
              <w:spacing w:before="240"/>
            </w:pPr>
            <w:r w:rsidRPr="00993442">
              <w:t xml:space="preserve">The data fields supplied by the RCP are as follows: </w:t>
            </w:r>
          </w:p>
          <w:p w14:paraId="0518D0F9" w14:textId="77777777" w:rsidR="000710BB" w:rsidRPr="00993442" w:rsidRDefault="000710BB" w:rsidP="00B22F66">
            <w:pPr>
              <w:spacing w:before="240"/>
            </w:pPr>
            <w:r w:rsidRPr="00993442">
              <w:t>1. Number of records in SSNAP attributed to this CCG with a known stroke type</w:t>
            </w:r>
          </w:p>
          <w:p w14:paraId="2415944F" w14:textId="77777777" w:rsidR="000710BB" w:rsidRPr="00993442" w:rsidRDefault="000710BB" w:rsidP="00B22F66">
            <w:pPr>
              <w:spacing w:before="240"/>
            </w:pPr>
            <w:r w:rsidRPr="00993442">
              <w:t xml:space="preserve">2. Case ascertainment band for admitted patients </w:t>
            </w:r>
          </w:p>
          <w:p w14:paraId="6AE768D9" w14:textId="77777777" w:rsidR="000710BB" w:rsidRPr="00993442" w:rsidRDefault="000710BB" w:rsidP="00B22F66">
            <w:pPr>
              <w:spacing w:before="240"/>
            </w:pPr>
            <w:r w:rsidRPr="00993442">
              <w:t>3. Number of deaths expected (</w:t>
            </w:r>
            <w:proofErr w:type="spellStart"/>
            <w:r w:rsidRPr="00993442">
              <w:t>casemix</w:t>
            </w:r>
            <w:proofErr w:type="spellEnd"/>
            <w:r w:rsidRPr="00993442">
              <w:t xml:space="preserve"> adjusted) </w:t>
            </w:r>
          </w:p>
          <w:p w14:paraId="4AAE37FB" w14:textId="77777777" w:rsidR="000710BB" w:rsidRPr="00993442" w:rsidRDefault="000710BB" w:rsidP="00B22F66">
            <w:pPr>
              <w:spacing w:before="240"/>
            </w:pPr>
            <w:r w:rsidRPr="00993442">
              <w:t xml:space="preserve">4. Number of deaths reported </w:t>
            </w:r>
          </w:p>
          <w:p w14:paraId="18A6686F" w14:textId="77777777" w:rsidR="000710BB" w:rsidRPr="00993442" w:rsidRDefault="000710BB" w:rsidP="00B22F66">
            <w:pPr>
              <w:spacing w:before="240"/>
            </w:pPr>
            <w:r w:rsidRPr="00993442">
              <w:t xml:space="preserve">5. Standardised Mortality Ratio (SMR) </w:t>
            </w:r>
          </w:p>
          <w:p w14:paraId="43013268" w14:textId="77777777" w:rsidR="000710BB" w:rsidRPr="00993442" w:rsidRDefault="000710BB" w:rsidP="00B22F66">
            <w:pPr>
              <w:spacing w:before="240"/>
            </w:pPr>
            <w:r w:rsidRPr="00993442">
              <w:t>6. Lower 99.8% control limit</w:t>
            </w:r>
          </w:p>
          <w:p w14:paraId="1FF78F95" w14:textId="77777777" w:rsidR="000710BB" w:rsidRPr="00993442" w:rsidRDefault="000710BB" w:rsidP="00B22F66">
            <w:pPr>
              <w:autoSpaceDE w:val="0"/>
              <w:autoSpaceDN w:val="0"/>
              <w:adjustRightInd w:val="0"/>
            </w:pPr>
            <w:r w:rsidRPr="00993442">
              <w:t>7. Upper 99.8% control limit</w:t>
            </w:r>
          </w:p>
        </w:tc>
      </w:tr>
      <w:tr w:rsidR="00993442" w:rsidRPr="00993442" w14:paraId="3B5777C3" w14:textId="77777777" w:rsidTr="000710BB">
        <w:tc>
          <w:tcPr>
            <w:tcW w:w="1843" w:type="dxa"/>
          </w:tcPr>
          <w:p w14:paraId="3E22789C" w14:textId="4479851C" w:rsidR="000710BB" w:rsidRPr="00993442" w:rsidRDefault="000710BB" w:rsidP="00B22F66">
            <w:pPr>
              <w:spacing w:before="240"/>
              <w:ind w:left="34"/>
              <w:rPr>
                <w:b/>
              </w:rPr>
            </w:pPr>
            <w:permStart w:id="397946549" w:edGrp="everyone" w:colFirst="1" w:colLast="1"/>
            <w:permEnd w:id="852117643"/>
            <w:r w:rsidRPr="00993442">
              <w:rPr>
                <w:b/>
              </w:rPr>
              <w:t>3.9 Data filters</w:t>
            </w:r>
          </w:p>
          <w:p w14:paraId="4B79D6EE" w14:textId="77777777" w:rsidR="000710BB" w:rsidRPr="00993442" w:rsidRDefault="000710BB" w:rsidP="00B22F66">
            <w:pPr>
              <w:spacing w:before="240"/>
              <w:ind w:left="34"/>
              <w:rPr>
                <w:b/>
              </w:rPr>
            </w:pPr>
          </w:p>
        </w:tc>
        <w:tc>
          <w:tcPr>
            <w:tcW w:w="7513" w:type="dxa"/>
          </w:tcPr>
          <w:p w14:paraId="1C3755A2" w14:textId="77777777" w:rsidR="000710BB" w:rsidRPr="00993442" w:rsidRDefault="000710BB" w:rsidP="00B22F66">
            <w:pPr>
              <w:spacing w:before="240"/>
            </w:pPr>
            <w:r w:rsidRPr="00993442">
              <w:t xml:space="preserve">SSNAP-derived records meeting all of the following requirements are valid for the denominator in this indicator. </w:t>
            </w:r>
          </w:p>
          <w:p w14:paraId="11DCF448" w14:textId="77777777" w:rsidR="000710BB" w:rsidRPr="00993442" w:rsidRDefault="000710BB" w:rsidP="00CB2802">
            <w:pPr>
              <w:pStyle w:val="ListParagraph"/>
              <w:numPr>
                <w:ilvl w:val="0"/>
                <w:numId w:val="12"/>
              </w:numPr>
              <w:spacing w:before="240" w:after="180" w:line="240" w:lineRule="auto"/>
              <w:contextualSpacing w:val="0"/>
              <w:textboxTightWrap w:val="lastLineOnly"/>
              <w:rPr>
                <w:rFonts w:ascii="Arial" w:hAnsi="Arial" w:cs="Arial"/>
              </w:rPr>
            </w:pPr>
            <w:r w:rsidRPr="00993442">
              <w:rPr>
                <w:rFonts w:ascii="Arial" w:hAnsi="Arial" w:cs="Arial"/>
              </w:rPr>
              <w:t xml:space="preserve">Primary Diagnosis is equal to ‘I61’ or ‘I63’ or ‘I64’ </w:t>
            </w:r>
          </w:p>
          <w:p w14:paraId="64942C1F" w14:textId="77777777" w:rsidR="000710BB" w:rsidRPr="00993442" w:rsidRDefault="000710BB" w:rsidP="00B22F66">
            <w:pPr>
              <w:spacing w:before="240"/>
            </w:pPr>
            <w:r w:rsidRPr="00993442">
              <w:t xml:space="preserve">SSNAP-derived records meeting all of the following requirements are valid for the numerator in this indicator. </w:t>
            </w:r>
          </w:p>
          <w:p w14:paraId="236D836B" w14:textId="77777777" w:rsidR="000710BB" w:rsidRPr="00993442" w:rsidRDefault="000710BB" w:rsidP="00B22F66">
            <w:pPr>
              <w:spacing w:before="240"/>
            </w:pPr>
            <w:r w:rsidRPr="00993442">
              <w:t>Date of Death within 30 days of Admission Date</w:t>
            </w:r>
          </w:p>
        </w:tc>
      </w:tr>
      <w:tr w:rsidR="00993442" w:rsidRPr="00993442" w14:paraId="0D3FB2D8" w14:textId="77777777" w:rsidTr="000710BB">
        <w:tc>
          <w:tcPr>
            <w:tcW w:w="1843" w:type="dxa"/>
          </w:tcPr>
          <w:p w14:paraId="2C01B99E" w14:textId="1F659F47" w:rsidR="000710BB" w:rsidRPr="00993442" w:rsidRDefault="000710BB" w:rsidP="00B22F66">
            <w:pPr>
              <w:spacing w:before="240"/>
              <w:ind w:left="34"/>
              <w:rPr>
                <w:b/>
              </w:rPr>
            </w:pPr>
            <w:permStart w:id="1851595987" w:edGrp="everyone" w:colFirst="1" w:colLast="1"/>
            <w:permEnd w:id="397946549"/>
            <w:r w:rsidRPr="00993442">
              <w:rPr>
                <w:b/>
              </w:rPr>
              <w:t xml:space="preserve">3.10 Justifications of inclusions and exclusions </w:t>
            </w:r>
          </w:p>
          <w:p w14:paraId="593AA6E2" w14:textId="77777777" w:rsidR="000710BB" w:rsidRPr="00993442" w:rsidRDefault="000710BB" w:rsidP="00B22F66">
            <w:pPr>
              <w:ind w:left="34"/>
            </w:pPr>
            <w:r w:rsidRPr="00993442">
              <w:t>and how these adhere to standard definitions</w:t>
            </w:r>
          </w:p>
        </w:tc>
        <w:tc>
          <w:tcPr>
            <w:tcW w:w="7513" w:type="dxa"/>
          </w:tcPr>
          <w:p w14:paraId="3A2106B1" w14:textId="77777777" w:rsidR="000710BB" w:rsidRPr="00993442" w:rsidRDefault="000710BB" w:rsidP="00B22F66">
            <w:pPr>
              <w:spacing w:before="240"/>
            </w:pPr>
            <w:r w:rsidRPr="00993442">
              <w:t>Primary Diagnosis is equal to ‘I61’ or ‘I63’ or ‘I64’ - Selects primary diagnosis of stroke. 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p w14:paraId="200A7EEE" w14:textId="77777777" w:rsidR="000710BB" w:rsidRPr="00993442" w:rsidRDefault="000710BB" w:rsidP="00B22F66">
            <w:pPr>
              <w:spacing w:before="240"/>
            </w:pPr>
            <w:r w:rsidRPr="00993442">
              <w:t>Date of Death within 30 days of Admission Date - Selects only patients who died within 30 days of admission.</w:t>
            </w:r>
          </w:p>
          <w:p w14:paraId="4DB44701" w14:textId="77777777" w:rsidR="000710BB" w:rsidRPr="00993442" w:rsidRDefault="000710BB" w:rsidP="00B22F66">
            <w:pPr>
              <w:spacing w:before="240"/>
            </w:pPr>
            <w:r w:rsidRPr="00993442">
              <w:t>The SSNAP uses the following ICD-10 diagnosis codes to identify stroke patients:</w:t>
            </w:r>
          </w:p>
          <w:p w14:paraId="1814C356" w14:textId="77777777" w:rsidR="000710BB" w:rsidRPr="00993442" w:rsidRDefault="000710BB" w:rsidP="00CB2802">
            <w:pPr>
              <w:pStyle w:val="ListParagraph"/>
              <w:numPr>
                <w:ilvl w:val="0"/>
                <w:numId w:val="12"/>
              </w:numPr>
              <w:spacing w:before="240" w:after="180" w:line="240" w:lineRule="auto"/>
              <w:contextualSpacing w:val="0"/>
              <w:textboxTightWrap w:val="lastLineOnly"/>
              <w:rPr>
                <w:rFonts w:ascii="Arial" w:hAnsi="Arial" w:cs="Arial"/>
              </w:rPr>
            </w:pPr>
            <w:r w:rsidRPr="00993442">
              <w:rPr>
                <w:rFonts w:ascii="Arial" w:hAnsi="Arial" w:cs="Arial"/>
              </w:rPr>
              <w:t>I61 - Intracerebral haemorrhage</w:t>
            </w:r>
          </w:p>
          <w:p w14:paraId="6F968924" w14:textId="77777777" w:rsidR="000710BB" w:rsidRPr="00993442" w:rsidRDefault="000710BB" w:rsidP="00CB2802">
            <w:pPr>
              <w:pStyle w:val="ListParagraph"/>
              <w:numPr>
                <w:ilvl w:val="0"/>
                <w:numId w:val="12"/>
              </w:numPr>
              <w:spacing w:before="240" w:after="180" w:line="240" w:lineRule="auto"/>
              <w:contextualSpacing w:val="0"/>
              <w:textboxTightWrap w:val="lastLineOnly"/>
              <w:rPr>
                <w:rFonts w:ascii="Arial" w:hAnsi="Arial" w:cs="Arial"/>
              </w:rPr>
            </w:pPr>
            <w:r w:rsidRPr="00993442">
              <w:rPr>
                <w:rFonts w:ascii="Arial" w:hAnsi="Arial" w:cs="Arial"/>
              </w:rPr>
              <w:t>I63 - Cerebral infarction</w:t>
            </w:r>
          </w:p>
          <w:p w14:paraId="7D180E2E" w14:textId="77777777" w:rsidR="000710BB" w:rsidRPr="00993442" w:rsidRDefault="000710BB" w:rsidP="00CB2802">
            <w:pPr>
              <w:pStyle w:val="ListParagraph"/>
              <w:numPr>
                <w:ilvl w:val="0"/>
                <w:numId w:val="12"/>
              </w:numPr>
              <w:spacing w:before="240" w:after="180" w:line="240" w:lineRule="auto"/>
              <w:contextualSpacing w:val="0"/>
              <w:textboxTightWrap w:val="lastLineOnly"/>
              <w:rPr>
                <w:rFonts w:ascii="Arial" w:hAnsi="Arial" w:cs="Arial"/>
              </w:rPr>
            </w:pPr>
            <w:r w:rsidRPr="00993442">
              <w:rPr>
                <w:rFonts w:ascii="Arial" w:hAnsi="Arial" w:cs="Arial"/>
              </w:rPr>
              <w:lastRenderedPageBreak/>
              <w:t>I64 - Stroke, not specified as haemorrhage or infarction</w:t>
            </w:r>
          </w:p>
          <w:p w14:paraId="1EE4EE54" w14:textId="77777777" w:rsidR="000710BB" w:rsidRPr="00993442" w:rsidRDefault="000710BB" w:rsidP="00B22F66">
            <w:pPr>
              <w:spacing w:before="240"/>
            </w:pPr>
            <w:r w:rsidRPr="00993442">
              <w:t xml:space="preserve">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 </w:t>
            </w:r>
          </w:p>
          <w:p w14:paraId="4F97CA7B" w14:textId="77777777" w:rsidR="000710BB" w:rsidRPr="00993442" w:rsidRDefault="000710BB" w:rsidP="00B22F66">
            <w:pPr>
              <w:spacing w:before="240"/>
            </w:pPr>
            <w:r w:rsidRPr="00993442">
              <w:t>Subarachnoid haemorrhages and other non-traumatic intracranial haemorrhages are routinely and nearly always managed entirely outside of the stroke unit by neurosurgeons or by interventional neuroradiologists, which is what is recommended in national guidelines for these cases. The indicators need to reflect the care given on appropriate clinical pathways, not arbitrary groupings.</w:t>
            </w:r>
          </w:p>
        </w:tc>
      </w:tr>
      <w:tr w:rsidR="00993442" w:rsidRPr="00993442" w14:paraId="1267D20F" w14:textId="77777777" w:rsidTr="000710BB">
        <w:tc>
          <w:tcPr>
            <w:tcW w:w="1843" w:type="dxa"/>
          </w:tcPr>
          <w:p w14:paraId="663847F2" w14:textId="29AFE9BB" w:rsidR="000710BB" w:rsidRPr="00993442" w:rsidRDefault="000710BB" w:rsidP="00B22F66">
            <w:pPr>
              <w:spacing w:before="240"/>
              <w:ind w:left="34"/>
              <w:rPr>
                <w:b/>
              </w:rPr>
            </w:pPr>
            <w:permStart w:id="1452813997" w:edGrp="everyone" w:colFirst="1" w:colLast="1"/>
            <w:permEnd w:id="1851595987"/>
            <w:r w:rsidRPr="00993442">
              <w:rPr>
                <w:b/>
              </w:rPr>
              <w:lastRenderedPageBreak/>
              <w:t>3.11 Data processing</w:t>
            </w:r>
          </w:p>
        </w:tc>
        <w:tc>
          <w:tcPr>
            <w:tcW w:w="7513" w:type="dxa"/>
          </w:tcPr>
          <w:p w14:paraId="182D06BA" w14:textId="77777777" w:rsidR="000710BB" w:rsidRPr="00993442" w:rsidRDefault="000710BB" w:rsidP="00B22F66">
            <w:pPr>
              <w:spacing w:before="240"/>
            </w:pPr>
            <w:r w:rsidRPr="00993442">
              <w:t>The calculated CCG level indicator is provided by the RCP and includes the SMR, expected and reported deaths, control limits and contextual information. It is provided with any necessary data suppression.</w:t>
            </w:r>
          </w:p>
        </w:tc>
      </w:tr>
      <w:permEnd w:id="1452813997"/>
    </w:tbl>
    <w:p w14:paraId="33F23DAD" w14:textId="77777777" w:rsidR="00CB2802" w:rsidRPr="00993442" w:rsidRDefault="00CB2802" w:rsidP="00CB2802">
      <w:r w:rsidRPr="00993442">
        <w:br w:type="page"/>
      </w:r>
    </w:p>
    <w:p w14:paraId="5464C414" w14:textId="2E05C856" w:rsidR="000710BB" w:rsidRPr="00993442" w:rsidRDefault="000710BB">
      <w:r w:rsidRPr="00993442">
        <w:lastRenderedPageBreak/>
        <w:t>Section 4 Construction</w:t>
      </w:r>
    </w:p>
    <w:tbl>
      <w:tblPr>
        <w:tblStyle w:val="TableGrid2"/>
        <w:tblW w:w="0" w:type="auto"/>
        <w:tblLook w:val="04A0" w:firstRow="1" w:lastRow="0" w:firstColumn="1" w:lastColumn="0" w:noHBand="0" w:noVBand="1"/>
      </w:tblPr>
      <w:tblGrid>
        <w:gridCol w:w="1889"/>
        <w:gridCol w:w="8165"/>
      </w:tblGrid>
      <w:tr w:rsidR="00993442" w:rsidRPr="00993442" w14:paraId="65385D23" w14:textId="77777777" w:rsidTr="000710BB">
        <w:tc>
          <w:tcPr>
            <w:tcW w:w="1889" w:type="dxa"/>
          </w:tcPr>
          <w:p w14:paraId="0E06B0C0" w14:textId="5828A0B4" w:rsidR="000710BB" w:rsidRPr="00993442" w:rsidRDefault="000710BB" w:rsidP="00B22F66">
            <w:pPr>
              <w:spacing w:before="240"/>
              <w:ind w:left="34"/>
              <w:rPr>
                <w:b/>
              </w:rPr>
            </w:pPr>
            <w:permStart w:id="1402747649" w:edGrp="everyone" w:colFirst="1" w:colLast="1"/>
            <w:r w:rsidRPr="00993442">
              <w:rPr>
                <w:b/>
              </w:rPr>
              <w:t>4.1 Numerator</w:t>
            </w:r>
          </w:p>
        </w:tc>
        <w:tc>
          <w:tcPr>
            <w:tcW w:w="8165" w:type="dxa"/>
          </w:tcPr>
          <w:p w14:paraId="31B76F5F" w14:textId="77777777" w:rsidR="000710BB" w:rsidRPr="00993442" w:rsidRDefault="000710BB" w:rsidP="00B22F66">
            <w:pPr>
              <w:spacing w:before="240"/>
            </w:pPr>
            <w:r w:rsidRPr="00993442">
              <w:t>The observed number of deaths that occurred in the 30 days following an admission to hospital with a primary diagnosis of stroke.</w:t>
            </w:r>
          </w:p>
        </w:tc>
      </w:tr>
      <w:tr w:rsidR="00993442" w:rsidRPr="00993442" w14:paraId="059C6608" w14:textId="77777777" w:rsidTr="000710BB">
        <w:tc>
          <w:tcPr>
            <w:tcW w:w="1889" w:type="dxa"/>
          </w:tcPr>
          <w:p w14:paraId="1A374A5D" w14:textId="4E1714A8" w:rsidR="000710BB" w:rsidRPr="00993442" w:rsidRDefault="000710BB" w:rsidP="00B22F66">
            <w:pPr>
              <w:spacing w:before="240"/>
              <w:ind w:left="34"/>
              <w:rPr>
                <w:b/>
              </w:rPr>
            </w:pPr>
            <w:permStart w:id="1725583477" w:edGrp="everyone" w:colFirst="1" w:colLast="1"/>
            <w:permEnd w:id="1402747649"/>
            <w:r w:rsidRPr="00993442">
              <w:rPr>
                <w:b/>
              </w:rPr>
              <w:t>4.2 Denominator</w:t>
            </w:r>
          </w:p>
        </w:tc>
        <w:tc>
          <w:tcPr>
            <w:tcW w:w="8165" w:type="dxa"/>
          </w:tcPr>
          <w:p w14:paraId="562C894E" w14:textId="77777777" w:rsidR="000710BB" w:rsidRPr="00993442" w:rsidRDefault="000710BB" w:rsidP="00B22F66">
            <w:pPr>
              <w:spacing w:before="240"/>
            </w:pPr>
            <w:r w:rsidRPr="00993442">
              <w:t>The number of deaths expected (</w:t>
            </w:r>
            <w:proofErr w:type="spellStart"/>
            <w:r w:rsidRPr="00993442">
              <w:t>casemix</w:t>
            </w:r>
            <w:proofErr w:type="spellEnd"/>
            <w:r w:rsidRPr="00993442">
              <w:t xml:space="preserve"> adjusted) to occur in the 30 days following an admission to hospital with a primary diagnosis of stroke.</w:t>
            </w:r>
          </w:p>
        </w:tc>
      </w:tr>
      <w:tr w:rsidR="00993442" w:rsidRPr="00993442" w14:paraId="328CA50E" w14:textId="77777777" w:rsidTr="000710BB">
        <w:tc>
          <w:tcPr>
            <w:tcW w:w="1889" w:type="dxa"/>
          </w:tcPr>
          <w:p w14:paraId="797A18DB" w14:textId="44DEDA90" w:rsidR="000710BB" w:rsidRPr="00993442" w:rsidRDefault="000710BB" w:rsidP="00B22F66">
            <w:pPr>
              <w:spacing w:before="240"/>
              <w:ind w:left="34"/>
              <w:rPr>
                <w:b/>
              </w:rPr>
            </w:pPr>
            <w:permStart w:id="2029156789" w:edGrp="everyone" w:colFirst="1" w:colLast="1"/>
            <w:permEnd w:id="1725583477"/>
            <w:r w:rsidRPr="00993442">
              <w:rPr>
                <w:b/>
              </w:rPr>
              <w:t>4.3 Computation</w:t>
            </w:r>
          </w:p>
        </w:tc>
        <w:tc>
          <w:tcPr>
            <w:tcW w:w="8165" w:type="dxa"/>
          </w:tcPr>
          <w:p w14:paraId="5C187D52" w14:textId="77777777" w:rsidR="000710BB" w:rsidRPr="00993442" w:rsidRDefault="000710BB" w:rsidP="00B22F66">
            <w:pPr>
              <w:spacing w:before="240"/>
            </w:pPr>
            <w:r w:rsidRPr="00993442">
              <w:t xml:space="preserve">The indicator is calculated as a </w:t>
            </w:r>
            <w:proofErr w:type="spellStart"/>
            <w:r w:rsidRPr="00993442">
              <w:t>casemix</w:t>
            </w:r>
            <w:proofErr w:type="spellEnd"/>
            <w:r w:rsidRPr="00993442">
              <w:t xml:space="preserve"> adjusted standardised mortality ratio.</w:t>
            </w:r>
          </w:p>
        </w:tc>
      </w:tr>
      <w:tr w:rsidR="00993442" w:rsidRPr="00993442" w14:paraId="00D99477" w14:textId="77777777" w:rsidTr="000710BB">
        <w:tc>
          <w:tcPr>
            <w:tcW w:w="1889" w:type="dxa"/>
          </w:tcPr>
          <w:p w14:paraId="48CBACA4" w14:textId="61402977" w:rsidR="000710BB" w:rsidRPr="00993442" w:rsidRDefault="000710BB" w:rsidP="00B22F66">
            <w:pPr>
              <w:spacing w:before="240"/>
              <w:ind w:left="34"/>
              <w:rPr>
                <w:b/>
              </w:rPr>
            </w:pPr>
            <w:permStart w:id="1014443198" w:edGrp="everyone" w:colFirst="1" w:colLast="1"/>
            <w:permEnd w:id="2029156789"/>
            <w:r w:rsidRPr="00993442">
              <w:rPr>
                <w:b/>
              </w:rPr>
              <w:t>4.4 Risk adjustment or standardisation type and methodology</w:t>
            </w:r>
          </w:p>
        </w:tc>
        <w:tc>
          <w:tcPr>
            <w:tcW w:w="8165" w:type="dxa"/>
          </w:tcPr>
          <w:sdt>
            <w:sdtPr>
              <w:rPr>
                <w:b/>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48AAE4D9" w14:textId="77777777" w:rsidR="000710BB" w:rsidRPr="00993442" w:rsidRDefault="000710BB" w:rsidP="00B22F66">
                <w:pPr>
                  <w:spacing w:before="240"/>
                </w:pPr>
                <w:r w:rsidRPr="00993442">
                  <w:rPr>
                    <w:b/>
                  </w:rPr>
                  <w:t>Indirect Standardisation</w:t>
                </w:r>
              </w:p>
            </w:sdtContent>
          </w:sdt>
          <w:p w14:paraId="5F1A276E" w14:textId="77777777" w:rsidR="000710BB" w:rsidRPr="00993442" w:rsidRDefault="000710BB" w:rsidP="00B22F66">
            <w:pPr>
              <w:spacing w:before="240"/>
              <w:rPr>
                <w:i/>
              </w:rPr>
            </w:pPr>
            <w:r w:rsidRPr="00993442">
              <w:rPr>
                <w:i/>
              </w:rPr>
              <w:t>Variables and methodology:</w:t>
            </w:r>
          </w:p>
          <w:p w14:paraId="0967958F" w14:textId="77777777" w:rsidR="000710BB" w:rsidRPr="00993442" w:rsidRDefault="000710BB" w:rsidP="00B22F66">
            <w:pPr>
              <w:spacing w:before="240"/>
              <w:rPr>
                <w:i/>
              </w:rPr>
            </w:pPr>
            <w:r w:rsidRPr="00993442">
              <w:rPr>
                <w:b/>
                <w:noProof/>
                <w:lang w:eastAsia="en-GB"/>
              </w:rPr>
              <w:drawing>
                <wp:inline distT="0" distB="0" distL="0" distR="0" wp14:anchorId="1A6B168D" wp14:editId="58354E9C">
                  <wp:extent cx="2220686" cy="630055"/>
                  <wp:effectExtent l="0" t="0" r="8255" b="0"/>
                  <wp:docPr id="1" name="Picture 1" descr="Formula for calculation of indirect standard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0686" cy="630055"/>
                          </a:xfrm>
                          <a:prstGeom prst="rect">
                            <a:avLst/>
                          </a:prstGeom>
                          <a:noFill/>
                          <a:ln>
                            <a:noFill/>
                          </a:ln>
                        </pic:spPr>
                      </pic:pic>
                    </a:graphicData>
                  </a:graphic>
                </wp:inline>
              </w:drawing>
            </w:r>
          </w:p>
          <w:p w14:paraId="65E14652" w14:textId="77777777" w:rsidR="000710BB" w:rsidRPr="00993442" w:rsidRDefault="000710BB" w:rsidP="00B22F66">
            <w:pPr>
              <w:spacing w:before="240"/>
            </w:pPr>
          </w:p>
          <w:p w14:paraId="0E539A8C" w14:textId="77777777" w:rsidR="000710BB" w:rsidRPr="00993442" w:rsidRDefault="000710BB" w:rsidP="00B22F66">
            <w:pPr>
              <w:spacing w:before="240"/>
            </w:pPr>
            <w:r w:rsidRPr="00993442">
              <w:t xml:space="preserve">Where: </w:t>
            </w:r>
          </w:p>
          <w:p w14:paraId="385CAFC5" w14:textId="77777777" w:rsidR="000710BB" w:rsidRPr="00993442" w:rsidRDefault="000710BB" w:rsidP="00B22F66">
            <w:pPr>
              <w:spacing w:before="240"/>
            </w:pPr>
            <w:r w:rsidRPr="00993442">
              <w:t xml:space="preserve">O is the total observed number of events in the local or subject population </w:t>
            </w:r>
          </w:p>
          <w:p w14:paraId="56CFFA46" w14:textId="77777777" w:rsidR="000710BB" w:rsidRPr="00993442" w:rsidRDefault="000710BB" w:rsidP="00B22F66">
            <w:pPr>
              <w:spacing w:before="240"/>
            </w:pPr>
            <w:r w:rsidRPr="00993442">
              <w:rPr>
                <w:i/>
                <w:iCs/>
              </w:rPr>
              <w:t xml:space="preserve">E </w:t>
            </w:r>
            <w:r w:rsidRPr="00993442">
              <w:t xml:space="preserve">is the total number of expected events in the local or subject population, given the standard rates </w:t>
            </w:r>
            <w:proofErr w:type="spellStart"/>
            <w:r w:rsidRPr="00993442">
              <w:t>λ</w:t>
            </w:r>
            <w:r w:rsidRPr="00993442">
              <w:rPr>
                <w:i/>
                <w:iCs/>
                <w:vertAlign w:val="subscript"/>
              </w:rPr>
              <w:t>i</w:t>
            </w:r>
            <w:proofErr w:type="spellEnd"/>
            <w:r w:rsidRPr="00993442">
              <w:rPr>
                <w:i/>
                <w:iCs/>
                <w:vertAlign w:val="subscript"/>
              </w:rPr>
              <w:t xml:space="preserve"> </w:t>
            </w:r>
            <w:r w:rsidRPr="00993442">
              <w:t xml:space="preserve">in the reference or standard </w:t>
            </w:r>
            <w:proofErr w:type="gramStart"/>
            <w:r w:rsidRPr="00993442">
              <w:t>population;</w:t>
            </w:r>
            <w:proofErr w:type="gramEnd"/>
            <w:r w:rsidRPr="00993442">
              <w:t xml:space="preserve"> </w:t>
            </w:r>
          </w:p>
          <w:p w14:paraId="03C123E1" w14:textId="77777777" w:rsidR="000710BB" w:rsidRPr="00993442" w:rsidRDefault="000710BB" w:rsidP="00B22F66">
            <w:pPr>
              <w:spacing w:before="240"/>
            </w:pPr>
            <w:r w:rsidRPr="00993442">
              <w:rPr>
                <w:i/>
                <w:iCs/>
              </w:rPr>
              <w:t>O</w:t>
            </w:r>
            <w:r w:rsidRPr="00993442">
              <w:rPr>
                <w:i/>
                <w:iCs/>
                <w:vertAlign w:val="subscript"/>
              </w:rPr>
              <w:t>i</w:t>
            </w:r>
            <w:r w:rsidRPr="00993442">
              <w:rPr>
                <w:i/>
                <w:iCs/>
              </w:rPr>
              <w:t xml:space="preserve"> </w:t>
            </w:r>
            <w:r w:rsidRPr="00993442">
              <w:t xml:space="preserve">is the observed numbers of events in the local or subject population in age group </w:t>
            </w:r>
            <w:proofErr w:type="spellStart"/>
            <w:proofErr w:type="gramStart"/>
            <w:r w:rsidRPr="00993442">
              <w:rPr>
                <w:i/>
                <w:iCs/>
              </w:rPr>
              <w:t>i</w:t>
            </w:r>
            <w:proofErr w:type="spellEnd"/>
            <w:r w:rsidRPr="00993442">
              <w:t>;</w:t>
            </w:r>
            <w:proofErr w:type="gramEnd"/>
            <w:r w:rsidRPr="00993442">
              <w:t xml:space="preserve"> </w:t>
            </w:r>
          </w:p>
          <w:p w14:paraId="238A170D" w14:textId="77777777" w:rsidR="000710BB" w:rsidRPr="00993442" w:rsidRDefault="000710BB" w:rsidP="00B22F66">
            <w:pPr>
              <w:spacing w:before="240"/>
            </w:pPr>
            <w:proofErr w:type="spellStart"/>
            <w:r w:rsidRPr="00993442">
              <w:rPr>
                <w:i/>
                <w:iCs/>
              </w:rPr>
              <w:t>Ei</w:t>
            </w:r>
            <w:proofErr w:type="spellEnd"/>
            <w:r w:rsidRPr="00993442">
              <w:rPr>
                <w:i/>
                <w:iCs/>
              </w:rPr>
              <w:t xml:space="preserve"> </w:t>
            </w:r>
            <w:r w:rsidRPr="00993442">
              <w:t xml:space="preserve">is the expected number of events in the local or subject population in age group </w:t>
            </w:r>
            <w:proofErr w:type="spellStart"/>
            <w:r w:rsidRPr="00993442">
              <w:rPr>
                <w:i/>
                <w:iCs/>
              </w:rPr>
              <w:t>i</w:t>
            </w:r>
            <w:proofErr w:type="spellEnd"/>
            <w:r w:rsidRPr="00993442">
              <w:t xml:space="preserve">, given the standard rate </w:t>
            </w:r>
            <w:proofErr w:type="spellStart"/>
            <w:r w:rsidRPr="00993442">
              <w:t>λ</w:t>
            </w:r>
            <w:r w:rsidRPr="00993442">
              <w:rPr>
                <w:i/>
                <w:iCs/>
                <w:vertAlign w:val="subscript"/>
              </w:rPr>
              <w:t>i</w:t>
            </w:r>
            <w:proofErr w:type="spellEnd"/>
            <w:r w:rsidRPr="00993442">
              <w:rPr>
                <w:i/>
                <w:iCs/>
              </w:rPr>
              <w:t xml:space="preserve"> </w:t>
            </w:r>
            <w:r w:rsidRPr="00993442">
              <w:t xml:space="preserve">in the reference or standard </w:t>
            </w:r>
            <w:proofErr w:type="gramStart"/>
            <w:r w:rsidRPr="00993442">
              <w:t>population;</w:t>
            </w:r>
            <w:proofErr w:type="gramEnd"/>
            <w:r w:rsidRPr="00993442">
              <w:t xml:space="preserve"> </w:t>
            </w:r>
          </w:p>
          <w:p w14:paraId="03A31CED" w14:textId="77777777" w:rsidR="000710BB" w:rsidRPr="00993442" w:rsidRDefault="000710BB" w:rsidP="00B22F66">
            <w:pPr>
              <w:spacing w:before="240"/>
            </w:pPr>
            <w:proofErr w:type="spellStart"/>
            <w:r w:rsidRPr="00993442">
              <w:rPr>
                <w:i/>
                <w:iCs/>
              </w:rPr>
              <w:t>n</w:t>
            </w:r>
            <w:r w:rsidRPr="00993442">
              <w:rPr>
                <w:i/>
                <w:iCs/>
                <w:vertAlign w:val="subscript"/>
              </w:rPr>
              <w:t>i</w:t>
            </w:r>
            <w:proofErr w:type="spellEnd"/>
            <w:r w:rsidRPr="00993442">
              <w:rPr>
                <w:i/>
                <w:iCs/>
              </w:rPr>
              <w:t xml:space="preserve"> </w:t>
            </w:r>
            <w:r w:rsidRPr="00993442">
              <w:t xml:space="preserve">is the number of individuals in the local or subject population in age group </w:t>
            </w:r>
            <w:proofErr w:type="spellStart"/>
            <w:proofErr w:type="gramStart"/>
            <w:r w:rsidRPr="00993442">
              <w:rPr>
                <w:i/>
                <w:iCs/>
              </w:rPr>
              <w:t>i</w:t>
            </w:r>
            <w:proofErr w:type="spellEnd"/>
            <w:r w:rsidRPr="00993442">
              <w:t>;</w:t>
            </w:r>
            <w:proofErr w:type="gramEnd"/>
            <w:r w:rsidRPr="00993442">
              <w:t xml:space="preserve"> </w:t>
            </w:r>
          </w:p>
          <w:p w14:paraId="2399635A" w14:textId="77777777" w:rsidR="000710BB" w:rsidRPr="00993442" w:rsidRDefault="000710BB" w:rsidP="00B22F66">
            <w:pPr>
              <w:spacing w:before="240"/>
            </w:pPr>
            <w:proofErr w:type="spellStart"/>
            <w:r w:rsidRPr="00993442">
              <w:t>λ</w:t>
            </w:r>
            <w:r w:rsidRPr="00993442">
              <w:rPr>
                <w:i/>
                <w:iCs/>
                <w:vertAlign w:val="subscript"/>
              </w:rPr>
              <w:t>i</w:t>
            </w:r>
            <w:proofErr w:type="spellEnd"/>
            <w:r w:rsidRPr="00993442">
              <w:rPr>
                <w:i/>
                <w:iCs/>
              </w:rPr>
              <w:t xml:space="preserve"> </w:t>
            </w:r>
            <w:r w:rsidRPr="00993442">
              <w:t xml:space="preserve">is the crude age-specific rate in the reference or standard population in age group </w:t>
            </w:r>
            <w:proofErr w:type="spellStart"/>
            <w:proofErr w:type="gramStart"/>
            <w:r w:rsidRPr="00993442">
              <w:rPr>
                <w:i/>
                <w:iCs/>
              </w:rPr>
              <w:t>i</w:t>
            </w:r>
            <w:proofErr w:type="spellEnd"/>
            <w:r w:rsidRPr="00993442">
              <w:t>;</w:t>
            </w:r>
            <w:proofErr w:type="gramEnd"/>
          </w:p>
          <w:p w14:paraId="4E853076" w14:textId="77777777" w:rsidR="000710BB" w:rsidRPr="00993442" w:rsidRDefault="000710BB" w:rsidP="00B22F66">
            <w:pPr>
              <w:spacing w:before="240"/>
            </w:pPr>
            <w:r w:rsidRPr="00993442">
              <w:t>The age and sex specific rates of the standard population (the relevant national population) are applied to the age and sex structure of the subject population to give an expected number of events. The observed number of events is then compared to that expected and expressed as a ratio (observed/expected).</w:t>
            </w:r>
          </w:p>
          <w:p w14:paraId="66A1049E" w14:textId="77777777" w:rsidR="000710BB" w:rsidRPr="00993442" w:rsidRDefault="000710BB" w:rsidP="00B22F66">
            <w:pPr>
              <w:spacing w:before="240"/>
              <w:rPr>
                <w:u w:val="single"/>
              </w:rPr>
            </w:pPr>
            <w:proofErr w:type="spellStart"/>
            <w:r w:rsidRPr="00993442">
              <w:rPr>
                <w:u w:val="single"/>
              </w:rPr>
              <w:t>Casemix</w:t>
            </w:r>
            <w:proofErr w:type="spellEnd"/>
            <w:r w:rsidRPr="00993442">
              <w:rPr>
                <w:u w:val="single"/>
              </w:rPr>
              <w:t xml:space="preserve"> Adjustment </w:t>
            </w:r>
          </w:p>
          <w:p w14:paraId="4A3B14DD" w14:textId="77777777" w:rsidR="000710BB" w:rsidRPr="00993442" w:rsidRDefault="000710BB" w:rsidP="00B22F66">
            <w:pPr>
              <w:spacing w:before="120" w:after="120"/>
            </w:pPr>
            <w:r w:rsidRPr="00993442">
              <w:t xml:space="preserve">To estimate the probability of </w:t>
            </w:r>
            <w:proofErr w:type="gramStart"/>
            <w:r w:rsidRPr="00993442">
              <w:t>30 day</w:t>
            </w:r>
            <w:proofErr w:type="gramEnd"/>
            <w:r w:rsidRPr="00993442">
              <w:t xml:space="preserve"> mortality for a patient, the observed value of each variable in the model is multiplied by a corresponding coefficient and summed to give a value, ω. This is a data-driven model and the coefficients are created based on the strength the variable has on mortality according to the cohort of data.</w:t>
            </w:r>
          </w:p>
          <w:p w14:paraId="579C389A" w14:textId="77777777" w:rsidR="000710BB" w:rsidRPr="00993442" w:rsidRDefault="000710BB" w:rsidP="00B22F66">
            <w:pPr>
              <w:spacing w:before="120" w:after="120"/>
            </w:pPr>
            <w:r w:rsidRPr="00993442">
              <w:lastRenderedPageBreak/>
              <w:t xml:space="preserve">The value ω is then used in the equation </w:t>
            </w:r>
            <m:oMath>
              <m:f>
                <m:fPr>
                  <m:ctrlPr>
                    <w:rPr>
                      <w:rFonts w:ascii="Cambria Math" w:hAnsi="Cambria Math"/>
                    </w:rPr>
                  </m:ctrlPr>
                </m:fPr>
                <m:num>
                  <m:func>
                    <m:funcPr>
                      <m:ctrlPr>
                        <w:rPr>
                          <w:rFonts w:ascii="Cambria Math" w:hAnsi="Cambria Math"/>
                        </w:rPr>
                      </m:ctrlPr>
                    </m:funcPr>
                    <m:fName>
                      <m:r>
                        <m:rPr>
                          <m:sty m:val="p"/>
                        </m:rPr>
                        <w:rPr>
                          <w:rFonts w:ascii="Cambria Math" w:hAnsi="Cambria Math"/>
                        </w:rPr>
                        <m:t>exp</m:t>
                      </m:r>
                    </m:fName>
                    <m:e>
                      <m:r>
                        <m:rPr>
                          <m:sty m:val="p"/>
                        </m:rPr>
                        <w:rPr>
                          <w:rFonts w:ascii="Cambria Math" w:hAnsi="Cambria Math"/>
                        </w:rPr>
                        <m:t>(ω)</m:t>
                      </m:r>
                    </m:e>
                  </m:func>
                </m:num>
                <m:den>
                  <m:r>
                    <m:rPr>
                      <m:sty m:val="p"/>
                    </m:rPr>
                    <w:rPr>
                      <w:rFonts w:ascii="Cambria Math" w:hAnsi="Cambria Math"/>
                    </w:rPr>
                    <m:t>1+exp⁡(ω)</m:t>
                  </m:r>
                </m:den>
              </m:f>
              <m:r>
                <w:rPr>
                  <w:rFonts w:ascii="Cambria Math" w:hAnsi="Cambria Math"/>
                </w:rPr>
                <m:t xml:space="preserve"> </m:t>
              </m:r>
            </m:oMath>
            <w:r w:rsidRPr="00993442">
              <w:t xml:space="preserve">to give the predicted probability of </w:t>
            </w:r>
            <w:proofErr w:type="gramStart"/>
            <w:r w:rsidRPr="00993442">
              <w:t>30 day</w:t>
            </w:r>
            <w:proofErr w:type="gramEnd"/>
            <w:r w:rsidRPr="00993442">
              <w:t xml:space="preserve"> mortality.</w:t>
            </w:r>
          </w:p>
          <w:p w14:paraId="1F344F61" w14:textId="77777777" w:rsidR="000710BB" w:rsidRPr="00993442" w:rsidRDefault="000710BB" w:rsidP="00B22F66">
            <w:pPr>
              <w:spacing w:before="120" w:after="120"/>
            </w:pPr>
            <w:r w:rsidRPr="00993442">
              <w:t xml:space="preserve">The RCP use two models for </w:t>
            </w:r>
            <w:proofErr w:type="spellStart"/>
            <w:r w:rsidRPr="00993442">
              <w:t>casemix</w:t>
            </w:r>
            <w:proofErr w:type="spellEnd"/>
            <w:r w:rsidRPr="00993442">
              <w:t xml:space="preserve"> adjustment, which are detailed in the published paper ‘Derivation and external validation of a </w:t>
            </w:r>
            <w:proofErr w:type="spellStart"/>
            <w:r w:rsidRPr="00993442">
              <w:t>casemix</w:t>
            </w:r>
            <w:proofErr w:type="spellEnd"/>
            <w:r w:rsidRPr="00993442">
              <w:t xml:space="preserve"> model for the standardized reporting of 30-day stroke mortality </w:t>
            </w:r>
            <w:proofErr w:type="gramStart"/>
            <w:r w:rsidRPr="00993442">
              <w:t>rates’</w:t>
            </w:r>
            <w:proofErr w:type="gramEnd"/>
            <w:r w:rsidRPr="00993442">
              <w:t xml:space="preserve">. Bray BD, Campbell J, Cloud GC, Hoffman A, James M, Tyrrell PJ, Wolfe CD, Rudd AG; Intercollegiate Stroke Working Party Group (2014) </w:t>
            </w:r>
            <w:hyperlink r:id="rId11" w:history="1">
              <w:r w:rsidRPr="00993442">
                <w:rPr>
                  <w:rStyle w:val="Hyperlink"/>
                  <w:color w:val="auto"/>
                </w:rPr>
                <w:t>http://www.ncbi.nlm.nih.gov/pubmed/25293667</w:t>
              </w:r>
            </w:hyperlink>
            <w:r w:rsidRPr="00993442">
              <w:t xml:space="preserve">  </w:t>
            </w:r>
          </w:p>
          <w:p w14:paraId="65EAFC6A" w14:textId="77777777" w:rsidR="000710BB" w:rsidRPr="00993442" w:rsidRDefault="000710BB" w:rsidP="00B22F66">
            <w:pPr>
              <w:spacing w:before="240"/>
            </w:pPr>
          </w:p>
          <w:p w14:paraId="12A93817" w14:textId="3D8A96A1" w:rsidR="000710BB" w:rsidRPr="00993442" w:rsidRDefault="000710BB" w:rsidP="000710BB"/>
        </w:tc>
      </w:tr>
    </w:tbl>
    <w:permEnd w:id="1014443198"/>
    <w:p w14:paraId="73F2C60A" w14:textId="29923465" w:rsidR="000710BB" w:rsidRPr="00993442" w:rsidRDefault="000710BB" w:rsidP="000710BB">
      <w:pPr>
        <w:spacing w:before="120" w:after="120"/>
      </w:pPr>
      <w:r w:rsidRPr="00993442">
        <w:lastRenderedPageBreak/>
        <w:t>For 2013-14, the following coefficients were used:</w:t>
      </w:r>
    </w:p>
    <w:p w14:paraId="343ADBF6" w14:textId="33A960DE" w:rsidR="000710BB" w:rsidRPr="00993442" w:rsidRDefault="000710BB">
      <w:r w:rsidRPr="00993442">
        <w:rPr>
          <w:sz w:val="18"/>
          <w:szCs w:val="18"/>
          <w:lang w:eastAsia="en-GB"/>
        </w:rPr>
        <w:t>Model A</w:t>
      </w:r>
    </w:p>
    <w:tbl>
      <w:tblPr>
        <w:tblStyle w:val="TableGrid2"/>
        <w:tblW w:w="0" w:type="auto"/>
        <w:tblLook w:val="04A0" w:firstRow="1" w:lastRow="0" w:firstColumn="1" w:lastColumn="0" w:noHBand="0" w:noVBand="1"/>
      </w:tblPr>
      <w:tblGrid>
        <w:gridCol w:w="2648"/>
        <w:gridCol w:w="1137"/>
      </w:tblGrid>
      <w:tr w:rsidR="00993442" w:rsidRPr="00993442" w14:paraId="65DAABAF" w14:textId="77777777" w:rsidTr="000710BB">
        <w:tc>
          <w:tcPr>
            <w:tcW w:w="2648" w:type="dxa"/>
          </w:tcPr>
          <w:p w14:paraId="0ECFC267" w14:textId="77777777" w:rsidR="000710BB" w:rsidRPr="00993442" w:rsidRDefault="000710BB" w:rsidP="009879CF">
            <w:pPr>
              <w:rPr>
                <w:sz w:val="18"/>
                <w:szCs w:val="18"/>
                <w:lang w:eastAsia="en-GB"/>
              </w:rPr>
            </w:pPr>
            <w:r w:rsidRPr="00993442">
              <w:rPr>
                <w:sz w:val="18"/>
                <w:szCs w:val="18"/>
                <w:lang w:eastAsia="en-GB"/>
              </w:rPr>
              <w:t>Variable</w:t>
            </w:r>
          </w:p>
        </w:tc>
        <w:tc>
          <w:tcPr>
            <w:tcW w:w="1137" w:type="dxa"/>
          </w:tcPr>
          <w:p w14:paraId="5361B146" w14:textId="77777777" w:rsidR="000710BB" w:rsidRPr="00993442" w:rsidRDefault="000710BB" w:rsidP="009879CF">
            <w:pPr>
              <w:rPr>
                <w:sz w:val="18"/>
                <w:szCs w:val="18"/>
                <w:lang w:eastAsia="en-GB"/>
              </w:rPr>
            </w:pPr>
            <w:r w:rsidRPr="00993442">
              <w:rPr>
                <w:sz w:val="18"/>
                <w:szCs w:val="18"/>
                <w:lang w:eastAsia="en-GB"/>
              </w:rPr>
              <w:t>Coefficient</w:t>
            </w:r>
          </w:p>
        </w:tc>
      </w:tr>
      <w:tr w:rsidR="00993442" w:rsidRPr="00993442" w14:paraId="0B2A5D06" w14:textId="77777777" w:rsidTr="000710BB">
        <w:tc>
          <w:tcPr>
            <w:tcW w:w="2648" w:type="dxa"/>
          </w:tcPr>
          <w:p w14:paraId="10F94FF0" w14:textId="77777777" w:rsidR="000710BB" w:rsidRPr="00993442" w:rsidRDefault="000710BB" w:rsidP="009879CF">
            <w:pPr>
              <w:rPr>
                <w:i/>
                <w:sz w:val="18"/>
                <w:szCs w:val="18"/>
                <w:lang w:eastAsia="en-GB"/>
              </w:rPr>
            </w:pPr>
            <w:r w:rsidRPr="00993442">
              <w:rPr>
                <w:i/>
                <w:sz w:val="18"/>
                <w:szCs w:val="18"/>
                <w:lang w:eastAsia="en-GB"/>
              </w:rPr>
              <w:t>Age</w:t>
            </w:r>
          </w:p>
        </w:tc>
        <w:tc>
          <w:tcPr>
            <w:tcW w:w="1137" w:type="dxa"/>
          </w:tcPr>
          <w:p w14:paraId="477C6B3A" w14:textId="77777777" w:rsidR="000710BB" w:rsidRPr="00993442" w:rsidRDefault="000710BB" w:rsidP="009879CF">
            <w:pPr>
              <w:rPr>
                <w:sz w:val="18"/>
                <w:szCs w:val="18"/>
                <w:lang w:eastAsia="en-GB"/>
              </w:rPr>
            </w:pPr>
          </w:p>
        </w:tc>
      </w:tr>
      <w:tr w:rsidR="00993442" w:rsidRPr="00993442" w14:paraId="3084725A" w14:textId="77777777" w:rsidTr="000710BB">
        <w:tc>
          <w:tcPr>
            <w:tcW w:w="2648" w:type="dxa"/>
          </w:tcPr>
          <w:p w14:paraId="733F778F" w14:textId="77777777" w:rsidR="000710BB" w:rsidRPr="00993442" w:rsidRDefault="000710BB" w:rsidP="009879CF">
            <w:pPr>
              <w:rPr>
                <w:sz w:val="18"/>
                <w:szCs w:val="18"/>
                <w:lang w:eastAsia="en-GB"/>
              </w:rPr>
            </w:pPr>
            <w:r w:rsidRPr="00993442">
              <w:rPr>
                <w:sz w:val="18"/>
                <w:szCs w:val="18"/>
                <w:lang w:eastAsia="en-GB"/>
              </w:rPr>
              <w:t>&lt;60</w:t>
            </w:r>
          </w:p>
        </w:tc>
        <w:tc>
          <w:tcPr>
            <w:tcW w:w="1137" w:type="dxa"/>
          </w:tcPr>
          <w:p w14:paraId="64DA949F" w14:textId="77777777" w:rsidR="000710BB" w:rsidRPr="00993442" w:rsidRDefault="000710BB" w:rsidP="009879CF">
            <w:pPr>
              <w:rPr>
                <w:sz w:val="18"/>
                <w:szCs w:val="18"/>
                <w:lang w:eastAsia="en-GB"/>
              </w:rPr>
            </w:pPr>
            <w:r w:rsidRPr="00993442">
              <w:rPr>
                <w:sz w:val="18"/>
                <w:szCs w:val="18"/>
                <w:lang w:eastAsia="en-GB"/>
              </w:rPr>
              <w:t>0.000</w:t>
            </w:r>
          </w:p>
        </w:tc>
      </w:tr>
      <w:tr w:rsidR="00993442" w:rsidRPr="00993442" w14:paraId="3C6CE5A3" w14:textId="77777777" w:rsidTr="000710BB">
        <w:tc>
          <w:tcPr>
            <w:tcW w:w="2648" w:type="dxa"/>
          </w:tcPr>
          <w:p w14:paraId="6423B152" w14:textId="77777777" w:rsidR="000710BB" w:rsidRPr="00993442" w:rsidRDefault="000710BB" w:rsidP="009879CF">
            <w:pPr>
              <w:rPr>
                <w:sz w:val="18"/>
                <w:szCs w:val="18"/>
                <w:lang w:eastAsia="en-GB"/>
              </w:rPr>
            </w:pPr>
            <w:r w:rsidRPr="00993442">
              <w:rPr>
                <w:sz w:val="18"/>
                <w:szCs w:val="18"/>
                <w:lang w:eastAsia="en-GB"/>
              </w:rPr>
              <w:t>60-69</w:t>
            </w:r>
          </w:p>
        </w:tc>
        <w:tc>
          <w:tcPr>
            <w:tcW w:w="1137" w:type="dxa"/>
          </w:tcPr>
          <w:p w14:paraId="485693B2" w14:textId="77777777" w:rsidR="000710BB" w:rsidRPr="00993442" w:rsidRDefault="000710BB" w:rsidP="009879CF">
            <w:pPr>
              <w:rPr>
                <w:sz w:val="18"/>
                <w:szCs w:val="18"/>
                <w:lang w:eastAsia="en-GB"/>
              </w:rPr>
            </w:pPr>
            <w:r w:rsidRPr="00993442">
              <w:rPr>
                <w:sz w:val="18"/>
                <w:szCs w:val="18"/>
                <w:lang w:eastAsia="en-GB"/>
              </w:rPr>
              <w:t>0.624</w:t>
            </w:r>
          </w:p>
        </w:tc>
      </w:tr>
      <w:tr w:rsidR="00993442" w:rsidRPr="00993442" w14:paraId="10E0C1D5" w14:textId="77777777" w:rsidTr="000710BB">
        <w:tc>
          <w:tcPr>
            <w:tcW w:w="2648" w:type="dxa"/>
          </w:tcPr>
          <w:p w14:paraId="38B26D1D" w14:textId="77777777" w:rsidR="000710BB" w:rsidRPr="00993442" w:rsidRDefault="000710BB" w:rsidP="009879CF">
            <w:pPr>
              <w:rPr>
                <w:sz w:val="18"/>
                <w:szCs w:val="18"/>
                <w:lang w:eastAsia="en-GB"/>
              </w:rPr>
            </w:pPr>
            <w:r w:rsidRPr="00993442">
              <w:rPr>
                <w:sz w:val="18"/>
                <w:szCs w:val="18"/>
                <w:lang w:eastAsia="en-GB"/>
              </w:rPr>
              <w:t>70-79</w:t>
            </w:r>
          </w:p>
        </w:tc>
        <w:tc>
          <w:tcPr>
            <w:tcW w:w="1137" w:type="dxa"/>
          </w:tcPr>
          <w:p w14:paraId="3010D5A4" w14:textId="77777777" w:rsidR="000710BB" w:rsidRPr="00993442" w:rsidRDefault="000710BB" w:rsidP="009879CF">
            <w:pPr>
              <w:rPr>
                <w:sz w:val="18"/>
                <w:szCs w:val="18"/>
                <w:lang w:eastAsia="en-GB"/>
              </w:rPr>
            </w:pPr>
            <w:r w:rsidRPr="00993442">
              <w:rPr>
                <w:sz w:val="18"/>
                <w:szCs w:val="18"/>
                <w:lang w:eastAsia="en-GB"/>
              </w:rPr>
              <w:t>1.033</w:t>
            </w:r>
          </w:p>
        </w:tc>
      </w:tr>
      <w:tr w:rsidR="00993442" w:rsidRPr="00993442" w14:paraId="47F139A0" w14:textId="77777777" w:rsidTr="000710BB">
        <w:tc>
          <w:tcPr>
            <w:tcW w:w="2648" w:type="dxa"/>
          </w:tcPr>
          <w:p w14:paraId="1978C646" w14:textId="77777777" w:rsidR="000710BB" w:rsidRPr="00993442" w:rsidRDefault="000710BB" w:rsidP="009879CF">
            <w:pPr>
              <w:rPr>
                <w:sz w:val="18"/>
                <w:szCs w:val="18"/>
                <w:lang w:eastAsia="en-GB"/>
              </w:rPr>
            </w:pPr>
            <w:r w:rsidRPr="00993442">
              <w:rPr>
                <w:sz w:val="18"/>
                <w:szCs w:val="18"/>
                <w:lang w:eastAsia="en-GB"/>
              </w:rPr>
              <w:t>80-89</w:t>
            </w:r>
          </w:p>
        </w:tc>
        <w:tc>
          <w:tcPr>
            <w:tcW w:w="1137" w:type="dxa"/>
          </w:tcPr>
          <w:p w14:paraId="495B2041" w14:textId="77777777" w:rsidR="000710BB" w:rsidRPr="00993442" w:rsidRDefault="000710BB" w:rsidP="009879CF">
            <w:pPr>
              <w:rPr>
                <w:sz w:val="18"/>
                <w:szCs w:val="18"/>
                <w:lang w:eastAsia="en-GB"/>
              </w:rPr>
            </w:pPr>
            <w:r w:rsidRPr="00993442">
              <w:rPr>
                <w:sz w:val="18"/>
                <w:szCs w:val="18"/>
                <w:lang w:eastAsia="en-GB"/>
              </w:rPr>
              <w:t>1.488</w:t>
            </w:r>
          </w:p>
        </w:tc>
      </w:tr>
      <w:tr w:rsidR="00993442" w:rsidRPr="00993442" w14:paraId="357706BF" w14:textId="77777777" w:rsidTr="000710BB">
        <w:tc>
          <w:tcPr>
            <w:tcW w:w="2648" w:type="dxa"/>
          </w:tcPr>
          <w:p w14:paraId="0C3C8B11" w14:textId="77777777" w:rsidR="000710BB" w:rsidRPr="00993442" w:rsidRDefault="000710BB" w:rsidP="009879CF">
            <w:pPr>
              <w:rPr>
                <w:sz w:val="18"/>
                <w:szCs w:val="18"/>
                <w:lang w:eastAsia="en-GB"/>
              </w:rPr>
            </w:pPr>
            <w:r w:rsidRPr="00993442">
              <w:rPr>
                <w:sz w:val="18"/>
                <w:szCs w:val="18"/>
                <w:lang w:eastAsia="en-GB"/>
              </w:rPr>
              <w:t>90+</w:t>
            </w:r>
          </w:p>
        </w:tc>
        <w:tc>
          <w:tcPr>
            <w:tcW w:w="1137" w:type="dxa"/>
          </w:tcPr>
          <w:p w14:paraId="09AFB9C9" w14:textId="77777777" w:rsidR="000710BB" w:rsidRPr="00993442" w:rsidRDefault="000710BB" w:rsidP="009879CF">
            <w:pPr>
              <w:rPr>
                <w:sz w:val="18"/>
                <w:szCs w:val="18"/>
                <w:lang w:eastAsia="en-GB"/>
              </w:rPr>
            </w:pPr>
            <w:r w:rsidRPr="00993442">
              <w:rPr>
                <w:sz w:val="18"/>
                <w:szCs w:val="18"/>
                <w:lang w:eastAsia="en-GB"/>
              </w:rPr>
              <w:t>1.781</w:t>
            </w:r>
          </w:p>
        </w:tc>
      </w:tr>
      <w:tr w:rsidR="00993442" w:rsidRPr="00993442" w14:paraId="600D770D" w14:textId="77777777" w:rsidTr="000710BB">
        <w:tc>
          <w:tcPr>
            <w:tcW w:w="2648" w:type="dxa"/>
          </w:tcPr>
          <w:p w14:paraId="324AA61A" w14:textId="77777777" w:rsidR="000710BB" w:rsidRPr="00993442" w:rsidRDefault="000710BB" w:rsidP="009879CF">
            <w:pPr>
              <w:rPr>
                <w:i/>
                <w:sz w:val="18"/>
                <w:szCs w:val="18"/>
                <w:lang w:eastAsia="en-GB"/>
              </w:rPr>
            </w:pPr>
            <w:r w:rsidRPr="00993442">
              <w:rPr>
                <w:i/>
                <w:sz w:val="18"/>
                <w:szCs w:val="18"/>
                <w:lang w:eastAsia="en-GB"/>
              </w:rPr>
              <w:t>NIHSS</w:t>
            </w:r>
          </w:p>
        </w:tc>
        <w:tc>
          <w:tcPr>
            <w:tcW w:w="1137" w:type="dxa"/>
          </w:tcPr>
          <w:p w14:paraId="74D30FAE" w14:textId="77777777" w:rsidR="000710BB" w:rsidRPr="00993442" w:rsidRDefault="000710BB" w:rsidP="009879CF">
            <w:pPr>
              <w:rPr>
                <w:sz w:val="18"/>
                <w:szCs w:val="18"/>
                <w:lang w:eastAsia="en-GB"/>
              </w:rPr>
            </w:pPr>
            <w:r w:rsidRPr="00993442">
              <w:rPr>
                <w:sz w:val="18"/>
                <w:szCs w:val="18"/>
                <w:lang w:eastAsia="en-GB"/>
              </w:rPr>
              <w:t>0.137</w:t>
            </w:r>
          </w:p>
        </w:tc>
      </w:tr>
      <w:tr w:rsidR="00993442" w:rsidRPr="00993442" w14:paraId="41424609" w14:textId="77777777" w:rsidTr="000710BB">
        <w:tc>
          <w:tcPr>
            <w:tcW w:w="2648" w:type="dxa"/>
          </w:tcPr>
          <w:p w14:paraId="7F9D1CD6" w14:textId="77777777" w:rsidR="000710BB" w:rsidRPr="00993442" w:rsidRDefault="000710BB" w:rsidP="009879CF">
            <w:pPr>
              <w:rPr>
                <w:i/>
                <w:sz w:val="18"/>
                <w:szCs w:val="18"/>
                <w:lang w:eastAsia="en-GB"/>
              </w:rPr>
            </w:pPr>
            <w:r w:rsidRPr="00993442">
              <w:rPr>
                <w:i/>
                <w:sz w:val="18"/>
                <w:szCs w:val="18"/>
                <w:lang w:eastAsia="en-GB"/>
              </w:rPr>
              <w:t>Atrial fibrillation</w:t>
            </w:r>
          </w:p>
        </w:tc>
        <w:tc>
          <w:tcPr>
            <w:tcW w:w="1137" w:type="dxa"/>
          </w:tcPr>
          <w:p w14:paraId="49684C41" w14:textId="77777777" w:rsidR="000710BB" w:rsidRPr="00993442" w:rsidRDefault="000710BB" w:rsidP="009879CF">
            <w:pPr>
              <w:rPr>
                <w:sz w:val="18"/>
                <w:szCs w:val="18"/>
                <w:lang w:eastAsia="en-GB"/>
              </w:rPr>
            </w:pPr>
            <w:r w:rsidRPr="00993442">
              <w:rPr>
                <w:sz w:val="18"/>
                <w:szCs w:val="18"/>
                <w:lang w:eastAsia="en-GB"/>
              </w:rPr>
              <w:t>0.425</w:t>
            </w:r>
          </w:p>
        </w:tc>
      </w:tr>
      <w:tr w:rsidR="00993442" w:rsidRPr="00993442" w14:paraId="5F348F26" w14:textId="77777777" w:rsidTr="000710BB">
        <w:tc>
          <w:tcPr>
            <w:tcW w:w="2648" w:type="dxa"/>
          </w:tcPr>
          <w:p w14:paraId="26859ABE" w14:textId="77777777" w:rsidR="000710BB" w:rsidRPr="00993442" w:rsidRDefault="000710BB" w:rsidP="009879CF">
            <w:pPr>
              <w:rPr>
                <w:i/>
                <w:sz w:val="18"/>
                <w:szCs w:val="18"/>
                <w:lang w:eastAsia="en-GB"/>
              </w:rPr>
            </w:pPr>
            <w:r w:rsidRPr="00993442">
              <w:rPr>
                <w:i/>
                <w:sz w:val="18"/>
                <w:szCs w:val="18"/>
                <w:lang w:eastAsia="en-GB"/>
              </w:rPr>
              <w:t>Stroke Type</w:t>
            </w:r>
          </w:p>
        </w:tc>
        <w:tc>
          <w:tcPr>
            <w:tcW w:w="1137" w:type="dxa"/>
          </w:tcPr>
          <w:p w14:paraId="6E8E2BD5" w14:textId="77777777" w:rsidR="000710BB" w:rsidRPr="00993442" w:rsidRDefault="000710BB" w:rsidP="009879CF">
            <w:pPr>
              <w:rPr>
                <w:sz w:val="18"/>
                <w:szCs w:val="18"/>
                <w:lang w:eastAsia="en-GB"/>
              </w:rPr>
            </w:pPr>
          </w:p>
        </w:tc>
      </w:tr>
      <w:tr w:rsidR="00993442" w:rsidRPr="00993442" w14:paraId="3C767508" w14:textId="77777777" w:rsidTr="000710BB">
        <w:tc>
          <w:tcPr>
            <w:tcW w:w="2648" w:type="dxa"/>
          </w:tcPr>
          <w:p w14:paraId="7E649FE9" w14:textId="77777777" w:rsidR="000710BB" w:rsidRPr="00993442" w:rsidRDefault="000710BB" w:rsidP="009879CF">
            <w:pPr>
              <w:rPr>
                <w:sz w:val="18"/>
                <w:szCs w:val="18"/>
                <w:lang w:eastAsia="en-GB"/>
              </w:rPr>
            </w:pPr>
            <w:r w:rsidRPr="00993442">
              <w:rPr>
                <w:sz w:val="18"/>
                <w:szCs w:val="18"/>
                <w:lang w:eastAsia="en-GB"/>
              </w:rPr>
              <w:t>Ischemic</w:t>
            </w:r>
          </w:p>
        </w:tc>
        <w:tc>
          <w:tcPr>
            <w:tcW w:w="1137" w:type="dxa"/>
          </w:tcPr>
          <w:p w14:paraId="75579831" w14:textId="77777777" w:rsidR="000710BB" w:rsidRPr="00993442" w:rsidRDefault="000710BB" w:rsidP="009879CF">
            <w:pPr>
              <w:rPr>
                <w:sz w:val="18"/>
                <w:szCs w:val="18"/>
                <w:lang w:eastAsia="en-GB"/>
              </w:rPr>
            </w:pPr>
            <w:r w:rsidRPr="00993442">
              <w:rPr>
                <w:sz w:val="18"/>
                <w:szCs w:val="18"/>
                <w:lang w:eastAsia="en-GB"/>
              </w:rPr>
              <w:t>0.000</w:t>
            </w:r>
          </w:p>
        </w:tc>
      </w:tr>
      <w:tr w:rsidR="00993442" w:rsidRPr="00993442" w14:paraId="2CC77484" w14:textId="77777777" w:rsidTr="000710BB">
        <w:tc>
          <w:tcPr>
            <w:tcW w:w="2648" w:type="dxa"/>
          </w:tcPr>
          <w:p w14:paraId="277476AB" w14:textId="77777777" w:rsidR="000710BB" w:rsidRPr="00993442" w:rsidRDefault="000710BB" w:rsidP="009879CF">
            <w:pPr>
              <w:rPr>
                <w:sz w:val="18"/>
                <w:szCs w:val="18"/>
                <w:lang w:eastAsia="en-GB"/>
              </w:rPr>
            </w:pPr>
            <w:r w:rsidRPr="00993442">
              <w:rPr>
                <w:sz w:val="18"/>
                <w:szCs w:val="18"/>
                <w:lang w:eastAsia="en-GB"/>
              </w:rPr>
              <w:t>ICH</w:t>
            </w:r>
          </w:p>
        </w:tc>
        <w:tc>
          <w:tcPr>
            <w:tcW w:w="1137" w:type="dxa"/>
          </w:tcPr>
          <w:p w14:paraId="39F951E4" w14:textId="77777777" w:rsidR="000710BB" w:rsidRPr="00993442" w:rsidRDefault="000710BB" w:rsidP="009879CF">
            <w:pPr>
              <w:rPr>
                <w:sz w:val="18"/>
                <w:szCs w:val="18"/>
                <w:lang w:eastAsia="en-GB"/>
              </w:rPr>
            </w:pPr>
            <w:r w:rsidRPr="00993442">
              <w:rPr>
                <w:sz w:val="18"/>
                <w:szCs w:val="18"/>
                <w:lang w:eastAsia="en-GB"/>
              </w:rPr>
              <w:t>0.870</w:t>
            </w:r>
          </w:p>
        </w:tc>
      </w:tr>
      <w:tr w:rsidR="00993442" w:rsidRPr="00993442" w14:paraId="3824F3B9" w14:textId="77777777" w:rsidTr="000710BB">
        <w:tc>
          <w:tcPr>
            <w:tcW w:w="2648" w:type="dxa"/>
          </w:tcPr>
          <w:p w14:paraId="7ACDB9E0" w14:textId="77777777" w:rsidR="000710BB" w:rsidRPr="00993442" w:rsidRDefault="000710BB" w:rsidP="009879CF">
            <w:pPr>
              <w:rPr>
                <w:sz w:val="18"/>
                <w:szCs w:val="18"/>
                <w:lang w:eastAsia="en-GB"/>
              </w:rPr>
            </w:pPr>
            <w:r w:rsidRPr="00993442">
              <w:rPr>
                <w:sz w:val="18"/>
                <w:szCs w:val="18"/>
                <w:lang w:eastAsia="en-GB"/>
              </w:rPr>
              <w:t>Constant</w:t>
            </w:r>
          </w:p>
        </w:tc>
        <w:tc>
          <w:tcPr>
            <w:tcW w:w="1137" w:type="dxa"/>
          </w:tcPr>
          <w:p w14:paraId="4160C2FB" w14:textId="77777777" w:rsidR="000710BB" w:rsidRPr="00993442" w:rsidRDefault="000710BB" w:rsidP="009879CF">
            <w:pPr>
              <w:rPr>
                <w:sz w:val="18"/>
                <w:szCs w:val="18"/>
                <w:lang w:eastAsia="en-GB"/>
              </w:rPr>
            </w:pPr>
            <w:r w:rsidRPr="00993442">
              <w:rPr>
                <w:sz w:val="18"/>
                <w:szCs w:val="18"/>
                <w:lang w:eastAsia="en-GB"/>
              </w:rPr>
              <w:t>-5.250</w:t>
            </w:r>
          </w:p>
        </w:tc>
      </w:tr>
    </w:tbl>
    <w:p w14:paraId="6A00396C" w14:textId="03F5ED8F" w:rsidR="000710BB" w:rsidRPr="00993442" w:rsidRDefault="000710BB"/>
    <w:p w14:paraId="0CA73050" w14:textId="14EE4A9A" w:rsidR="000710BB" w:rsidRPr="00993442" w:rsidRDefault="000710BB">
      <w:r w:rsidRPr="00993442">
        <w:t>Model B</w:t>
      </w:r>
    </w:p>
    <w:tbl>
      <w:tblPr>
        <w:tblStyle w:val="TableGrid2"/>
        <w:tblW w:w="0" w:type="auto"/>
        <w:tblLook w:val="04A0" w:firstRow="1" w:lastRow="0" w:firstColumn="1" w:lastColumn="0" w:noHBand="0" w:noVBand="1"/>
      </w:tblPr>
      <w:tblGrid>
        <w:gridCol w:w="2010"/>
        <w:gridCol w:w="1137"/>
      </w:tblGrid>
      <w:tr w:rsidR="000710BB" w:rsidRPr="00993442" w14:paraId="5FEFFF39" w14:textId="77777777" w:rsidTr="000710BB">
        <w:tc>
          <w:tcPr>
            <w:tcW w:w="2010" w:type="dxa"/>
          </w:tcPr>
          <w:p w14:paraId="2BEC363D" w14:textId="77777777" w:rsidR="000710BB" w:rsidRPr="00993442" w:rsidRDefault="000710BB" w:rsidP="009879CF">
            <w:pPr>
              <w:rPr>
                <w:sz w:val="18"/>
                <w:szCs w:val="18"/>
                <w:lang w:eastAsia="en-GB"/>
              </w:rPr>
            </w:pPr>
            <w:r w:rsidRPr="00993442">
              <w:rPr>
                <w:sz w:val="18"/>
                <w:szCs w:val="18"/>
                <w:lang w:eastAsia="en-GB"/>
              </w:rPr>
              <w:t>Variable</w:t>
            </w:r>
          </w:p>
        </w:tc>
        <w:tc>
          <w:tcPr>
            <w:tcW w:w="1137" w:type="dxa"/>
          </w:tcPr>
          <w:p w14:paraId="1FE99B1A" w14:textId="77777777" w:rsidR="000710BB" w:rsidRPr="00993442" w:rsidRDefault="000710BB" w:rsidP="009879CF">
            <w:pPr>
              <w:rPr>
                <w:sz w:val="18"/>
                <w:szCs w:val="18"/>
                <w:lang w:eastAsia="en-GB"/>
              </w:rPr>
            </w:pPr>
            <w:r w:rsidRPr="00993442">
              <w:rPr>
                <w:sz w:val="18"/>
                <w:szCs w:val="18"/>
                <w:lang w:eastAsia="en-GB"/>
              </w:rPr>
              <w:t>Coefficient</w:t>
            </w:r>
          </w:p>
        </w:tc>
      </w:tr>
      <w:tr w:rsidR="000710BB" w:rsidRPr="00993442" w14:paraId="5C469245" w14:textId="77777777" w:rsidTr="000710BB">
        <w:tc>
          <w:tcPr>
            <w:tcW w:w="2010" w:type="dxa"/>
          </w:tcPr>
          <w:p w14:paraId="151F1230" w14:textId="77777777" w:rsidR="000710BB" w:rsidRPr="00993442" w:rsidRDefault="000710BB" w:rsidP="009879CF">
            <w:pPr>
              <w:rPr>
                <w:i/>
                <w:sz w:val="18"/>
                <w:szCs w:val="18"/>
                <w:lang w:eastAsia="en-GB"/>
              </w:rPr>
            </w:pPr>
            <w:r w:rsidRPr="00993442">
              <w:rPr>
                <w:i/>
                <w:sz w:val="18"/>
                <w:szCs w:val="18"/>
                <w:lang w:eastAsia="en-GB"/>
              </w:rPr>
              <w:t>Age</w:t>
            </w:r>
          </w:p>
        </w:tc>
        <w:tc>
          <w:tcPr>
            <w:tcW w:w="1137" w:type="dxa"/>
          </w:tcPr>
          <w:p w14:paraId="6409852A" w14:textId="77777777" w:rsidR="000710BB" w:rsidRPr="00993442" w:rsidRDefault="000710BB" w:rsidP="009879CF">
            <w:pPr>
              <w:rPr>
                <w:sz w:val="18"/>
                <w:szCs w:val="18"/>
                <w:lang w:eastAsia="en-GB"/>
              </w:rPr>
            </w:pPr>
          </w:p>
        </w:tc>
      </w:tr>
      <w:tr w:rsidR="000710BB" w:rsidRPr="00993442" w14:paraId="0A81DE55" w14:textId="77777777" w:rsidTr="000710BB">
        <w:tc>
          <w:tcPr>
            <w:tcW w:w="2010" w:type="dxa"/>
          </w:tcPr>
          <w:p w14:paraId="1A663E21" w14:textId="77777777" w:rsidR="000710BB" w:rsidRPr="00993442" w:rsidRDefault="000710BB" w:rsidP="009879CF">
            <w:pPr>
              <w:rPr>
                <w:sz w:val="18"/>
                <w:szCs w:val="18"/>
                <w:lang w:eastAsia="en-GB"/>
              </w:rPr>
            </w:pPr>
            <w:r w:rsidRPr="00993442">
              <w:rPr>
                <w:sz w:val="18"/>
                <w:szCs w:val="18"/>
                <w:lang w:eastAsia="en-GB"/>
              </w:rPr>
              <w:t>&lt;60</w:t>
            </w:r>
          </w:p>
        </w:tc>
        <w:tc>
          <w:tcPr>
            <w:tcW w:w="1137" w:type="dxa"/>
          </w:tcPr>
          <w:p w14:paraId="5F6A4264" w14:textId="77777777" w:rsidR="000710BB" w:rsidRPr="00993442" w:rsidRDefault="000710BB" w:rsidP="009879CF">
            <w:pPr>
              <w:rPr>
                <w:sz w:val="18"/>
                <w:szCs w:val="18"/>
                <w:lang w:eastAsia="en-GB"/>
              </w:rPr>
            </w:pPr>
            <w:r w:rsidRPr="00993442">
              <w:rPr>
                <w:sz w:val="18"/>
                <w:szCs w:val="18"/>
                <w:lang w:eastAsia="en-GB"/>
              </w:rPr>
              <w:t>0.000</w:t>
            </w:r>
          </w:p>
        </w:tc>
      </w:tr>
      <w:tr w:rsidR="000710BB" w:rsidRPr="00993442" w14:paraId="7C201AC2" w14:textId="77777777" w:rsidTr="000710BB">
        <w:tc>
          <w:tcPr>
            <w:tcW w:w="2010" w:type="dxa"/>
          </w:tcPr>
          <w:p w14:paraId="333B1ADA" w14:textId="77777777" w:rsidR="000710BB" w:rsidRPr="00993442" w:rsidRDefault="000710BB" w:rsidP="009879CF">
            <w:pPr>
              <w:rPr>
                <w:sz w:val="18"/>
                <w:szCs w:val="18"/>
                <w:lang w:eastAsia="en-GB"/>
              </w:rPr>
            </w:pPr>
            <w:r w:rsidRPr="00993442">
              <w:rPr>
                <w:sz w:val="18"/>
                <w:szCs w:val="18"/>
                <w:lang w:eastAsia="en-GB"/>
              </w:rPr>
              <w:t>60-69</w:t>
            </w:r>
          </w:p>
        </w:tc>
        <w:tc>
          <w:tcPr>
            <w:tcW w:w="1137" w:type="dxa"/>
          </w:tcPr>
          <w:p w14:paraId="7D81EAF8" w14:textId="77777777" w:rsidR="000710BB" w:rsidRPr="00993442" w:rsidRDefault="000710BB" w:rsidP="009879CF">
            <w:pPr>
              <w:rPr>
                <w:sz w:val="18"/>
                <w:szCs w:val="18"/>
                <w:lang w:eastAsia="en-GB"/>
              </w:rPr>
            </w:pPr>
            <w:r w:rsidRPr="00993442">
              <w:rPr>
                <w:sz w:val="18"/>
                <w:szCs w:val="18"/>
                <w:lang w:eastAsia="en-GB"/>
              </w:rPr>
              <w:t>0.657</w:t>
            </w:r>
          </w:p>
        </w:tc>
      </w:tr>
      <w:tr w:rsidR="000710BB" w:rsidRPr="00993442" w14:paraId="62957379" w14:textId="77777777" w:rsidTr="000710BB">
        <w:tc>
          <w:tcPr>
            <w:tcW w:w="2010" w:type="dxa"/>
          </w:tcPr>
          <w:p w14:paraId="76AF8F9E" w14:textId="77777777" w:rsidR="000710BB" w:rsidRPr="00993442" w:rsidRDefault="000710BB" w:rsidP="009879CF">
            <w:pPr>
              <w:rPr>
                <w:sz w:val="18"/>
                <w:szCs w:val="18"/>
                <w:lang w:eastAsia="en-GB"/>
              </w:rPr>
            </w:pPr>
            <w:r w:rsidRPr="00993442">
              <w:rPr>
                <w:sz w:val="18"/>
                <w:szCs w:val="18"/>
                <w:lang w:eastAsia="en-GB"/>
              </w:rPr>
              <w:t>70-79</w:t>
            </w:r>
          </w:p>
        </w:tc>
        <w:tc>
          <w:tcPr>
            <w:tcW w:w="1137" w:type="dxa"/>
          </w:tcPr>
          <w:p w14:paraId="48258613" w14:textId="77777777" w:rsidR="000710BB" w:rsidRPr="00993442" w:rsidRDefault="000710BB" w:rsidP="009879CF">
            <w:pPr>
              <w:rPr>
                <w:sz w:val="18"/>
                <w:szCs w:val="18"/>
                <w:lang w:eastAsia="en-GB"/>
              </w:rPr>
            </w:pPr>
            <w:r w:rsidRPr="00993442">
              <w:rPr>
                <w:sz w:val="18"/>
                <w:szCs w:val="18"/>
                <w:lang w:eastAsia="en-GB"/>
              </w:rPr>
              <w:t>1.252</w:t>
            </w:r>
          </w:p>
        </w:tc>
      </w:tr>
      <w:tr w:rsidR="000710BB" w:rsidRPr="00993442" w14:paraId="53CCE200" w14:textId="77777777" w:rsidTr="000710BB">
        <w:tc>
          <w:tcPr>
            <w:tcW w:w="2010" w:type="dxa"/>
          </w:tcPr>
          <w:p w14:paraId="1A7BCA5E" w14:textId="77777777" w:rsidR="000710BB" w:rsidRPr="00993442" w:rsidRDefault="000710BB" w:rsidP="009879CF">
            <w:pPr>
              <w:rPr>
                <w:sz w:val="18"/>
                <w:szCs w:val="18"/>
                <w:lang w:eastAsia="en-GB"/>
              </w:rPr>
            </w:pPr>
            <w:r w:rsidRPr="00993442">
              <w:rPr>
                <w:sz w:val="18"/>
                <w:szCs w:val="18"/>
                <w:lang w:eastAsia="en-GB"/>
              </w:rPr>
              <w:t>80-89</w:t>
            </w:r>
          </w:p>
        </w:tc>
        <w:tc>
          <w:tcPr>
            <w:tcW w:w="1137" w:type="dxa"/>
          </w:tcPr>
          <w:p w14:paraId="1A0F30B9" w14:textId="77777777" w:rsidR="000710BB" w:rsidRPr="00993442" w:rsidRDefault="000710BB" w:rsidP="009879CF">
            <w:pPr>
              <w:rPr>
                <w:sz w:val="18"/>
                <w:szCs w:val="18"/>
                <w:lang w:eastAsia="en-GB"/>
              </w:rPr>
            </w:pPr>
            <w:r w:rsidRPr="00993442">
              <w:rPr>
                <w:sz w:val="18"/>
                <w:szCs w:val="18"/>
                <w:lang w:eastAsia="en-GB"/>
              </w:rPr>
              <w:t>1.613</w:t>
            </w:r>
          </w:p>
        </w:tc>
      </w:tr>
      <w:tr w:rsidR="000710BB" w:rsidRPr="00993442" w14:paraId="07FD816B" w14:textId="77777777" w:rsidTr="000710BB">
        <w:tc>
          <w:tcPr>
            <w:tcW w:w="2010" w:type="dxa"/>
          </w:tcPr>
          <w:p w14:paraId="76070E10" w14:textId="77777777" w:rsidR="000710BB" w:rsidRPr="00993442" w:rsidRDefault="000710BB" w:rsidP="009879CF">
            <w:pPr>
              <w:rPr>
                <w:sz w:val="18"/>
                <w:szCs w:val="18"/>
                <w:lang w:eastAsia="en-GB"/>
              </w:rPr>
            </w:pPr>
            <w:r w:rsidRPr="00993442">
              <w:rPr>
                <w:sz w:val="18"/>
                <w:szCs w:val="18"/>
                <w:lang w:eastAsia="en-GB"/>
              </w:rPr>
              <w:t>90+</w:t>
            </w:r>
          </w:p>
        </w:tc>
        <w:tc>
          <w:tcPr>
            <w:tcW w:w="1137" w:type="dxa"/>
          </w:tcPr>
          <w:p w14:paraId="07B36384" w14:textId="77777777" w:rsidR="000710BB" w:rsidRPr="00993442" w:rsidRDefault="000710BB" w:rsidP="009879CF">
            <w:pPr>
              <w:rPr>
                <w:sz w:val="18"/>
                <w:szCs w:val="18"/>
                <w:lang w:eastAsia="en-GB"/>
              </w:rPr>
            </w:pPr>
            <w:r w:rsidRPr="00993442">
              <w:rPr>
                <w:sz w:val="18"/>
                <w:szCs w:val="18"/>
                <w:lang w:eastAsia="en-GB"/>
              </w:rPr>
              <w:t>2.127</w:t>
            </w:r>
          </w:p>
        </w:tc>
      </w:tr>
      <w:tr w:rsidR="000710BB" w:rsidRPr="00993442" w14:paraId="0BCF104E" w14:textId="77777777" w:rsidTr="000710BB">
        <w:tc>
          <w:tcPr>
            <w:tcW w:w="2010" w:type="dxa"/>
          </w:tcPr>
          <w:p w14:paraId="235A9DC5" w14:textId="77777777" w:rsidR="000710BB" w:rsidRPr="00993442" w:rsidRDefault="000710BB" w:rsidP="009879CF">
            <w:pPr>
              <w:rPr>
                <w:i/>
                <w:sz w:val="18"/>
                <w:szCs w:val="18"/>
                <w:lang w:eastAsia="en-GB"/>
              </w:rPr>
            </w:pPr>
            <w:r w:rsidRPr="00993442">
              <w:rPr>
                <w:i/>
                <w:sz w:val="18"/>
                <w:szCs w:val="18"/>
                <w:lang w:eastAsia="en-GB"/>
              </w:rPr>
              <w:t>NIHSS Consciousness</w:t>
            </w:r>
          </w:p>
        </w:tc>
        <w:tc>
          <w:tcPr>
            <w:tcW w:w="1137" w:type="dxa"/>
          </w:tcPr>
          <w:p w14:paraId="6663555F" w14:textId="77777777" w:rsidR="000710BB" w:rsidRPr="00993442" w:rsidRDefault="000710BB" w:rsidP="009879CF">
            <w:pPr>
              <w:rPr>
                <w:sz w:val="18"/>
                <w:szCs w:val="18"/>
                <w:lang w:eastAsia="en-GB"/>
              </w:rPr>
            </w:pPr>
          </w:p>
        </w:tc>
      </w:tr>
      <w:tr w:rsidR="000710BB" w:rsidRPr="00993442" w14:paraId="23E8B3E2" w14:textId="77777777" w:rsidTr="000710BB">
        <w:tc>
          <w:tcPr>
            <w:tcW w:w="2010" w:type="dxa"/>
          </w:tcPr>
          <w:p w14:paraId="21B13E4E" w14:textId="77777777" w:rsidR="000710BB" w:rsidRPr="00993442" w:rsidRDefault="000710BB" w:rsidP="009879CF">
            <w:pPr>
              <w:rPr>
                <w:sz w:val="18"/>
                <w:szCs w:val="18"/>
                <w:lang w:eastAsia="en-GB"/>
              </w:rPr>
            </w:pPr>
            <w:r w:rsidRPr="00993442">
              <w:rPr>
                <w:sz w:val="18"/>
                <w:szCs w:val="18"/>
                <w:lang w:eastAsia="en-GB"/>
              </w:rPr>
              <w:t>0 - Alert</w:t>
            </w:r>
          </w:p>
        </w:tc>
        <w:tc>
          <w:tcPr>
            <w:tcW w:w="1137" w:type="dxa"/>
          </w:tcPr>
          <w:p w14:paraId="27AFF221" w14:textId="77777777" w:rsidR="000710BB" w:rsidRPr="00993442" w:rsidRDefault="000710BB" w:rsidP="009879CF">
            <w:pPr>
              <w:rPr>
                <w:sz w:val="18"/>
                <w:szCs w:val="18"/>
                <w:lang w:eastAsia="en-GB"/>
              </w:rPr>
            </w:pPr>
            <w:r w:rsidRPr="00993442">
              <w:rPr>
                <w:sz w:val="18"/>
                <w:szCs w:val="18"/>
                <w:lang w:eastAsia="en-GB"/>
              </w:rPr>
              <w:t>0.000</w:t>
            </w:r>
          </w:p>
        </w:tc>
      </w:tr>
      <w:tr w:rsidR="000710BB" w:rsidRPr="00993442" w14:paraId="4FC24378" w14:textId="77777777" w:rsidTr="000710BB">
        <w:tc>
          <w:tcPr>
            <w:tcW w:w="2010" w:type="dxa"/>
          </w:tcPr>
          <w:p w14:paraId="31499B0D" w14:textId="77777777" w:rsidR="000710BB" w:rsidRPr="00993442" w:rsidRDefault="000710BB" w:rsidP="009879CF">
            <w:pPr>
              <w:rPr>
                <w:sz w:val="18"/>
                <w:szCs w:val="18"/>
                <w:lang w:eastAsia="en-GB"/>
              </w:rPr>
            </w:pPr>
            <w:r w:rsidRPr="00993442">
              <w:rPr>
                <w:sz w:val="18"/>
                <w:szCs w:val="18"/>
                <w:lang w:eastAsia="en-GB"/>
              </w:rPr>
              <w:t>1 – Verbal response</w:t>
            </w:r>
          </w:p>
        </w:tc>
        <w:tc>
          <w:tcPr>
            <w:tcW w:w="1137" w:type="dxa"/>
          </w:tcPr>
          <w:p w14:paraId="6FCE132B" w14:textId="77777777" w:rsidR="000710BB" w:rsidRPr="00993442" w:rsidRDefault="000710BB" w:rsidP="009879CF">
            <w:pPr>
              <w:rPr>
                <w:sz w:val="18"/>
                <w:szCs w:val="18"/>
                <w:lang w:eastAsia="en-GB"/>
              </w:rPr>
            </w:pPr>
            <w:r w:rsidRPr="00993442">
              <w:rPr>
                <w:sz w:val="18"/>
                <w:szCs w:val="18"/>
                <w:lang w:eastAsia="en-GB"/>
              </w:rPr>
              <w:t>1.585</w:t>
            </w:r>
          </w:p>
        </w:tc>
      </w:tr>
      <w:tr w:rsidR="000710BB" w:rsidRPr="00993442" w14:paraId="04DE59B8" w14:textId="77777777" w:rsidTr="000710BB">
        <w:tc>
          <w:tcPr>
            <w:tcW w:w="2010" w:type="dxa"/>
          </w:tcPr>
          <w:p w14:paraId="6AA32D54" w14:textId="77777777" w:rsidR="000710BB" w:rsidRPr="00993442" w:rsidRDefault="000710BB" w:rsidP="009879CF">
            <w:pPr>
              <w:rPr>
                <w:sz w:val="18"/>
                <w:szCs w:val="18"/>
                <w:lang w:eastAsia="en-GB"/>
              </w:rPr>
            </w:pPr>
            <w:r w:rsidRPr="00993442">
              <w:rPr>
                <w:sz w:val="18"/>
                <w:szCs w:val="18"/>
                <w:lang w:eastAsia="en-GB"/>
              </w:rPr>
              <w:t>2 – Pain response</w:t>
            </w:r>
          </w:p>
        </w:tc>
        <w:tc>
          <w:tcPr>
            <w:tcW w:w="1137" w:type="dxa"/>
          </w:tcPr>
          <w:p w14:paraId="110EEE73" w14:textId="77777777" w:rsidR="000710BB" w:rsidRPr="00993442" w:rsidRDefault="000710BB" w:rsidP="009879CF">
            <w:pPr>
              <w:rPr>
                <w:sz w:val="18"/>
                <w:szCs w:val="18"/>
                <w:lang w:eastAsia="en-GB"/>
              </w:rPr>
            </w:pPr>
            <w:r w:rsidRPr="00993442">
              <w:rPr>
                <w:sz w:val="18"/>
                <w:szCs w:val="18"/>
                <w:lang w:eastAsia="en-GB"/>
              </w:rPr>
              <w:t>2.576</w:t>
            </w:r>
          </w:p>
        </w:tc>
      </w:tr>
      <w:tr w:rsidR="000710BB" w:rsidRPr="00993442" w14:paraId="324ABEA5" w14:textId="77777777" w:rsidTr="000710BB">
        <w:tc>
          <w:tcPr>
            <w:tcW w:w="2010" w:type="dxa"/>
          </w:tcPr>
          <w:p w14:paraId="61249433" w14:textId="77777777" w:rsidR="000710BB" w:rsidRPr="00993442" w:rsidRDefault="000710BB" w:rsidP="009879CF">
            <w:pPr>
              <w:rPr>
                <w:sz w:val="18"/>
                <w:szCs w:val="18"/>
                <w:lang w:eastAsia="en-GB"/>
              </w:rPr>
            </w:pPr>
            <w:r w:rsidRPr="00993442">
              <w:rPr>
                <w:sz w:val="18"/>
                <w:szCs w:val="18"/>
                <w:lang w:eastAsia="en-GB"/>
              </w:rPr>
              <w:t>3 - Unconscious</w:t>
            </w:r>
          </w:p>
        </w:tc>
        <w:tc>
          <w:tcPr>
            <w:tcW w:w="1137" w:type="dxa"/>
          </w:tcPr>
          <w:p w14:paraId="535656BF" w14:textId="77777777" w:rsidR="000710BB" w:rsidRPr="00993442" w:rsidRDefault="000710BB" w:rsidP="009879CF">
            <w:pPr>
              <w:rPr>
                <w:sz w:val="18"/>
                <w:szCs w:val="18"/>
                <w:lang w:eastAsia="en-GB"/>
              </w:rPr>
            </w:pPr>
            <w:r w:rsidRPr="00993442">
              <w:rPr>
                <w:sz w:val="18"/>
                <w:szCs w:val="18"/>
                <w:lang w:eastAsia="en-GB"/>
              </w:rPr>
              <w:t>3.564</w:t>
            </w:r>
          </w:p>
        </w:tc>
      </w:tr>
      <w:tr w:rsidR="000710BB" w:rsidRPr="00993442" w14:paraId="341923CF" w14:textId="77777777" w:rsidTr="000710BB">
        <w:tc>
          <w:tcPr>
            <w:tcW w:w="2010" w:type="dxa"/>
          </w:tcPr>
          <w:p w14:paraId="788090F0" w14:textId="77777777" w:rsidR="000710BB" w:rsidRPr="00993442" w:rsidRDefault="000710BB" w:rsidP="009879CF">
            <w:pPr>
              <w:rPr>
                <w:i/>
                <w:sz w:val="18"/>
                <w:szCs w:val="18"/>
                <w:lang w:eastAsia="en-GB"/>
              </w:rPr>
            </w:pPr>
            <w:proofErr w:type="spellStart"/>
            <w:r w:rsidRPr="00993442">
              <w:rPr>
                <w:i/>
                <w:sz w:val="18"/>
                <w:szCs w:val="18"/>
                <w:lang w:eastAsia="en-GB"/>
              </w:rPr>
              <w:t>Atril</w:t>
            </w:r>
            <w:proofErr w:type="spellEnd"/>
            <w:r w:rsidRPr="00993442">
              <w:rPr>
                <w:i/>
                <w:sz w:val="18"/>
                <w:szCs w:val="18"/>
                <w:lang w:eastAsia="en-GB"/>
              </w:rPr>
              <w:t xml:space="preserve"> fibrillation</w:t>
            </w:r>
          </w:p>
        </w:tc>
        <w:tc>
          <w:tcPr>
            <w:tcW w:w="1137" w:type="dxa"/>
          </w:tcPr>
          <w:p w14:paraId="77452E96" w14:textId="77777777" w:rsidR="000710BB" w:rsidRPr="00993442" w:rsidRDefault="000710BB" w:rsidP="009879CF">
            <w:pPr>
              <w:rPr>
                <w:sz w:val="18"/>
                <w:szCs w:val="18"/>
                <w:lang w:eastAsia="en-GB"/>
              </w:rPr>
            </w:pPr>
            <w:r w:rsidRPr="00993442">
              <w:rPr>
                <w:sz w:val="18"/>
                <w:szCs w:val="18"/>
                <w:lang w:eastAsia="en-GB"/>
              </w:rPr>
              <w:t>0.467</w:t>
            </w:r>
          </w:p>
        </w:tc>
      </w:tr>
      <w:tr w:rsidR="000710BB" w:rsidRPr="00993442" w14:paraId="3A6CC618" w14:textId="77777777" w:rsidTr="000710BB">
        <w:tc>
          <w:tcPr>
            <w:tcW w:w="2010" w:type="dxa"/>
          </w:tcPr>
          <w:p w14:paraId="437F84A8" w14:textId="77777777" w:rsidR="000710BB" w:rsidRPr="00993442" w:rsidRDefault="000710BB" w:rsidP="009879CF">
            <w:pPr>
              <w:rPr>
                <w:i/>
                <w:sz w:val="18"/>
                <w:szCs w:val="18"/>
                <w:lang w:eastAsia="en-GB"/>
              </w:rPr>
            </w:pPr>
            <w:r w:rsidRPr="00993442">
              <w:rPr>
                <w:i/>
                <w:sz w:val="18"/>
                <w:szCs w:val="18"/>
                <w:lang w:eastAsia="en-GB"/>
              </w:rPr>
              <w:t>Stroke Type</w:t>
            </w:r>
          </w:p>
        </w:tc>
        <w:tc>
          <w:tcPr>
            <w:tcW w:w="1137" w:type="dxa"/>
          </w:tcPr>
          <w:p w14:paraId="0E10ED50" w14:textId="77777777" w:rsidR="000710BB" w:rsidRPr="00993442" w:rsidRDefault="000710BB" w:rsidP="009879CF">
            <w:pPr>
              <w:rPr>
                <w:sz w:val="18"/>
                <w:szCs w:val="18"/>
                <w:lang w:eastAsia="en-GB"/>
              </w:rPr>
            </w:pPr>
          </w:p>
        </w:tc>
      </w:tr>
      <w:tr w:rsidR="000710BB" w:rsidRPr="00993442" w14:paraId="74C8920A" w14:textId="77777777" w:rsidTr="000710BB">
        <w:tc>
          <w:tcPr>
            <w:tcW w:w="2010" w:type="dxa"/>
          </w:tcPr>
          <w:p w14:paraId="79F84AC0" w14:textId="77777777" w:rsidR="000710BB" w:rsidRPr="00993442" w:rsidRDefault="000710BB" w:rsidP="009879CF">
            <w:pPr>
              <w:rPr>
                <w:sz w:val="18"/>
                <w:szCs w:val="18"/>
                <w:lang w:eastAsia="en-GB"/>
              </w:rPr>
            </w:pPr>
            <w:r w:rsidRPr="00993442">
              <w:rPr>
                <w:sz w:val="18"/>
                <w:szCs w:val="18"/>
                <w:lang w:eastAsia="en-GB"/>
              </w:rPr>
              <w:t>Ischemic</w:t>
            </w:r>
          </w:p>
        </w:tc>
        <w:tc>
          <w:tcPr>
            <w:tcW w:w="1137" w:type="dxa"/>
          </w:tcPr>
          <w:p w14:paraId="4558A541" w14:textId="77777777" w:rsidR="000710BB" w:rsidRPr="00993442" w:rsidRDefault="000710BB" w:rsidP="009879CF">
            <w:pPr>
              <w:rPr>
                <w:sz w:val="18"/>
                <w:szCs w:val="18"/>
                <w:lang w:eastAsia="en-GB"/>
              </w:rPr>
            </w:pPr>
            <w:r w:rsidRPr="00993442">
              <w:rPr>
                <w:sz w:val="18"/>
                <w:szCs w:val="18"/>
                <w:lang w:eastAsia="en-GB"/>
              </w:rPr>
              <w:t>0.000</w:t>
            </w:r>
          </w:p>
        </w:tc>
      </w:tr>
      <w:tr w:rsidR="000710BB" w:rsidRPr="00993442" w14:paraId="567C5F8F" w14:textId="77777777" w:rsidTr="000710BB">
        <w:tc>
          <w:tcPr>
            <w:tcW w:w="2010" w:type="dxa"/>
          </w:tcPr>
          <w:p w14:paraId="4D978B42" w14:textId="77777777" w:rsidR="000710BB" w:rsidRPr="00993442" w:rsidRDefault="000710BB" w:rsidP="009879CF">
            <w:pPr>
              <w:rPr>
                <w:sz w:val="18"/>
                <w:szCs w:val="18"/>
                <w:lang w:eastAsia="en-GB"/>
              </w:rPr>
            </w:pPr>
            <w:r w:rsidRPr="00993442">
              <w:rPr>
                <w:sz w:val="18"/>
                <w:szCs w:val="18"/>
                <w:lang w:eastAsia="en-GB"/>
              </w:rPr>
              <w:t>ICH</w:t>
            </w:r>
          </w:p>
        </w:tc>
        <w:tc>
          <w:tcPr>
            <w:tcW w:w="1137" w:type="dxa"/>
          </w:tcPr>
          <w:p w14:paraId="49C6461B" w14:textId="77777777" w:rsidR="000710BB" w:rsidRPr="00993442" w:rsidRDefault="000710BB" w:rsidP="009879CF">
            <w:pPr>
              <w:rPr>
                <w:sz w:val="18"/>
                <w:szCs w:val="18"/>
                <w:lang w:eastAsia="en-GB"/>
              </w:rPr>
            </w:pPr>
            <w:r w:rsidRPr="00993442">
              <w:rPr>
                <w:sz w:val="18"/>
                <w:szCs w:val="18"/>
                <w:lang w:eastAsia="en-GB"/>
              </w:rPr>
              <w:t>0.877</w:t>
            </w:r>
          </w:p>
        </w:tc>
      </w:tr>
      <w:tr w:rsidR="00993442" w:rsidRPr="00993442" w14:paraId="6E2C5E14" w14:textId="77777777" w:rsidTr="000710BB">
        <w:tc>
          <w:tcPr>
            <w:tcW w:w="2010" w:type="dxa"/>
          </w:tcPr>
          <w:p w14:paraId="7C6AE469" w14:textId="77777777" w:rsidR="000710BB" w:rsidRPr="00993442" w:rsidRDefault="000710BB" w:rsidP="009879CF">
            <w:pPr>
              <w:rPr>
                <w:sz w:val="18"/>
                <w:szCs w:val="18"/>
                <w:lang w:eastAsia="en-GB"/>
              </w:rPr>
            </w:pPr>
            <w:r w:rsidRPr="00993442">
              <w:rPr>
                <w:sz w:val="18"/>
                <w:szCs w:val="18"/>
                <w:lang w:eastAsia="en-GB"/>
              </w:rPr>
              <w:t>Constant</w:t>
            </w:r>
          </w:p>
        </w:tc>
        <w:tc>
          <w:tcPr>
            <w:tcW w:w="1137" w:type="dxa"/>
          </w:tcPr>
          <w:p w14:paraId="2BC98CD4" w14:textId="77777777" w:rsidR="000710BB" w:rsidRPr="00993442" w:rsidRDefault="000710BB" w:rsidP="009879CF">
            <w:pPr>
              <w:rPr>
                <w:sz w:val="18"/>
                <w:szCs w:val="18"/>
                <w:lang w:eastAsia="en-GB"/>
              </w:rPr>
            </w:pPr>
            <w:r w:rsidRPr="00993442">
              <w:rPr>
                <w:sz w:val="18"/>
                <w:szCs w:val="18"/>
                <w:lang w:eastAsia="en-GB"/>
              </w:rPr>
              <w:t>-4.158</w:t>
            </w:r>
          </w:p>
        </w:tc>
      </w:tr>
    </w:tbl>
    <w:p w14:paraId="70477D16" w14:textId="0196985B" w:rsidR="000710BB" w:rsidRPr="00993442" w:rsidRDefault="000710BB"/>
    <w:p w14:paraId="095F79B5" w14:textId="2ECCD366" w:rsidR="000710BB" w:rsidRPr="00993442" w:rsidRDefault="000710BB"/>
    <w:p w14:paraId="02D6A957" w14:textId="002B300F" w:rsidR="000710BB" w:rsidRPr="00993442" w:rsidRDefault="000710BB"/>
    <w:p w14:paraId="13DF6930" w14:textId="7CD30BF7" w:rsidR="000710BB" w:rsidRPr="00993442" w:rsidRDefault="000710BB"/>
    <w:p w14:paraId="477EFD80" w14:textId="6DCFF5FB" w:rsidR="000710BB" w:rsidRPr="00993442" w:rsidRDefault="000710BB"/>
    <w:p w14:paraId="5E1CA042" w14:textId="0B3CEA68" w:rsidR="000710BB" w:rsidRPr="00993442" w:rsidRDefault="000710BB"/>
    <w:p w14:paraId="3AF956DF" w14:textId="0A86809B" w:rsidR="000710BB" w:rsidRPr="00993442" w:rsidRDefault="000710BB"/>
    <w:p w14:paraId="65007ABF" w14:textId="77777777" w:rsidR="000710BB" w:rsidRPr="00993442" w:rsidRDefault="000710BB"/>
    <w:tbl>
      <w:tblPr>
        <w:tblStyle w:val="TableGrid2"/>
        <w:tblW w:w="0" w:type="auto"/>
        <w:tblLook w:val="04A0" w:firstRow="1" w:lastRow="0" w:firstColumn="1" w:lastColumn="0" w:noHBand="0" w:noVBand="1"/>
      </w:tblPr>
      <w:tblGrid>
        <w:gridCol w:w="1632"/>
        <w:gridCol w:w="8422"/>
      </w:tblGrid>
      <w:tr w:rsidR="00993442" w:rsidRPr="00993442" w14:paraId="1AB1BF1C" w14:textId="77777777" w:rsidTr="000710BB">
        <w:tc>
          <w:tcPr>
            <w:tcW w:w="1842" w:type="dxa"/>
          </w:tcPr>
          <w:p w14:paraId="4A58BB3D" w14:textId="77777777" w:rsidR="000710BB" w:rsidRPr="00993442" w:rsidRDefault="000710BB" w:rsidP="00B22F66">
            <w:pPr>
              <w:spacing w:before="240"/>
              <w:ind w:left="34"/>
              <w:rPr>
                <w:b/>
              </w:rPr>
            </w:pPr>
          </w:p>
        </w:tc>
        <w:tc>
          <w:tcPr>
            <w:tcW w:w="8212" w:type="dxa"/>
          </w:tcPr>
          <w:p w14:paraId="7E959344" w14:textId="77777777" w:rsidR="000710BB" w:rsidRPr="00993442" w:rsidRDefault="000710BB" w:rsidP="000710BB">
            <w:pPr>
              <w:spacing w:before="240"/>
            </w:pPr>
            <w:r w:rsidRPr="00993442">
              <w:t>These coefficients were derived during the model fitting procedure that was written up in the peer-reviewed paper. The model above was derived and validated against the South London Stroke Register. A step-by-step explanation is below:</w:t>
            </w:r>
          </w:p>
          <w:p w14:paraId="4B3F8300" w14:textId="77777777" w:rsidR="000710BB" w:rsidRPr="00993442" w:rsidRDefault="000710BB" w:rsidP="000710BB">
            <w:pPr>
              <w:spacing w:before="240"/>
            </w:pPr>
            <w:r w:rsidRPr="00993442">
              <w:t>For Model A (where the National Institutes of Health Stroke Severity (NIHSS) is fully completed) the calculations are as follows:</w:t>
            </w:r>
          </w:p>
          <w:p w14:paraId="5E917509" w14:textId="77777777" w:rsidR="000710BB" w:rsidRPr="00993442" w:rsidRDefault="000710BB" w:rsidP="000710BB">
            <w:r w:rsidRPr="00993442">
              <w:t>Age is in 5 bands:</w:t>
            </w:r>
          </w:p>
          <w:p w14:paraId="0D43B28A" w14:textId="77777777" w:rsidR="000710BB" w:rsidRPr="00993442" w:rsidRDefault="000710BB" w:rsidP="000710BB">
            <w:r w:rsidRPr="00993442">
              <w:t>Less than 60 (coefficient of 0)</w:t>
            </w:r>
          </w:p>
          <w:p w14:paraId="79250A8E" w14:textId="77777777" w:rsidR="000710BB" w:rsidRPr="00993442" w:rsidRDefault="000710BB" w:rsidP="000710BB">
            <w:r w:rsidRPr="00993442">
              <w:t>60-69 (coefficient of 0.624)</w:t>
            </w:r>
          </w:p>
          <w:p w14:paraId="1D12F328" w14:textId="77777777" w:rsidR="000710BB" w:rsidRPr="00993442" w:rsidRDefault="000710BB" w:rsidP="000710BB">
            <w:r w:rsidRPr="00993442">
              <w:t>70-79 (coefficient of 1.033)</w:t>
            </w:r>
          </w:p>
          <w:p w14:paraId="7B070BE3" w14:textId="77777777" w:rsidR="000710BB" w:rsidRPr="00993442" w:rsidRDefault="000710BB" w:rsidP="000710BB">
            <w:r w:rsidRPr="00993442">
              <w:t>80-89 (coefficient of 1.488)</w:t>
            </w:r>
          </w:p>
          <w:p w14:paraId="585FF2CF" w14:textId="77777777" w:rsidR="000710BB" w:rsidRPr="00993442" w:rsidRDefault="000710BB" w:rsidP="000710BB">
            <w:r w:rsidRPr="00993442">
              <w:t>90+ (coefficient of 1.781)</w:t>
            </w:r>
          </w:p>
          <w:p w14:paraId="1A2ED9C9" w14:textId="77777777" w:rsidR="000710BB" w:rsidRPr="00993442" w:rsidRDefault="000710BB" w:rsidP="000710BB">
            <w:pPr>
              <w:spacing w:before="120" w:after="120"/>
            </w:pPr>
            <w:r w:rsidRPr="00993442">
              <w:t>The coefficient for NIHSS is the NIHSS score multiplied by 0.137</w:t>
            </w:r>
          </w:p>
          <w:p w14:paraId="1265A5ED" w14:textId="77777777" w:rsidR="000710BB" w:rsidRPr="00993442" w:rsidRDefault="000710BB" w:rsidP="000710BB">
            <w:pPr>
              <w:spacing w:before="120" w:after="120"/>
            </w:pPr>
            <w:r w:rsidRPr="00993442">
              <w:t>If the patient was known to be in atrial fibrillation before stroke, the coefficient is 0.425 (otherwise 0)</w:t>
            </w:r>
          </w:p>
          <w:p w14:paraId="609B2786" w14:textId="77777777" w:rsidR="000710BB" w:rsidRPr="00993442" w:rsidRDefault="000710BB" w:rsidP="000710BB">
            <w:pPr>
              <w:spacing w:before="120" w:after="120"/>
            </w:pPr>
            <w:r w:rsidRPr="00993442">
              <w:t>If the patient had a haemorrhagic stroke, the coefficient is 0.87 (otherwise 0)</w:t>
            </w:r>
          </w:p>
          <w:p w14:paraId="3B4822E3" w14:textId="77777777" w:rsidR="000710BB" w:rsidRPr="00993442" w:rsidRDefault="000710BB" w:rsidP="000710BB">
            <w:r w:rsidRPr="00993442">
              <w:t>The sum for the individual is the sum of the above 4 coefficients minus 5.25</w:t>
            </w:r>
          </w:p>
          <w:p w14:paraId="596F24D2" w14:textId="77777777" w:rsidR="000710BB" w:rsidRPr="00993442" w:rsidRDefault="000710BB" w:rsidP="000710BB">
            <w:r w:rsidRPr="00993442">
              <w:t xml:space="preserve">The probability is then </w:t>
            </w:r>
            <w:proofErr w:type="gramStart"/>
            <w:r w:rsidRPr="00993442">
              <w:t>e(</w:t>
            </w:r>
            <w:proofErr w:type="gramEnd"/>
            <w:r w:rsidRPr="00993442">
              <w:t>Model A)/(1+e(Model A))</w:t>
            </w:r>
          </w:p>
          <w:p w14:paraId="17E47BA3" w14:textId="77777777" w:rsidR="000710BB" w:rsidRPr="00993442" w:rsidRDefault="000710BB" w:rsidP="000710BB">
            <w:pPr>
              <w:spacing w:before="240"/>
            </w:pPr>
            <w:proofErr w:type="gramStart"/>
            <w:r w:rsidRPr="00993442">
              <w:t>Similarly</w:t>
            </w:r>
            <w:proofErr w:type="gramEnd"/>
            <w:r w:rsidRPr="00993442">
              <w:t xml:space="preserve"> for Model B (where NIHSS is only partially completed):</w:t>
            </w:r>
          </w:p>
          <w:p w14:paraId="3367CC8B" w14:textId="77777777" w:rsidR="000710BB" w:rsidRPr="00993442" w:rsidRDefault="000710BB" w:rsidP="000710BB">
            <w:r w:rsidRPr="00993442">
              <w:t>Age is in 5 bands:</w:t>
            </w:r>
          </w:p>
          <w:p w14:paraId="301ED068" w14:textId="77777777" w:rsidR="000710BB" w:rsidRPr="00993442" w:rsidRDefault="000710BB" w:rsidP="000710BB">
            <w:r w:rsidRPr="00993442">
              <w:t>Less than 60 (coefficient of 0)</w:t>
            </w:r>
          </w:p>
          <w:p w14:paraId="292DEC71" w14:textId="77777777" w:rsidR="000710BB" w:rsidRPr="00993442" w:rsidRDefault="000710BB" w:rsidP="000710BB">
            <w:r w:rsidRPr="00993442">
              <w:t>60-69 (coefficient of 0.657)</w:t>
            </w:r>
          </w:p>
          <w:p w14:paraId="61D4698A" w14:textId="77777777" w:rsidR="000710BB" w:rsidRPr="00993442" w:rsidRDefault="000710BB" w:rsidP="000710BB">
            <w:r w:rsidRPr="00993442">
              <w:t>70-79 (coefficient of 1.252)</w:t>
            </w:r>
          </w:p>
          <w:p w14:paraId="2CE1BFB5" w14:textId="77777777" w:rsidR="000710BB" w:rsidRPr="00993442" w:rsidRDefault="000710BB" w:rsidP="000710BB">
            <w:r w:rsidRPr="00993442">
              <w:t>80-89 (coefficient of 1.613)</w:t>
            </w:r>
          </w:p>
          <w:p w14:paraId="6B843DCC" w14:textId="77777777" w:rsidR="000710BB" w:rsidRPr="00993442" w:rsidRDefault="000710BB" w:rsidP="000710BB">
            <w:r w:rsidRPr="00993442">
              <w:t>90+ (coefficient of 2.127)</w:t>
            </w:r>
          </w:p>
          <w:p w14:paraId="4B439A0B" w14:textId="77777777" w:rsidR="000710BB" w:rsidRPr="00993442" w:rsidRDefault="000710BB" w:rsidP="000710BB">
            <w:pPr>
              <w:spacing w:before="120"/>
            </w:pPr>
            <w:r w:rsidRPr="00993442">
              <w:t>LOC categories:</w:t>
            </w:r>
          </w:p>
          <w:p w14:paraId="7B79773A" w14:textId="77777777" w:rsidR="000710BB" w:rsidRPr="00993442" w:rsidRDefault="000710BB" w:rsidP="000710BB">
            <w:r w:rsidRPr="00993442">
              <w:t>LOC of 0 (coefficient is 0)</w:t>
            </w:r>
          </w:p>
          <w:p w14:paraId="7DDFE719" w14:textId="77777777" w:rsidR="000710BB" w:rsidRPr="00993442" w:rsidRDefault="000710BB" w:rsidP="000710BB">
            <w:r w:rsidRPr="00993442">
              <w:t>LOC of 1 (coefficient is 1.585)</w:t>
            </w:r>
          </w:p>
          <w:p w14:paraId="11B1B42E" w14:textId="77777777" w:rsidR="000710BB" w:rsidRPr="00993442" w:rsidRDefault="000710BB" w:rsidP="000710BB">
            <w:r w:rsidRPr="00993442">
              <w:t>LOC of 2 (coefficient is 2.576)</w:t>
            </w:r>
          </w:p>
          <w:p w14:paraId="6959F331" w14:textId="77777777" w:rsidR="000710BB" w:rsidRPr="00993442" w:rsidRDefault="000710BB" w:rsidP="000710BB">
            <w:r w:rsidRPr="00993442">
              <w:t>LOC of 3 (coefficient is 3.564)</w:t>
            </w:r>
          </w:p>
          <w:p w14:paraId="3AD39EA1" w14:textId="77777777" w:rsidR="000710BB" w:rsidRPr="00993442" w:rsidRDefault="000710BB" w:rsidP="000710BB">
            <w:pPr>
              <w:spacing w:before="240"/>
            </w:pPr>
            <w:r w:rsidRPr="00993442">
              <w:t>If the patient was known to be in atrial fibrillation before stroke, the coefficient is 0.467 (otherwise 0)</w:t>
            </w:r>
          </w:p>
          <w:p w14:paraId="63795BAE" w14:textId="77777777" w:rsidR="000710BB" w:rsidRPr="00993442" w:rsidRDefault="000710BB" w:rsidP="000710BB">
            <w:pPr>
              <w:spacing w:before="120" w:after="120"/>
            </w:pPr>
            <w:r w:rsidRPr="00993442">
              <w:t>If the patient had a haemorrhagic stroke, the coefficient is 0.877 (otherwise 0)</w:t>
            </w:r>
          </w:p>
          <w:p w14:paraId="41BF1035" w14:textId="77777777" w:rsidR="000710BB" w:rsidRPr="00993442" w:rsidRDefault="000710BB" w:rsidP="000710BB">
            <w:r w:rsidRPr="00993442">
              <w:t>The sum for the individual is the sum of the above 4 coefficients minus 4.158</w:t>
            </w:r>
          </w:p>
          <w:p w14:paraId="59DD8D9B" w14:textId="77777777" w:rsidR="000710BB" w:rsidRPr="00993442" w:rsidRDefault="000710BB" w:rsidP="000710BB">
            <w:r w:rsidRPr="00993442">
              <w:t xml:space="preserve">The probability is then </w:t>
            </w:r>
            <w:proofErr w:type="gramStart"/>
            <w:r w:rsidRPr="00993442">
              <w:t>e(</w:t>
            </w:r>
            <w:proofErr w:type="gramEnd"/>
            <w:r w:rsidRPr="00993442">
              <w:t>Model B)/(1+e(Model B))</w:t>
            </w:r>
          </w:p>
          <w:p w14:paraId="238E50AC" w14:textId="77777777" w:rsidR="000710BB" w:rsidRPr="00993442" w:rsidRDefault="000710BB" w:rsidP="000710BB">
            <w:pPr>
              <w:spacing w:before="120" w:after="120"/>
            </w:pPr>
            <w:r w:rsidRPr="00993442">
              <w:t>You then sum all the probabilities up (either Model A or Model B for each individual) and round to a whole number to get the expected number of deaths.</w:t>
            </w:r>
          </w:p>
          <w:p w14:paraId="4913E129" w14:textId="25B99666" w:rsidR="000710BB" w:rsidRPr="00993442" w:rsidRDefault="000710BB" w:rsidP="000710BB">
            <w:pPr>
              <w:spacing w:before="240"/>
            </w:pPr>
            <w:r w:rsidRPr="00993442">
              <w:t>For the 2014/15 data, the logistic regression model will be re-run to obtain up-to-date coefficients for age, NIHSS, atrial fibrillation and stroke type for both Model A and Model B. The procedure for then calculating the expected number per team will be the same, except with the new coefficients.</w:t>
            </w:r>
          </w:p>
        </w:tc>
      </w:tr>
      <w:tr w:rsidR="00993442" w:rsidRPr="00993442" w14:paraId="4CA04CE3" w14:textId="77777777" w:rsidTr="000710BB">
        <w:tc>
          <w:tcPr>
            <w:tcW w:w="1842" w:type="dxa"/>
          </w:tcPr>
          <w:p w14:paraId="347A8518" w14:textId="35F40C9A" w:rsidR="000710BB" w:rsidRPr="00993442" w:rsidRDefault="000710BB" w:rsidP="00B22F66">
            <w:pPr>
              <w:spacing w:before="240"/>
              <w:ind w:left="34"/>
              <w:rPr>
                <w:b/>
              </w:rPr>
            </w:pPr>
            <w:permStart w:id="126835824" w:edGrp="everyone" w:colFirst="1" w:colLast="1"/>
            <w:r w:rsidRPr="00993442">
              <w:rPr>
                <w:b/>
              </w:rPr>
              <w:t xml:space="preserve">4.5 Justification of risk </w:t>
            </w:r>
            <w:r w:rsidRPr="00993442">
              <w:rPr>
                <w:b/>
              </w:rPr>
              <w:lastRenderedPageBreak/>
              <w:t>adjustment type and variables</w:t>
            </w:r>
          </w:p>
          <w:p w14:paraId="5B50C175" w14:textId="77777777" w:rsidR="000710BB" w:rsidRPr="00993442" w:rsidRDefault="000710BB" w:rsidP="00B22F66">
            <w:pPr>
              <w:ind w:left="34"/>
            </w:pPr>
            <w:r w:rsidRPr="00993442">
              <w:t>or why risk adjustment is not used</w:t>
            </w:r>
          </w:p>
        </w:tc>
        <w:tc>
          <w:tcPr>
            <w:tcW w:w="8212" w:type="dxa"/>
          </w:tcPr>
          <w:p w14:paraId="441A9A3E" w14:textId="77777777" w:rsidR="000710BB" w:rsidRPr="00993442" w:rsidRDefault="000710BB" w:rsidP="00B22F66">
            <w:pPr>
              <w:spacing w:before="240"/>
            </w:pPr>
            <w:r w:rsidRPr="00993442">
              <w:lastRenderedPageBreak/>
              <w:t xml:space="preserve">Case mix adjustment is required to allow valid comparison of outcomes across care providers. Due to a lack of externally validated models suitable for use in unselected stroke admissions, the Intercollegiate Stroke Working Party Group developed and </w:t>
            </w:r>
            <w:r w:rsidRPr="00993442">
              <w:lastRenderedPageBreak/>
              <w:t>externally validated prediction models to enable comparison of 30-day post-stroke mortality outcomes using routine clinical data.</w:t>
            </w:r>
          </w:p>
          <w:p w14:paraId="4B9C1636" w14:textId="77777777" w:rsidR="000710BB" w:rsidRPr="00993442" w:rsidRDefault="000710BB" w:rsidP="00B22F66">
            <w:pPr>
              <w:spacing w:before="240"/>
            </w:pPr>
            <w:r w:rsidRPr="00993442">
              <w:t>Case mix adjustment is by age, stroke severity, known atrial fibrillation on admission and stroke type and does not encompass any other factors that could potentially influence the ratio.</w:t>
            </w:r>
          </w:p>
          <w:p w14:paraId="3E0CFFB7" w14:textId="77777777" w:rsidR="000710BB" w:rsidRPr="00993442" w:rsidRDefault="000710BB" w:rsidP="00B22F66">
            <w:pPr>
              <w:spacing w:before="240"/>
            </w:pPr>
            <w:r w:rsidRPr="00993442">
              <w:t xml:space="preserve">The SSNAP annual report provides some overall demographic details of patients included in the SSNAP </w:t>
            </w:r>
            <w:hyperlink r:id="rId12" w:history="1">
              <w:r w:rsidRPr="00993442">
                <w:rPr>
                  <w:rStyle w:val="Hyperlink"/>
                  <w:color w:val="auto"/>
                </w:rPr>
                <w:t>https://www.strokeaudit.org/Documents/AnnualReport/2015-16-SSNAP-Annual-Report.aspx</w:t>
              </w:r>
            </w:hyperlink>
          </w:p>
          <w:p w14:paraId="13BAF11D" w14:textId="77777777" w:rsidR="000710BB" w:rsidRPr="00993442" w:rsidRDefault="000710BB" w:rsidP="00B22F66">
            <w:pPr>
              <w:spacing w:before="240"/>
            </w:pPr>
            <w:r w:rsidRPr="00993442">
              <w:t xml:space="preserve">Along with a host of other detailed audit information, the quarterly SSNAP public report provides specific details on the </w:t>
            </w:r>
            <w:proofErr w:type="spellStart"/>
            <w:r w:rsidRPr="00993442">
              <w:t>casemix</w:t>
            </w:r>
            <w:proofErr w:type="spellEnd"/>
            <w:r w:rsidRPr="00993442">
              <w:t xml:space="preserve"> breakdowns, including patient numbers, gender, age, co-morbidities, stroke type, Modified Rankin Scales scores, NIHSS and the onset of symptoms (Section 2: </w:t>
            </w:r>
            <w:proofErr w:type="spellStart"/>
            <w:r w:rsidRPr="00993442">
              <w:t>Casemix</w:t>
            </w:r>
            <w:proofErr w:type="spellEnd"/>
            <w:r w:rsidRPr="00993442">
              <w:t xml:space="preserve">, p43) </w:t>
            </w:r>
            <w:hyperlink r:id="rId13" w:history="1">
              <w:r w:rsidRPr="00993442">
                <w:rPr>
                  <w:rStyle w:val="Hyperlink"/>
                  <w:color w:val="auto"/>
                </w:rPr>
                <w:t>https://www.strokeaudit.org/Documents/National/Clinical/AugNov2016/AugNov2016-PublicReport.aspx</w:t>
              </w:r>
            </w:hyperlink>
          </w:p>
          <w:p w14:paraId="05C0B304" w14:textId="77777777" w:rsidR="000710BB" w:rsidRPr="00993442" w:rsidRDefault="000710BB" w:rsidP="00B22F66">
            <w:pPr>
              <w:spacing w:before="240"/>
            </w:pPr>
          </w:p>
        </w:tc>
      </w:tr>
      <w:tr w:rsidR="00993442" w:rsidRPr="00993442" w14:paraId="223C033C" w14:textId="77777777" w:rsidTr="000710BB">
        <w:tc>
          <w:tcPr>
            <w:tcW w:w="1842" w:type="dxa"/>
          </w:tcPr>
          <w:p w14:paraId="24644705" w14:textId="4FAB2106" w:rsidR="000710BB" w:rsidRPr="00993442" w:rsidRDefault="000710BB" w:rsidP="00B22F66">
            <w:pPr>
              <w:spacing w:before="240"/>
              <w:ind w:left="34"/>
              <w:rPr>
                <w:b/>
              </w:rPr>
            </w:pPr>
            <w:permStart w:id="819672051" w:edGrp="everyone" w:colFirst="1" w:colLast="1"/>
            <w:permEnd w:id="126835824"/>
            <w:r w:rsidRPr="00993442">
              <w:rPr>
                <w:b/>
              </w:rPr>
              <w:lastRenderedPageBreak/>
              <w:t>4.6 Confidence interval / control limit use and methodology</w:t>
            </w:r>
          </w:p>
        </w:tc>
        <w:tc>
          <w:tcPr>
            <w:tcW w:w="8212" w:type="dxa"/>
          </w:tcPr>
          <w:sdt>
            <w:sdt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36055C31" w14:textId="77777777" w:rsidR="000710BB" w:rsidRPr="00993442" w:rsidRDefault="000710BB" w:rsidP="00B22F66">
                <w:pPr>
                  <w:spacing w:before="240"/>
                </w:pPr>
                <w:r w:rsidRPr="00993442">
                  <w:t>Control Limits</w:t>
                </w:r>
              </w:p>
            </w:sdtContent>
          </w:sdt>
          <w:p w14:paraId="06AE8152" w14:textId="77777777" w:rsidR="000710BB" w:rsidRPr="00993442" w:rsidRDefault="000710BB" w:rsidP="00B22F66">
            <w:pPr>
              <w:spacing w:before="240"/>
              <w:rPr>
                <w:i/>
              </w:rPr>
            </w:pPr>
            <w:r w:rsidRPr="00993442">
              <w:rPr>
                <w:i/>
              </w:rPr>
              <w:t>Methodology:</w:t>
            </w:r>
          </w:p>
          <w:p w14:paraId="6FA3DF22" w14:textId="77777777" w:rsidR="000710BB" w:rsidRPr="00993442" w:rsidRDefault="000710BB" w:rsidP="00B22F66">
            <w:r w:rsidRPr="00993442">
              <w:t xml:space="preserve">The equation below is the standard binomial approximation which is the methodology used for 2013/14 data. For 2014/15, the RCP will update the methodology to use </w:t>
            </w:r>
            <w:proofErr w:type="spellStart"/>
            <w:r w:rsidRPr="00993442">
              <w:t>Byar’s</w:t>
            </w:r>
            <w:proofErr w:type="spellEnd"/>
            <w:r w:rsidRPr="00993442">
              <w:t xml:space="preserve"> approximation.</w:t>
            </w:r>
          </w:p>
          <w:p w14:paraId="7CB40BF7" w14:textId="77777777" w:rsidR="000710BB" w:rsidRPr="00993442" w:rsidRDefault="000710BB" w:rsidP="00B22F66">
            <w:pPr>
              <w:spacing w:before="240"/>
              <w:rPr>
                <w:i/>
              </w:rPr>
            </w:pPr>
            <w:r w:rsidRPr="00993442">
              <w:t xml:space="preserve">Control limits = mean SMR - </w:t>
            </w:r>
            <w:r w:rsidRPr="00993442">
              <w:rPr>
                <w:i/>
              </w:rPr>
              <w:t>z</w:t>
            </w:r>
            <w:r w:rsidRPr="00993442">
              <w:t>*(</w:t>
            </w:r>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expected</m:t>
                      </m:r>
                    </m:e>
                  </m:rad>
                </m:num>
                <m:den>
                  <m:r>
                    <m:rPr>
                      <m:sty m:val="p"/>
                    </m:rPr>
                    <w:rPr>
                      <w:rFonts w:ascii="Cambria Math" w:hAnsi="Cambria Math"/>
                    </w:rPr>
                    <m:t>expected</m:t>
                  </m:r>
                </m:den>
              </m:f>
            </m:oMath>
            <w:r w:rsidRPr="00993442">
              <w:t>)</w:t>
            </w:r>
          </w:p>
        </w:tc>
      </w:tr>
      <w:tr w:rsidR="00993442" w:rsidRPr="00993442" w14:paraId="13B64A3E" w14:textId="77777777" w:rsidTr="000710BB">
        <w:tc>
          <w:tcPr>
            <w:tcW w:w="1842" w:type="dxa"/>
          </w:tcPr>
          <w:p w14:paraId="198AD4F6" w14:textId="4AD1AF80" w:rsidR="000710BB" w:rsidRPr="00993442" w:rsidRDefault="000710BB" w:rsidP="00B22F66">
            <w:pPr>
              <w:spacing w:before="240"/>
              <w:ind w:left="34"/>
              <w:rPr>
                <w:b/>
              </w:rPr>
            </w:pPr>
            <w:permStart w:id="563478588" w:edGrp="everyone" w:colFirst="1" w:colLast="1"/>
            <w:permEnd w:id="819672051"/>
            <w:r w:rsidRPr="00993442">
              <w:rPr>
                <w:b/>
              </w:rPr>
              <w:t>4.7 Justification of confidence intervals / control limits used</w:t>
            </w:r>
          </w:p>
        </w:tc>
        <w:tc>
          <w:tcPr>
            <w:tcW w:w="8212" w:type="dxa"/>
          </w:tcPr>
          <w:p w14:paraId="7E18AD1E" w14:textId="77777777" w:rsidR="000710BB" w:rsidRPr="00993442" w:rsidRDefault="000710BB" w:rsidP="00B22F66">
            <w:pPr>
              <w:spacing w:before="240"/>
            </w:pPr>
            <w:r w:rsidRPr="00993442">
              <w:t>The SSNAP uses control limits for the purpose of outlier detection with regards to mortality.</w:t>
            </w:r>
          </w:p>
        </w:tc>
      </w:tr>
      <w:permEnd w:id="563478588"/>
    </w:tbl>
    <w:p w14:paraId="534AE731" w14:textId="77777777" w:rsidR="00CB2802" w:rsidRPr="00993442" w:rsidRDefault="00CB2802" w:rsidP="00CB2802">
      <w:r w:rsidRPr="00993442">
        <w:br w:type="page"/>
      </w:r>
    </w:p>
    <w:p w14:paraId="2EE35233" w14:textId="429660D7" w:rsidR="000710BB" w:rsidRPr="00993442" w:rsidRDefault="000710BB">
      <w:r w:rsidRPr="00993442">
        <w:lastRenderedPageBreak/>
        <w:t>Section 5 Presentation and Interpretation</w:t>
      </w:r>
    </w:p>
    <w:p w14:paraId="1E0DF552" w14:textId="483B04E9" w:rsidR="000710BB" w:rsidRPr="00993442" w:rsidRDefault="000710BB">
      <w:r w:rsidRPr="00993442">
        <w:t>Presentation</w:t>
      </w:r>
    </w:p>
    <w:tbl>
      <w:tblPr>
        <w:tblStyle w:val="TableGrid2"/>
        <w:tblW w:w="0" w:type="auto"/>
        <w:tblLook w:val="04A0" w:firstRow="1" w:lastRow="0" w:firstColumn="1" w:lastColumn="0" w:noHBand="0" w:noVBand="1"/>
      </w:tblPr>
      <w:tblGrid>
        <w:gridCol w:w="2268"/>
        <w:gridCol w:w="6853"/>
      </w:tblGrid>
      <w:tr w:rsidR="00993442" w:rsidRPr="00993442" w14:paraId="568EB3DF" w14:textId="77777777" w:rsidTr="000710BB">
        <w:tc>
          <w:tcPr>
            <w:tcW w:w="2268" w:type="dxa"/>
          </w:tcPr>
          <w:p w14:paraId="1D7DB12B" w14:textId="7E53812E" w:rsidR="000710BB" w:rsidRPr="00993442" w:rsidRDefault="000710BB" w:rsidP="00B22F66">
            <w:pPr>
              <w:spacing w:before="240"/>
              <w:ind w:left="34"/>
              <w:rPr>
                <w:b/>
              </w:rPr>
            </w:pPr>
            <w:permStart w:id="1253781498" w:edGrp="everyone" w:colFirst="1" w:colLast="1"/>
            <w:permStart w:id="645670921" w:edGrp="everyone" w:colFirst="2" w:colLast="2"/>
            <w:r w:rsidRPr="00993442">
              <w:rPr>
                <w:b/>
              </w:rPr>
              <w:t>5.1 Presentation of indicator</w:t>
            </w:r>
          </w:p>
        </w:tc>
        <w:tc>
          <w:tcPr>
            <w:tcW w:w="6853" w:type="dxa"/>
          </w:tcPr>
          <w:p w14:paraId="7A028D98" w14:textId="77777777" w:rsidR="000710BB" w:rsidRPr="00993442" w:rsidRDefault="000710BB" w:rsidP="00B22F66">
            <w:pPr>
              <w:spacing w:before="240"/>
            </w:pPr>
            <w:r w:rsidRPr="00993442">
              <w:t xml:space="preserve">The indicator is presented on the NHS Digital Indicator Portal in a consistent format to other CCG OIS indicators. It is accompanied by indicator specification and quality statement documents, which provide details of indicator construction, data quality, statistical methods and interpretation considerations </w:t>
            </w:r>
            <w:hyperlink r:id="rId14" w:history="1">
              <w:r w:rsidRPr="00993442">
                <w:rPr>
                  <w:rStyle w:val="Hyperlink"/>
                  <w:color w:val="auto"/>
                </w:rPr>
                <w:t>https://indicators.hscic.gov.uk/webview/</w:t>
              </w:r>
            </w:hyperlink>
            <w:r w:rsidRPr="00993442">
              <w:t xml:space="preserve"> .</w:t>
            </w:r>
          </w:p>
          <w:p w14:paraId="4EFEEB4A" w14:textId="77777777" w:rsidR="000710BB" w:rsidRPr="00993442" w:rsidRDefault="000710BB" w:rsidP="00B22F66">
            <w:pPr>
              <w:spacing w:before="240"/>
            </w:pPr>
            <w:r w:rsidRPr="00993442">
              <w:t>The data is presented with a detailed header including information on the statistic presented, the reporting period, level of coverage, publication date, data source, and any further notes to be aware of. The customer is also able to make use of drop-down filtering.</w:t>
            </w:r>
          </w:p>
          <w:p w14:paraId="0D06BD09" w14:textId="77777777" w:rsidR="000710BB" w:rsidRPr="00993442" w:rsidRDefault="000710BB" w:rsidP="00B22F66">
            <w:pPr>
              <w:spacing w:before="240"/>
            </w:pPr>
          </w:p>
        </w:tc>
      </w:tr>
    </w:tbl>
    <w:permEnd w:id="1253781498"/>
    <w:p w14:paraId="638896E6" w14:textId="58077D3B" w:rsidR="000710BB" w:rsidRPr="00993442" w:rsidRDefault="000710BB">
      <w:r w:rsidRPr="00993442">
        <w:t>Table showing headers for data for indicator</w:t>
      </w:r>
    </w:p>
    <w:tbl>
      <w:tblPr>
        <w:tblStyle w:val="TableGrid"/>
        <w:tblW w:w="0" w:type="auto"/>
        <w:tblLook w:val="0020" w:firstRow="1" w:lastRow="0" w:firstColumn="0" w:lastColumn="0" w:noHBand="0" w:noVBand="0"/>
      </w:tblPr>
      <w:tblGrid>
        <w:gridCol w:w="4089"/>
        <w:gridCol w:w="5965"/>
      </w:tblGrid>
      <w:tr w:rsidR="00993442" w:rsidRPr="00993442" w14:paraId="10F92C00" w14:textId="77777777" w:rsidTr="006B7F28">
        <w:trPr>
          <w:trHeight w:val="103"/>
        </w:trPr>
        <w:tc>
          <w:tcPr>
            <w:tcW w:w="0" w:type="auto"/>
          </w:tcPr>
          <w:p w14:paraId="0D7A5AD1" w14:textId="77777777" w:rsidR="000710BB" w:rsidRPr="00993442" w:rsidRDefault="000710BB" w:rsidP="009879CF">
            <w:pPr>
              <w:spacing w:before="240"/>
              <w:rPr>
                <w:rFonts w:eastAsia="Arial"/>
              </w:rPr>
            </w:pPr>
            <w:r w:rsidRPr="00993442">
              <w:rPr>
                <w:rFonts w:eastAsia="Arial"/>
                <w:b/>
                <w:bCs/>
              </w:rPr>
              <w:t xml:space="preserve">Column name </w:t>
            </w:r>
          </w:p>
        </w:tc>
        <w:tc>
          <w:tcPr>
            <w:tcW w:w="0" w:type="auto"/>
          </w:tcPr>
          <w:p w14:paraId="29FAAE30" w14:textId="77777777" w:rsidR="000710BB" w:rsidRPr="00993442" w:rsidRDefault="000710BB" w:rsidP="009879CF">
            <w:pPr>
              <w:spacing w:before="240"/>
              <w:rPr>
                <w:rFonts w:eastAsia="Arial"/>
              </w:rPr>
            </w:pPr>
            <w:r w:rsidRPr="00993442">
              <w:rPr>
                <w:rFonts w:eastAsia="Arial"/>
                <w:b/>
                <w:bCs/>
              </w:rPr>
              <w:t xml:space="preserve">Output </w:t>
            </w:r>
          </w:p>
        </w:tc>
      </w:tr>
      <w:tr w:rsidR="00993442" w:rsidRPr="00993442" w14:paraId="5EE70066" w14:textId="77777777" w:rsidTr="006B7F28">
        <w:trPr>
          <w:trHeight w:val="103"/>
        </w:trPr>
        <w:tc>
          <w:tcPr>
            <w:tcW w:w="0" w:type="auto"/>
          </w:tcPr>
          <w:p w14:paraId="4219B732" w14:textId="77777777" w:rsidR="000710BB" w:rsidRPr="00993442" w:rsidRDefault="000710BB" w:rsidP="009879CF">
            <w:pPr>
              <w:spacing w:before="240"/>
              <w:rPr>
                <w:rFonts w:eastAsia="Arial"/>
              </w:rPr>
            </w:pPr>
            <w:r w:rsidRPr="00993442">
              <w:rPr>
                <w:rFonts w:eastAsia="Arial"/>
              </w:rPr>
              <w:t xml:space="preserve">Reporting Period </w:t>
            </w:r>
          </w:p>
        </w:tc>
        <w:tc>
          <w:tcPr>
            <w:tcW w:w="0" w:type="auto"/>
          </w:tcPr>
          <w:p w14:paraId="6F95BFAB" w14:textId="77777777" w:rsidR="000710BB" w:rsidRPr="00993442" w:rsidRDefault="000710BB" w:rsidP="009879CF">
            <w:pPr>
              <w:spacing w:before="240"/>
              <w:rPr>
                <w:rFonts w:eastAsia="Arial"/>
              </w:rPr>
            </w:pPr>
            <w:r w:rsidRPr="00993442">
              <w:rPr>
                <w:rFonts w:eastAsia="Arial"/>
              </w:rPr>
              <w:t xml:space="preserve">Financial year </w:t>
            </w:r>
          </w:p>
        </w:tc>
      </w:tr>
      <w:tr w:rsidR="00993442" w:rsidRPr="00993442" w14:paraId="4C11EC50" w14:textId="77777777" w:rsidTr="006B7F28">
        <w:trPr>
          <w:trHeight w:val="103"/>
        </w:trPr>
        <w:tc>
          <w:tcPr>
            <w:tcW w:w="0" w:type="auto"/>
          </w:tcPr>
          <w:p w14:paraId="5F073DDE" w14:textId="77777777" w:rsidR="000710BB" w:rsidRPr="00993442" w:rsidRDefault="000710BB" w:rsidP="009879CF">
            <w:pPr>
              <w:spacing w:before="240"/>
              <w:rPr>
                <w:rFonts w:eastAsia="Arial"/>
              </w:rPr>
            </w:pPr>
            <w:r w:rsidRPr="00993442">
              <w:rPr>
                <w:rFonts w:eastAsia="Arial"/>
              </w:rPr>
              <w:t xml:space="preserve">Breakdown </w:t>
            </w:r>
          </w:p>
        </w:tc>
        <w:tc>
          <w:tcPr>
            <w:tcW w:w="0" w:type="auto"/>
          </w:tcPr>
          <w:p w14:paraId="33DD4E4F" w14:textId="77777777" w:rsidR="000710BB" w:rsidRPr="00993442" w:rsidRDefault="000710BB" w:rsidP="009879CF">
            <w:pPr>
              <w:spacing w:before="240"/>
              <w:rPr>
                <w:rFonts w:eastAsia="Arial"/>
              </w:rPr>
            </w:pPr>
            <w:r w:rsidRPr="00993442">
              <w:rPr>
                <w:rFonts w:eastAsia="Arial"/>
              </w:rPr>
              <w:t xml:space="preserve">CCG </w:t>
            </w:r>
          </w:p>
        </w:tc>
      </w:tr>
      <w:tr w:rsidR="00993442" w:rsidRPr="00993442" w14:paraId="410B8554" w14:textId="77777777" w:rsidTr="006B7F28">
        <w:trPr>
          <w:trHeight w:val="103"/>
        </w:trPr>
        <w:tc>
          <w:tcPr>
            <w:tcW w:w="0" w:type="auto"/>
          </w:tcPr>
          <w:p w14:paraId="66A39B11" w14:textId="77777777" w:rsidR="000710BB" w:rsidRPr="00993442" w:rsidRDefault="000710BB" w:rsidP="009879CF">
            <w:pPr>
              <w:spacing w:before="240"/>
              <w:rPr>
                <w:rFonts w:eastAsia="Arial"/>
              </w:rPr>
            </w:pPr>
            <w:r w:rsidRPr="00993442">
              <w:rPr>
                <w:rFonts w:eastAsia="Arial"/>
              </w:rPr>
              <w:t xml:space="preserve">Level </w:t>
            </w:r>
          </w:p>
        </w:tc>
        <w:tc>
          <w:tcPr>
            <w:tcW w:w="0" w:type="auto"/>
          </w:tcPr>
          <w:p w14:paraId="2D80CB7F" w14:textId="77777777" w:rsidR="000710BB" w:rsidRPr="00993442" w:rsidRDefault="000710BB" w:rsidP="009879CF">
            <w:pPr>
              <w:spacing w:before="240"/>
              <w:rPr>
                <w:rFonts w:eastAsia="Arial"/>
              </w:rPr>
            </w:pPr>
            <w:r w:rsidRPr="00993442">
              <w:rPr>
                <w:rFonts w:eastAsia="Arial"/>
              </w:rPr>
              <w:t xml:space="preserve">CCG Code </w:t>
            </w:r>
          </w:p>
        </w:tc>
      </w:tr>
      <w:tr w:rsidR="00993442" w:rsidRPr="00993442" w14:paraId="563915A9" w14:textId="77777777" w:rsidTr="006B7F28">
        <w:trPr>
          <w:trHeight w:val="103"/>
        </w:trPr>
        <w:tc>
          <w:tcPr>
            <w:tcW w:w="0" w:type="auto"/>
          </w:tcPr>
          <w:p w14:paraId="7206B836" w14:textId="77777777" w:rsidR="000710BB" w:rsidRPr="00993442" w:rsidRDefault="000710BB" w:rsidP="009879CF">
            <w:pPr>
              <w:spacing w:before="240"/>
              <w:rPr>
                <w:rFonts w:eastAsia="Arial"/>
              </w:rPr>
            </w:pPr>
            <w:r w:rsidRPr="00993442">
              <w:rPr>
                <w:rFonts w:eastAsia="Arial"/>
              </w:rPr>
              <w:t xml:space="preserve">Level description </w:t>
            </w:r>
          </w:p>
        </w:tc>
        <w:tc>
          <w:tcPr>
            <w:tcW w:w="0" w:type="auto"/>
          </w:tcPr>
          <w:p w14:paraId="06D5E183" w14:textId="77777777" w:rsidR="000710BB" w:rsidRPr="00993442" w:rsidRDefault="000710BB" w:rsidP="009879CF">
            <w:pPr>
              <w:spacing w:before="240"/>
              <w:rPr>
                <w:rFonts w:eastAsia="Arial"/>
              </w:rPr>
            </w:pPr>
            <w:r w:rsidRPr="00993442">
              <w:rPr>
                <w:rFonts w:eastAsia="Arial"/>
              </w:rPr>
              <w:t xml:space="preserve">CCG Name </w:t>
            </w:r>
          </w:p>
        </w:tc>
      </w:tr>
      <w:tr w:rsidR="00993442" w:rsidRPr="00993442" w14:paraId="69B9E7AA" w14:textId="77777777" w:rsidTr="006B7F28">
        <w:trPr>
          <w:trHeight w:val="103"/>
        </w:trPr>
        <w:tc>
          <w:tcPr>
            <w:tcW w:w="0" w:type="auto"/>
          </w:tcPr>
          <w:p w14:paraId="6700E1A3" w14:textId="77777777" w:rsidR="000710BB" w:rsidRPr="00993442" w:rsidRDefault="000710BB" w:rsidP="009879CF">
            <w:pPr>
              <w:spacing w:before="240"/>
              <w:rPr>
                <w:rFonts w:eastAsia="Arial"/>
              </w:rPr>
            </w:pPr>
            <w:r w:rsidRPr="00993442">
              <w:rPr>
                <w:rFonts w:eastAsia="Arial"/>
              </w:rPr>
              <w:t xml:space="preserve">SMR </w:t>
            </w:r>
          </w:p>
        </w:tc>
        <w:tc>
          <w:tcPr>
            <w:tcW w:w="0" w:type="auto"/>
          </w:tcPr>
          <w:p w14:paraId="27DD23FA" w14:textId="77777777" w:rsidR="000710BB" w:rsidRPr="00993442" w:rsidRDefault="000710BB" w:rsidP="009879CF">
            <w:pPr>
              <w:spacing w:before="240"/>
              <w:rPr>
                <w:rFonts w:eastAsia="Arial"/>
              </w:rPr>
            </w:pPr>
            <w:r w:rsidRPr="00993442">
              <w:rPr>
                <w:rFonts w:eastAsia="Arial"/>
              </w:rPr>
              <w:t xml:space="preserve">The </w:t>
            </w:r>
            <w:proofErr w:type="spellStart"/>
            <w:r w:rsidRPr="00993442">
              <w:rPr>
                <w:rFonts w:eastAsia="Arial"/>
              </w:rPr>
              <w:t>casemix</w:t>
            </w:r>
            <w:proofErr w:type="spellEnd"/>
            <w:r w:rsidRPr="00993442">
              <w:rPr>
                <w:rFonts w:eastAsia="Arial"/>
              </w:rPr>
              <w:t xml:space="preserve"> adjusted standardised mortality ratio </w:t>
            </w:r>
          </w:p>
        </w:tc>
      </w:tr>
      <w:tr w:rsidR="00993442" w:rsidRPr="00993442" w14:paraId="78CCA351" w14:textId="77777777" w:rsidTr="006B7F28">
        <w:trPr>
          <w:trHeight w:val="103"/>
        </w:trPr>
        <w:tc>
          <w:tcPr>
            <w:tcW w:w="0" w:type="auto"/>
          </w:tcPr>
          <w:p w14:paraId="1BF9474B" w14:textId="77777777" w:rsidR="000710BB" w:rsidRPr="00993442" w:rsidRDefault="000710BB" w:rsidP="009879CF">
            <w:pPr>
              <w:spacing w:before="240"/>
              <w:rPr>
                <w:rFonts w:eastAsia="Arial"/>
              </w:rPr>
            </w:pPr>
            <w:r w:rsidRPr="00993442">
              <w:rPr>
                <w:rFonts w:eastAsia="Arial"/>
              </w:rPr>
              <w:t xml:space="preserve">CL lower </w:t>
            </w:r>
          </w:p>
        </w:tc>
        <w:tc>
          <w:tcPr>
            <w:tcW w:w="0" w:type="auto"/>
          </w:tcPr>
          <w:p w14:paraId="4530B641" w14:textId="77777777" w:rsidR="000710BB" w:rsidRPr="00993442" w:rsidRDefault="000710BB" w:rsidP="009879CF">
            <w:pPr>
              <w:spacing w:before="240"/>
              <w:rPr>
                <w:rFonts w:eastAsia="Arial"/>
              </w:rPr>
            </w:pPr>
            <w:r w:rsidRPr="00993442">
              <w:rPr>
                <w:rFonts w:eastAsia="Arial"/>
              </w:rPr>
              <w:t xml:space="preserve">Lower 99.8% control limits </w:t>
            </w:r>
          </w:p>
        </w:tc>
      </w:tr>
      <w:tr w:rsidR="00993442" w:rsidRPr="00993442" w14:paraId="006795CD" w14:textId="77777777" w:rsidTr="006B7F28">
        <w:trPr>
          <w:trHeight w:val="103"/>
        </w:trPr>
        <w:tc>
          <w:tcPr>
            <w:tcW w:w="0" w:type="auto"/>
          </w:tcPr>
          <w:p w14:paraId="5DA2541C" w14:textId="77777777" w:rsidR="000710BB" w:rsidRPr="00993442" w:rsidRDefault="000710BB" w:rsidP="009879CF">
            <w:pPr>
              <w:spacing w:before="240"/>
              <w:rPr>
                <w:rFonts w:eastAsia="Arial"/>
              </w:rPr>
            </w:pPr>
            <w:r w:rsidRPr="00993442">
              <w:rPr>
                <w:rFonts w:eastAsia="Arial"/>
              </w:rPr>
              <w:t xml:space="preserve">CL upper </w:t>
            </w:r>
          </w:p>
        </w:tc>
        <w:tc>
          <w:tcPr>
            <w:tcW w:w="0" w:type="auto"/>
          </w:tcPr>
          <w:p w14:paraId="37818F6A" w14:textId="77777777" w:rsidR="000710BB" w:rsidRPr="00993442" w:rsidRDefault="000710BB" w:rsidP="009879CF">
            <w:pPr>
              <w:spacing w:before="240"/>
              <w:rPr>
                <w:rFonts w:eastAsia="Arial"/>
              </w:rPr>
            </w:pPr>
            <w:r w:rsidRPr="00993442">
              <w:rPr>
                <w:rFonts w:eastAsia="Arial"/>
              </w:rPr>
              <w:t xml:space="preserve">Upper 99.8% control limits </w:t>
            </w:r>
          </w:p>
        </w:tc>
      </w:tr>
      <w:tr w:rsidR="00993442" w:rsidRPr="00993442" w14:paraId="26E56995" w14:textId="77777777" w:rsidTr="006B7F28">
        <w:trPr>
          <w:trHeight w:val="229"/>
        </w:trPr>
        <w:tc>
          <w:tcPr>
            <w:tcW w:w="0" w:type="auto"/>
          </w:tcPr>
          <w:p w14:paraId="20EA871B" w14:textId="77777777" w:rsidR="000710BB" w:rsidRPr="00993442" w:rsidRDefault="000710BB" w:rsidP="009879CF">
            <w:pPr>
              <w:spacing w:before="240"/>
              <w:rPr>
                <w:rFonts w:eastAsia="Arial"/>
              </w:rPr>
            </w:pPr>
            <w:r w:rsidRPr="00993442">
              <w:rPr>
                <w:rFonts w:eastAsia="Arial"/>
              </w:rPr>
              <w:t xml:space="preserve">Number of deaths reported </w:t>
            </w:r>
          </w:p>
        </w:tc>
        <w:tc>
          <w:tcPr>
            <w:tcW w:w="0" w:type="auto"/>
          </w:tcPr>
          <w:p w14:paraId="604DE209" w14:textId="77777777" w:rsidR="000710BB" w:rsidRPr="00993442" w:rsidRDefault="000710BB" w:rsidP="009879CF">
            <w:pPr>
              <w:spacing w:before="240"/>
              <w:rPr>
                <w:rFonts w:eastAsia="Arial"/>
              </w:rPr>
            </w:pPr>
            <w:r w:rsidRPr="00993442">
              <w:rPr>
                <w:rFonts w:eastAsia="Arial"/>
              </w:rPr>
              <w:t xml:space="preserve">The observed number of deaths that occurred in the 30 days following an admission to hospital for stroke </w:t>
            </w:r>
          </w:p>
        </w:tc>
      </w:tr>
      <w:tr w:rsidR="00993442" w:rsidRPr="00993442" w14:paraId="0040AA34" w14:textId="77777777" w:rsidTr="006B7F28">
        <w:trPr>
          <w:trHeight w:val="229"/>
        </w:trPr>
        <w:tc>
          <w:tcPr>
            <w:tcW w:w="0" w:type="auto"/>
          </w:tcPr>
          <w:p w14:paraId="4A104BB3" w14:textId="77777777" w:rsidR="000710BB" w:rsidRPr="00993442" w:rsidRDefault="000710BB" w:rsidP="009879CF">
            <w:pPr>
              <w:spacing w:before="240"/>
              <w:rPr>
                <w:rFonts w:eastAsia="Arial"/>
              </w:rPr>
            </w:pPr>
            <w:r w:rsidRPr="00993442">
              <w:rPr>
                <w:rFonts w:eastAsia="Arial"/>
              </w:rPr>
              <w:t>Number of deaths expected (</w:t>
            </w:r>
            <w:proofErr w:type="spellStart"/>
            <w:r w:rsidRPr="00993442">
              <w:rPr>
                <w:rFonts w:eastAsia="Arial"/>
              </w:rPr>
              <w:t>casemix</w:t>
            </w:r>
            <w:proofErr w:type="spellEnd"/>
            <w:r w:rsidRPr="00993442">
              <w:rPr>
                <w:rFonts w:eastAsia="Arial"/>
              </w:rPr>
              <w:t xml:space="preserve"> adjusted) </w:t>
            </w:r>
          </w:p>
        </w:tc>
        <w:tc>
          <w:tcPr>
            <w:tcW w:w="0" w:type="auto"/>
          </w:tcPr>
          <w:p w14:paraId="6E34F24F" w14:textId="77777777" w:rsidR="000710BB" w:rsidRPr="00993442" w:rsidRDefault="000710BB" w:rsidP="009879CF">
            <w:pPr>
              <w:spacing w:before="240"/>
              <w:rPr>
                <w:rFonts w:eastAsia="Arial"/>
              </w:rPr>
            </w:pPr>
            <w:r w:rsidRPr="00993442">
              <w:rPr>
                <w:rFonts w:eastAsia="Arial"/>
              </w:rPr>
              <w:t>The number of deaths expected (</w:t>
            </w:r>
            <w:proofErr w:type="spellStart"/>
            <w:r w:rsidRPr="00993442">
              <w:rPr>
                <w:rFonts w:eastAsia="Arial"/>
              </w:rPr>
              <w:t>casemix</w:t>
            </w:r>
            <w:proofErr w:type="spellEnd"/>
            <w:r w:rsidRPr="00993442">
              <w:rPr>
                <w:rFonts w:eastAsia="Arial"/>
              </w:rPr>
              <w:t xml:space="preserve"> adjusted) to occur in the 30 days following an admission to hospital for stroke </w:t>
            </w:r>
          </w:p>
        </w:tc>
      </w:tr>
      <w:tr w:rsidR="00993442" w:rsidRPr="00993442" w14:paraId="5937990F" w14:textId="77777777" w:rsidTr="006B7F28">
        <w:trPr>
          <w:trHeight w:val="229"/>
        </w:trPr>
        <w:tc>
          <w:tcPr>
            <w:tcW w:w="0" w:type="auto"/>
          </w:tcPr>
          <w:p w14:paraId="4BCE36C6" w14:textId="77777777" w:rsidR="000710BB" w:rsidRPr="00993442" w:rsidRDefault="000710BB" w:rsidP="009879CF">
            <w:pPr>
              <w:spacing w:before="240"/>
              <w:rPr>
                <w:rFonts w:eastAsia="Arial"/>
              </w:rPr>
            </w:pPr>
            <w:r w:rsidRPr="00993442">
              <w:rPr>
                <w:rFonts w:eastAsia="Arial"/>
              </w:rPr>
              <w:t xml:space="preserve">Number of records in SSNAP with a known stroke type (patient outcomes) </w:t>
            </w:r>
          </w:p>
        </w:tc>
        <w:tc>
          <w:tcPr>
            <w:tcW w:w="0" w:type="auto"/>
          </w:tcPr>
          <w:p w14:paraId="41183860" w14:textId="77777777" w:rsidR="000710BB" w:rsidRPr="00993442" w:rsidRDefault="000710BB" w:rsidP="009879CF">
            <w:pPr>
              <w:spacing w:before="240"/>
              <w:rPr>
                <w:rFonts w:eastAsia="Arial"/>
              </w:rPr>
            </w:pPr>
            <w:r w:rsidRPr="00993442">
              <w:rPr>
                <w:rFonts w:eastAsia="Arial"/>
              </w:rPr>
              <w:t xml:space="preserve">The number of cases in SSNAP </w:t>
            </w:r>
          </w:p>
        </w:tc>
      </w:tr>
      <w:tr w:rsidR="00993442" w:rsidRPr="00993442" w14:paraId="669146EF" w14:textId="77777777" w:rsidTr="006B7F28">
        <w:trPr>
          <w:trHeight w:val="103"/>
        </w:trPr>
        <w:tc>
          <w:tcPr>
            <w:tcW w:w="0" w:type="auto"/>
          </w:tcPr>
          <w:p w14:paraId="44F7BAA7" w14:textId="77777777" w:rsidR="000710BB" w:rsidRPr="00993442" w:rsidRDefault="000710BB" w:rsidP="009879CF">
            <w:pPr>
              <w:spacing w:before="240"/>
              <w:rPr>
                <w:rFonts w:eastAsia="Arial"/>
              </w:rPr>
            </w:pPr>
            <w:r w:rsidRPr="00993442">
              <w:rPr>
                <w:rFonts w:eastAsia="Arial"/>
              </w:rPr>
              <w:t xml:space="preserve">Case ascertainment band </w:t>
            </w:r>
          </w:p>
        </w:tc>
        <w:tc>
          <w:tcPr>
            <w:tcW w:w="0" w:type="auto"/>
          </w:tcPr>
          <w:p w14:paraId="6EC06937" w14:textId="77777777" w:rsidR="000710BB" w:rsidRPr="00993442" w:rsidRDefault="000710BB" w:rsidP="009879CF">
            <w:pPr>
              <w:spacing w:before="240"/>
              <w:rPr>
                <w:rFonts w:eastAsia="Arial"/>
              </w:rPr>
            </w:pPr>
            <w:r w:rsidRPr="00993442">
              <w:rPr>
                <w:rFonts w:eastAsia="Arial"/>
              </w:rPr>
              <w:t xml:space="preserve">Case ascertainment between SSNAP and HES </w:t>
            </w:r>
          </w:p>
        </w:tc>
      </w:tr>
    </w:tbl>
    <w:p w14:paraId="6C562466" w14:textId="5E9D1784" w:rsidR="000710BB" w:rsidRPr="00993442" w:rsidRDefault="000710BB"/>
    <w:p w14:paraId="4B9C1644" w14:textId="77777777" w:rsidR="000710BB" w:rsidRPr="00993442" w:rsidRDefault="000710BB"/>
    <w:tbl>
      <w:tblPr>
        <w:tblStyle w:val="TableGrid2"/>
        <w:tblW w:w="0" w:type="auto"/>
        <w:tblLook w:val="04A0" w:firstRow="1" w:lastRow="0" w:firstColumn="1" w:lastColumn="0" w:noHBand="0" w:noVBand="1"/>
      </w:tblPr>
      <w:tblGrid>
        <w:gridCol w:w="2268"/>
        <w:gridCol w:w="6853"/>
      </w:tblGrid>
      <w:tr w:rsidR="00993442" w:rsidRPr="00993442" w14:paraId="7B4E0722" w14:textId="77777777" w:rsidTr="000710BB">
        <w:tc>
          <w:tcPr>
            <w:tcW w:w="2268" w:type="dxa"/>
          </w:tcPr>
          <w:p w14:paraId="37AFEB93" w14:textId="71062B8D" w:rsidR="000710BB" w:rsidRPr="00993442" w:rsidRDefault="000710BB" w:rsidP="00B22F66">
            <w:pPr>
              <w:spacing w:before="240"/>
              <w:ind w:left="34"/>
              <w:rPr>
                <w:b/>
              </w:rPr>
            </w:pPr>
            <w:r w:rsidRPr="00993442">
              <w:rPr>
                <w:b/>
              </w:rPr>
              <w:t>5.2 Contextual information provided alongside indicator</w:t>
            </w:r>
          </w:p>
          <w:p w14:paraId="72ED2B42" w14:textId="77777777" w:rsidR="000710BB" w:rsidRPr="00993442" w:rsidRDefault="000710BB" w:rsidP="00B22F66">
            <w:pPr>
              <w:ind w:left="34"/>
            </w:pPr>
            <w:r w:rsidRPr="00993442">
              <w:t>with justification</w:t>
            </w:r>
          </w:p>
        </w:tc>
        <w:tc>
          <w:tcPr>
            <w:tcW w:w="6853" w:type="dxa"/>
          </w:tcPr>
          <w:p w14:paraId="0FA18069" w14:textId="77777777" w:rsidR="000710BB" w:rsidRPr="00993442" w:rsidRDefault="000710BB" w:rsidP="00B22F66">
            <w:pPr>
              <w:spacing w:before="240"/>
            </w:pPr>
            <w:r w:rsidRPr="00993442">
              <w:t>Alongside the numerator, denominator and SMR, the number of records in SSNAP attributed to the CCG with a known stroke type is provided as contextual information.</w:t>
            </w:r>
          </w:p>
          <w:p w14:paraId="41C7F251" w14:textId="77777777" w:rsidR="000710BB" w:rsidRPr="00993442" w:rsidRDefault="000710BB" w:rsidP="00B22F66">
            <w:pPr>
              <w:spacing w:before="240"/>
            </w:pPr>
            <w:r w:rsidRPr="00993442">
              <w:lastRenderedPageBreak/>
              <w:t>The indicator is published in the context of case ascertainment between SSNAP and HES. The ‘Estimated expected number of patients from HES’ figure is the number of patients who have been coded as a primary diagnosis of stroke during their admission in a year’s worth of HES, split by the patient’s CCG recorded in the HES record. Case ascertainment is reported alongside the indicator for all CCGs to highlight audit coverage against HES. MRG requested this further analysis in the original assurance process.</w:t>
            </w:r>
          </w:p>
          <w:p w14:paraId="2EA7F3C7" w14:textId="77777777" w:rsidR="000710BB" w:rsidRPr="00993442" w:rsidRDefault="000710BB" w:rsidP="00B22F66">
            <w:pPr>
              <w:spacing w:before="240"/>
            </w:pPr>
            <w:r w:rsidRPr="00993442">
              <w:t>The ‘Case ascertainment band’ column in the published output uses the following bandings:</w:t>
            </w:r>
          </w:p>
          <w:p w14:paraId="7C3FF7C6" w14:textId="77777777" w:rsidR="000710BB" w:rsidRPr="00993442" w:rsidRDefault="000710BB" w:rsidP="00CB2802">
            <w:pPr>
              <w:pStyle w:val="ListParagraph"/>
              <w:numPr>
                <w:ilvl w:val="0"/>
                <w:numId w:val="12"/>
              </w:numPr>
              <w:spacing w:before="120" w:after="120" w:line="240" w:lineRule="auto"/>
              <w:ind w:left="714" w:hanging="357"/>
              <w:contextualSpacing w:val="0"/>
              <w:textboxTightWrap w:val="lastLineOnly"/>
              <w:rPr>
                <w:rFonts w:ascii="Arial" w:hAnsi="Arial" w:cs="Arial"/>
              </w:rPr>
            </w:pPr>
            <w:r w:rsidRPr="00993442">
              <w:rPr>
                <w:rFonts w:ascii="Arial" w:hAnsi="Arial" w:cs="Arial"/>
              </w:rPr>
              <w:t>Less than 50%</w:t>
            </w:r>
          </w:p>
          <w:p w14:paraId="3D116901" w14:textId="77777777" w:rsidR="000710BB" w:rsidRPr="00993442" w:rsidRDefault="000710BB" w:rsidP="00CB2802">
            <w:pPr>
              <w:pStyle w:val="ListParagraph"/>
              <w:numPr>
                <w:ilvl w:val="0"/>
                <w:numId w:val="12"/>
              </w:numPr>
              <w:spacing w:before="120" w:after="120" w:line="240" w:lineRule="auto"/>
              <w:ind w:left="714" w:hanging="357"/>
              <w:contextualSpacing w:val="0"/>
              <w:textboxTightWrap w:val="lastLineOnly"/>
              <w:rPr>
                <w:rFonts w:ascii="Arial" w:hAnsi="Arial" w:cs="Arial"/>
              </w:rPr>
            </w:pPr>
            <w:r w:rsidRPr="00993442">
              <w:rPr>
                <w:rFonts w:ascii="Arial" w:hAnsi="Arial" w:cs="Arial"/>
              </w:rPr>
              <w:t>50-69%</w:t>
            </w:r>
          </w:p>
          <w:p w14:paraId="5FF631CA" w14:textId="77777777" w:rsidR="000710BB" w:rsidRPr="00993442" w:rsidRDefault="000710BB" w:rsidP="00CB2802">
            <w:pPr>
              <w:pStyle w:val="ListParagraph"/>
              <w:numPr>
                <w:ilvl w:val="0"/>
                <w:numId w:val="12"/>
              </w:numPr>
              <w:spacing w:before="120" w:after="120" w:line="240" w:lineRule="auto"/>
              <w:ind w:left="714" w:hanging="357"/>
              <w:contextualSpacing w:val="0"/>
              <w:textboxTightWrap w:val="lastLineOnly"/>
              <w:rPr>
                <w:rFonts w:ascii="Arial" w:hAnsi="Arial" w:cs="Arial"/>
              </w:rPr>
            </w:pPr>
            <w:r w:rsidRPr="00993442">
              <w:rPr>
                <w:rFonts w:ascii="Arial" w:hAnsi="Arial" w:cs="Arial"/>
              </w:rPr>
              <w:t>70-79%</w:t>
            </w:r>
          </w:p>
          <w:p w14:paraId="02E0F7D7" w14:textId="77777777" w:rsidR="000710BB" w:rsidRPr="00993442" w:rsidRDefault="000710BB" w:rsidP="00CB2802">
            <w:pPr>
              <w:pStyle w:val="ListParagraph"/>
              <w:numPr>
                <w:ilvl w:val="0"/>
                <w:numId w:val="12"/>
              </w:numPr>
              <w:spacing w:before="120" w:after="120" w:line="240" w:lineRule="auto"/>
              <w:ind w:left="714" w:hanging="357"/>
              <w:contextualSpacing w:val="0"/>
              <w:textboxTightWrap w:val="lastLineOnly"/>
              <w:rPr>
                <w:rFonts w:ascii="Arial" w:hAnsi="Arial" w:cs="Arial"/>
              </w:rPr>
            </w:pPr>
            <w:r w:rsidRPr="00993442">
              <w:rPr>
                <w:rFonts w:ascii="Arial" w:hAnsi="Arial" w:cs="Arial"/>
              </w:rPr>
              <w:t>80-89%</w:t>
            </w:r>
          </w:p>
          <w:p w14:paraId="0B90A456" w14:textId="77777777" w:rsidR="000710BB" w:rsidRPr="00993442" w:rsidRDefault="000710BB" w:rsidP="00CB2802">
            <w:pPr>
              <w:pStyle w:val="ListParagraph"/>
              <w:numPr>
                <w:ilvl w:val="0"/>
                <w:numId w:val="12"/>
              </w:numPr>
              <w:spacing w:before="120" w:after="120" w:line="240" w:lineRule="auto"/>
              <w:ind w:left="714" w:hanging="357"/>
              <w:contextualSpacing w:val="0"/>
              <w:textboxTightWrap w:val="lastLineOnly"/>
              <w:rPr>
                <w:rFonts w:ascii="Arial" w:hAnsi="Arial" w:cs="Arial"/>
              </w:rPr>
            </w:pPr>
            <w:r w:rsidRPr="00993442">
              <w:rPr>
                <w:rFonts w:ascii="Arial" w:hAnsi="Arial" w:cs="Arial"/>
              </w:rPr>
              <w:t>90%+</w:t>
            </w:r>
          </w:p>
          <w:p w14:paraId="46FD37AF" w14:textId="77777777" w:rsidR="000710BB" w:rsidRPr="00993442" w:rsidRDefault="000710BB" w:rsidP="00B22F66">
            <w:pPr>
              <w:spacing w:before="240"/>
            </w:pPr>
            <w:r w:rsidRPr="00993442">
              <w:t>The indicator is not reported for any CCGs with lower than 50% case ascertainment or for those with fewer than 20 patients.</w:t>
            </w:r>
          </w:p>
        </w:tc>
      </w:tr>
      <w:tr w:rsidR="00993442" w:rsidRPr="00993442" w14:paraId="3E61AF35" w14:textId="77777777" w:rsidTr="000710BB">
        <w:tc>
          <w:tcPr>
            <w:tcW w:w="2268" w:type="dxa"/>
          </w:tcPr>
          <w:p w14:paraId="43601F98" w14:textId="741CC66E" w:rsidR="000710BB" w:rsidRPr="00993442" w:rsidRDefault="000710BB" w:rsidP="00B22F66">
            <w:pPr>
              <w:spacing w:before="240"/>
              <w:ind w:left="34"/>
              <w:rPr>
                <w:b/>
              </w:rPr>
            </w:pPr>
            <w:permStart w:id="14031829" w:edGrp="everyone" w:colFirst="1" w:colLast="1"/>
            <w:permEnd w:id="645670921"/>
            <w:r w:rsidRPr="00993442">
              <w:rPr>
                <w:b/>
              </w:rPr>
              <w:lastRenderedPageBreak/>
              <w:t>5.3 Calculation and data source of contextual information</w:t>
            </w:r>
          </w:p>
        </w:tc>
        <w:tc>
          <w:tcPr>
            <w:tcW w:w="6853" w:type="dxa"/>
          </w:tcPr>
          <w:p w14:paraId="59A8DE36" w14:textId="77777777" w:rsidR="000710BB" w:rsidRPr="00993442" w:rsidRDefault="000710BB" w:rsidP="00B22F66">
            <w:pPr>
              <w:spacing w:before="240"/>
            </w:pPr>
            <w:r w:rsidRPr="00993442">
              <w:t>The contextual information is sourced from the SSNAP and provided by the RCP.</w:t>
            </w:r>
          </w:p>
        </w:tc>
      </w:tr>
      <w:tr w:rsidR="00993442" w:rsidRPr="00993442" w14:paraId="1615F1AA" w14:textId="77777777" w:rsidTr="000710BB">
        <w:tc>
          <w:tcPr>
            <w:tcW w:w="2268" w:type="dxa"/>
          </w:tcPr>
          <w:p w14:paraId="33C1F814" w14:textId="40483E1C" w:rsidR="000710BB" w:rsidRPr="00993442" w:rsidRDefault="000710BB" w:rsidP="00B22F66">
            <w:pPr>
              <w:spacing w:before="240"/>
              <w:ind w:left="34"/>
              <w:rPr>
                <w:b/>
              </w:rPr>
            </w:pPr>
            <w:permStart w:id="569521846" w:edGrp="everyone" w:colFirst="1" w:colLast="1"/>
            <w:permEnd w:id="14031829"/>
            <w:r w:rsidRPr="00993442">
              <w:rPr>
                <w:b/>
              </w:rPr>
              <w:t>5.4 Use of bandings, benchmarks or targets</w:t>
            </w:r>
          </w:p>
          <w:p w14:paraId="3356E92A" w14:textId="77777777" w:rsidR="000710BB" w:rsidRPr="00993442" w:rsidRDefault="000710BB" w:rsidP="00B22F66">
            <w:pPr>
              <w:ind w:left="34"/>
            </w:pPr>
            <w:r w:rsidRPr="00993442">
              <w:t>with justification</w:t>
            </w:r>
          </w:p>
        </w:tc>
        <w:tc>
          <w:tcPr>
            <w:tcW w:w="6853" w:type="dxa"/>
          </w:tcPr>
          <w:p w14:paraId="283BB831" w14:textId="77777777" w:rsidR="000710BB" w:rsidRPr="00993442" w:rsidRDefault="000710BB" w:rsidP="00B22F66">
            <w:pPr>
              <w:spacing w:before="240"/>
            </w:pPr>
            <w:r w:rsidRPr="00993442">
              <w:t>None. A CCG’s SMR should be compared against the national figure of 1.</w:t>
            </w:r>
          </w:p>
        </w:tc>
      </w:tr>
      <w:tr w:rsidR="00993442" w:rsidRPr="00993442" w14:paraId="307BAFD9" w14:textId="77777777" w:rsidTr="000710BB">
        <w:tc>
          <w:tcPr>
            <w:tcW w:w="2268" w:type="dxa"/>
          </w:tcPr>
          <w:p w14:paraId="7F97D5A0" w14:textId="187416F8" w:rsidR="000710BB" w:rsidRPr="00993442" w:rsidRDefault="000710BB" w:rsidP="00B22F66">
            <w:pPr>
              <w:spacing w:before="240"/>
              <w:ind w:left="34"/>
              <w:rPr>
                <w:b/>
              </w:rPr>
            </w:pPr>
            <w:permStart w:id="1248815666" w:edGrp="everyone" w:colFirst="1" w:colLast="1"/>
            <w:permEnd w:id="569521846"/>
            <w:r w:rsidRPr="00993442">
              <w:rPr>
                <w:b/>
              </w:rPr>
              <w:t>5.5 Banding, benchmark or target methodology</w:t>
            </w:r>
          </w:p>
          <w:p w14:paraId="7EEB4AEA" w14:textId="77777777" w:rsidR="000710BB" w:rsidRPr="00993442" w:rsidRDefault="000710BB" w:rsidP="00B22F66">
            <w:pPr>
              <w:spacing w:before="240"/>
              <w:ind w:left="34"/>
            </w:pPr>
            <w:r w:rsidRPr="00993442">
              <w:t>if appropriate</w:t>
            </w:r>
          </w:p>
        </w:tc>
        <w:tc>
          <w:tcPr>
            <w:tcW w:w="6853" w:type="dxa"/>
          </w:tcPr>
          <w:p w14:paraId="23A5F383" w14:textId="77777777" w:rsidR="000710BB" w:rsidRPr="00993442" w:rsidRDefault="000710BB" w:rsidP="00B22F66">
            <w:pPr>
              <w:spacing w:before="240"/>
            </w:pPr>
            <w:r w:rsidRPr="00993442">
              <w:t>N/A</w:t>
            </w:r>
          </w:p>
        </w:tc>
      </w:tr>
    </w:tbl>
    <w:permEnd w:id="1248815666"/>
    <w:p w14:paraId="1B3826F4" w14:textId="09159E1A" w:rsidR="000710BB" w:rsidRPr="00993442" w:rsidRDefault="000710BB">
      <w:r w:rsidRPr="00993442">
        <w:t>Interpretation</w:t>
      </w:r>
    </w:p>
    <w:tbl>
      <w:tblPr>
        <w:tblStyle w:val="TableGrid2"/>
        <w:tblW w:w="0" w:type="auto"/>
        <w:tblLook w:val="04A0" w:firstRow="1" w:lastRow="0" w:firstColumn="1" w:lastColumn="0" w:noHBand="0" w:noVBand="1"/>
      </w:tblPr>
      <w:tblGrid>
        <w:gridCol w:w="2268"/>
        <w:gridCol w:w="6853"/>
      </w:tblGrid>
      <w:tr w:rsidR="00993442" w:rsidRPr="00993442" w14:paraId="52863A6E" w14:textId="77777777" w:rsidTr="000710BB">
        <w:tc>
          <w:tcPr>
            <w:tcW w:w="2268" w:type="dxa"/>
          </w:tcPr>
          <w:p w14:paraId="6987A8FD" w14:textId="1444CA31" w:rsidR="000710BB" w:rsidRPr="00993442" w:rsidRDefault="000710BB" w:rsidP="00B22F66">
            <w:pPr>
              <w:spacing w:before="240"/>
              <w:ind w:left="34"/>
              <w:rPr>
                <w:b/>
              </w:rPr>
            </w:pPr>
            <w:permStart w:id="1455768405" w:edGrp="everyone" w:colFirst="1" w:colLast="1"/>
            <w:permStart w:id="1417020994" w:edGrp="everyone" w:colFirst="2" w:colLast="2"/>
            <w:r w:rsidRPr="00993442">
              <w:rPr>
                <w:b/>
              </w:rPr>
              <w:t>5.6 Interpretation guidelines</w:t>
            </w:r>
          </w:p>
        </w:tc>
        <w:tc>
          <w:tcPr>
            <w:tcW w:w="6853" w:type="dxa"/>
          </w:tcPr>
          <w:p w14:paraId="146AEC0C" w14:textId="77777777" w:rsidR="000710BB" w:rsidRPr="00993442" w:rsidRDefault="000710BB" w:rsidP="00B22F66">
            <w:pPr>
              <w:spacing w:before="240"/>
            </w:pPr>
            <w:r w:rsidRPr="00993442">
              <w:t xml:space="preserve">A low </w:t>
            </w:r>
            <w:proofErr w:type="spellStart"/>
            <w:r w:rsidRPr="00993442">
              <w:t>casemix</w:t>
            </w:r>
            <w:proofErr w:type="spellEnd"/>
            <w:r w:rsidRPr="00993442">
              <w:t xml:space="preserve"> adjusted standardised mortality ratio is desirable.</w:t>
            </w:r>
          </w:p>
          <w:p w14:paraId="64EE3EAE" w14:textId="77777777" w:rsidR="000710BB" w:rsidRPr="00993442" w:rsidRDefault="000710BB" w:rsidP="00B22F66">
            <w:pPr>
              <w:spacing w:before="240"/>
            </w:pPr>
            <w:r w:rsidRPr="00993442">
              <w:t>Due to the construction of the SMR, it is inappropriate to compare across CCGs or rank different CCGs. A CCG’s SMR should be compared against the national figure of 1. CCGs with an SMR below 1 have fewer deaths within 30 days than the national level, whereas those with an SMR above 1 have more deaths than the national level.</w:t>
            </w:r>
          </w:p>
          <w:p w14:paraId="22E78D80" w14:textId="77777777" w:rsidR="000710BB" w:rsidRPr="00993442" w:rsidRDefault="000710BB" w:rsidP="00B22F66">
            <w:pPr>
              <w:spacing w:before="240"/>
            </w:pPr>
            <w:r w:rsidRPr="00993442">
              <w:lastRenderedPageBreak/>
              <w:t xml:space="preserve">Having a higher than expected mortality ratio should not necessarily be interpreted as being the result of poorer quality or unsafe care. Mortality data needs to be understood in the context of other stroke measures (such as the other CCG OIS indicators), SSNAP data and other factors. For example, mortality rates could be affected by the quality or accuracy of the data or by patient characteristics that were not </w:t>
            </w:r>
            <w:proofErr w:type="gramStart"/>
            <w:r w:rsidRPr="00993442">
              <w:t>taken into account</w:t>
            </w:r>
            <w:proofErr w:type="gramEnd"/>
            <w:r w:rsidRPr="00993442">
              <w:t xml:space="preserve"> when calculating the adjusted mortality rates, such as social deprivation. CCGs should use the data to help better understand mortality in their patients and should consider commissioning case reviews to identify opportunities to improve the quality of care that stroke patients receive.</w:t>
            </w:r>
          </w:p>
          <w:p w14:paraId="282C3DBF" w14:textId="77777777" w:rsidR="000710BB" w:rsidRPr="00993442" w:rsidRDefault="000710BB" w:rsidP="00B22F66">
            <w:pPr>
              <w:spacing w:before="240"/>
            </w:pPr>
            <w:r w:rsidRPr="00993442">
              <w:t>It is not possible to draw conclusions about which CCG provides better or safer patient care solely using this indicator. Attempting to do so could result in incorrect conclusions being drawn, which in turn could have an adverse (and unwarranted) impact by stigmatising individual CCGs, lowering staff morale and public confidence, or jeopardising the safety of care by providing false reassurance.</w:t>
            </w:r>
          </w:p>
          <w:p w14:paraId="44497E7C" w14:textId="77777777" w:rsidR="000710BB" w:rsidRPr="00993442" w:rsidRDefault="000710BB" w:rsidP="00B22F66">
            <w:pPr>
              <w:spacing w:before="240"/>
            </w:pPr>
            <w:r w:rsidRPr="00993442">
              <w:t>This indicator is presented with 99.8% control limits, as opposed to the usual convention within CCG OIS of 95% confidence limits. This methodology aligns with the RCP output published on the SSNAP results portal. Control limits are used to indicate that a CCG is not operating predictably and therefore, when a CCG is identified as an outlier, their SMR will not fall within the lower and upper control limits.</w:t>
            </w:r>
          </w:p>
        </w:tc>
      </w:tr>
      <w:tr w:rsidR="00993442" w:rsidRPr="00993442" w14:paraId="3F8B2968" w14:textId="77777777" w:rsidTr="000710BB">
        <w:tc>
          <w:tcPr>
            <w:tcW w:w="2268" w:type="dxa"/>
          </w:tcPr>
          <w:p w14:paraId="7AF74603" w14:textId="06078B85" w:rsidR="000710BB" w:rsidRPr="00993442" w:rsidRDefault="000710BB" w:rsidP="00B22F66">
            <w:pPr>
              <w:spacing w:before="240"/>
              <w:ind w:left="34"/>
              <w:rPr>
                <w:b/>
              </w:rPr>
            </w:pPr>
            <w:permStart w:id="1388215166" w:edGrp="everyone" w:colFirst="1" w:colLast="1"/>
            <w:permEnd w:id="1455768405"/>
            <w:r w:rsidRPr="00993442">
              <w:rPr>
                <w:b/>
              </w:rPr>
              <w:lastRenderedPageBreak/>
              <w:t>5.7 Limitations and potential bias</w:t>
            </w:r>
          </w:p>
        </w:tc>
        <w:tc>
          <w:tcPr>
            <w:tcW w:w="6853" w:type="dxa"/>
          </w:tcPr>
          <w:p w14:paraId="7B45CB0A" w14:textId="77777777" w:rsidR="000710BB" w:rsidRPr="00993442" w:rsidRDefault="000710BB" w:rsidP="00B22F66">
            <w:pPr>
              <w:spacing w:before="240"/>
            </w:pPr>
            <w:r w:rsidRPr="00993442">
              <w:t xml:space="preserve">Differences in </w:t>
            </w:r>
            <w:proofErr w:type="spellStart"/>
            <w:r w:rsidRPr="00993442">
              <w:t>casemix</w:t>
            </w:r>
            <w:proofErr w:type="spellEnd"/>
            <w:r w:rsidRPr="00993442">
              <w:t xml:space="preserve"> (beyond that accounted for by standardisation), comorbidities, socio-economic mix of local populations and other potential factors may contribute to variation.</w:t>
            </w:r>
          </w:p>
        </w:tc>
      </w:tr>
      <w:tr w:rsidR="00993442" w:rsidRPr="00993442" w14:paraId="23406167" w14:textId="77777777" w:rsidTr="000710BB">
        <w:tc>
          <w:tcPr>
            <w:tcW w:w="2268" w:type="dxa"/>
          </w:tcPr>
          <w:p w14:paraId="648F7409" w14:textId="306D60EE" w:rsidR="000710BB" w:rsidRPr="00993442" w:rsidRDefault="000710BB" w:rsidP="00B22F66">
            <w:pPr>
              <w:spacing w:before="240"/>
              <w:ind w:left="34"/>
              <w:rPr>
                <w:b/>
              </w:rPr>
            </w:pPr>
            <w:permStart w:id="2104888096" w:edGrp="everyone" w:colFirst="1" w:colLast="1"/>
            <w:permEnd w:id="1388215166"/>
            <w:r w:rsidRPr="00993442">
              <w:rPr>
                <w:b/>
              </w:rPr>
              <w:t>5.8 Improvement actions</w:t>
            </w:r>
          </w:p>
        </w:tc>
        <w:tc>
          <w:tcPr>
            <w:tcW w:w="6853" w:type="dxa"/>
          </w:tcPr>
          <w:p w14:paraId="6E6375AD" w14:textId="77777777" w:rsidR="000710BB" w:rsidRPr="00993442" w:rsidRDefault="000710BB" w:rsidP="00B22F66">
            <w:pPr>
              <w:spacing w:before="240"/>
            </w:pPr>
            <w:r w:rsidRPr="00993442">
              <w:t>It is expected that CCGs will use this indicator to identify improvements in care and how they can be delivered to improve stroke mortality.</w:t>
            </w:r>
          </w:p>
          <w:p w14:paraId="78A66A13" w14:textId="77777777" w:rsidR="000710BB" w:rsidRPr="00993442" w:rsidRDefault="000710BB" w:rsidP="00B22F66">
            <w:pPr>
              <w:spacing w:before="240"/>
            </w:pPr>
            <w:r w:rsidRPr="00993442">
              <w:t>Improvements could be made by enhancing aspects of the services CCGs commission for patients. This could come in the form of more effective primary and secondary prevention strategies, better recognition of people at highest risk who are most in need of active intervention, interventions that are effective soon after the onset of symptoms or an understanding of the processes of care that contribute to a better outcome.</w:t>
            </w:r>
          </w:p>
        </w:tc>
      </w:tr>
      <w:permEnd w:id="2104888096"/>
      <w:tr w:rsidR="00993442" w:rsidRPr="00993442" w14:paraId="3E4DA9B9" w14:textId="77777777" w:rsidTr="000710BB">
        <w:tc>
          <w:tcPr>
            <w:tcW w:w="2268" w:type="dxa"/>
          </w:tcPr>
          <w:p w14:paraId="35E1A2C3" w14:textId="59950F1D" w:rsidR="000710BB" w:rsidRPr="00993442" w:rsidRDefault="000710BB" w:rsidP="00B22F66">
            <w:pPr>
              <w:spacing w:before="240"/>
              <w:ind w:left="34"/>
              <w:rPr>
                <w:b/>
              </w:rPr>
            </w:pPr>
            <w:r w:rsidRPr="00993442">
              <w:rPr>
                <w:b/>
              </w:rPr>
              <w:t>5.9 Evidence of variability</w:t>
            </w:r>
          </w:p>
        </w:tc>
        <w:tc>
          <w:tcPr>
            <w:tcW w:w="6853" w:type="dxa"/>
          </w:tcPr>
          <w:p w14:paraId="2C2DD634" w14:textId="77777777" w:rsidR="000710BB" w:rsidRPr="00993442" w:rsidRDefault="000710BB" w:rsidP="00B22F66">
            <w:pPr>
              <w:spacing w:before="240"/>
            </w:pPr>
            <w:r w:rsidRPr="00993442">
              <w:t xml:space="preserve">The data within this section is taken from the December 2014 CCG OIS publication. </w:t>
            </w:r>
          </w:p>
          <w:p w14:paraId="1F77498F" w14:textId="547E66EF" w:rsidR="000710BB" w:rsidRPr="00993442" w:rsidRDefault="000710BB" w:rsidP="00B22F66">
            <w:pPr>
              <w:spacing w:before="240"/>
            </w:pPr>
            <w:r w:rsidRPr="00993442">
              <w:t>The data below shows the ten CCGs with the lowest and the ten CCGs with the highest SMRs in 2013/14. Five CCGs have been suppressed due to insufficient case ascertainment between SSNAP and HES, they are not included within the data below</w:t>
            </w:r>
          </w:p>
        </w:tc>
      </w:tr>
    </w:tbl>
    <w:p w14:paraId="0E046097" w14:textId="58FA2AF7" w:rsidR="000710BB" w:rsidRPr="00993442" w:rsidRDefault="000710BB"/>
    <w:tbl>
      <w:tblPr>
        <w:tblStyle w:val="TableGrid"/>
        <w:tblW w:w="6489" w:type="dxa"/>
        <w:tblLook w:val="04A0" w:firstRow="1" w:lastRow="0" w:firstColumn="1" w:lastColumn="0" w:noHBand="0" w:noVBand="1"/>
      </w:tblPr>
      <w:tblGrid>
        <w:gridCol w:w="928"/>
        <w:gridCol w:w="661"/>
        <w:gridCol w:w="617"/>
        <w:gridCol w:w="617"/>
        <w:gridCol w:w="608"/>
        <w:gridCol w:w="572"/>
        <w:gridCol w:w="1158"/>
        <w:gridCol w:w="1328"/>
      </w:tblGrid>
      <w:tr w:rsidR="000710BB" w:rsidRPr="00993442" w14:paraId="47DF15E9" w14:textId="77777777" w:rsidTr="009879CF">
        <w:trPr>
          <w:trHeight w:val="480"/>
        </w:trPr>
        <w:tc>
          <w:tcPr>
            <w:tcW w:w="928" w:type="dxa"/>
            <w:hideMark/>
          </w:tcPr>
          <w:p w14:paraId="651CD25C" w14:textId="77777777" w:rsidR="000710BB" w:rsidRPr="00993442" w:rsidRDefault="000710BB" w:rsidP="009879CF">
            <w:pPr>
              <w:jc w:val="center"/>
              <w:rPr>
                <w:b/>
                <w:bCs/>
                <w:sz w:val="16"/>
                <w:szCs w:val="16"/>
              </w:rPr>
            </w:pPr>
            <w:r w:rsidRPr="00993442">
              <w:rPr>
                <w:b/>
                <w:bCs/>
                <w:sz w:val="16"/>
                <w:szCs w:val="16"/>
              </w:rPr>
              <w:lastRenderedPageBreak/>
              <w:t>CCG</w:t>
            </w:r>
          </w:p>
        </w:tc>
        <w:tc>
          <w:tcPr>
            <w:tcW w:w="661" w:type="dxa"/>
            <w:hideMark/>
          </w:tcPr>
          <w:p w14:paraId="1DBF07A3" w14:textId="77777777" w:rsidR="000710BB" w:rsidRPr="00993442" w:rsidRDefault="000710BB" w:rsidP="009879CF">
            <w:pPr>
              <w:jc w:val="center"/>
              <w:rPr>
                <w:b/>
                <w:bCs/>
                <w:sz w:val="16"/>
                <w:szCs w:val="16"/>
              </w:rPr>
            </w:pPr>
            <w:r w:rsidRPr="00993442">
              <w:rPr>
                <w:b/>
                <w:bCs/>
                <w:sz w:val="16"/>
                <w:szCs w:val="16"/>
              </w:rPr>
              <w:t>SMR</w:t>
            </w:r>
          </w:p>
        </w:tc>
        <w:tc>
          <w:tcPr>
            <w:tcW w:w="617" w:type="dxa"/>
            <w:hideMark/>
          </w:tcPr>
          <w:p w14:paraId="4494C77D" w14:textId="77777777" w:rsidR="000710BB" w:rsidRPr="00993442" w:rsidRDefault="000710BB" w:rsidP="009879CF">
            <w:pPr>
              <w:jc w:val="center"/>
              <w:rPr>
                <w:b/>
                <w:bCs/>
                <w:sz w:val="16"/>
                <w:szCs w:val="16"/>
              </w:rPr>
            </w:pPr>
            <w:r w:rsidRPr="00993442">
              <w:rPr>
                <w:b/>
                <w:bCs/>
                <w:sz w:val="16"/>
                <w:szCs w:val="16"/>
              </w:rPr>
              <w:t>LCL</w:t>
            </w:r>
          </w:p>
        </w:tc>
        <w:tc>
          <w:tcPr>
            <w:tcW w:w="617" w:type="dxa"/>
            <w:hideMark/>
          </w:tcPr>
          <w:p w14:paraId="1AB5E6FF" w14:textId="77777777" w:rsidR="000710BB" w:rsidRPr="00993442" w:rsidRDefault="000710BB" w:rsidP="009879CF">
            <w:pPr>
              <w:jc w:val="center"/>
              <w:rPr>
                <w:b/>
                <w:bCs/>
                <w:sz w:val="16"/>
                <w:szCs w:val="16"/>
              </w:rPr>
            </w:pPr>
            <w:r w:rsidRPr="00993442">
              <w:rPr>
                <w:b/>
                <w:bCs/>
                <w:sz w:val="16"/>
                <w:szCs w:val="16"/>
              </w:rPr>
              <w:t>UCL</w:t>
            </w:r>
          </w:p>
        </w:tc>
        <w:tc>
          <w:tcPr>
            <w:tcW w:w="608" w:type="dxa"/>
            <w:hideMark/>
          </w:tcPr>
          <w:p w14:paraId="4F6B7D48" w14:textId="77777777" w:rsidR="000710BB" w:rsidRPr="00993442" w:rsidRDefault="000710BB" w:rsidP="009879CF">
            <w:pPr>
              <w:jc w:val="center"/>
              <w:rPr>
                <w:b/>
                <w:bCs/>
                <w:sz w:val="16"/>
                <w:szCs w:val="16"/>
              </w:rPr>
            </w:pPr>
            <w:r w:rsidRPr="00993442">
              <w:rPr>
                <w:b/>
                <w:bCs/>
                <w:sz w:val="16"/>
                <w:szCs w:val="16"/>
              </w:rPr>
              <w:t>Den</w:t>
            </w:r>
          </w:p>
        </w:tc>
        <w:tc>
          <w:tcPr>
            <w:tcW w:w="572" w:type="dxa"/>
          </w:tcPr>
          <w:p w14:paraId="69B21948" w14:textId="77777777" w:rsidR="000710BB" w:rsidRPr="00993442" w:rsidRDefault="000710BB" w:rsidP="009879CF">
            <w:pPr>
              <w:jc w:val="center"/>
              <w:rPr>
                <w:b/>
                <w:bCs/>
                <w:sz w:val="16"/>
                <w:szCs w:val="16"/>
              </w:rPr>
            </w:pPr>
            <w:proofErr w:type="spellStart"/>
            <w:r w:rsidRPr="00993442">
              <w:rPr>
                <w:b/>
                <w:bCs/>
                <w:sz w:val="16"/>
                <w:szCs w:val="16"/>
              </w:rPr>
              <w:t>Num</w:t>
            </w:r>
            <w:proofErr w:type="spellEnd"/>
          </w:p>
        </w:tc>
        <w:tc>
          <w:tcPr>
            <w:tcW w:w="1158" w:type="dxa"/>
          </w:tcPr>
          <w:p w14:paraId="7080CF19" w14:textId="77777777" w:rsidR="000710BB" w:rsidRPr="00993442" w:rsidRDefault="000710BB" w:rsidP="009879CF">
            <w:pPr>
              <w:jc w:val="center"/>
              <w:rPr>
                <w:b/>
                <w:bCs/>
                <w:sz w:val="16"/>
                <w:szCs w:val="16"/>
              </w:rPr>
            </w:pPr>
            <w:r w:rsidRPr="00993442">
              <w:rPr>
                <w:b/>
                <w:bCs/>
                <w:sz w:val="16"/>
                <w:szCs w:val="16"/>
              </w:rPr>
              <w:t xml:space="preserve">No. of records in SSNAP known stroke type </w:t>
            </w:r>
          </w:p>
        </w:tc>
        <w:tc>
          <w:tcPr>
            <w:tcW w:w="1328" w:type="dxa"/>
          </w:tcPr>
          <w:p w14:paraId="1895DA29" w14:textId="77777777" w:rsidR="000710BB" w:rsidRPr="00993442" w:rsidRDefault="000710BB" w:rsidP="009879CF">
            <w:pPr>
              <w:jc w:val="center"/>
              <w:rPr>
                <w:b/>
                <w:bCs/>
                <w:sz w:val="16"/>
                <w:szCs w:val="16"/>
              </w:rPr>
            </w:pPr>
            <w:r w:rsidRPr="00993442">
              <w:rPr>
                <w:b/>
                <w:bCs/>
                <w:sz w:val="16"/>
                <w:szCs w:val="16"/>
              </w:rPr>
              <w:t>Case Ascertainment band</w:t>
            </w:r>
          </w:p>
        </w:tc>
      </w:tr>
      <w:tr w:rsidR="000710BB" w:rsidRPr="00993442" w14:paraId="2D5DA5A5" w14:textId="77777777" w:rsidTr="009879CF">
        <w:trPr>
          <w:trHeight w:val="300"/>
        </w:trPr>
        <w:tc>
          <w:tcPr>
            <w:tcW w:w="928" w:type="dxa"/>
            <w:hideMark/>
          </w:tcPr>
          <w:p w14:paraId="54585C44" w14:textId="77777777" w:rsidR="000710BB" w:rsidRPr="00993442" w:rsidRDefault="000710BB" w:rsidP="009879CF">
            <w:pPr>
              <w:jc w:val="center"/>
              <w:rPr>
                <w:b/>
                <w:bCs/>
                <w:sz w:val="16"/>
                <w:szCs w:val="16"/>
              </w:rPr>
            </w:pPr>
            <w:r w:rsidRPr="00993442">
              <w:rPr>
                <w:b/>
                <w:bCs/>
                <w:sz w:val="16"/>
                <w:szCs w:val="16"/>
              </w:rPr>
              <w:t>CCG1</w:t>
            </w:r>
          </w:p>
        </w:tc>
        <w:tc>
          <w:tcPr>
            <w:tcW w:w="661" w:type="dxa"/>
          </w:tcPr>
          <w:p w14:paraId="5CD887A0" w14:textId="77777777" w:rsidR="000710BB" w:rsidRPr="00993442" w:rsidRDefault="000710BB" w:rsidP="009879CF">
            <w:pPr>
              <w:jc w:val="right"/>
              <w:rPr>
                <w:sz w:val="16"/>
                <w:szCs w:val="16"/>
              </w:rPr>
            </w:pPr>
            <w:r w:rsidRPr="00993442">
              <w:rPr>
                <w:sz w:val="16"/>
                <w:szCs w:val="16"/>
              </w:rPr>
              <w:t>0.38</w:t>
            </w:r>
          </w:p>
        </w:tc>
        <w:tc>
          <w:tcPr>
            <w:tcW w:w="617" w:type="dxa"/>
          </w:tcPr>
          <w:p w14:paraId="79D7E6AE" w14:textId="77777777" w:rsidR="000710BB" w:rsidRPr="00993442" w:rsidRDefault="000710BB" w:rsidP="009879CF">
            <w:pPr>
              <w:jc w:val="right"/>
              <w:rPr>
                <w:sz w:val="16"/>
                <w:szCs w:val="16"/>
              </w:rPr>
            </w:pPr>
            <w:r w:rsidRPr="00993442">
              <w:rPr>
                <w:sz w:val="16"/>
                <w:szCs w:val="16"/>
              </w:rPr>
              <w:t>0.30</w:t>
            </w:r>
          </w:p>
        </w:tc>
        <w:tc>
          <w:tcPr>
            <w:tcW w:w="617" w:type="dxa"/>
          </w:tcPr>
          <w:p w14:paraId="6AB98E14" w14:textId="77777777" w:rsidR="000710BB" w:rsidRPr="00993442" w:rsidRDefault="000710BB" w:rsidP="009879CF">
            <w:pPr>
              <w:jc w:val="right"/>
              <w:rPr>
                <w:sz w:val="16"/>
                <w:szCs w:val="16"/>
              </w:rPr>
            </w:pPr>
            <w:r w:rsidRPr="00993442">
              <w:rPr>
                <w:sz w:val="16"/>
                <w:szCs w:val="16"/>
              </w:rPr>
              <w:t>2.02</w:t>
            </w:r>
          </w:p>
        </w:tc>
        <w:tc>
          <w:tcPr>
            <w:tcW w:w="608" w:type="dxa"/>
          </w:tcPr>
          <w:p w14:paraId="6B8C929E" w14:textId="77777777" w:rsidR="000710BB" w:rsidRPr="00993442" w:rsidRDefault="000710BB" w:rsidP="009879CF">
            <w:pPr>
              <w:jc w:val="right"/>
              <w:rPr>
                <w:sz w:val="16"/>
                <w:szCs w:val="16"/>
              </w:rPr>
            </w:pPr>
            <w:r w:rsidRPr="00993442">
              <w:rPr>
                <w:sz w:val="16"/>
                <w:szCs w:val="16"/>
              </w:rPr>
              <w:t>13</w:t>
            </w:r>
          </w:p>
        </w:tc>
        <w:tc>
          <w:tcPr>
            <w:tcW w:w="572" w:type="dxa"/>
          </w:tcPr>
          <w:p w14:paraId="0AE1B32F" w14:textId="77777777" w:rsidR="000710BB" w:rsidRPr="00993442" w:rsidRDefault="000710BB" w:rsidP="009879CF">
            <w:pPr>
              <w:jc w:val="right"/>
              <w:rPr>
                <w:sz w:val="16"/>
                <w:szCs w:val="16"/>
              </w:rPr>
            </w:pPr>
            <w:r w:rsidRPr="00993442">
              <w:rPr>
                <w:sz w:val="16"/>
                <w:szCs w:val="16"/>
              </w:rPr>
              <w:t>5</w:t>
            </w:r>
          </w:p>
        </w:tc>
        <w:tc>
          <w:tcPr>
            <w:tcW w:w="1158" w:type="dxa"/>
          </w:tcPr>
          <w:p w14:paraId="0FA3C840" w14:textId="77777777" w:rsidR="000710BB" w:rsidRPr="00993442" w:rsidRDefault="000710BB" w:rsidP="009879CF">
            <w:pPr>
              <w:jc w:val="right"/>
              <w:rPr>
                <w:sz w:val="16"/>
                <w:szCs w:val="16"/>
              </w:rPr>
            </w:pPr>
            <w:r w:rsidRPr="00993442">
              <w:rPr>
                <w:sz w:val="16"/>
                <w:szCs w:val="16"/>
              </w:rPr>
              <w:t>163</w:t>
            </w:r>
          </w:p>
        </w:tc>
        <w:tc>
          <w:tcPr>
            <w:tcW w:w="1328" w:type="dxa"/>
          </w:tcPr>
          <w:p w14:paraId="1945FF3E" w14:textId="77777777" w:rsidR="000710BB" w:rsidRPr="00993442" w:rsidRDefault="000710BB" w:rsidP="009879CF">
            <w:pPr>
              <w:jc w:val="right"/>
              <w:rPr>
                <w:sz w:val="16"/>
                <w:szCs w:val="16"/>
              </w:rPr>
            </w:pPr>
            <w:r w:rsidRPr="00993442">
              <w:rPr>
                <w:sz w:val="16"/>
                <w:szCs w:val="16"/>
              </w:rPr>
              <w:t>70-79%</w:t>
            </w:r>
          </w:p>
        </w:tc>
      </w:tr>
      <w:tr w:rsidR="000710BB" w:rsidRPr="00993442" w14:paraId="41BE374E" w14:textId="77777777" w:rsidTr="009879CF">
        <w:trPr>
          <w:trHeight w:val="300"/>
        </w:trPr>
        <w:tc>
          <w:tcPr>
            <w:tcW w:w="928" w:type="dxa"/>
            <w:hideMark/>
          </w:tcPr>
          <w:p w14:paraId="7CA886A6" w14:textId="77777777" w:rsidR="000710BB" w:rsidRPr="00993442" w:rsidRDefault="000710BB" w:rsidP="009879CF">
            <w:pPr>
              <w:jc w:val="center"/>
              <w:rPr>
                <w:b/>
                <w:bCs/>
                <w:sz w:val="16"/>
                <w:szCs w:val="16"/>
              </w:rPr>
            </w:pPr>
            <w:r w:rsidRPr="00993442">
              <w:rPr>
                <w:b/>
                <w:bCs/>
                <w:sz w:val="16"/>
                <w:szCs w:val="16"/>
              </w:rPr>
              <w:t>CCG2</w:t>
            </w:r>
          </w:p>
        </w:tc>
        <w:tc>
          <w:tcPr>
            <w:tcW w:w="661" w:type="dxa"/>
          </w:tcPr>
          <w:p w14:paraId="68429B18" w14:textId="77777777" w:rsidR="000710BB" w:rsidRPr="00993442" w:rsidRDefault="000710BB" w:rsidP="009879CF">
            <w:pPr>
              <w:jc w:val="right"/>
              <w:rPr>
                <w:sz w:val="16"/>
                <w:szCs w:val="16"/>
              </w:rPr>
            </w:pPr>
            <w:r w:rsidRPr="00993442">
              <w:rPr>
                <w:sz w:val="16"/>
                <w:szCs w:val="16"/>
              </w:rPr>
              <w:t>0.46</w:t>
            </w:r>
          </w:p>
        </w:tc>
        <w:tc>
          <w:tcPr>
            <w:tcW w:w="617" w:type="dxa"/>
          </w:tcPr>
          <w:p w14:paraId="5E44CD3F" w14:textId="77777777" w:rsidR="000710BB" w:rsidRPr="00993442" w:rsidRDefault="000710BB" w:rsidP="009879CF">
            <w:pPr>
              <w:jc w:val="right"/>
              <w:rPr>
                <w:sz w:val="16"/>
                <w:szCs w:val="16"/>
              </w:rPr>
            </w:pPr>
            <w:r w:rsidRPr="00993442">
              <w:rPr>
                <w:sz w:val="16"/>
                <w:szCs w:val="16"/>
              </w:rPr>
              <w:t>0.56</w:t>
            </w:r>
          </w:p>
        </w:tc>
        <w:tc>
          <w:tcPr>
            <w:tcW w:w="617" w:type="dxa"/>
          </w:tcPr>
          <w:p w14:paraId="1082C873" w14:textId="77777777" w:rsidR="000710BB" w:rsidRPr="00993442" w:rsidRDefault="000710BB" w:rsidP="009879CF">
            <w:pPr>
              <w:jc w:val="right"/>
              <w:rPr>
                <w:sz w:val="16"/>
                <w:szCs w:val="16"/>
              </w:rPr>
            </w:pPr>
            <w:r w:rsidRPr="00993442">
              <w:rPr>
                <w:sz w:val="16"/>
                <w:szCs w:val="16"/>
              </w:rPr>
              <w:t>1.77</w:t>
            </w:r>
          </w:p>
        </w:tc>
        <w:tc>
          <w:tcPr>
            <w:tcW w:w="608" w:type="dxa"/>
          </w:tcPr>
          <w:p w14:paraId="0450A019" w14:textId="77777777" w:rsidR="000710BB" w:rsidRPr="00993442" w:rsidRDefault="000710BB" w:rsidP="009879CF">
            <w:pPr>
              <w:jc w:val="right"/>
              <w:rPr>
                <w:sz w:val="16"/>
                <w:szCs w:val="16"/>
              </w:rPr>
            </w:pPr>
            <w:r w:rsidRPr="00993442">
              <w:rPr>
                <w:sz w:val="16"/>
                <w:szCs w:val="16"/>
              </w:rPr>
              <w:t>26</w:t>
            </w:r>
          </w:p>
        </w:tc>
        <w:tc>
          <w:tcPr>
            <w:tcW w:w="572" w:type="dxa"/>
          </w:tcPr>
          <w:p w14:paraId="241A9B07" w14:textId="77777777" w:rsidR="000710BB" w:rsidRPr="00993442" w:rsidRDefault="000710BB" w:rsidP="009879CF">
            <w:pPr>
              <w:jc w:val="right"/>
              <w:rPr>
                <w:sz w:val="16"/>
                <w:szCs w:val="16"/>
              </w:rPr>
            </w:pPr>
            <w:r w:rsidRPr="00993442">
              <w:rPr>
                <w:sz w:val="16"/>
                <w:szCs w:val="16"/>
              </w:rPr>
              <w:t>12</w:t>
            </w:r>
          </w:p>
        </w:tc>
        <w:tc>
          <w:tcPr>
            <w:tcW w:w="1158" w:type="dxa"/>
          </w:tcPr>
          <w:p w14:paraId="2BBA1B02" w14:textId="77777777" w:rsidR="000710BB" w:rsidRPr="00993442" w:rsidRDefault="000710BB" w:rsidP="009879CF">
            <w:pPr>
              <w:jc w:val="right"/>
              <w:rPr>
                <w:sz w:val="16"/>
                <w:szCs w:val="16"/>
              </w:rPr>
            </w:pPr>
            <w:r w:rsidRPr="00993442">
              <w:rPr>
                <w:sz w:val="16"/>
                <w:szCs w:val="16"/>
              </w:rPr>
              <w:t>288</w:t>
            </w:r>
          </w:p>
        </w:tc>
        <w:tc>
          <w:tcPr>
            <w:tcW w:w="1328" w:type="dxa"/>
          </w:tcPr>
          <w:p w14:paraId="1DAAEFCC" w14:textId="77777777" w:rsidR="000710BB" w:rsidRPr="00993442" w:rsidRDefault="000710BB" w:rsidP="009879CF">
            <w:pPr>
              <w:jc w:val="right"/>
              <w:rPr>
                <w:sz w:val="16"/>
                <w:szCs w:val="16"/>
              </w:rPr>
            </w:pPr>
            <w:r w:rsidRPr="00993442">
              <w:rPr>
                <w:sz w:val="16"/>
                <w:szCs w:val="16"/>
              </w:rPr>
              <w:t>90%+</w:t>
            </w:r>
          </w:p>
        </w:tc>
      </w:tr>
      <w:tr w:rsidR="000710BB" w:rsidRPr="00993442" w14:paraId="7986A0A6" w14:textId="77777777" w:rsidTr="009879CF">
        <w:trPr>
          <w:trHeight w:val="300"/>
        </w:trPr>
        <w:tc>
          <w:tcPr>
            <w:tcW w:w="928" w:type="dxa"/>
            <w:hideMark/>
          </w:tcPr>
          <w:p w14:paraId="395C8F24" w14:textId="77777777" w:rsidR="000710BB" w:rsidRPr="00993442" w:rsidRDefault="000710BB" w:rsidP="009879CF">
            <w:pPr>
              <w:jc w:val="center"/>
              <w:rPr>
                <w:b/>
                <w:bCs/>
                <w:sz w:val="16"/>
                <w:szCs w:val="16"/>
              </w:rPr>
            </w:pPr>
            <w:r w:rsidRPr="00993442">
              <w:rPr>
                <w:b/>
                <w:bCs/>
                <w:sz w:val="16"/>
                <w:szCs w:val="16"/>
              </w:rPr>
              <w:t>CCG3</w:t>
            </w:r>
          </w:p>
        </w:tc>
        <w:tc>
          <w:tcPr>
            <w:tcW w:w="661" w:type="dxa"/>
          </w:tcPr>
          <w:p w14:paraId="2EEC2FD2" w14:textId="77777777" w:rsidR="000710BB" w:rsidRPr="00993442" w:rsidRDefault="000710BB" w:rsidP="009879CF">
            <w:pPr>
              <w:jc w:val="right"/>
              <w:rPr>
                <w:sz w:val="16"/>
                <w:szCs w:val="16"/>
              </w:rPr>
            </w:pPr>
            <w:r w:rsidRPr="00993442">
              <w:rPr>
                <w:sz w:val="16"/>
                <w:szCs w:val="16"/>
              </w:rPr>
              <w:t>0.58</w:t>
            </w:r>
          </w:p>
        </w:tc>
        <w:tc>
          <w:tcPr>
            <w:tcW w:w="617" w:type="dxa"/>
          </w:tcPr>
          <w:p w14:paraId="35F359AA" w14:textId="77777777" w:rsidR="000710BB" w:rsidRPr="00993442" w:rsidRDefault="000710BB" w:rsidP="009879CF">
            <w:pPr>
              <w:jc w:val="right"/>
              <w:rPr>
                <w:sz w:val="16"/>
                <w:szCs w:val="16"/>
              </w:rPr>
            </w:pPr>
            <w:r w:rsidRPr="00993442">
              <w:rPr>
                <w:sz w:val="16"/>
                <w:szCs w:val="16"/>
              </w:rPr>
              <w:t>0.27</w:t>
            </w:r>
          </w:p>
        </w:tc>
        <w:tc>
          <w:tcPr>
            <w:tcW w:w="617" w:type="dxa"/>
          </w:tcPr>
          <w:p w14:paraId="53C3A872" w14:textId="77777777" w:rsidR="000710BB" w:rsidRPr="00993442" w:rsidRDefault="000710BB" w:rsidP="009879CF">
            <w:pPr>
              <w:jc w:val="right"/>
              <w:rPr>
                <w:sz w:val="16"/>
                <w:szCs w:val="16"/>
              </w:rPr>
            </w:pPr>
            <w:r w:rsidRPr="00993442">
              <w:rPr>
                <w:sz w:val="16"/>
                <w:szCs w:val="16"/>
              </w:rPr>
              <w:t>2.05</w:t>
            </w:r>
          </w:p>
        </w:tc>
        <w:tc>
          <w:tcPr>
            <w:tcW w:w="608" w:type="dxa"/>
          </w:tcPr>
          <w:p w14:paraId="14220784" w14:textId="77777777" w:rsidR="000710BB" w:rsidRPr="00993442" w:rsidRDefault="000710BB" w:rsidP="009879CF">
            <w:pPr>
              <w:jc w:val="right"/>
              <w:rPr>
                <w:sz w:val="16"/>
                <w:szCs w:val="16"/>
              </w:rPr>
            </w:pPr>
            <w:r w:rsidRPr="00993442">
              <w:rPr>
                <w:sz w:val="16"/>
                <w:szCs w:val="16"/>
              </w:rPr>
              <w:t>12</w:t>
            </w:r>
          </w:p>
        </w:tc>
        <w:tc>
          <w:tcPr>
            <w:tcW w:w="572" w:type="dxa"/>
          </w:tcPr>
          <w:p w14:paraId="78870E38" w14:textId="77777777" w:rsidR="000710BB" w:rsidRPr="00993442" w:rsidRDefault="000710BB" w:rsidP="009879CF">
            <w:pPr>
              <w:jc w:val="right"/>
              <w:rPr>
                <w:sz w:val="16"/>
                <w:szCs w:val="16"/>
              </w:rPr>
            </w:pPr>
            <w:r w:rsidRPr="00993442">
              <w:rPr>
                <w:sz w:val="16"/>
                <w:szCs w:val="16"/>
              </w:rPr>
              <w:t>7</w:t>
            </w:r>
          </w:p>
        </w:tc>
        <w:tc>
          <w:tcPr>
            <w:tcW w:w="1158" w:type="dxa"/>
          </w:tcPr>
          <w:p w14:paraId="70396E2E" w14:textId="77777777" w:rsidR="000710BB" w:rsidRPr="00993442" w:rsidRDefault="000710BB" w:rsidP="009879CF">
            <w:pPr>
              <w:jc w:val="right"/>
              <w:rPr>
                <w:sz w:val="16"/>
                <w:szCs w:val="16"/>
              </w:rPr>
            </w:pPr>
            <w:r w:rsidRPr="00993442">
              <w:rPr>
                <w:sz w:val="16"/>
                <w:szCs w:val="16"/>
              </w:rPr>
              <w:t>179</w:t>
            </w:r>
          </w:p>
        </w:tc>
        <w:tc>
          <w:tcPr>
            <w:tcW w:w="1328" w:type="dxa"/>
          </w:tcPr>
          <w:p w14:paraId="6644D405" w14:textId="77777777" w:rsidR="000710BB" w:rsidRPr="00993442" w:rsidRDefault="000710BB" w:rsidP="009879CF">
            <w:pPr>
              <w:jc w:val="right"/>
              <w:rPr>
                <w:sz w:val="16"/>
                <w:szCs w:val="16"/>
              </w:rPr>
            </w:pPr>
            <w:r w:rsidRPr="00993442">
              <w:rPr>
                <w:sz w:val="16"/>
                <w:szCs w:val="16"/>
              </w:rPr>
              <w:t>50-69%</w:t>
            </w:r>
          </w:p>
        </w:tc>
      </w:tr>
      <w:tr w:rsidR="000710BB" w:rsidRPr="00993442" w14:paraId="0F2A1C50" w14:textId="77777777" w:rsidTr="009879CF">
        <w:trPr>
          <w:trHeight w:val="300"/>
        </w:trPr>
        <w:tc>
          <w:tcPr>
            <w:tcW w:w="928" w:type="dxa"/>
            <w:hideMark/>
          </w:tcPr>
          <w:p w14:paraId="3CCE0288" w14:textId="77777777" w:rsidR="000710BB" w:rsidRPr="00993442" w:rsidRDefault="000710BB" w:rsidP="009879CF">
            <w:pPr>
              <w:jc w:val="center"/>
              <w:rPr>
                <w:b/>
                <w:bCs/>
                <w:sz w:val="16"/>
                <w:szCs w:val="16"/>
              </w:rPr>
            </w:pPr>
            <w:r w:rsidRPr="00993442">
              <w:rPr>
                <w:b/>
                <w:bCs/>
                <w:sz w:val="16"/>
                <w:szCs w:val="16"/>
              </w:rPr>
              <w:t>CCG4</w:t>
            </w:r>
          </w:p>
        </w:tc>
        <w:tc>
          <w:tcPr>
            <w:tcW w:w="661" w:type="dxa"/>
          </w:tcPr>
          <w:p w14:paraId="4643E98E" w14:textId="77777777" w:rsidR="000710BB" w:rsidRPr="00993442" w:rsidRDefault="000710BB" w:rsidP="009879CF">
            <w:pPr>
              <w:jc w:val="right"/>
              <w:rPr>
                <w:sz w:val="16"/>
                <w:szCs w:val="16"/>
              </w:rPr>
            </w:pPr>
            <w:r w:rsidRPr="00993442">
              <w:rPr>
                <w:sz w:val="16"/>
                <w:szCs w:val="16"/>
              </w:rPr>
              <w:t>0.64</w:t>
            </w:r>
          </w:p>
        </w:tc>
        <w:tc>
          <w:tcPr>
            <w:tcW w:w="617" w:type="dxa"/>
          </w:tcPr>
          <w:p w14:paraId="3663D7BC" w14:textId="77777777" w:rsidR="000710BB" w:rsidRPr="00993442" w:rsidRDefault="000710BB" w:rsidP="009879CF">
            <w:pPr>
              <w:jc w:val="right"/>
              <w:rPr>
                <w:sz w:val="16"/>
                <w:szCs w:val="16"/>
              </w:rPr>
            </w:pPr>
            <w:r w:rsidRPr="00993442">
              <w:rPr>
                <w:sz w:val="16"/>
                <w:szCs w:val="16"/>
              </w:rPr>
              <w:t>0.50</w:t>
            </w:r>
          </w:p>
        </w:tc>
        <w:tc>
          <w:tcPr>
            <w:tcW w:w="617" w:type="dxa"/>
          </w:tcPr>
          <w:p w14:paraId="2F581766" w14:textId="77777777" w:rsidR="000710BB" w:rsidRPr="00993442" w:rsidRDefault="000710BB" w:rsidP="009879CF">
            <w:pPr>
              <w:jc w:val="right"/>
              <w:rPr>
                <w:sz w:val="16"/>
                <w:szCs w:val="16"/>
              </w:rPr>
            </w:pPr>
            <w:r w:rsidRPr="00993442">
              <w:rPr>
                <w:sz w:val="16"/>
                <w:szCs w:val="16"/>
              </w:rPr>
              <w:t>1.82</w:t>
            </w:r>
          </w:p>
        </w:tc>
        <w:tc>
          <w:tcPr>
            <w:tcW w:w="608" w:type="dxa"/>
          </w:tcPr>
          <w:p w14:paraId="61865E33" w14:textId="77777777" w:rsidR="000710BB" w:rsidRPr="00993442" w:rsidRDefault="000710BB" w:rsidP="009879CF">
            <w:pPr>
              <w:jc w:val="right"/>
              <w:rPr>
                <w:sz w:val="16"/>
                <w:szCs w:val="16"/>
              </w:rPr>
            </w:pPr>
            <w:r w:rsidRPr="00993442">
              <w:rPr>
                <w:sz w:val="16"/>
                <w:szCs w:val="16"/>
              </w:rPr>
              <w:t>22</w:t>
            </w:r>
          </w:p>
        </w:tc>
        <w:tc>
          <w:tcPr>
            <w:tcW w:w="572" w:type="dxa"/>
          </w:tcPr>
          <w:p w14:paraId="7AD8A291" w14:textId="77777777" w:rsidR="000710BB" w:rsidRPr="00993442" w:rsidRDefault="000710BB" w:rsidP="009879CF">
            <w:pPr>
              <w:jc w:val="right"/>
              <w:rPr>
                <w:sz w:val="16"/>
                <w:szCs w:val="16"/>
              </w:rPr>
            </w:pPr>
            <w:r w:rsidRPr="00993442">
              <w:rPr>
                <w:sz w:val="16"/>
                <w:szCs w:val="16"/>
              </w:rPr>
              <w:t>14</w:t>
            </w:r>
          </w:p>
        </w:tc>
        <w:tc>
          <w:tcPr>
            <w:tcW w:w="1158" w:type="dxa"/>
          </w:tcPr>
          <w:p w14:paraId="63E17EEC" w14:textId="77777777" w:rsidR="000710BB" w:rsidRPr="00993442" w:rsidRDefault="000710BB" w:rsidP="009879CF">
            <w:pPr>
              <w:jc w:val="right"/>
              <w:rPr>
                <w:sz w:val="16"/>
                <w:szCs w:val="16"/>
              </w:rPr>
            </w:pPr>
            <w:r w:rsidRPr="00993442">
              <w:rPr>
                <w:sz w:val="16"/>
                <w:szCs w:val="16"/>
              </w:rPr>
              <w:t>203</w:t>
            </w:r>
          </w:p>
        </w:tc>
        <w:tc>
          <w:tcPr>
            <w:tcW w:w="1328" w:type="dxa"/>
          </w:tcPr>
          <w:p w14:paraId="5CCF1373" w14:textId="77777777" w:rsidR="000710BB" w:rsidRPr="00993442" w:rsidRDefault="000710BB" w:rsidP="009879CF">
            <w:pPr>
              <w:jc w:val="right"/>
              <w:rPr>
                <w:sz w:val="16"/>
                <w:szCs w:val="16"/>
              </w:rPr>
            </w:pPr>
            <w:r w:rsidRPr="00993442">
              <w:rPr>
                <w:sz w:val="16"/>
                <w:szCs w:val="16"/>
              </w:rPr>
              <w:t>80-89%</w:t>
            </w:r>
          </w:p>
        </w:tc>
      </w:tr>
      <w:tr w:rsidR="000710BB" w:rsidRPr="00993442" w14:paraId="7D58E1FB" w14:textId="77777777" w:rsidTr="009879CF">
        <w:trPr>
          <w:trHeight w:val="300"/>
        </w:trPr>
        <w:tc>
          <w:tcPr>
            <w:tcW w:w="928" w:type="dxa"/>
            <w:hideMark/>
          </w:tcPr>
          <w:p w14:paraId="5D8CF45D" w14:textId="77777777" w:rsidR="000710BB" w:rsidRPr="00993442" w:rsidRDefault="000710BB" w:rsidP="009879CF">
            <w:pPr>
              <w:jc w:val="center"/>
              <w:rPr>
                <w:b/>
                <w:bCs/>
                <w:sz w:val="16"/>
                <w:szCs w:val="16"/>
              </w:rPr>
            </w:pPr>
            <w:r w:rsidRPr="00993442">
              <w:rPr>
                <w:b/>
                <w:bCs/>
                <w:sz w:val="16"/>
                <w:szCs w:val="16"/>
              </w:rPr>
              <w:t>CCG5</w:t>
            </w:r>
          </w:p>
        </w:tc>
        <w:tc>
          <w:tcPr>
            <w:tcW w:w="661" w:type="dxa"/>
          </w:tcPr>
          <w:p w14:paraId="038782AF" w14:textId="77777777" w:rsidR="000710BB" w:rsidRPr="00993442" w:rsidRDefault="000710BB" w:rsidP="009879CF">
            <w:pPr>
              <w:jc w:val="right"/>
              <w:rPr>
                <w:sz w:val="16"/>
                <w:szCs w:val="16"/>
              </w:rPr>
            </w:pPr>
            <w:r w:rsidRPr="00993442">
              <w:rPr>
                <w:sz w:val="16"/>
                <w:szCs w:val="16"/>
              </w:rPr>
              <w:t>0.65</w:t>
            </w:r>
          </w:p>
        </w:tc>
        <w:tc>
          <w:tcPr>
            <w:tcW w:w="617" w:type="dxa"/>
          </w:tcPr>
          <w:p w14:paraId="00AD2076" w14:textId="77777777" w:rsidR="000710BB" w:rsidRPr="00993442" w:rsidRDefault="000710BB" w:rsidP="009879CF">
            <w:pPr>
              <w:jc w:val="right"/>
              <w:rPr>
                <w:sz w:val="16"/>
                <w:szCs w:val="16"/>
              </w:rPr>
            </w:pPr>
            <w:r w:rsidRPr="00993442">
              <w:rPr>
                <w:sz w:val="16"/>
                <w:szCs w:val="16"/>
              </w:rPr>
              <w:t>0.41</w:t>
            </w:r>
          </w:p>
        </w:tc>
        <w:tc>
          <w:tcPr>
            <w:tcW w:w="617" w:type="dxa"/>
          </w:tcPr>
          <w:p w14:paraId="0CC2FAC7" w14:textId="77777777" w:rsidR="000710BB" w:rsidRPr="00993442" w:rsidRDefault="000710BB" w:rsidP="009879CF">
            <w:pPr>
              <w:jc w:val="right"/>
              <w:rPr>
                <w:sz w:val="16"/>
                <w:szCs w:val="16"/>
              </w:rPr>
            </w:pPr>
            <w:r w:rsidRPr="00993442">
              <w:rPr>
                <w:sz w:val="16"/>
                <w:szCs w:val="16"/>
              </w:rPr>
              <w:t>1.91</w:t>
            </w:r>
          </w:p>
        </w:tc>
        <w:tc>
          <w:tcPr>
            <w:tcW w:w="608" w:type="dxa"/>
          </w:tcPr>
          <w:p w14:paraId="2F1B68B4" w14:textId="77777777" w:rsidR="000710BB" w:rsidRPr="00993442" w:rsidRDefault="000710BB" w:rsidP="009879CF">
            <w:pPr>
              <w:jc w:val="right"/>
              <w:rPr>
                <w:sz w:val="16"/>
                <w:szCs w:val="16"/>
              </w:rPr>
            </w:pPr>
            <w:r w:rsidRPr="00993442">
              <w:rPr>
                <w:sz w:val="16"/>
                <w:szCs w:val="16"/>
              </w:rPr>
              <w:t>17</w:t>
            </w:r>
          </w:p>
        </w:tc>
        <w:tc>
          <w:tcPr>
            <w:tcW w:w="572" w:type="dxa"/>
          </w:tcPr>
          <w:p w14:paraId="498CA083" w14:textId="77777777" w:rsidR="000710BB" w:rsidRPr="00993442" w:rsidRDefault="000710BB" w:rsidP="009879CF">
            <w:pPr>
              <w:jc w:val="right"/>
              <w:rPr>
                <w:sz w:val="16"/>
                <w:szCs w:val="16"/>
              </w:rPr>
            </w:pPr>
            <w:r w:rsidRPr="00993442">
              <w:rPr>
                <w:sz w:val="16"/>
                <w:szCs w:val="16"/>
              </w:rPr>
              <w:t>11</w:t>
            </w:r>
          </w:p>
        </w:tc>
        <w:tc>
          <w:tcPr>
            <w:tcW w:w="1158" w:type="dxa"/>
          </w:tcPr>
          <w:p w14:paraId="32F69EFD" w14:textId="77777777" w:rsidR="000710BB" w:rsidRPr="00993442" w:rsidRDefault="000710BB" w:rsidP="009879CF">
            <w:pPr>
              <w:jc w:val="right"/>
              <w:rPr>
                <w:sz w:val="16"/>
                <w:szCs w:val="16"/>
              </w:rPr>
            </w:pPr>
            <w:r w:rsidRPr="00993442">
              <w:rPr>
                <w:sz w:val="16"/>
                <w:szCs w:val="16"/>
              </w:rPr>
              <w:t>154</w:t>
            </w:r>
          </w:p>
        </w:tc>
        <w:tc>
          <w:tcPr>
            <w:tcW w:w="1328" w:type="dxa"/>
          </w:tcPr>
          <w:p w14:paraId="3A3E2687" w14:textId="77777777" w:rsidR="000710BB" w:rsidRPr="00993442" w:rsidRDefault="000710BB" w:rsidP="009879CF">
            <w:pPr>
              <w:jc w:val="right"/>
              <w:rPr>
                <w:sz w:val="16"/>
                <w:szCs w:val="16"/>
              </w:rPr>
            </w:pPr>
            <w:r w:rsidRPr="00993442">
              <w:rPr>
                <w:sz w:val="16"/>
                <w:szCs w:val="16"/>
              </w:rPr>
              <w:t>50-69%</w:t>
            </w:r>
          </w:p>
        </w:tc>
      </w:tr>
      <w:tr w:rsidR="000710BB" w:rsidRPr="00993442" w14:paraId="4C43112B" w14:textId="77777777" w:rsidTr="009879CF">
        <w:trPr>
          <w:trHeight w:val="300"/>
        </w:trPr>
        <w:tc>
          <w:tcPr>
            <w:tcW w:w="928" w:type="dxa"/>
            <w:hideMark/>
          </w:tcPr>
          <w:p w14:paraId="55E24B53" w14:textId="77777777" w:rsidR="000710BB" w:rsidRPr="00993442" w:rsidRDefault="000710BB" w:rsidP="009879CF">
            <w:pPr>
              <w:jc w:val="center"/>
              <w:rPr>
                <w:b/>
                <w:bCs/>
                <w:sz w:val="16"/>
                <w:szCs w:val="16"/>
              </w:rPr>
            </w:pPr>
            <w:r w:rsidRPr="00993442">
              <w:rPr>
                <w:b/>
                <w:bCs/>
                <w:sz w:val="16"/>
                <w:szCs w:val="16"/>
              </w:rPr>
              <w:t>CCG6</w:t>
            </w:r>
          </w:p>
        </w:tc>
        <w:tc>
          <w:tcPr>
            <w:tcW w:w="661" w:type="dxa"/>
          </w:tcPr>
          <w:p w14:paraId="657093C7" w14:textId="77777777" w:rsidR="000710BB" w:rsidRPr="00993442" w:rsidRDefault="000710BB" w:rsidP="009879CF">
            <w:pPr>
              <w:jc w:val="right"/>
              <w:rPr>
                <w:sz w:val="16"/>
                <w:szCs w:val="16"/>
              </w:rPr>
            </w:pPr>
            <w:r w:rsidRPr="00993442">
              <w:rPr>
                <w:sz w:val="16"/>
                <w:szCs w:val="16"/>
              </w:rPr>
              <w:t>0.67</w:t>
            </w:r>
          </w:p>
        </w:tc>
        <w:tc>
          <w:tcPr>
            <w:tcW w:w="617" w:type="dxa"/>
          </w:tcPr>
          <w:p w14:paraId="2AE23753" w14:textId="77777777" w:rsidR="000710BB" w:rsidRPr="00993442" w:rsidRDefault="000710BB" w:rsidP="009879CF">
            <w:pPr>
              <w:jc w:val="right"/>
              <w:rPr>
                <w:sz w:val="16"/>
                <w:szCs w:val="16"/>
              </w:rPr>
            </w:pPr>
            <w:r w:rsidRPr="00993442">
              <w:rPr>
                <w:sz w:val="16"/>
                <w:szCs w:val="16"/>
              </w:rPr>
              <w:t>0.36</w:t>
            </w:r>
          </w:p>
        </w:tc>
        <w:tc>
          <w:tcPr>
            <w:tcW w:w="617" w:type="dxa"/>
          </w:tcPr>
          <w:p w14:paraId="4371328F" w14:textId="77777777" w:rsidR="000710BB" w:rsidRPr="00993442" w:rsidRDefault="000710BB" w:rsidP="009879CF">
            <w:pPr>
              <w:jc w:val="right"/>
              <w:rPr>
                <w:sz w:val="16"/>
                <w:szCs w:val="16"/>
              </w:rPr>
            </w:pPr>
            <w:r w:rsidRPr="00993442">
              <w:rPr>
                <w:sz w:val="16"/>
                <w:szCs w:val="16"/>
              </w:rPr>
              <w:t>1.96</w:t>
            </w:r>
          </w:p>
        </w:tc>
        <w:tc>
          <w:tcPr>
            <w:tcW w:w="608" w:type="dxa"/>
          </w:tcPr>
          <w:p w14:paraId="68AD75C2" w14:textId="77777777" w:rsidR="000710BB" w:rsidRPr="00993442" w:rsidRDefault="000710BB" w:rsidP="009879CF">
            <w:pPr>
              <w:jc w:val="right"/>
              <w:rPr>
                <w:sz w:val="16"/>
                <w:szCs w:val="16"/>
              </w:rPr>
            </w:pPr>
            <w:r w:rsidRPr="00993442">
              <w:rPr>
                <w:sz w:val="16"/>
                <w:szCs w:val="16"/>
              </w:rPr>
              <w:t>15</w:t>
            </w:r>
          </w:p>
        </w:tc>
        <w:tc>
          <w:tcPr>
            <w:tcW w:w="572" w:type="dxa"/>
          </w:tcPr>
          <w:p w14:paraId="618B7D33" w14:textId="77777777" w:rsidR="000710BB" w:rsidRPr="00993442" w:rsidRDefault="000710BB" w:rsidP="009879CF">
            <w:pPr>
              <w:jc w:val="right"/>
              <w:rPr>
                <w:sz w:val="16"/>
                <w:szCs w:val="16"/>
              </w:rPr>
            </w:pPr>
            <w:r w:rsidRPr="00993442">
              <w:rPr>
                <w:sz w:val="16"/>
                <w:szCs w:val="16"/>
              </w:rPr>
              <w:t>10</w:t>
            </w:r>
          </w:p>
        </w:tc>
        <w:tc>
          <w:tcPr>
            <w:tcW w:w="1158" w:type="dxa"/>
          </w:tcPr>
          <w:p w14:paraId="3F4EF2AE" w14:textId="77777777" w:rsidR="000710BB" w:rsidRPr="00993442" w:rsidRDefault="000710BB" w:rsidP="009879CF">
            <w:pPr>
              <w:jc w:val="right"/>
              <w:rPr>
                <w:sz w:val="16"/>
                <w:szCs w:val="16"/>
              </w:rPr>
            </w:pPr>
            <w:r w:rsidRPr="00993442">
              <w:rPr>
                <w:sz w:val="16"/>
                <w:szCs w:val="16"/>
              </w:rPr>
              <w:t>123</w:t>
            </w:r>
          </w:p>
        </w:tc>
        <w:tc>
          <w:tcPr>
            <w:tcW w:w="1328" w:type="dxa"/>
          </w:tcPr>
          <w:p w14:paraId="52C0DF4B" w14:textId="77777777" w:rsidR="000710BB" w:rsidRPr="00993442" w:rsidRDefault="000710BB" w:rsidP="009879CF">
            <w:pPr>
              <w:jc w:val="right"/>
              <w:rPr>
                <w:sz w:val="16"/>
                <w:szCs w:val="16"/>
              </w:rPr>
            </w:pPr>
            <w:r w:rsidRPr="00993442">
              <w:rPr>
                <w:sz w:val="16"/>
                <w:szCs w:val="16"/>
              </w:rPr>
              <w:t>90%+</w:t>
            </w:r>
          </w:p>
        </w:tc>
      </w:tr>
      <w:tr w:rsidR="000710BB" w:rsidRPr="00993442" w14:paraId="2CA52BEC" w14:textId="77777777" w:rsidTr="009879CF">
        <w:trPr>
          <w:trHeight w:val="300"/>
        </w:trPr>
        <w:tc>
          <w:tcPr>
            <w:tcW w:w="928" w:type="dxa"/>
            <w:hideMark/>
          </w:tcPr>
          <w:p w14:paraId="43F67F0E" w14:textId="77777777" w:rsidR="000710BB" w:rsidRPr="00993442" w:rsidRDefault="000710BB" w:rsidP="009879CF">
            <w:pPr>
              <w:jc w:val="center"/>
              <w:rPr>
                <w:b/>
                <w:bCs/>
                <w:sz w:val="16"/>
                <w:szCs w:val="16"/>
              </w:rPr>
            </w:pPr>
            <w:r w:rsidRPr="00993442">
              <w:rPr>
                <w:b/>
                <w:bCs/>
                <w:sz w:val="16"/>
                <w:szCs w:val="16"/>
              </w:rPr>
              <w:t>CCG7</w:t>
            </w:r>
          </w:p>
        </w:tc>
        <w:tc>
          <w:tcPr>
            <w:tcW w:w="661" w:type="dxa"/>
          </w:tcPr>
          <w:p w14:paraId="62750D28" w14:textId="77777777" w:rsidR="000710BB" w:rsidRPr="00993442" w:rsidRDefault="000710BB" w:rsidP="009879CF">
            <w:pPr>
              <w:jc w:val="right"/>
              <w:rPr>
                <w:sz w:val="16"/>
                <w:szCs w:val="16"/>
              </w:rPr>
            </w:pPr>
            <w:r w:rsidRPr="00993442">
              <w:rPr>
                <w:sz w:val="16"/>
                <w:szCs w:val="16"/>
              </w:rPr>
              <w:t>0.69</w:t>
            </w:r>
          </w:p>
        </w:tc>
        <w:tc>
          <w:tcPr>
            <w:tcW w:w="617" w:type="dxa"/>
          </w:tcPr>
          <w:p w14:paraId="3F86A5E7" w14:textId="77777777" w:rsidR="000710BB" w:rsidRPr="00993442" w:rsidRDefault="000710BB" w:rsidP="009879CF">
            <w:pPr>
              <w:jc w:val="right"/>
              <w:rPr>
                <w:sz w:val="16"/>
                <w:szCs w:val="16"/>
              </w:rPr>
            </w:pPr>
            <w:r w:rsidRPr="00993442">
              <w:rPr>
                <w:sz w:val="16"/>
                <w:szCs w:val="16"/>
              </w:rPr>
              <w:t>0.30</w:t>
            </w:r>
          </w:p>
        </w:tc>
        <w:tc>
          <w:tcPr>
            <w:tcW w:w="617" w:type="dxa"/>
          </w:tcPr>
          <w:p w14:paraId="2B9757C0" w14:textId="77777777" w:rsidR="000710BB" w:rsidRPr="00993442" w:rsidRDefault="000710BB" w:rsidP="009879CF">
            <w:pPr>
              <w:jc w:val="right"/>
              <w:rPr>
                <w:sz w:val="16"/>
                <w:szCs w:val="16"/>
              </w:rPr>
            </w:pPr>
            <w:r w:rsidRPr="00993442">
              <w:rPr>
                <w:sz w:val="16"/>
                <w:szCs w:val="16"/>
              </w:rPr>
              <w:t>2.02</w:t>
            </w:r>
          </w:p>
        </w:tc>
        <w:tc>
          <w:tcPr>
            <w:tcW w:w="608" w:type="dxa"/>
          </w:tcPr>
          <w:p w14:paraId="680E2981" w14:textId="77777777" w:rsidR="000710BB" w:rsidRPr="00993442" w:rsidRDefault="000710BB" w:rsidP="009879CF">
            <w:pPr>
              <w:jc w:val="right"/>
              <w:rPr>
                <w:sz w:val="16"/>
                <w:szCs w:val="16"/>
              </w:rPr>
            </w:pPr>
            <w:r w:rsidRPr="00993442">
              <w:rPr>
                <w:sz w:val="16"/>
                <w:szCs w:val="16"/>
              </w:rPr>
              <w:t>13</w:t>
            </w:r>
          </w:p>
        </w:tc>
        <w:tc>
          <w:tcPr>
            <w:tcW w:w="572" w:type="dxa"/>
          </w:tcPr>
          <w:p w14:paraId="025B2205" w14:textId="77777777" w:rsidR="000710BB" w:rsidRPr="00993442" w:rsidRDefault="000710BB" w:rsidP="009879CF">
            <w:pPr>
              <w:jc w:val="right"/>
              <w:rPr>
                <w:sz w:val="16"/>
                <w:szCs w:val="16"/>
              </w:rPr>
            </w:pPr>
            <w:r w:rsidRPr="00993442">
              <w:rPr>
                <w:sz w:val="16"/>
                <w:szCs w:val="16"/>
              </w:rPr>
              <w:t>9</w:t>
            </w:r>
          </w:p>
        </w:tc>
        <w:tc>
          <w:tcPr>
            <w:tcW w:w="1158" w:type="dxa"/>
          </w:tcPr>
          <w:p w14:paraId="7D34B95C" w14:textId="77777777" w:rsidR="000710BB" w:rsidRPr="00993442" w:rsidRDefault="000710BB" w:rsidP="009879CF">
            <w:pPr>
              <w:jc w:val="right"/>
              <w:rPr>
                <w:sz w:val="16"/>
                <w:szCs w:val="16"/>
              </w:rPr>
            </w:pPr>
            <w:r w:rsidRPr="00993442">
              <w:rPr>
                <w:sz w:val="16"/>
                <w:szCs w:val="16"/>
              </w:rPr>
              <w:t>154</w:t>
            </w:r>
          </w:p>
        </w:tc>
        <w:tc>
          <w:tcPr>
            <w:tcW w:w="1328" w:type="dxa"/>
          </w:tcPr>
          <w:p w14:paraId="6AB7EA52" w14:textId="77777777" w:rsidR="000710BB" w:rsidRPr="00993442" w:rsidRDefault="000710BB" w:rsidP="009879CF">
            <w:pPr>
              <w:jc w:val="right"/>
              <w:rPr>
                <w:sz w:val="16"/>
                <w:szCs w:val="16"/>
              </w:rPr>
            </w:pPr>
            <w:r w:rsidRPr="00993442">
              <w:rPr>
                <w:sz w:val="16"/>
                <w:szCs w:val="16"/>
              </w:rPr>
              <w:t>50-69%</w:t>
            </w:r>
          </w:p>
        </w:tc>
      </w:tr>
      <w:tr w:rsidR="000710BB" w:rsidRPr="00993442" w14:paraId="7CE36438" w14:textId="77777777" w:rsidTr="009879CF">
        <w:trPr>
          <w:trHeight w:val="300"/>
        </w:trPr>
        <w:tc>
          <w:tcPr>
            <w:tcW w:w="928" w:type="dxa"/>
            <w:hideMark/>
          </w:tcPr>
          <w:p w14:paraId="5792D84C" w14:textId="77777777" w:rsidR="000710BB" w:rsidRPr="00993442" w:rsidRDefault="000710BB" w:rsidP="009879CF">
            <w:pPr>
              <w:jc w:val="center"/>
              <w:rPr>
                <w:b/>
                <w:bCs/>
                <w:sz w:val="16"/>
                <w:szCs w:val="16"/>
              </w:rPr>
            </w:pPr>
            <w:r w:rsidRPr="00993442">
              <w:rPr>
                <w:b/>
                <w:bCs/>
                <w:sz w:val="16"/>
                <w:szCs w:val="16"/>
              </w:rPr>
              <w:t>CCG8</w:t>
            </w:r>
          </w:p>
        </w:tc>
        <w:tc>
          <w:tcPr>
            <w:tcW w:w="661" w:type="dxa"/>
          </w:tcPr>
          <w:p w14:paraId="3780B41A" w14:textId="77777777" w:rsidR="000710BB" w:rsidRPr="00993442" w:rsidRDefault="000710BB" w:rsidP="009879CF">
            <w:pPr>
              <w:jc w:val="right"/>
              <w:rPr>
                <w:sz w:val="16"/>
                <w:szCs w:val="16"/>
              </w:rPr>
            </w:pPr>
            <w:r w:rsidRPr="00993442">
              <w:rPr>
                <w:sz w:val="16"/>
                <w:szCs w:val="16"/>
              </w:rPr>
              <w:t>0.69</w:t>
            </w:r>
          </w:p>
        </w:tc>
        <w:tc>
          <w:tcPr>
            <w:tcW w:w="617" w:type="dxa"/>
          </w:tcPr>
          <w:p w14:paraId="5F8A10C7" w14:textId="77777777" w:rsidR="000710BB" w:rsidRPr="00993442" w:rsidRDefault="000710BB" w:rsidP="009879CF">
            <w:pPr>
              <w:jc w:val="right"/>
              <w:rPr>
                <w:sz w:val="16"/>
                <w:szCs w:val="16"/>
              </w:rPr>
            </w:pPr>
            <w:r w:rsidRPr="00993442">
              <w:rPr>
                <w:sz w:val="16"/>
                <w:szCs w:val="16"/>
              </w:rPr>
              <w:t>0.30</w:t>
            </w:r>
          </w:p>
        </w:tc>
        <w:tc>
          <w:tcPr>
            <w:tcW w:w="617" w:type="dxa"/>
          </w:tcPr>
          <w:p w14:paraId="4EB27922" w14:textId="77777777" w:rsidR="000710BB" w:rsidRPr="00993442" w:rsidRDefault="000710BB" w:rsidP="009879CF">
            <w:pPr>
              <w:jc w:val="right"/>
              <w:rPr>
                <w:sz w:val="16"/>
                <w:szCs w:val="16"/>
              </w:rPr>
            </w:pPr>
            <w:r w:rsidRPr="00993442">
              <w:rPr>
                <w:sz w:val="16"/>
                <w:szCs w:val="16"/>
              </w:rPr>
              <w:t>2.02</w:t>
            </w:r>
          </w:p>
        </w:tc>
        <w:tc>
          <w:tcPr>
            <w:tcW w:w="608" w:type="dxa"/>
          </w:tcPr>
          <w:p w14:paraId="2FDDFB33" w14:textId="77777777" w:rsidR="000710BB" w:rsidRPr="00993442" w:rsidRDefault="000710BB" w:rsidP="009879CF">
            <w:pPr>
              <w:jc w:val="right"/>
              <w:rPr>
                <w:sz w:val="16"/>
                <w:szCs w:val="16"/>
              </w:rPr>
            </w:pPr>
            <w:r w:rsidRPr="00993442">
              <w:rPr>
                <w:sz w:val="16"/>
                <w:szCs w:val="16"/>
              </w:rPr>
              <w:t>13</w:t>
            </w:r>
          </w:p>
        </w:tc>
        <w:tc>
          <w:tcPr>
            <w:tcW w:w="572" w:type="dxa"/>
          </w:tcPr>
          <w:p w14:paraId="71FA91F1" w14:textId="77777777" w:rsidR="000710BB" w:rsidRPr="00993442" w:rsidRDefault="000710BB" w:rsidP="009879CF">
            <w:pPr>
              <w:jc w:val="right"/>
              <w:rPr>
                <w:sz w:val="16"/>
                <w:szCs w:val="16"/>
              </w:rPr>
            </w:pPr>
            <w:r w:rsidRPr="00993442">
              <w:rPr>
                <w:sz w:val="16"/>
                <w:szCs w:val="16"/>
              </w:rPr>
              <w:t>9</w:t>
            </w:r>
          </w:p>
        </w:tc>
        <w:tc>
          <w:tcPr>
            <w:tcW w:w="1158" w:type="dxa"/>
          </w:tcPr>
          <w:p w14:paraId="34BDB028" w14:textId="77777777" w:rsidR="000710BB" w:rsidRPr="00993442" w:rsidRDefault="000710BB" w:rsidP="009879CF">
            <w:pPr>
              <w:jc w:val="right"/>
              <w:rPr>
                <w:sz w:val="16"/>
                <w:szCs w:val="16"/>
              </w:rPr>
            </w:pPr>
            <w:r w:rsidRPr="00993442">
              <w:rPr>
                <w:sz w:val="16"/>
                <w:szCs w:val="16"/>
              </w:rPr>
              <w:t>187</w:t>
            </w:r>
          </w:p>
        </w:tc>
        <w:tc>
          <w:tcPr>
            <w:tcW w:w="1328" w:type="dxa"/>
          </w:tcPr>
          <w:p w14:paraId="6C1BADB2" w14:textId="77777777" w:rsidR="000710BB" w:rsidRPr="00993442" w:rsidRDefault="000710BB" w:rsidP="009879CF">
            <w:pPr>
              <w:jc w:val="right"/>
              <w:rPr>
                <w:sz w:val="16"/>
                <w:szCs w:val="16"/>
              </w:rPr>
            </w:pPr>
            <w:r w:rsidRPr="00993442">
              <w:rPr>
                <w:sz w:val="16"/>
                <w:szCs w:val="16"/>
              </w:rPr>
              <w:t>50-69%</w:t>
            </w:r>
          </w:p>
        </w:tc>
      </w:tr>
      <w:tr w:rsidR="000710BB" w:rsidRPr="00993442" w14:paraId="7076D16E" w14:textId="77777777" w:rsidTr="009879CF">
        <w:trPr>
          <w:trHeight w:val="300"/>
        </w:trPr>
        <w:tc>
          <w:tcPr>
            <w:tcW w:w="928" w:type="dxa"/>
            <w:hideMark/>
          </w:tcPr>
          <w:p w14:paraId="3A88C18A" w14:textId="77777777" w:rsidR="000710BB" w:rsidRPr="00993442" w:rsidRDefault="000710BB" w:rsidP="009879CF">
            <w:pPr>
              <w:jc w:val="center"/>
              <w:rPr>
                <w:b/>
                <w:bCs/>
                <w:sz w:val="16"/>
                <w:szCs w:val="16"/>
              </w:rPr>
            </w:pPr>
            <w:r w:rsidRPr="00993442">
              <w:rPr>
                <w:b/>
                <w:bCs/>
                <w:sz w:val="16"/>
                <w:szCs w:val="16"/>
              </w:rPr>
              <w:t>CCG9</w:t>
            </w:r>
          </w:p>
        </w:tc>
        <w:tc>
          <w:tcPr>
            <w:tcW w:w="661" w:type="dxa"/>
          </w:tcPr>
          <w:p w14:paraId="2B759517" w14:textId="77777777" w:rsidR="000710BB" w:rsidRPr="00993442" w:rsidRDefault="000710BB" w:rsidP="009879CF">
            <w:pPr>
              <w:jc w:val="right"/>
              <w:rPr>
                <w:sz w:val="16"/>
                <w:szCs w:val="16"/>
              </w:rPr>
            </w:pPr>
            <w:r w:rsidRPr="00993442">
              <w:rPr>
                <w:sz w:val="16"/>
                <w:szCs w:val="16"/>
              </w:rPr>
              <w:t>0.70</w:t>
            </w:r>
          </w:p>
        </w:tc>
        <w:tc>
          <w:tcPr>
            <w:tcW w:w="617" w:type="dxa"/>
          </w:tcPr>
          <w:p w14:paraId="58E5518B" w14:textId="77777777" w:rsidR="000710BB" w:rsidRPr="00993442" w:rsidRDefault="000710BB" w:rsidP="009879CF">
            <w:pPr>
              <w:jc w:val="right"/>
              <w:rPr>
                <w:sz w:val="16"/>
                <w:szCs w:val="16"/>
              </w:rPr>
            </w:pPr>
            <w:r w:rsidRPr="00993442">
              <w:rPr>
                <w:sz w:val="16"/>
                <w:szCs w:val="16"/>
              </w:rPr>
              <w:t>0.47</w:t>
            </w:r>
          </w:p>
        </w:tc>
        <w:tc>
          <w:tcPr>
            <w:tcW w:w="617" w:type="dxa"/>
          </w:tcPr>
          <w:p w14:paraId="7076388E" w14:textId="77777777" w:rsidR="000710BB" w:rsidRPr="00993442" w:rsidRDefault="000710BB" w:rsidP="009879CF">
            <w:pPr>
              <w:jc w:val="right"/>
              <w:rPr>
                <w:sz w:val="16"/>
                <w:szCs w:val="16"/>
              </w:rPr>
            </w:pPr>
            <w:r w:rsidRPr="00993442">
              <w:rPr>
                <w:sz w:val="16"/>
                <w:szCs w:val="16"/>
              </w:rPr>
              <w:t>1.85</w:t>
            </w:r>
          </w:p>
        </w:tc>
        <w:tc>
          <w:tcPr>
            <w:tcW w:w="608" w:type="dxa"/>
          </w:tcPr>
          <w:p w14:paraId="0264917B" w14:textId="77777777" w:rsidR="000710BB" w:rsidRPr="00993442" w:rsidRDefault="000710BB" w:rsidP="009879CF">
            <w:pPr>
              <w:jc w:val="right"/>
              <w:rPr>
                <w:sz w:val="16"/>
                <w:szCs w:val="16"/>
              </w:rPr>
            </w:pPr>
            <w:r w:rsidRPr="00993442">
              <w:rPr>
                <w:sz w:val="16"/>
                <w:szCs w:val="16"/>
              </w:rPr>
              <w:t>20</w:t>
            </w:r>
          </w:p>
        </w:tc>
        <w:tc>
          <w:tcPr>
            <w:tcW w:w="572" w:type="dxa"/>
          </w:tcPr>
          <w:p w14:paraId="672DD2C1" w14:textId="77777777" w:rsidR="000710BB" w:rsidRPr="00993442" w:rsidRDefault="000710BB" w:rsidP="009879CF">
            <w:pPr>
              <w:jc w:val="right"/>
              <w:rPr>
                <w:sz w:val="16"/>
                <w:szCs w:val="16"/>
              </w:rPr>
            </w:pPr>
            <w:r w:rsidRPr="00993442">
              <w:rPr>
                <w:sz w:val="16"/>
                <w:szCs w:val="16"/>
              </w:rPr>
              <w:t>14</w:t>
            </w:r>
          </w:p>
        </w:tc>
        <w:tc>
          <w:tcPr>
            <w:tcW w:w="1158" w:type="dxa"/>
          </w:tcPr>
          <w:p w14:paraId="63FB235C" w14:textId="77777777" w:rsidR="000710BB" w:rsidRPr="00993442" w:rsidRDefault="000710BB" w:rsidP="009879CF">
            <w:pPr>
              <w:jc w:val="right"/>
              <w:rPr>
                <w:sz w:val="16"/>
                <w:szCs w:val="16"/>
              </w:rPr>
            </w:pPr>
            <w:r w:rsidRPr="00993442">
              <w:rPr>
                <w:sz w:val="16"/>
                <w:szCs w:val="16"/>
              </w:rPr>
              <w:t>227</w:t>
            </w:r>
          </w:p>
        </w:tc>
        <w:tc>
          <w:tcPr>
            <w:tcW w:w="1328" w:type="dxa"/>
          </w:tcPr>
          <w:p w14:paraId="34886AD2" w14:textId="77777777" w:rsidR="000710BB" w:rsidRPr="00993442" w:rsidRDefault="000710BB" w:rsidP="009879CF">
            <w:pPr>
              <w:jc w:val="right"/>
              <w:rPr>
                <w:sz w:val="16"/>
                <w:szCs w:val="16"/>
              </w:rPr>
            </w:pPr>
            <w:r w:rsidRPr="00993442">
              <w:rPr>
                <w:sz w:val="16"/>
                <w:szCs w:val="16"/>
              </w:rPr>
              <w:t>50-69%</w:t>
            </w:r>
          </w:p>
        </w:tc>
      </w:tr>
      <w:tr w:rsidR="000710BB" w:rsidRPr="00993442" w14:paraId="407ED943" w14:textId="77777777" w:rsidTr="009879CF">
        <w:trPr>
          <w:trHeight w:val="300"/>
        </w:trPr>
        <w:tc>
          <w:tcPr>
            <w:tcW w:w="928" w:type="dxa"/>
            <w:hideMark/>
          </w:tcPr>
          <w:p w14:paraId="194D4C52" w14:textId="77777777" w:rsidR="000710BB" w:rsidRPr="00993442" w:rsidRDefault="000710BB" w:rsidP="009879CF">
            <w:pPr>
              <w:jc w:val="center"/>
              <w:rPr>
                <w:b/>
                <w:bCs/>
                <w:sz w:val="16"/>
                <w:szCs w:val="16"/>
              </w:rPr>
            </w:pPr>
            <w:r w:rsidRPr="00993442">
              <w:rPr>
                <w:b/>
                <w:bCs/>
                <w:sz w:val="16"/>
                <w:szCs w:val="16"/>
              </w:rPr>
              <w:t>CCG10</w:t>
            </w:r>
          </w:p>
        </w:tc>
        <w:tc>
          <w:tcPr>
            <w:tcW w:w="661" w:type="dxa"/>
          </w:tcPr>
          <w:p w14:paraId="457593DF" w14:textId="77777777" w:rsidR="000710BB" w:rsidRPr="00993442" w:rsidRDefault="000710BB" w:rsidP="009879CF">
            <w:pPr>
              <w:jc w:val="right"/>
              <w:rPr>
                <w:sz w:val="16"/>
                <w:szCs w:val="16"/>
              </w:rPr>
            </w:pPr>
            <w:r w:rsidRPr="00993442">
              <w:rPr>
                <w:sz w:val="16"/>
                <w:szCs w:val="16"/>
              </w:rPr>
              <w:t>0.74</w:t>
            </w:r>
          </w:p>
        </w:tc>
        <w:tc>
          <w:tcPr>
            <w:tcW w:w="617" w:type="dxa"/>
          </w:tcPr>
          <w:p w14:paraId="4AB6A0B0" w14:textId="77777777" w:rsidR="000710BB" w:rsidRPr="00993442" w:rsidRDefault="000710BB" w:rsidP="009879CF">
            <w:pPr>
              <w:jc w:val="right"/>
              <w:rPr>
                <w:sz w:val="16"/>
                <w:szCs w:val="16"/>
              </w:rPr>
            </w:pPr>
            <w:r w:rsidRPr="00993442">
              <w:rPr>
                <w:sz w:val="16"/>
                <w:szCs w:val="16"/>
              </w:rPr>
              <w:t>0.52</w:t>
            </w:r>
          </w:p>
        </w:tc>
        <w:tc>
          <w:tcPr>
            <w:tcW w:w="617" w:type="dxa"/>
          </w:tcPr>
          <w:p w14:paraId="5B3F4F23" w14:textId="77777777" w:rsidR="000710BB" w:rsidRPr="00993442" w:rsidRDefault="000710BB" w:rsidP="009879CF">
            <w:pPr>
              <w:jc w:val="right"/>
              <w:rPr>
                <w:sz w:val="16"/>
                <w:szCs w:val="16"/>
              </w:rPr>
            </w:pPr>
            <w:r w:rsidRPr="00993442">
              <w:rPr>
                <w:sz w:val="16"/>
                <w:szCs w:val="16"/>
              </w:rPr>
              <w:t>1.81</w:t>
            </w:r>
          </w:p>
        </w:tc>
        <w:tc>
          <w:tcPr>
            <w:tcW w:w="608" w:type="dxa"/>
          </w:tcPr>
          <w:p w14:paraId="26CBCB55" w14:textId="77777777" w:rsidR="000710BB" w:rsidRPr="00993442" w:rsidRDefault="000710BB" w:rsidP="009879CF">
            <w:pPr>
              <w:jc w:val="right"/>
              <w:rPr>
                <w:sz w:val="16"/>
                <w:szCs w:val="16"/>
              </w:rPr>
            </w:pPr>
            <w:r w:rsidRPr="00993442">
              <w:rPr>
                <w:sz w:val="16"/>
                <w:szCs w:val="16"/>
              </w:rPr>
              <w:t>23</w:t>
            </w:r>
          </w:p>
        </w:tc>
        <w:tc>
          <w:tcPr>
            <w:tcW w:w="572" w:type="dxa"/>
          </w:tcPr>
          <w:p w14:paraId="734438A5" w14:textId="77777777" w:rsidR="000710BB" w:rsidRPr="00993442" w:rsidRDefault="000710BB" w:rsidP="009879CF">
            <w:pPr>
              <w:jc w:val="right"/>
              <w:rPr>
                <w:sz w:val="16"/>
                <w:szCs w:val="16"/>
              </w:rPr>
            </w:pPr>
            <w:r w:rsidRPr="00993442">
              <w:rPr>
                <w:sz w:val="16"/>
                <w:szCs w:val="16"/>
              </w:rPr>
              <w:t>17</w:t>
            </w:r>
          </w:p>
        </w:tc>
        <w:tc>
          <w:tcPr>
            <w:tcW w:w="1158" w:type="dxa"/>
          </w:tcPr>
          <w:p w14:paraId="1B3DF7B2" w14:textId="77777777" w:rsidR="000710BB" w:rsidRPr="00993442" w:rsidRDefault="000710BB" w:rsidP="009879CF">
            <w:pPr>
              <w:jc w:val="right"/>
              <w:rPr>
                <w:sz w:val="16"/>
                <w:szCs w:val="16"/>
              </w:rPr>
            </w:pPr>
            <w:r w:rsidRPr="00993442">
              <w:rPr>
                <w:sz w:val="16"/>
                <w:szCs w:val="16"/>
              </w:rPr>
              <w:t>255</w:t>
            </w:r>
          </w:p>
        </w:tc>
        <w:tc>
          <w:tcPr>
            <w:tcW w:w="1328" w:type="dxa"/>
          </w:tcPr>
          <w:p w14:paraId="335434EB" w14:textId="77777777" w:rsidR="000710BB" w:rsidRPr="00993442" w:rsidRDefault="000710BB" w:rsidP="009879CF">
            <w:pPr>
              <w:jc w:val="right"/>
              <w:rPr>
                <w:sz w:val="16"/>
                <w:szCs w:val="16"/>
              </w:rPr>
            </w:pPr>
            <w:r w:rsidRPr="00993442">
              <w:rPr>
                <w:sz w:val="16"/>
                <w:szCs w:val="16"/>
              </w:rPr>
              <w:t>50-69%</w:t>
            </w:r>
          </w:p>
        </w:tc>
      </w:tr>
      <w:tr w:rsidR="000710BB" w:rsidRPr="00993442" w14:paraId="464532B7" w14:textId="77777777" w:rsidTr="009879CF">
        <w:trPr>
          <w:trHeight w:val="374"/>
        </w:trPr>
        <w:tc>
          <w:tcPr>
            <w:tcW w:w="928" w:type="dxa"/>
            <w:noWrap/>
            <w:hideMark/>
          </w:tcPr>
          <w:p w14:paraId="5D61BA87" w14:textId="77777777" w:rsidR="000710BB" w:rsidRPr="00993442" w:rsidRDefault="000710BB" w:rsidP="009879CF">
            <w:pPr>
              <w:rPr>
                <w:sz w:val="16"/>
                <w:szCs w:val="16"/>
              </w:rPr>
            </w:pPr>
          </w:p>
        </w:tc>
        <w:tc>
          <w:tcPr>
            <w:tcW w:w="661" w:type="dxa"/>
            <w:noWrap/>
            <w:hideMark/>
          </w:tcPr>
          <w:p w14:paraId="093DA90F" w14:textId="77777777" w:rsidR="000710BB" w:rsidRPr="00993442" w:rsidRDefault="000710BB" w:rsidP="009879CF">
            <w:pPr>
              <w:rPr>
                <w:sz w:val="16"/>
                <w:szCs w:val="16"/>
              </w:rPr>
            </w:pPr>
          </w:p>
        </w:tc>
        <w:tc>
          <w:tcPr>
            <w:tcW w:w="617" w:type="dxa"/>
            <w:noWrap/>
            <w:hideMark/>
          </w:tcPr>
          <w:p w14:paraId="1D8B5A06" w14:textId="77777777" w:rsidR="000710BB" w:rsidRPr="00993442" w:rsidRDefault="000710BB" w:rsidP="009879CF">
            <w:pPr>
              <w:rPr>
                <w:sz w:val="16"/>
                <w:szCs w:val="16"/>
              </w:rPr>
            </w:pPr>
          </w:p>
        </w:tc>
        <w:tc>
          <w:tcPr>
            <w:tcW w:w="617" w:type="dxa"/>
            <w:noWrap/>
            <w:hideMark/>
          </w:tcPr>
          <w:p w14:paraId="06096D27" w14:textId="77777777" w:rsidR="000710BB" w:rsidRPr="00993442" w:rsidRDefault="000710BB" w:rsidP="009879CF">
            <w:pPr>
              <w:rPr>
                <w:sz w:val="16"/>
                <w:szCs w:val="16"/>
              </w:rPr>
            </w:pPr>
          </w:p>
        </w:tc>
        <w:tc>
          <w:tcPr>
            <w:tcW w:w="608" w:type="dxa"/>
            <w:noWrap/>
            <w:hideMark/>
          </w:tcPr>
          <w:p w14:paraId="32AD23E5" w14:textId="77777777" w:rsidR="000710BB" w:rsidRPr="00993442" w:rsidRDefault="000710BB" w:rsidP="009879CF">
            <w:pPr>
              <w:rPr>
                <w:sz w:val="16"/>
                <w:szCs w:val="16"/>
              </w:rPr>
            </w:pPr>
          </w:p>
        </w:tc>
        <w:tc>
          <w:tcPr>
            <w:tcW w:w="572" w:type="dxa"/>
          </w:tcPr>
          <w:p w14:paraId="3746E0E8" w14:textId="77777777" w:rsidR="000710BB" w:rsidRPr="00993442" w:rsidRDefault="000710BB" w:rsidP="009879CF">
            <w:pPr>
              <w:rPr>
                <w:sz w:val="16"/>
                <w:szCs w:val="16"/>
              </w:rPr>
            </w:pPr>
          </w:p>
        </w:tc>
        <w:tc>
          <w:tcPr>
            <w:tcW w:w="1158" w:type="dxa"/>
          </w:tcPr>
          <w:p w14:paraId="352F0085" w14:textId="77777777" w:rsidR="000710BB" w:rsidRPr="00993442" w:rsidRDefault="000710BB" w:rsidP="009879CF">
            <w:pPr>
              <w:rPr>
                <w:sz w:val="16"/>
                <w:szCs w:val="16"/>
              </w:rPr>
            </w:pPr>
          </w:p>
        </w:tc>
        <w:tc>
          <w:tcPr>
            <w:tcW w:w="1328" w:type="dxa"/>
          </w:tcPr>
          <w:p w14:paraId="6733B8CB" w14:textId="77777777" w:rsidR="000710BB" w:rsidRPr="00993442" w:rsidRDefault="000710BB" w:rsidP="009879CF">
            <w:pPr>
              <w:rPr>
                <w:sz w:val="16"/>
                <w:szCs w:val="16"/>
              </w:rPr>
            </w:pPr>
          </w:p>
        </w:tc>
      </w:tr>
      <w:tr w:rsidR="000710BB" w:rsidRPr="00993442" w14:paraId="6380150F" w14:textId="77777777" w:rsidTr="009879CF">
        <w:trPr>
          <w:trHeight w:val="556"/>
        </w:trPr>
        <w:tc>
          <w:tcPr>
            <w:tcW w:w="928" w:type="dxa"/>
            <w:hideMark/>
          </w:tcPr>
          <w:p w14:paraId="67B770B1" w14:textId="77777777" w:rsidR="000710BB" w:rsidRPr="00993442" w:rsidRDefault="000710BB" w:rsidP="009879CF">
            <w:pPr>
              <w:jc w:val="center"/>
              <w:rPr>
                <w:b/>
                <w:bCs/>
                <w:sz w:val="16"/>
                <w:szCs w:val="16"/>
              </w:rPr>
            </w:pPr>
            <w:r w:rsidRPr="00993442">
              <w:rPr>
                <w:b/>
                <w:bCs/>
                <w:sz w:val="16"/>
                <w:szCs w:val="16"/>
              </w:rPr>
              <w:t>CCG</w:t>
            </w:r>
          </w:p>
        </w:tc>
        <w:tc>
          <w:tcPr>
            <w:tcW w:w="661" w:type="dxa"/>
            <w:hideMark/>
          </w:tcPr>
          <w:p w14:paraId="036B2AD1" w14:textId="77777777" w:rsidR="000710BB" w:rsidRPr="00993442" w:rsidRDefault="000710BB" w:rsidP="009879CF">
            <w:pPr>
              <w:jc w:val="center"/>
              <w:rPr>
                <w:b/>
                <w:bCs/>
                <w:sz w:val="16"/>
                <w:szCs w:val="16"/>
              </w:rPr>
            </w:pPr>
            <w:r w:rsidRPr="00993442">
              <w:rPr>
                <w:b/>
                <w:bCs/>
                <w:sz w:val="16"/>
                <w:szCs w:val="16"/>
              </w:rPr>
              <w:t>SMR</w:t>
            </w:r>
          </w:p>
        </w:tc>
        <w:tc>
          <w:tcPr>
            <w:tcW w:w="617" w:type="dxa"/>
            <w:hideMark/>
          </w:tcPr>
          <w:p w14:paraId="415658B6" w14:textId="77777777" w:rsidR="000710BB" w:rsidRPr="00993442" w:rsidRDefault="000710BB" w:rsidP="009879CF">
            <w:pPr>
              <w:jc w:val="center"/>
              <w:rPr>
                <w:b/>
                <w:bCs/>
                <w:sz w:val="16"/>
                <w:szCs w:val="16"/>
              </w:rPr>
            </w:pPr>
            <w:r w:rsidRPr="00993442">
              <w:rPr>
                <w:b/>
                <w:bCs/>
                <w:sz w:val="16"/>
                <w:szCs w:val="16"/>
              </w:rPr>
              <w:t>LCL</w:t>
            </w:r>
          </w:p>
        </w:tc>
        <w:tc>
          <w:tcPr>
            <w:tcW w:w="617" w:type="dxa"/>
            <w:hideMark/>
          </w:tcPr>
          <w:p w14:paraId="28960E38" w14:textId="77777777" w:rsidR="000710BB" w:rsidRPr="00993442" w:rsidRDefault="000710BB" w:rsidP="009879CF">
            <w:pPr>
              <w:jc w:val="center"/>
              <w:rPr>
                <w:b/>
                <w:bCs/>
                <w:sz w:val="16"/>
                <w:szCs w:val="16"/>
              </w:rPr>
            </w:pPr>
            <w:r w:rsidRPr="00993442">
              <w:rPr>
                <w:b/>
                <w:bCs/>
                <w:sz w:val="16"/>
                <w:szCs w:val="16"/>
              </w:rPr>
              <w:t>UCL</w:t>
            </w:r>
          </w:p>
        </w:tc>
        <w:tc>
          <w:tcPr>
            <w:tcW w:w="608" w:type="dxa"/>
            <w:hideMark/>
          </w:tcPr>
          <w:p w14:paraId="1FAC347E" w14:textId="77777777" w:rsidR="000710BB" w:rsidRPr="00993442" w:rsidRDefault="000710BB" w:rsidP="009879CF">
            <w:pPr>
              <w:jc w:val="center"/>
              <w:rPr>
                <w:b/>
                <w:bCs/>
                <w:sz w:val="16"/>
                <w:szCs w:val="16"/>
              </w:rPr>
            </w:pPr>
            <w:r w:rsidRPr="00993442">
              <w:rPr>
                <w:b/>
                <w:bCs/>
                <w:sz w:val="16"/>
                <w:szCs w:val="16"/>
              </w:rPr>
              <w:t>Den</w:t>
            </w:r>
          </w:p>
        </w:tc>
        <w:tc>
          <w:tcPr>
            <w:tcW w:w="572" w:type="dxa"/>
          </w:tcPr>
          <w:p w14:paraId="2C667774" w14:textId="77777777" w:rsidR="000710BB" w:rsidRPr="00993442" w:rsidRDefault="000710BB" w:rsidP="009879CF">
            <w:pPr>
              <w:jc w:val="center"/>
              <w:rPr>
                <w:b/>
                <w:bCs/>
                <w:sz w:val="16"/>
                <w:szCs w:val="16"/>
              </w:rPr>
            </w:pPr>
            <w:proofErr w:type="spellStart"/>
            <w:r w:rsidRPr="00993442">
              <w:rPr>
                <w:b/>
                <w:bCs/>
                <w:sz w:val="16"/>
                <w:szCs w:val="16"/>
              </w:rPr>
              <w:t>Num</w:t>
            </w:r>
            <w:proofErr w:type="spellEnd"/>
          </w:p>
        </w:tc>
        <w:tc>
          <w:tcPr>
            <w:tcW w:w="1158" w:type="dxa"/>
          </w:tcPr>
          <w:p w14:paraId="72016106" w14:textId="77777777" w:rsidR="000710BB" w:rsidRPr="00993442" w:rsidRDefault="000710BB" w:rsidP="009879CF">
            <w:pPr>
              <w:jc w:val="center"/>
              <w:rPr>
                <w:b/>
                <w:bCs/>
                <w:sz w:val="16"/>
                <w:szCs w:val="16"/>
              </w:rPr>
            </w:pPr>
            <w:r w:rsidRPr="00993442">
              <w:rPr>
                <w:b/>
                <w:bCs/>
                <w:sz w:val="16"/>
                <w:szCs w:val="16"/>
              </w:rPr>
              <w:t>No. of records in SSNAP known stroke type</w:t>
            </w:r>
          </w:p>
        </w:tc>
        <w:tc>
          <w:tcPr>
            <w:tcW w:w="1328" w:type="dxa"/>
          </w:tcPr>
          <w:p w14:paraId="39F412C0" w14:textId="77777777" w:rsidR="000710BB" w:rsidRPr="00993442" w:rsidRDefault="000710BB" w:rsidP="009879CF">
            <w:pPr>
              <w:jc w:val="center"/>
              <w:rPr>
                <w:b/>
                <w:bCs/>
                <w:sz w:val="16"/>
                <w:szCs w:val="16"/>
              </w:rPr>
            </w:pPr>
            <w:r w:rsidRPr="00993442">
              <w:rPr>
                <w:b/>
                <w:bCs/>
                <w:sz w:val="16"/>
                <w:szCs w:val="16"/>
              </w:rPr>
              <w:t>Case Ascertainment band</w:t>
            </w:r>
          </w:p>
        </w:tc>
      </w:tr>
      <w:tr w:rsidR="000710BB" w:rsidRPr="00993442" w14:paraId="14E07126" w14:textId="77777777" w:rsidTr="009879CF">
        <w:trPr>
          <w:trHeight w:val="300"/>
        </w:trPr>
        <w:tc>
          <w:tcPr>
            <w:tcW w:w="928" w:type="dxa"/>
            <w:hideMark/>
          </w:tcPr>
          <w:p w14:paraId="43B4BAF6" w14:textId="77777777" w:rsidR="000710BB" w:rsidRPr="00993442" w:rsidRDefault="000710BB" w:rsidP="009879CF">
            <w:pPr>
              <w:jc w:val="center"/>
              <w:rPr>
                <w:b/>
                <w:bCs/>
                <w:sz w:val="16"/>
                <w:szCs w:val="16"/>
              </w:rPr>
            </w:pPr>
            <w:r w:rsidRPr="00993442">
              <w:rPr>
                <w:b/>
                <w:bCs/>
                <w:sz w:val="16"/>
                <w:szCs w:val="16"/>
              </w:rPr>
              <w:t>CCG197</w:t>
            </w:r>
          </w:p>
        </w:tc>
        <w:tc>
          <w:tcPr>
            <w:tcW w:w="661" w:type="dxa"/>
          </w:tcPr>
          <w:p w14:paraId="07755965" w14:textId="77777777" w:rsidR="000710BB" w:rsidRPr="00993442" w:rsidRDefault="000710BB" w:rsidP="009879CF">
            <w:pPr>
              <w:jc w:val="right"/>
              <w:rPr>
                <w:sz w:val="16"/>
                <w:szCs w:val="16"/>
              </w:rPr>
            </w:pPr>
            <w:r w:rsidRPr="00993442">
              <w:rPr>
                <w:sz w:val="16"/>
                <w:szCs w:val="16"/>
              </w:rPr>
              <w:t>1.60</w:t>
            </w:r>
          </w:p>
        </w:tc>
        <w:tc>
          <w:tcPr>
            <w:tcW w:w="617" w:type="dxa"/>
          </w:tcPr>
          <w:p w14:paraId="3BF32BFE" w14:textId="77777777" w:rsidR="000710BB" w:rsidRPr="00993442" w:rsidRDefault="000710BB" w:rsidP="009879CF">
            <w:pPr>
              <w:jc w:val="right"/>
              <w:rPr>
                <w:sz w:val="16"/>
                <w:szCs w:val="16"/>
              </w:rPr>
            </w:pPr>
            <w:r w:rsidRPr="00993442">
              <w:rPr>
                <w:sz w:val="16"/>
                <w:szCs w:val="16"/>
              </w:rPr>
              <w:t>0.54</w:t>
            </w:r>
          </w:p>
        </w:tc>
        <w:tc>
          <w:tcPr>
            <w:tcW w:w="617" w:type="dxa"/>
          </w:tcPr>
          <w:p w14:paraId="7AEB80DE" w14:textId="77777777" w:rsidR="000710BB" w:rsidRPr="00993442" w:rsidRDefault="000710BB" w:rsidP="009879CF">
            <w:pPr>
              <w:jc w:val="right"/>
              <w:rPr>
                <w:sz w:val="16"/>
                <w:szCs w:val="16"/>
              </w:rPr>
            </w:pPr>
            <w:r w:rsidRPr="00993442">
              <w:rPr>
                <w:sz w:val="16"/>
                <w:szCs w:val="16"/>
              </w:rPr>
              <w:t>1.78</w:t>
            </w:r>
          </w:p>
        </w:tc>
        <w:tc>
          <w:tcPr>
            <w:tcW w:w="608" w:type="dxa"/>
          </w:tcPr>
          <w:p w14:paraId="37BBBD6F" w14:textId="77777777" w:rsidR="000710BB" w:rsidRPr="00993442" w:rsidRDefault="000710BB" w:rsidP="009879CF">
            <w:pPr>
              <w:jc w:val="right"/>
              <w:rPr>
                <w:sz w:val="16"/>
                <w:szCs w:val="16"/>
              </w:rPr>
            </w:pPr>
            <w:r w:rsidRPr="00993442">
              <w:rPr>
                <w:sz w:val="16"/>
                <w:szCs w:val="16"/>
              </w:rPr>
              <w:t>25</w:t>
            </w:r>
          </w:p>
        </w:tc>
        <w:tc>
          <w:tcPr>
            <w:tcW w:w="572" w:type="dxa"/>
          </w:tcPr>
          <w:p w14:paraId="385F1DAC" w14:textId="77777777" w:rsidR="000710BB" w:rsidRPr="00993442" w:rsidRDefault="000710BB" w:rsidP="009879CF">
            <w:pPr>
              <w:jc w:val="right"/>
              <w:rPr>
                <w:sz w:val="16"/>
                <w:szCs w:val="16"/>
              </w:rPr>
            </w:pPr>
            <w:r w:rsidRPr="00993442">
              <w:rPr>
                <w:sz w:val="16"/>
                <w:szCs w:val="16"/>
              </w:rPr>
              <w:t>40</w:t>
            </w:r>
          </w:p>
        </w:tc>
        <w:tc>
          <w:tcPr>
            <w:tcW w:w="1158" w:type="dxa"/>
          </w:tcPr>
          <w:p w14:paraId="34021ADD" w14:textId="77777777" w:rsidR="000710BB" w:rsidRPr="00993442" w:rsidRDefault="000710BB" w:rsidP="009879CF">
            <w:pPr>
              <w:jc w:val="right"/>
              <w:rPr>
                <w:sz w:val="16"/>
                <w:szCs w:val="16"/>
              </w:rPr>
            </w:pPr>
            <w:r w:rsidRPr="00993442">
              <w:rPr>
                <w:sz w:val="16"/>
                <w:szCs w:val="16"/>
              </w:rPr>
              <w:t>235</w:t>
            </w:r>
          </w:p>
        </w:tc>
        <w:tc>
          <w:tcPr>
            <w:tcW w:w="1328" w:type="dxa"/>
          </w:tcPr>
          <w:p w14:paraId="4FCD5FC9" w14:textId="77777777" w:rsidR="000710BB" w:rsidRPr="00993442" w:rsidRDefault="000710BB" w:rsidP="009879CF">
            <w:pPr>
              <w:jc w:val="right"/>
              <w:rPr>
                <w:sz w:val="16"/>
                <w:szCs w:val="16"/>
              </w:rPr>
            </w:pPr>
            <w:r w:rsidRPr="00993442">
              <w:rPr>
                <w:sz w:val="16"/>
                <w:szCs w:val="16"/>
              </w:rPr>
              <w:t>90%+</w:t>
            </w:r>
          </w:p>
        </w:tc>
      </w:tr>
      <w:tr w:rsidR="000710BB" w:rsidRPr="00993442" w14:paraId="7FE97D5A" w14:textId="77777777" w:rsidTr="009879CF">
        <w:trPr>
          <w:trHeight w:val="300"/>
        </w:trPr>
        <w:tc>
          <w:tcPr>
            <w:tcW w:w="928" w:type="dxa"/>
            <w:hideMark/>
          </w:tcPr>
          <w:p w14:paraId="01616B17" w14:textId="77777777" w:rsidR="000710BB" w:rsidRPr="00993442" w:rsidRDefault="000710BB" w:rsidP="009879CF">
            <w:pPr>
              <w:jc w:val="center"/>
              <w:rPr>
                <w:b/>
                <w:bCs/>
                <w:sz w:val="16"/>
                <w:szCs w:val="16"/>
              </w:rPr>
            </w:pPr>
            <w:r w:rsidRPr="00993442">
              <w:rPr>
                <w:b/>
                <w:bCs/>
                <w:sz w:val="16"/>
                <w:szCs w:val="16"/>
              </w:rPr>
              <w:t>CCG198</w:t>
            </w:r>
          </w:p>
        </w:tc>
        <w:tc>
          <w:tcPr>
            <w:tcW w:w="661" w:type="dxa"/>
          </w:tcPr>
          <w:p w14:paraId="1156123F" w14:textId="77777777" w:rsidR="000710BB" w:rsidRPr="00993442" w:rsidRDefault="000710BB" w:rsidP="009879CF">
            <w:pPr>
              <w:jc w:val="right"/>
              <w:rPr>
                <w:sz w:val="16"/>
                <w:szCs w:val="16"/>
              </w:rPr>
            </w:pPr>
            <w:r w:rsidRPr="00993442">
              <w:rPr>
                <w:sz w:val="16"/>
                <w:szCs w:val="16"/>
              </w:rPr>
              <w:t>1.60</w:t>
            </w:r>
          </w:p>
        </w:tc>
        <w:tc>
          <w:tcPr>
            <w:tcW w:w="617" w:type="dxa"/>
          </w:tcPr>
          <w:p w14:paraId="2E06B9E7" w14:textId="77777777" w:rsidR="000710BB" w:rsidRPr="00993442" w:rsidRDefault="000710BB" w:rsidP="009879CF">
            <w:pPr>
              <w:jc w:val="right"/>
              <w:rPr>
                <w:sz w:val="16"/>
                <w:szCs w:val="16"/>
              </w:rPr>
            </w:pPr>
            <w:r w:rsidRPr="00993442">
              <w:rPr>
                <w:sz w:val="16"/>
                <w:szCs w:val="16"/>
              </w:rPr>
              <w:t>0.18</w:t>
            </w:r>
          </w:p>
        </w:tc>
        <w:tc>
          <w:tcPr>
            <w:tcW w:w="617" w:type="dxa"/>
          </w:tcPr>
          <w:p w14:paraId="5316AF0B" w14:textId="77777777" w:rsidR="000710BB" w:rsidRPr="00993442" w:rsidRDefault="000710BB" w:rsidP="009879CF">
            <w:pPr>
              <w:jc w:val="right"/>
              <w:rPr>
                <w:sz w:val="16"/>
                <w:szCs w:val="16"/>
              </w:rPr>
            </w:pPr>
            <w:r w:rsidRPr="00993442">
              <w:rPr>
                <w:sz w:val="16"/>
                <w:szCs w:val="16"/>
              </w:rPr>
              <w:t>2.14</w:t>
            </w:r>
          </w:p>
        </w:tc>
        <w:tc>
          <w:tcPr>
            <w:tcW w:w="608" w:type="dxa"/>
          </w:tcPr>
          <w:p w14:paraId="28460C35" w14:textId="77777777" w:rsidR="000710BB" w:rsidRPr="00993442" w:rsidRDefault="000710BB" w:rsidP="009879CF">
            <w:pPr>
              <w:jc w:val="right"/>
              <w:rPr>
                <w:sz w:val="16"/>
                <w:szCs w:val="16"/>
              </w:rPr>
            </w:pPr>
            <w:r w:rsidRPr="00993442">
              <w:rPr>
                <w:sz w:val="16"/>
                <w:szCs w:val="16"/>
              </w:rPr>
              <w:t>10</w:t>
            </w:r>
          </w:p>
        </w:tc>
        <w:tc>
          <w:tcPr>
            <w:tcW w:w="572" w:type="dxa"/>
          </w:tcPr>
          <w:p w14:paraId="224F08E6" w14:textId="77777777" w:rsidR="000710BB" w:rsidRPr="00993442" w:rsidRDefault="000710BB" w:rsidP="009879CF">
            <w:pPr>
              <w:jc w:val="right"/>
              <w:rPr>
                <w:sz w:val="16"/>
                <w:szCs w:val="16"/>
              </w:rPr>
            </w:pPr>
            <w:r w:rsidRPr="00993442">
              <w:rPr>
                <w:sz w:val="16"/>
                <w:szCs w:val="16"/>
              </w:rPr>
              <w:t>16</w:t>
            </w:r>
          </w:p>
        </w:tc>
        <w:tc>
          <w:tcPr>
            <w:tcW w:w="1158" w:type="dxa"/>
          </w:tcPr>
          <w:p w14:paraId="4D152982" w14:textId="77777777" w:rsidR="000710BB" w:rsidRPr="00993442" w:rsidRDefault="000710BB" w:rsidP="009879CF">
            <w:pPr>
              <w:jc w:val="right"/>
              <w:rPr>
                <w:sz w:val="16"/>
                <w:szCs w:val="16"/>
              </w:rPr>
            </w:pPr>
            <w:r w:rsidRPr="00993442">
              <w:rPr>
                <w:sz w:val="16"/>
                <w:szCs w:val="16"/>
              </w:rPr>
              <w:t>94</w:t>
            </w:r>
          </w:p>
        </w:tc>
        <w:tc>
          <w:tcPr>
            <w:tcW w:w="1328" w:type="dxa"/>
          </w:tcPr>
          <w:p w14:paraId="3FE644C8" w14:textId="77777777" w:rsidR="000710BB" w:rsidRPr="00993442" w:rsidRDefault="000710BB" w:rsidP="009879CF">
            <w:pPr>
              <w:jc w:val="right"/>
              <w:rPr>
                <w:sz w:val="16"/>
                <w:szCs w:val="16"/>
              </w:rPr>
            </w:pPr>
            <w:r w:rsidRPr="00993442">
              <w:rPr>
                <w:sz w:val="16"/>
                <w:szCs w:val="16"/>
              </w:rPr>
              <w:t>50-69%</w:t>
            </w:r>
          </w:p>
        </w:tc>
      </w:tr>
      <w:tr w:rsidR="000710BB" w:rsidRPr="00993442" w14:paraId="2746AAC0" w14:textId="77777777" w:rsidTr="009879CF">
        <w:trPr>
          <w:trHeight w:val="300"/>
        </w:trPr>
        <w:tc>
          <w:tcPr>
            <w:tcW w:w="928" w:type="dxa"/>
            <w:hideMark/>
          </w:tcPr>
          <w:p w14:paraId="3B7AD796" w14:textId="77777777" w:rsidR="000710BB" w:rsidRPr="00993442" w:rsidRDefault="000710BB" w:rsidP="009879CF">
            <w:pPr>
              <w:jc w:val="center"/>
              <w:rPr>
                <w:b/>
                <w:bCs/>
                <w:sz w:val="16"/>
                <w:szCs w:val="16"/>
              </w:rPr>
            </w:pPr>
            <w:r w:rsidRPr="00993442">
              <w:rPr>
                <w:b/>
                <w:bCs/>
                <w:sz w:val="16"/>
                <w:szCs w:val="16"/>
              </w:rPr>
              <w:t>CCG199</w:t>
            </w:r>
          </w:p>
        </w:tc>
        <w:tc>
          <w:tcPr>
            <w:tcW w:w="661" w:type="dxa"/>
          </w:tcPr>
          <w:p w14:paraId="72AD72ED" w14:textId="77777777" w:rsidR="000710BB" w:rsidRPr="00993442" w:rsidRDefault="000710BB" w:rsidP="009879CF">
            <w:pPr>
              <w:jc w:val="right"/>
              <w:rPr>
                <w:sz w:val="16"/>
                <w:szCs w:val="16"/>
              </w:rPr>
            </w:pPr>
            <w:r w:rsidRPr="00993442">
              <w:rPr>
                <w:sz w:val="16"/>
                <w:szCs w:val="16"/>
              </w:rPr>
              <w:t>1.65</w:t>
            </w:r>
          </w:p>
        </w:tc>
        <w:tc>
          <w:tcPr>
            <w:tcW w:w="617" w:type="dxa"/>
          </w:tcPr>
          <w:p w14:paraId="031EDB59" w14:textId="77777777" w:rsidR="000710BB" w:rsidRPr="00993442" w:rsidRDefault="000710BB" w:rsidP="009879CF">
            <w:pPr>
              <w:jc w:val="right"/>
              <w:rPr>
                <w:sz w:val="16"/>
                <w:szCs w:val="16"/>
              </w:rPr>
            </w:pPr>
            <w:r w:rsidRPr="00993442">
              <w:rPr>
                <w:sz w:val="16"/>
                <w:szCs w:val="16"/>
              </w:rPr>
              <w:t>0.52</w:t>
            </w:r>
          </w:p>
        </w:tc>
        <w:tc>
          <w:tcPr>
            <w:tcW w:w="617" w:type="dxa"/>
          </w:tcPr>
          <w:p w14:paraId="51D19283" w14:textId="77777777" w:rsidR="000710BB" w:rsidRPr="00993442" w:rsidRDefault="000710BB" w:rsidP="009879CF">
            <w:pPr>
              <w:jc w:val="right"/>
              <w:rPr>
                <w:sz w:val="16"/>
                <w:szCs w:val="16"/>
              </w:rPr>
            </w:pPr>
            <w:r w:rsidRPr="00993442">
              <w:rPr>
                <w:sz w:val="16"/>
                <w:szCs w:val="16"/>
              </w:rPr>
              <w:t>1.81</w:t>
            </w:r>
          </w:p>
        </w:tc>
        <w:tc>
          <w:tcPr>
            <w:tcW w:w="608" w:type="dxa"/>
          </w:tcPr>
          <w:p w14:paraId="6FEE99BC" w14:textId="77777777" w:rsidR="000710BB" w:rsidRPr="00993442" w:rsidRDefault="000710BB" w:rsidP="009879CF">
            <w:pPr>
              <w:jc w:val="right"/>
              <w:rPr>
                <w:sz w:val="16"/>
                <w:szCs w:val="16"/>
              </w:rPr>
            </w:pPr>
            <w:r w:rsidRPr="00993442">
              <w:rPr>
                <w:sz w:val="16"/>
                <w:szCs w:val="16"/>
              </w:rPr>
              <w:t>23</w:t>
            </w:r>
          </w:p>
        </w:tc>
        <w:tc>
          <w:tcPr>
            <w:tcW w:w="572" w:type="dxa"/>
          </w:tcPr>
          <w:p w14:paraId="2F8CB297" w14:textId="77777777" w:rsidR="000710BB" w:rsidRPr="00993442" w:rsidRDefault="000710BB" w:rsidP="009879CF">
            <w:pPr>
              <w:jc w:val="right"/>
              <w:rPr>
                <w:sz w:val="16"/>
                <w:szCs w:val="16"/>
              </w:rPr>
            </w:pPr>
            <w:r w:rsidRPr="00993442">
              <w:rPr>
                <w:sz w:val="16"/>
                <w:szCs w:val="16"/>
              </w:rPr>
              <w:t>38</w:t>
            </w:r>
          </w:p>
        </w:tc>
        <w:tc>
          <w:tcPr>
            <w:tcW w:w="1158" w:type="dxa"/>
          </w:tcPr>
          <w:p w14:paraId="43AC16E8" w14:textId="77777777" w:rsidR="000710BB" w:rsidRPr="00993442" w:rsidRDefault="000710BB" w:rsidP="009879CF">
            <w:pPr>
              <w:jc w:val="right"/>
              <w:rPr>
                <w:sz w:val="16"/>
                <w:szCs w:val="16"/>
              </w:rPr>
            </w:pPr>
            <w:r w:rsidRPr="00993442">
              <w:rPr>
                <w:sz w:val="16"/>
                <w:szCs w:val="16"/>
              </w:rPr>
              <w:t>223</w:t>
            </w:r>
          </w:p>
        </w:tc>
        <w:tc>
          <w:tcPr>
            <w:tcW w:w="1328" w:type="dxa"/>
          </w:tcPr>
          <w:p w14:paraId="3BF7AA22" w14:textId="77777777" w:rsidR="000710BB" w:rsidRPr="00993442" w:rsidRDefault="000710BB" w:rsidP="009879CF">
            <w:pPr>
              <w:jc w:val="right"/>
              <w:rPr>
                <w:sz w:val="16"/>
                <w:szCs w:val="16"/>
              </w:rPr>
            </w:pPr>
            <w:r w:rsidRPr="00993442">
              <w:rPr>
                <w:sz w:val="16"/>
                <w:szCs w:val="16"/>
              </w:rPr>
              <w:t>90%+</w:t>
            </w:r>
          </w:p>
        </w:tc>
      </w:tr>
      <w:tr w:rsidR="000710BB" w:rsidRPr="00993442" w14:paraId="7B60B466" w14:textId="77777777" w:rsidTr="009879CF">
        <w:trPr>
          <w:trHeight w:val="300"/>
        </w:trPr>
        <w:tc>
          <w:tcPr>
            <w:tcW w:w="928" w:type="dxa"/>
            <w:hideMark/>
          </w:tcPr>
          <w:p w14:paraId="5D115DC4" w14:textId="77777777" w:rsidR="000710BB" w:rsidRPr="00993442" w:rsidRDefault="000710BB" w:rsidP="009879CF">
            <w:pPr>
              <w:jc w:val="center"/>
              <w:rPr>
                <w:b/>
                <w:bCs/>
                <w:sz w:val="16"/>
                <w:szCs w:val="16"/>
              </w:rPr>
            </w:pPr>
            <w:r w:rsidRPr="00993442">
              <w:rPr>
                <w:b/>
                <w:bCs/>
                <w:sz w:val="16"/>
                <w:szCs w:val="16"/>
              </w:rPr>
              <w:t>CCG200</w:t>
            </w:r>
          </w:p>
        </w:tc>
        <w:tc>
          <w:tcPr>
            <w:tcW w:w="661" w:type="dxa"/>
          </w:tcPr>
          <w:p w14:paraId="7E47161F" w14:textId="77777777" w:rsidR="000710BB" w:rsidRPr="00993442" w:rsidRDefault="000710BB" w:rsidP="009879CF">
            <w:pPr>
              <w:jc w:val="right"/>
              <w:rPr>
                <w:sz w:val="16"/>
                <w:szCs w:val="16"/>
              </w:rPr>
            </w:pPr>
            <w:r w:rsidRPr="00993442">
              <w:rPr>
                <w:sz w:val="16"/>
                <w:szCs w:val="16"/>
              </w:rPr>
              <w:t>1.67</w:t>
            </w:r>
          </w:p>
        </w:tc>
        <w:tc>
          <w:tcPr>
            <w:tcW w:w="617" w:type="dxa"/>
          </w:tcPr>
          <w:p w14:paraId="08288F03" w14:textId="77777777" w:rsidR="000710BB" w:rsidRPr="00993442" w:rsidRDefault="000710BB" w:rsidP="009879CF">
            <w:pPr>
              <w:jc w:val="right"/>
              <w:rPr>
                <w:sz w:val="16"/>
                <w:szCs w:val="16"/>
              </w:rPr>
            </w:pPr>
            <w:r w:rsidRPr="00993442">
              <w:rPr>
                <w:sz w:val="16"/>
                <w:szCs w:val="16"/>
              </w:rPr>
              <w:t>0.36</w:t>
            </w:r>
          </w:p>
        </w:tc>
        <w:tc>
          <w:tcPr>
            <w:tcW w:w="617" w:type="dxa"/>
          </w:tcPr>
          <w:p w14:paraId="1703215C" w14:textId="77777777" w:rsidR="000710BB" w:rsidRPr="00993442" w:rsidRDefault="000710BB" w:rsidP="009879CF">
            <w:pPr>
              <w:jc w:val="right"/>
              <w:rPr>
                <w:sz w:val="16"/>
                <w:szCs w:val="16"/>
              </w:rPr>
            </w:pPr>
            <w:r w:rsidRPr="00993442">
              <w:rPr>
                <w:sz w:val="16"/>
                <w:szCs w:val="16"/>
              </w:rPr>
              <w:t>1.96</w:t>
            </w:r>
          </w:p>
        </w:tc>
        <w:tc>
          <w:tcPr>
            <w:tcW w:w="608" w:type="dxa"/>
          </w:tcPr>
          <w:p w14:paraId="6E2393E5" w14:textId="77777777" w:rsidR="000710BB" w:rsidRPr="00993442" w:rsidRDefault="000710BB" w:rsidP="009879CF">
            <w:pPr>
              <w:jc w:val="right"/>
              <w:rPr>
                <w:sz w:val="16"/>
                <w:szCs w:val="16"/>
              </w:rPr>
            </w:pPr>
            <w:r w:rsidRPr="00993442">
              <w:rPr>
                <w:sz w:val="16"/>
                <w:szCs w:val="16"/>
              </w:rPr>
              <w:t>15</w:t>
            </w:r>
          </w:p>
        </w:tc>
        <w:tc>
          <w:tcPr>
            <w:tcW w:w="572" w:type="dxa"/>
          </w:tcPr>
          <w:p w14:paraId="65EDB159" w14:textId="77777777" w:rsidR="000710BB" w:rsidRPr="00993442" w:rsidRDefault="000710BB" w:rsidP="009879CF">
            <w:pPr>
              <w:jc w:val="right"/>
              <w:rPr>
                <w:sz w:val="16"/>
                <w:szCs w:val="16"/>
              </w:rPr>
            </w:pPr>
            <w:r w:rsidRPr="00993442">
              <w:rPr>
                <w:sz w:val="16"/>
                <w:szCs w:val="16"/>
              </w:rPr>
              <w:t>25</w:t>
            </w:r>
          </w:p>
        </w:tc>
        <w:tc>
          <w:tcPr>
            <w:tcW w:w="1158" w:type="dxa"/>
          </w:tcPr>
          <w:p w14:paraId="6AB99898" w14:textId="77777777" w:rsidR="000710BB" w:rsidRPr="00993442" w:rsidRDefault="000710BB" w:rsidP="009879CF">
            <w:pPr>
              <w:jc w:val="right"/>
              <w:rPr>
                <w:sz w:val="16"/>
                <w:szCs w:val="16"/>
              </w:rPr>
            </w:pPr>
            <w:r w:rsidRPr="00993442">
              <w:rPr>
                <w:sz w:val="16"/>
                <w:szCs w:val="16"/>
              </w:rPr>
              <w:t>172</w:t>
            </w:r>
          </w:p>
        </w:tc>
        <w:tc>
          <w:tcPr>
            <w:tcW w:w="1328" w:type="dxa"/>
          </w:tcPr>
          <w:p w14:paraId="6D1FE352" w14:textId="77777777" w:rsidR="000710BB" w:rsidRPr="00993442" w:rsidRDefault="000710BB" w:rsidP="009879CF">
            <w:pPr>
              <w:jc w:val="right"/>
              <w:rPr>
                <w:sz w:val="16"/>
                <w:szCs w:val="16"/>
              </w:rPr>
            </w:pPr>
            <w:r w:rsidRPr="00993442">
              <w:rPr>
                <w:sz w:val="16"/>
                <w:szCs w:val="16"/>
              </w:rPr>
              <w:t>70-79%</w:t>
            </w:r>
          </w:p>
        </w:tc>
      </w:tr>
      <w:tr w:rsidR="000710BB" w:rsidRPr="00993442" w14:paraId="518BC38E" w14:textId="77777777" w:rsidTr="009879CF">
        <w:trPr>
          <w:trHeight w:val="300"/>
        </w:trPr>
        <w:tc>
          <w:tcPr>
            <w:tcW w:w="928" w:type="dxa"/>
            <w:hideMark/>
          </w:tcPr>
          <w:p w14:paraId="47F5B7BF" w14:textId="77777777" w:rsidR="000710BB" w:rsidRPr="00993442" w:rsidRDefault="000710BB" w:rsidP="009879CF">
            <w:pPr>
              <w:jc w:val="center"/>
              <w:rPr>
                <w:b/>
                <w:bCs/>
                <w:sz w:val="16"/>
                <w:szCs w:val="16"/>
              </w:rPr>
            </w:pPr>
            <w:r w:rsidRPr="00993442">
              <w:rPr>
                <w:b/>
                <w:bCs/>
                <w:sz w:val="16"/>
                <w:szCs w:val="16"/>
              </w:rPr>
              <w:t>CCG201</w:t>
            </w:r>
          </w:p>
        </w:tc>
        <w:tc>
          <w:tcPr>
            <w:tcW w:w="661" w:type="dxa"/>
          </w:tcPr>
          <w:p w14:paraId="3896FC9E" w14:textId="77777777" w:rsidR="000710BB" w:rsidRPr="00993442" w:rsidRDefault="000710BB" w:rsidP="009879CF">
            <w:pPr>
              <w:jc w:val="right"/>
              <w:rPr>
                <w:sz w:val="16"/>
                <w:szCs w:val="16"/>
              </w:rPr>
            </w:pPr>
            <w:r w:rsidRPr="00993442">
              <w:rPr>
                <w:sz w:val="16"/>
                <w:szCs w:val="16"/>
              </w:rPr>
              <w:t>1.68</w:t>
            </w:r>
          </w:p>
        </w:tc>
        <w:tc>
          <w:tcPr>
            <w:tcW w:w="617" w:type="dxa"/>
          </w:tcPr>
          <w:p w14:paraId="13661843" w14:textId="77777777" w:rsidR="000710BB" w:rsidRPr="00993442" w:rsidRDefault="000710BB" w:rsidP="009879CF">
            <w:pPr>
              <w:jc w:val="right"/>
              <w:rPr>
                <w:sz w:val="16"/>
                <w:szCs w:val="16"/>
              </w:rPr>
            </w:pPr>
            <w:r w:rsidRPr="00993442">
              <w:rPr>
                <w:sz w:val="16"/>
                <w:szCs w:val="16"/>
              </w:rPr>
              <w:t>0.50</w:t>
            </w:r>
          </w:p>
        </w:tc>
        <w:tc>
          <w:tcPr>
            <w:tcW w:w="617" w:type="dxa"/>
          </w:tcPr>
          <w:p w14:paraId="4EBD742B" w14:textId="77777777" w:rsidR="000710BB" w:rsidRPr="00993442" w:rsidRDefault="000710BB" w:rsidP="009879CF">
            <w:pPr>
              <w:jc w:val="right"/>
              <w:rPr>
                <w:sz w:val="16"/>
                <w:szCs w:val="16"/>
              </w:rPr>
            </w:pPr>
            <w:r w:rsidRPr="00993442">
              <w:rPr>
                <w:sz w:val="16"/>
                <w:szCs w:val="16"/>
              </w:rPr>
              <w:t>1.82</w:t>
            </w:r>
          </w:p>
        </w:tc>
        <w:tc>
          <w:tcPr>
            <w:tcW w:w="608" w:type="dxa"/>
          </w:tcPr>
          <w:p w14:paraId="551E6771" w14:textId="77777777" w:rsidR="000710BB" w:rsidRPr="00993442" w:rsidRDefault="000710BB" w:rsidP="009879CF">
            <w:pPr>
              <w:jc w:val="right"/>
              <w:rPr>
                <w:sz w:val="16"/>
                <w:szCs w:val="16"/>
              </w:rPr>
            </w:pPr>
            <w:r w:rsidRPr="00993442">
              <w:rPr>
                <w:sz w:val="16"/>
                <w:szCs w:val="16"/>
              </w:rPr>
              <w:t>22</w:t>
            </w:r>
          </w:p>
        </w:tc>
        <w:tc>
          <w:tcPr>
            <w:tcW w:w="572" w:type="dxa"/>
          </w:tcPr>
          <w:p w14:paraId="0A734161" w14:textId="77777777" w:rsidR="000710BB" w:rsidRPr="00993442" w:rsidRDefault="000710BB" w:rsidP="009879CF">
            <w:pPr>
              <w:jc w:val="right"/>
              <w:rPr>
                <w:sz w:val="16"/>
                <w:szCs w:val="16"/>
              </w:rPr>
            </w:pPr>
            <w:r w:rsidRPr="00993442">
              <w:rPr>
                <w:sz w:val="16"/>
                <w:szCs w:val="16"/>
              </w:rPr>
              <w:t>37</w:t>
            </w:r>
          </w:p>
        </w:tc>
        <w:tc>
          <w:tcPr>
            <w:tcW w:w="1158" w:type="dxa"/>
          </w:tcPr>
          <w:p w14:paraId="029FEC3A" w14:textId="77777777" w:rsidR="000710BB" w:rsidRPr="00993442" w:rsidRDefault="000710BB" w:rsidP="009879CF">
            <w:pPr>
              <w:jc w:val="right"/>
              <w:rPr>
                <w:sz w:val="16"/>
                <w:szCs w:val="16"/>
              </w:rPr>
            </w:pPr>
            <w:r w:rsidRPr="00993442">
              <w:rPr>
                <w:sz w:val="16"/>
                <w:szCs w:val="16"/>
              </w:rPr>
              <w:t>260</w:t>
            </w:r>
          </w:p>
        </w:tc>
        <w:tc>
          <w:tcPr>
            <w:tcW w:w="1328" w:type="dxa"/>
          </w:tcPr>
          <w:p w14:paraId="4C361335" w14:textId="77777777" w:rsidR="000710BB" w:rsidRPr="00993442" w:rsidRDefault="000710BB" w:rsidP="009879CF">
            <w:pPr>
              <w:jc w:val="right"/>
              <w:rPr>
                <w:sz w:val="16"/>
                <w:szCs w:val="16"/>
              </w:rPr>
            </w:pPr>
            <w:r w:rsidRPr="00993442">
              <w:rPr>
                <w:sz w:val="16"/>
                <w:szCs w:val="16"/>
              </w:rPr>
              <w:t>90%+</w:t>
            </w:r>
          </w:p>
        </w:tc>
      </w:tr>
      <w:tr w:rsidR="000710BB" w:rsidRPr="00993442" w14:paraId="5AF04988" w14:textId="77777777" w:rsidTr="009879CF">
        <w:trPr>
          <w:trHeight w:val="300"/>
        </w:trPr>
        <w:tc>
          <w:tcPr>
            <w:tcW w:w="928" w:type="dxa"/>
            <w:hideMark/>
          </w:tcPr>
          <w:p w14:paraId="79D9ED42" w14:textId="77777777" w:rsidR="000710BB" w:rsidRPr="00993442" w:rsidRDefault="000710BB" w:rsidP="009879CF">
            <w:pPr>
              <w:jc w:val="center"/>
              <w:rPr>
                <w:b/>
                <w:bCs/>
                <w:sz w:val="16"/>
                <w:szCs w:val="16"/>
              </w:rPr>
            </w:pPr>
            <w:r w:rsidRPr="00993442">
              <w:rPr>
                <w:b/>
                <w:bCs/>
                <w:sz w:val="16"/>
                <w:szCs w:val="16"/>
              </w:rPr>
              <w:t>CCG202</w:t>
            </w:r>
          </w:p>
        </w:tc>
        <w:tc>
          <w:tcPr>
            <w:tcW w:w="661" w:type="dxa"/>
          </w:tcPr>
          <w:p w14:paraId="386FF28A" w14:textId="77777777" w:rsidR="000710BB" w:rsidRPr="00993442" w:rsidRDefault="000710BB" w:rsidP="009879CF">
            <w:pPr>
              <w:jc w:val="right"/>
              <w:rPr>
                <w:sz w:val="16"/>
                <w:szCs w:val="16"/>
              </w:rPr>
            </w:pPr>
            <w:r w:rsidRPr="00993442">
              <w:rPr>
                <w:sz w:val="16"/>
                <w:szCs w:val="16"/>
              </w:rPr>
              <w:t>1.73</w:t>
            </w:r>
          </w:p>
        </w:tc>
        <w:tc>
          <w:tcPr>
            <w:tcW w:w="617" w:type="dxa"/>
          </w:tcPr>
          <w:p w14:paraId="39B871D3" w14:textId="77777777" w:rsidR="000710BB" w:rsidRPr="00993442" w:rsidRDefault="000710BB" w:rsidP="009879CF">
            <w:pPr>
              <w:jc w:val="right"/>
              <w:rPr>
                <w:sz w:val="16"/>
                <w:szCs w:val="16"/>
              </w:rPr>
            </w:pPr>
            <w:r w:rsidRPr="00993442">
              <w:rPr>
                <w:sz w:val="16"/>
                <w:szCs w:val="16"/>
              </w:rPr>
              <w:t>0.36</w:t>
            </w:r>
          </w:p>
        </w:tc>
        <w:tc>
          <w:tcPr>
            <w:tcW w:w="617" w:type="dxa"/>
          </w:tcPr>
          <w:p w14:paraId="73F36F62" w14:textId="77777777" w:rsidR="000710BB" w:rsidRPr="00993442" w:rsidRDefault="000710BB" w:rsidP="009879CF">
            <w:pPr>
              <w:jc w:val="right"/>
              <w:rPr>
                <w:sz w:val="16"/>
                <w:szCs w:val="16"/>
              </w:rPr>
            </w:pPr>
            <w:r w:rsidRPr="00993442">
              <w:rPr>
                <w:sz w:val="16"/>
                <w:szCs w:val="16"/>
              </w:rPr>
              <w:t>1.96</w:t>
            </w:r>
          </w:p>
        </w:tc>
        <w:tc>
          <w:tcPr>
            <w:tcW w:w="608" w:type="dxa"/>
          </w:tcPr>
          <w:p w14:paraId="5D050A98" w14:textId="77777777" w:rsidR="000710BB" w:rsidRPr="00993442" w:rsidRDefault="000710BB" w:rsidP="009879CF">
            <w:pPr>
              <w:jc w:val="right"/>
              <w:rPr>
                <w:sz w:val="16"/>
                <w:szCs w:val="16"/>
              </w:rPr>
            </w:pPr>
            <w:r w:rsidRPr="00993442">
              <w:rPr>
                <w:sz w:val="16"/>
                <w:szCs w:val="16"/>
              </w:rPr>
              <w:t>15</w:t>
            </w:r>
          </w:p>
        </w:tc>
        <w:tc>
          <w:tcPr>
            <w:tcW w:w="572" w:type="dxa"/>
          </w:tcPr>
          <w:p w14:paraId="25745D22" w14:textId="77777777" w:rsidR="000710BB" w:rsidRPr="00993442" w:rsidRDefault="000710BB" w:rsidP="009879CF">
            <w:pPr>
              <w:jc w:val="right"/>
              <w:rPr>
                <w:sz w:val="16"/>
                <w:szCs w:val="16"/>
              </w:rPr>
            </w:pPr>
            <w:r w:rsidRPr="00993442">
              <w:rPr>
                <w:sz w:val="16"/>
                <w:szCs w:val="16"/>
              </w:rPr>
              <w:t>26</w:t>
            </w:r>
          </w:p>
        </w:tc>
        <w:tc>
          <w:tcPr>
            <w:tcW w:w="1158" w:type="dxa"/>
          </w:tcPr>
          <w:p w14:paraId="7C25BB1D" w14:textId="77777777" w:rsidR="000710BB" w:rsidRPr="00993442" w:rsidRDefault="000710BB" w:rsidP="009879CF">
            <w:pPr>
              <w:jc w:val="right"/>
              <w:rPr>
                <w:sz w:val="16"/>
                <w:szCs w:val="16"/>
              </w:rPr>
            </w:pPr>
            <w:r w:rsidRPr="00993442">
              <w:rPr>
                <w:sz w:val="16"/>
                <w:szCs w:val="16"/>
              </w:rPr>
              <w:t>156</w:t>
            </w:r>
          </w:p>
        </w:tc>
        <w:tc>
          <w:tcPr>
            <w:tcW w:w="1328" w:type="dxa"/>
          </w:tcPr>
          <w:p w14:paraId="4E88389A" w14:textId="77777777" w:rsidR="000710BB" w:rsidRPr="00993442" w:rsidRDefault="000710BB" w:rsidP="009879CF">
            <w:pPr>
              <w:jc w:val="right"/>
              <w:rPr>
                <w:sz w:val="16"/>
                <w:szCs w:val="16"/>
              </w:rPr>
            </w:pPr>
            <w:r w:rsidRPr="00993442">
              <w:rPr>
                <w:sz w:val="16"/>
                <w:szCs w:val="16"/>
              </w:rPr>
              <w:t>80-89%</w:t>
            </w:r>
          </w:p>
        </w:tc>
      </w:tr>
      <w:tr w:rsidR="000710BB" w:rsidRPr="00993442" w14:paraId="5730AF97" w14:textId="77777777" w:rsidTr="009879CF">
        <w:trPr>
          <w:trHeight w:val="300"/>
        </w:trPr>
        <w:tc>
          <w:tcPr>
            <w:tcW w:w="928" w:type="dxa"/>
            <w:hideMark/>
          </w:tcPr>
          <w:p w14:paraId="4F41BB39" w14:textId="77777777" w:rsidR="000710BB" w:rsidRPr="00993442" w:rsidRDefault="000710BB" w:rsidP="009879CF">
            <w:pPr>
              <w:jc w:val="center"/>
              <w:rPr>
                <w:b/>
                <w:bCs/>
                <w:sz w:val="16"/>
                <w:szCs w:val="16"/>
              </w:rPr>
            </w:pPr>
            <w:r w:rsidRPr="00993442">
              <w:rPr>
                <w:b/>
                <w:bCs/>
                <w:sz w:val="16"/>
                <w:szCs w:val="16"/>
              </w:rPr>
              <w:t>CCG203</w:t>
            </w:r>
          </w:p>
        </w:tc>
        <w:tc>
          <w:tcPr>
            <w:tcW w:w="661" w:type="dxa"/>
          </w:tcPr>
          <w:p w14:paraId="27B86B3A" w14:textId="77777777" w:rsidR="000710BB" w:rsidRPr="00993442" w:rsidRDefault="000710BB" w:rsidP="009879CF">
            <w:pPr>
              <w:jc w:val="right"/>
              <w:rPr>
                <w:sz w:val="16"/>
                <w:szCs w:val="16"/>
              </w:rPr>
            </w:pPr>
            <w:r w:rsidRPr="00993442">
              <w:rPr>
                <w:sz w:val="16"/>
                <w:szCs w:val="16"/>
              </w:rPr>
              <w:t>1.73</w:t>
            </w:r>
          </w:p>
        </w:tc>
        <w:tc>
          <w:tcPr>
            <w:tcW w:w="617" w:type="dxa"/>
          </w:tcPr>
          <w:p w14:paraId="68F64AA9" w14:textId="77777777" w:rsidR="000710BB" w:rsidRPr="00993442" w:rsidRDefault="000710BB" w:rsidP="009879CF">
            <w:pPr>
              <w:jc w:val="right"/>
              <w:rPr>
                <w:sz w:val="16"/>
                <w:szCs w:val="16"/>
              </w:rPr>
            </w:pPr>
            <w:r w:rsidRPr="00993442">
              <w:rPr>
                <w:sz w:val="16"/>
                <w:szCs w:val="16"/>
              </w:rPr>
              <w:t>0.60</w:t>
            </w:r>
          </w:p>
        </w:tc>
        <w:tc>
          <w:tcPr>
            <w:tcW w:w="617" w:type="dxa"/>
          </w:tcPr>
          <w:p w14:paraId="4B9B373F" w14:textId="77777777" w:rsidR="000710BB" w:rsidRPr="00993442" w:rsidRDefault="000710BB" w:rsidP="009879CF">
            <w:pPr>
              <w:jc w:val="right"/>
              <w:rPr>
                <w:sz w:val="16"/>
                <w:szCs w:val="16"/>
              </w:rPr>
            </w:pPr>
            <w:r w:rsidRPr="00993442">
              <w:rPr>
                <w:sz w:val="16"/>
                <w:szCs w:val="16"/>
              </w:rPr>
              <w:t>1.73</w:t>
            </w:r>
          </w:p>
        </w:tc>
        <w:tc>
          <w:tcPr>
            <w:tcW w:w="608" w:type="dxa"/>
          </w:tcPr>
          <w:p w14:paraId="1CA33D69" w14:textId="77777777" w:rsidR="000710BB" w:rsidRPr="00993442" w:rsidRDefault="000710BB" w:rsidP="009879CF">
            <w:pPr>
              <w:jc w:val="right"/>
              <w:rPr>
                <w:sz w:val="16"/>
                <w:szCs w:val="16"/>
              </w:rPr>
            </w:pPr>
            <w:r w:rsidRPr="00993442">
              <w:rPr>
                <w:sz w:val="16"/>
                <w:szCs w:val="16"/>
              </w:rPr>
              <w:t>30</w:t>
            </w:r>
          </w:p>
        </w:tc>
        <w:tc>
          <w:tcPr>
            <w:tcW w:w="572" w:type="dxa"/>
          </w:tcPr>
          <w:p w14:paraId="3D77B099" w14:textId="77777777" w:rsidR="000710BB" w:rsidRPr="00993442" w:rsidRDefault="000710BB" w:rsidP="009879CF">
            <w:pPr>
              <w:jc w:val="right"/>
              <w:rPr>
                <w:sz w:val="16"/>
                <w:szCs w:val="16"/>
              </w:rPr>
            </w:pPr>
            <w:r w:rsidRPr="00993442">
              <w:rPr>
                <w:sz w:val="16"/>
                <w:szCs w:val="16"/>
              </w:rPr>
              <w:t>52</w:t>
            </w:r>
          </w:p>
        </w:tc>
        <w:tc>
          <w:tcPr>
            <w:tcW w:w="1158" w:type="dxa"/>
          </w:tcPr>
          <w:p w14:paraId="33BEB40D" w14:textId="77777777" w:rsidR="000710BB" w:rsidRPr="00993442" w:rsidRDefault="000710BB" w:rsidP="009879CF">
            <w:pPr>
              <w:jc w:val="right"/>
              <w:rPr>
                <w:sz w:val="16"/>
                <w:szCs w:val="16"/>
              </w:rPr>
            </w:pPr>
            <w:r w:rsidRPr="00993442">
              <w:rPr>
                <w:sz w:val="16"/>
                <w:szCs w:val="16"/>
              </w:rPr>
              <w:t>212</w:t>
            </w:r>
          </w:p>
        </w:tc>
        <w:tc>
          <w:tcPr>
            <w:tcW w:w="1328" w:type="dxa"/>
          </w:tcPr>
          <w:p w14:paraId="360E21BA" w14:textId="77777777" w:rsidR="000710BB" w:rsidRPr="00993442" w:rsidRDefault="000710BB" w:rsidP="009879CF">
            <w:pPr>
              <w:jc w:val="right"/>
              <w:rPr>
                <w:sz w:val="16"/>
                <w:szCs w:val="16"/>
              </w:rPr>
            </w:pPr>
            <w:r w:rsidRPr="00993442">
              <w:rPr>
                <w:sz w:val="16"/>
                <w:szCs w:val="16"/>
              </w:rPr>
              <w:t>90%+</w:t>
            </w:r>
          </w:p>
        </w:tc>
      </w:tr>
      <w:tr w:rsidR="000710BB" w:rsidRPr="00993442" w14:paraId="46F94AF6" w14:textId="77777777" w:rsidTr="009879CF">
        <w:trPr>
          <w:trHeight w:val="300"/>
        </w:trPr>
        <w:tc>
          <w:tcPr>
            <w:tcW w:w="928" w:type="dxa"/>
            <w:hideMark/>
          </w:tcPr>
          <w:p w14:paraId="01CD1797" w14:textId="77777777" w:rsidR="000710BB" w:rsidRPr="00993442" w:rsidRDefault="000710BB" w:rsidP="009879CF">
            <w:pPr>
              <w:jc w:val="center"/>
              <w:rPr>
                <w:b/>
                <w:bCs/>
                <w:sz w:val="16"/>
                <w:szCs w:val="16"/>
              </w:rPr>
            </w:pPr>
            <w:r w:rsidRPr="00993442">
              <w:rPr>
                <w:b/>
                <w:bCs/>
                <w:sz w:val="16"/>
                <w:szCs w:val="16"/>
              </w:rPr>
              <w:t>CCG204</w:t>
            </w:r>
          </w:p>
        </w:tc>
        <w:tc>
          <w:tcPr>
            <w:tcW w:w="661" w:type="dxa"/>
          </w:tcPr>
          <w:p w14:paraId="340EA644" w14:textId="77777777" w:rsidR="000710BB" w:rsidRPr="00993442" w:rsidRDefault="000710BB" w:rsidP="009879CF">
            <w:pPr>
              <w:jc w:val="right"/>
              <w:rPr>
                <w:sz w:val="16"/>
                <w:szCs w:val="16"/>
              </w:rPr>
            </w:pPr>
            <w:r w:rsidRPr="00993442">
              <w:rPr>
                <w:sz w:val="16"/>
                <w:szCs w:val="16"/>
              </w:rPr>
              <w:t>1.77</w:t>
            </w:r>
          </w:p>
        </w:tc>
        <w:tc>
          <w:tcPr>
            <w:tcW w:w="617" w:type="dxa"/>
          </w:tcPr>
          <w:p w14:paraId="310D5134" w14:textId="77777777" w:rsidR="000710BB" w:rsidRPr="00993442" w:rsidRDefault="000710BB" w:rsidP="009879CF">
            <w:pPr>
              <w:jc w:val="right"/>
              <w:rPr>
                <w:sz w:val="16"/>
                <w:szCs w:val="16"/>
              </w:rPr>
            </w:pPr>
            <w:r w:rsidRPr="00993442">
              <w:rPr>
                <w:sz w:val="16"/>
                <w:szCs w:val="16"/>
              </w:rPr>
              <w:t>0.69</w:t>
            </w:r>
          </w:p>
        </w:tc>
        <w:tc>
          <w:tcPr>
            <w:tcW w:w="617" w:type="dxa"/>
          </w:tcPr>
          <w:p w14:paraId="66F101D8" w14:textId="77777777" w:rsidR="000710BB" w:rsidRPr="00993442" w:rsidRDefault="000710BB" w:rsidP="009879CF">
            <w:pPr>
              <w:jc w:val="right"/>
              <w:rPr>
                <w:sz w:val="16"/>
                <w:szCs w:val="16"/>
              </w:rPr>
            </w:pPr>
            <w:r w:rsidRPr="00993442">
              <w:rPr>
                <w:sz w:val="16"/>
                <w:szCs w:val="16"/>
              </w:rPr>
              <w:t>1.63</w:t>
            </w:r>
          </w:p>
        </w:tc>
        <w:tc>
          <w:tcPr>
            <w:tcW w:w="608" w:type="dxa"/>
          </w:tcPr>
          <w:p w14:paraId="46E0A006" w14:textId="77777777" w:rsidR="000710BB" w:rsidRPr="00993442" w:rsidRDefault="000710BB" w:rsidP="009879CF">
            <w:pPr>
              <w:jc w:val="right"/>
              <w:rPr>
                <w:sz w:val="16"/>
                <w:szCs w:val="16"/>
              </w:rPr>
            </w:pPr>
            <w:r w:rsidRPr="00993442">
              <w:rPr>
                <w:sz w:val="16"/>
                <w:szCs w:val="16"/>
              </w:rPr>
              <w:t>43</w:t>
            </w:r>
          </w:p>
        </w:tc>
        <w:tc>
          <w:tcPr>
            <w:tcW w:w="572" w:type="dxa"/>
          </w:tcPr>
          <w:p w14:paraId="3267D6E1" w14:textId="77777777" w:rsidR="000710BB" w:rsidRPr="00993442" w:rsidRDefault="000710BB" w:rsidP="009879CF">
            <w:pPr>
              <w:jc w:val="right"/>
              <w:rPr>
                <w:sz w:val="16"/>
                <w:szCs w:val="16"/>
              </w:rPr>
            </w:pPr>
            <w:r w:rsidRPr="00993442">
              <w:rPr>
                <w:sz w:val="16"/>
                <w:szCs w:val="16"/>
              </w:rPr>
              <w:t>76</w:t>
            </w:r>
          </w:p>
        </w:tc>
        <w:tc>
          <w:tcPr>
            <w:tcW w:w="1158" w:type="dxa"/>
          </w:tcPr>
          <w:p w14:paraId="54AB4144" w14:textId="77777777" w:rsidR="000710BB" w:rsidRPr="00993442" w:rsidRDefault="000710BB" w:rsidP="009879CF">
            <w:pPr>
              <w:jc w:val="right"/>
              <w:rPr>
                <w:sz w:val="16"/>
                <w:szCs w:val="16"/>
              </w:rPr>
            </w:pPr>
            <w:r w:rsidRPr="00993442">
              <w:rPr>
                <w:sz w:val="16"/>
                <w:szCs w:val="16"/>
              </w:rPr>
              <w:t>394</w:t>
            </w:r>
          </w:p>
        </w:tc>
        <w:tc>
          <w:tcPr>
            <w:tcW w:w="1328" w:type="dxa"/>
          </w:tcPr>
          <w:p w14:paraId="48F3AB23" w14:textId="77777777" w:rsidR="000710BB" w:rsidRPr="00993442" w:rsidRDefault="000710BB" w:rsidP="009879CF">
            <w:pPr>
              <w:jc w:val="right"/>
              <w:rPr>
                <w:sz w:val="16"/>
                <w:szCs w:val="16"/>
              </w:rPr>
            </w:pPr>
            <w:r w:rsidRPr="00993442">
              <w:rPr>
                <w:sz w:val="16"/>
                <w:szCs w:val="16"/>
              </w:rPr>
              <w:t>70-79%</w:t>
            </w:r>
          </w:p>
        </w:tc>
      </w:tr>
      <w:tr w:rsidR="000710BB" w:rsidRPr="00993442" w14:paraId="41C4A425" w14:textId="77777777" w:rsidTr="009879CF">
        <w:trPr>
          <w:trHeight w:val="300"/>
        </w:trPr>
        <w:tc>
          <w:tcPr>
            <w:tcW w:w="928" w:type="dxa"/>
            <w:hideMark/>
          </w:tcPr>
          <w:p w14:paraId="64BD92C3" w14:textId="77777777" w:rsidR="000710BB" w:rsidRPr="00993442" w:rsidRDefault="000710BB" w:rsidP="009879CF">
            <w:pPr>
              <w:jc w:val="center"/>
              <w:rPr>
                <w:b/>
                <w:bCs/>
                <w:sz w:val="16"/>
                <w:szCs w:val="16"/>
              </w:rPr>
            </w:pPr>
            <w:r w:rsidRPr="00993442">
              <w:rPr>
                <w:b/>
                <w:bCs/>
                <w:sz w:val="16"/>
                <w:szCs w:val="16"/>
              </w:rPr>
              <w:t>CCG205</w:t>
            </w:r>
          </w:p>
        </w:tc>
        <w:tc>
          <w:tcPr>
            <w:tcW w:w="661" w:type="dxa"/>
          </w:tcPr>
          <w:p w14:paraId="57B4230C" w14:textId="77777777" w:rsidR="000710BB" w:rsidRPr="00993442" w:rsidRDefault="000710BB" w:rsidP="009879CF">
            <w:pPr>
              <w:jc w:val="right"/>
              <w:rPr>
                <w:sz w:val="16"/>
                <w:szCs w:val="16"/>
              </w:rPr>
            </w:pPr>
            <w:r w:rsidRPr="00993442">
              <w:rPr>
                <w:sz w:val="16"/>
                <w:szCs w:val="16"/>
              </w:rPr>
              <w:t>1.88</w:t>
            </w:r>
          </w:p>
        </w:tc>
        <w:tc>
          <w:tcPr>
            <w:tcW w:w="617" w:type="dxa"/>
          </w:tcPr>
          <w:p w14:paraId="34B165E4" w14:textId="77777777" w:rsidR="000710BB" w:rsidRPr="00993442" w:rsidRDefault="000710BB" w:rsidP="009879CF">
            <w:pPr>
              <w:jc w:val="right"/>
              <w:rPr>
                <w:sz w:val="16"/>
                <w:szCs w:val="16"/>
              </w:rPr>
            </w:pPr>
            <w:r w:rsidRPr="00993442">
              <w:rPr>
                <w:sz w:val="16"/>
                <w:szCs w:val="16"/>
              </w:rPr>
              <w:t>0.07</w:t>
            </w:r>
          </w:p>
        </w:tc>
        <w:tc>
          <w:tcPr>
            <w:tcW w:w="617" w:type="dxa"/>
          </w:tcPr>
          <w:p w14:paraId="149EB033" w14:textId="77777777" w:rsidR="000710BB" w:rsidRPr="00993442" w:rsidRDefault="000710BB" w:rsidP="009879CF">
            <w:pPr>
              <w:jc w:val="right"/>
              <w:rPr>
                <w:sz w:val="16"/>
                <w:szCs w:val="16"/>
              </w:rPr>
            </w:pPr>
            <w:r w:rsidRPr="00993442">
              <w:rPr>
                <w:sz w:val="16"/>
                <w:szCs w:val="16"/>
              </w:rPr>
              <w:t>2.25</w:t>
            </w:r>
          </w:p>
        </w:tc>
        <w:tc>
          <w:tcPr>
            <w:tcW w:w="608" w:type="dxa"/>
          </w:tcPr>
          <w:p w14:paraId="26DA5C3C" w14:textId="77777777" w:rsidR="000710BB" w:rsidRPr="00993442" w:rsidRDefault="000710BB" w:rsidP="009879CF">
            <w:pPr>
              <w:jc w:val="right"/>
              <w:rPr>
                <w:sz w:val="16"/>
                <w:szCs w:val="16"/>
              </w:rPr>
            </w:pPr>
            <w:r w:rsidRPr="00993442">
              <w:rPr>
                <w:sz w:val="16"/>
                <w:szCs w:val="16"/>
              </w:rPr>
              <w:t>8</w:t>
            </w:r>
          </w:p>
        </w:tc>
        <w:tc>
          <w:tcPr>
            <w:tcW w:w="572" w:type="dxa"/>
          </w:tcPr>
          <w:p w14:paraId="22113D1F" w14:textId="77777777" w:rsidR="000710BB" w:rsidRPr="00993442" w:rsidRDefault="000710BB" w:rsidP="009879CF">
            <w:pPr>
              <w:jc w:val="right"/>
              <w:rPr>
                <w:sz w:val="16"/>
                <w:szCs w:val="16"/>
              </w:rPr>
            </w:pPr>
            <w:r w:rsidRPr="00993442">
              <w:rPr>
                <w:sz w:val="16"/>
                <w:szCs w:val="16"/>
              </w:rPr>
              <w:t>15</w:t>
            </w:r>
          </w:p>
        </w:tc>
        <w:tc>
          <w:tcPr>
            <w:tcW w:w="1158" w:type="dxa"/>
          </w:tcPr>
          <w:p w14:paraId="0A628124" w14:textId="77777777" w:rsidR="000710BB" w:rsidRPr="00993442" w:rsidRDefault="000710BB" w:rsidP="009879CF">
            <w:pPr>
              <w:jc w:val="right"/>
              <w:rPr>
                <w:sz w:val="16"/>
                <w:szCs w:val="16"/>
              </w:rPr>
            </w:pPr>
            <w:r w:rsidRPr="00993442">
              <w:rPr>
                <w:sz w:val="16"/>
                <w:szCs w:val="16"/>
              </w:rPr>
              <w:t>99</w:t>
            </w:r>
          </w:p>
        </w:tc>
        <w:tc>
          <w:tcPr>
            <w:tcW w:w="1328" w:type="dxa"/>
          </w:tcPr>
          <w:p w14:paraId="0001025F" w14:textId="77777777" w:rsidR="000710BB" w:rsidRPr="00993442" w:rsidRDefault="000710BB" w:rsidP="009879CF">
            <w:pPr>
              <w:jc w:val="right"/>
              <w:rPr>
                <w:sz w:val="16"/>
                <w:szCs w:val="16"/>
              </w:rPr>
            </w:pPr>
            <w:r w:rsidRPr="00993442">
              <w:rPr>
                <w:sz w:val="16"/>
                <w:szCs w:val="16"/>
              </w:rPr>
              <w:t>70-79%</w:t>
            </w:r>
          </w:p>
        </w:tc>
      </w:tr>
      <w:tr w:rsidR="00993442" w:rsidRPr="00993442" w14:paraId="020E36E8" w14:textId="77777777" w:rsidTr="009879CF">
        <w:trPr>
          <w:trHeight w:val="300"/>
        </w:trPr>
        <w:tc>
          <w:tcPr>
            <w:tcW w:w="928" w:type="dxa"/>
          </w:tcPr>
          <w:p w14:paraId="2FD9EAAC" w14:textId="77777777" w:rsidR="000710BB" w:rsidRPr="00993442" w:rsidRDefault="000710BB" w:rsidP="009879CF">
            <w:pPr>
              <w:jc w:val="center"/>
              <w:rPr>
                <w:b/>
                <w:bCs/>
                <w:sz w:val="16"/>
                <w:szCs w:val="16"/>
              </w:rPr>
            </w:pPr>
            <w:r w:rsidRPr="00993442">
              <w:rPr>
                <w:b/>
                <w:bCs/>
                <w:sz w:val="16"/>
                <w:szCs w:val="16"/>
              </w:rPr>
              <w:t>CCG206</w:t>
            </w:r>
          </w:p>
        </w:tc>
        <w:tc>
          <w:tcPr>
            <w:tcW w:w="661" w:type="dxa"/>
          </w:tcPr>
          <w:p w14:paraId="560C97E8" w14:textId="77777777" w:rsidR="000710BB" w:rsidRPr="00993442" w:rsidRDefault="000710BB" w:rsidP="009879CF">
            <w:pPr>
              <w:jc w:val="right"/>
              <w:rPr>
                <w:sz w:val="16"/>
                <w:szCs w:val="16"/>
              </w:rPr>
            </w:pPr>
            <w:r w:rsidRPr="00993442">
              <w:rPr>
                <w:sz w:val="16"/>
                <w:szCs w:val="16"/>
              </w:rPr>
              <w:t>2.90</w:t>
            </w:r>
          </w:p>
        </w:tc>
        <w:tc>
          <w:tcPr>
            <w:tcW w:w="617" w:type="dxa"/>
          </w:tcPr>
          <w:p w14:paraId="3C2C8DCD" w14:textId="77777777" w:rsidR="000710BB" w:rsidRPr="00993442" w:rsidRDefault="000710BB" w:rsidP="009879CF">
            <w:pPr>
              <w:jc w:val="right"/>
              <w:rPr>
                <w:sz w:val="16"/>
                <w:szCs w:val="16"/>
              </w:rPr>
            </w:pPr>
            <w:r w:rsidRPr="00993442">
              <w:rPr>
                <w:sz w:val="16"/>
                <w:szCs w:val="16"/>
              </w:rPr>
              <w:t>0.18</w:t>
            </w:r>
          </w:p>
        </w:tc>
        <w:tc>
          <w:tcPr>
            <w:tcW w:w="617" w:type="dxa"/>
          </w:tcPr>
          <w:p w14:paraId="1448C83E" w14:textId="77777777" w:rsidR="000710BB" w:rsidRPr="00993442" w:rsidRDefault="000710BB" w:rsidP="009879CF">
            <w:pPr>
              <w:jc w:val="right"/>
              <w:rPr>
                <w:sz w:val="16"/>
                <w:szCs w:val="16"/>
              </w:rPr>
            </w:pPr>
            <w:r w:rsidRPr="00993442">
              <w:rPr>
                <w:sz w:val="16"/>
                <w:szCs w:val="16"/>
              </w:rPr>
              <w:t>2.14</w:t>
            </w:r>
          </w:p>
        </w:tc>
        <w:tc>
          <w:tcPr>
            <w:tcW w:w="608" w:type="dxa"/>
          </w:tcPr>
          <w:p w14:paraId="4736B309" w14:textId="77777777" w:rsidR="000710BB" w:rsidRPr="00993442" w:rsidRDefault="000710BB" w:rsidP="009879CF">
            <w:pPr>
              <w:jc w:val="right"/>
              <w:rPr>
                <w:sz w:val="16"/>
                <w:szCs w:val="16"/>
              </w:rPr>
            </w:pPr>
            <w:r w:rsidRPr="00993442">
              <w:rPr>
                <w:sz w:val="16"/>
                <w:szCs w:val="16"/>
              </w:rPr>
              <w:t>10</w:t>
            </w:r>
          </w:p>
        </w:tc>
        <w:tc>
          <w:tcPr>
            <w:tcW w:w="572" w:type="dxa"/>
          </w:tcPr>
          <w:p w14:paraId="187F492C" w14:textId="77777777" w:rsidR="000710BB" w:rsidRPr="00993442" w:rsidRDefault="000710BB" w:rsidP="009879CF">
            <w:pPr>
              <w:jc w:val="right"/>
              <w:rPr>
                <w:sz w:val="16"/>
                <w:szCs w:val="16"/>
              </w:rPr>
            </w:pPr>
            <w:r w:rsidRPr="00993442">
              <w:rPr>
                <w:sz w:val="16"/>
                <w:szCs w:val="16"/>
              </w:rPr>
              <w:t>29</w:t>
            </w:r>
          </w:p>
        </w:tc>
        <w:tc>
          <w:tcPr>
            <w:tcW w:w="1158" w:type="dxa"/>
          </w:tcPr>
          <w:p w14:paraId="6626DBD9" w14:textId="77777777" w:rsidR="000710BB" w:rsidRPr="00993442" w:rsidRDefault="000710BB" w:rsidP="009879CF">
            <w:pPr>
              <w:jc w:val="right"/>
              <w:rPr>
                <w:sz w:val="16"/>
                <w:szCs w:val="16"/>
              </w:rPr>
            </w:pPr>
            <w:r w:rsidRPr="00993442">
              <w:rPr>
                <w:sz w:val="16"/>
                <w:szCs w:val="16"/>
              </w:rPr>
              <w:t>167</w:t>
            </w:r>
          </w:p>
        </w:tc>
        <w:tc>
          <w:tcPr>
            <w:tcW w:w="1328" w:type="dxa"/>
          </w:tcPr>
          <w:p w14:paraId="7BCCFCE1" w14:textId="77777777" w:rsidR="000710BB" w:rsidRPr="00993442" w:rsidRDefault="000710BB" w:rsidP="009879CF">
            <w:pPr>
              <w:jc w:val="right"/>
              <w:rPr>
                <w:sz w:val="16"/>
                <w:szCs w:val="16"/>
              </w:rPr>
            </w:pPr>
            <w:r w:rsidRPr="00993442">
              <w:rPr>
                <w:sz w:val="16"/>
                <w:szCs w:val="16"/>
              </w:rPr>
              <w:t>80-89%</w:t>
            </w:r>
          </w:p>
        </w:tc>
      </w:tr>
    </w:tbl>
    <w:p w14:paraId="104F22B8" w14:textId="603E11F7" w:rsidR="000710BB" w:rsidRPr="00993442" w:rsidRDefault="000710BB"/>
    <w:p w14:paraId="48442864" w14:textId="79CE613C" w:rsidR="000710BB" w:rsidRPr="00993442" w:rsidRDefault="000710BB"/>
    <w:p w14:paraId="7D7543FD" w14:textId="16BE313B" w:rsidR="000710BB" w:rsidRPr="00993442" w:rsidRDefault="000710BB"/>
    <w:p w14:paraId="197362B4" w14:textId="557B36B6" w:rsidR="000710BB" w:rsidRPr="00993442" w:rsidRDefault="000710BB">
      <w:r w:rsidRPr="00993442">
        <w:rPr>
          <w:noProof/>
          <w:lang w:eastAsia="en-GB"/>
        </w:rPr>
        <w:drawing>
          <wp:inline distT="0" distB="0" distL="0" distR="0" wp14:anchorId="72EED914" wp14:editId="4CACBE7B">
            <wp:extent cx="3856021" cy="2458192"/>
            <wp:effectExtent l="0" t="0" r="0" b="0"/>
            <wp:docPr id="8" name="Picture 8" descr="Graph showing standard mortality rate versus expected number of deaths for CC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9524" cy="2460425"/>
                    </a:xfrm>
                    <a:prstGeom prst="rect">
                      <a:avLst/>
                    </a:prstGeom>
                    <a:noFill/>
                  </pic:spPr>
                </pic:pic>
              </a:graphicData>
            </a:graphic>
          </wp:inline>
        </w:drawing>
      </w:r>
    </w:p>
    <w:p w14:paraId="24BE2813" w14:textId="1A3FEC2E" w:rsidR="000710BB" w:rsidRPr="00993442" w:rsidRDefault="006B7F28">
      <w:r w:rsidRPr="00993442">
        <w:lastRenderedPageBreak/>
        <w:t xml:space="preserve">Please note, the national SMR is not centred at 1.0 as overall mortality and </w:t>
      </w:r>
      <w:proofErr w:type="spellStart"/>
      <w:r w:rsidRPr="00993442">
        <w:t>casemix</w:t>
      </w:r>
      <w:proofErr w:type="spellEnd"/>
      <w:r w:rsidRPr="00993442">
        <w:t xml:space="preserve"> variables have changed since the start of SSNAP when the model was first derived. The validated model was applied in 2013/14 without any adjustments but in response to feedback, the RCP are considering re-centring the baseline each year to take account for national trends in mortality and </w:t>
      </w:r>
      <w:proofErr w:type="spellStart"/>
      <w:r w:rsidRPr="00993442">
        <w:t>casemix</w:t>
      </w:r>
      <w:proofErr w:type="spellEnd"/>
      <w:r w:rsidRPr="00993442">
        <w:t>.</w:t>
      </w:r>
    </w:p>
    <w:p w14:paraId="53F9D7ED" w14:textId="32DD8022" w:rsidR="000710BB" w:rsidRPr="00993442" w:rsidRDefault="000710BB"/>
    <w:p w14:paraId="76895471" w14:textId="77777777" w:rsidR="000710BB" w:rsidRPr="00993442" w:rsidRDefault="000710BB"/>
    <w:permEnd w:id="1417020994"/>
    <w:p w14:paraId="4474EF94" w14:textId="77777777" w:rsidR="00CB2802" w:rsidRPr="00993442" w:rsidRDefault="00CB2802" w:rsidP="00CB2802">
      <w:r w:rsidRPr="00993442">
        <w:br w:type="page"/>
      </w:r>
    </w:p>
    <w:p w14:paraId="1D5F1208" w14:textId="5A920033" w:rsidR="000710BB" w:rsidRPr="00993442" w:rsidRDefault="000710BB">
      <w:r w:rsidRPr="00993442">
        <w:lastRenderedPageBreak/>
        <w:t>Section 6 Risks</w:t>
      </w:r>
    </w:p>
    <w:tbl>
      <w:tblPr>
        <w:tblStyle w:val="TableGrid2"/>
        <w:tblW w:w="0" w:type="auto"/>
        <w:tblLook w:val="04A0" w:firstRow="1" w:lastRow="0" w:firstColumn="1" w:lastColumn="0" w:noHBand="0" w:noVBand="1"/>
      </w:tblPr>
      <w:tblGrid>
        <w:gridCol w:w="2268"/>
        <w:gridCol w:w="6853"/>
      </w:tblGrid>
      <w:tr w:rsidR="00993442" w:rsidRPr="00993442" w14:paraId="6028E614" w14:textId="77777777" w:rsidTr="000710BB">
        <w:tc>
          <w:tcPr>
            <w:tcW w:w="2268" w:type="dxa"/>
          </w:tcPr>
          <w:p w14:paraId="4E2093CC" w14:textId="5D51094C" w:rsidR="000710BB" w:rsidRPr="00993442" w:rsidRDefault="000710BB" w:rsidP="00B22F66">
            <w:pPr>
              <w:spacing w:before="240"/>
              <w:ind w:left="34"/>
              <w:rPr>
                <w:b/>
              </w:rPr>
            </w:pPr>
            <w:permStart w:id="1939501509" w:edGrp="everyone" w:colFirst="1" w:colLast="1"/>
            <w:r w:rsidRPr="00993442">
              <w:rPr>
                <w:b/>
              </w:rPr>
              <w:t>6.1 Similar existing indicators</w:t>
            </w:r>
          </w:p>
        </w:tc>
        <w:tc>
          <w:tcPr>
            <w:tcW w:w="6853" w:type="dxa"/>
          </w:tcPr>
          <w:p w14:paraId="52D2DFAF" w14:textId="77777777" w:rsidR="000710BB" w:rsidRPr="00993442" w:rsidRDefault="000710BB" w:rsidP="00B22F66">
            <w:pPr>
              <w:spacing w:before="240"/>
            </w:pPr>
            <w:r w:rsidRPr="00993442">
              <w:t xml:space="preserve">This indicator, along with a number of other measures relating to stroke, is published in different formats at CCG, trust and stroke team level on the SSNAP results portal </w:t>
            </w:r>
            <w:hyperlink r:id="rId16" w:history="1">
              <w:r w:rsidRPr="00993442">
                <w:rPr>
                  <w:rStyle w:val="Hyperlink"/>
                  <w:color w:val="auto"/>
                </w:rPr>
                <w:t>http://www.strokeaudit.org/results/Clinical-audit/National-Results.aspx</w:t>
              </w:r>
            </w:hyperlink>
            <w:r w:rsidRPr="00993442">
              <w:t xml:space="preserve"> </w:t>
            </w:r>
          </w:p>
          <w:p w14:paraId="7EDC2FF6" w14:textId="77777777" w:rsidR="000710BB" w:rsidRPr="00993442" w:rsidRDefault="000710BB" w:rsidP="00B22F66">
            <w:pPr>
              <w:spacing w:before="240"/>
            </w:pPr>
            <w:r w:rsidRPr="00993442">
              <w:t xml:space="preserve">A similar indicator exists in the NHS Digital Compendium of Population Health Indicators (Deaths within 30 days of emergency admission to hospital: stroke, portal identifier: P00811). The indicator is presented on the NHS Digital Indicator Portal with a number of different age, sex and statistical breakdowns </w:t>
            </w:r>
            <w:hyperlink r:id="rId17" w:history="1">
              <w:r w:rsidRPr="00993442">
                <w:rPr>
                  <w:rStyle w:val="Hyperlink"/>
                  <w:color w:val="auto"/>
                </w:rPr>
                <w:t>https://indicators.hscic.gov.uk/webview/</w:t>
              </w:r>
            </w:hyperlink>
            <w:r w:rsidRPr="00993442">
              <w:t xml:space="preserve"> </w:t>
            </w:r>
          </w:p>
        </w:tc>
      </w:tr>
      <w:tr w:rsidR="00993442" w:rsidRPr="00993442" w14:paraId="77DE24A2" w14:textId="77777777" w:rsidTr="000710BB">
        <w:tc>
          <w:tcPr>
            <w:tcW w:w="2268" w:type="dxa"/>
          </w:tcPr>
          <w:p w14:paraId="180430B0" w14:textId="75A731C3" w:rsidR="000710BB" w:rsidRPr="00993442" w:rsidRDefault="000710BB" w:rsidP="00B22F66">
            <w:pPr>
              <w:spacing w:before="240"/>
              <w:ind w:left="34"/>
              <w:rPr>
                <w:b/>
              </w:rPr>
            </w:pPr>
            <w:permStart w:id="339024494" w:edGrp="everyone" w:colFirst="1" w:colLast="1"/>
            <w:permEnd w:id="1939501509"/>
            <w:r w:rsidRPr="00993442">
              <w:rPr>
                <w:b/>
              </w:rPr>
              <w:t>6.2 Coherence and comparability</w:t>
            </w:r>
          </w:p>
        </w:tc>
        <w:tc>
          <w:tcPr>
            <w:tcW w:w="6853" w:type="dxa"/>
          </w:tcPr>
          <w:p w14:paraId="73CC8BF4" w14:textId="77777777" w:rsidR="000710BB" w:rsidRPr="00993442" w:rsidRDefault="000710BB" w:rsidP="00B22F66">
            <w:pPr>
              <w:spacing w:before="240"/>
            </w:pPr>
            <w:r w:rsidRPr="00993442">
              <w:t>The methodology and results for this indicator are consistent with the same indicator published on the SSNAP results portal.</w:t>
            </w:r>
          </w:p>
          <w:p w14:paraId="0921FC71" w14:textId="77777777" w:rsidR="000710BB" w:rsidRPr="00993442" w:rsidRDefault="000710BB" w:rsidP="00B22F66">
            <w:pPr>
              <w:spacing w:before="240"/>
            </w:pPr>
            <w:r w:rsidRPr="00993442">
              <w:t>The Compendium indicator differs in that it is sourced from HES and provides an indirectly age and sex standardised rate per 100,000 population at national, regional and local authority level (not CCG). Furthermore, as well as ICD-10 codes I61, I63 and I64, it also includes the extra code I62 (Other non-traumatic intracranial haemorrhage) which is not included in this indicator, as this diagnosis has a different care pathway and outcomes.</w:t>
            </w:r>
          </w:p>
        </w:tc>
      </w:tr>
      <w:tr w:rsidR="00993442" w:rsidRPr="00993442" w14:paraId="18DE0C7C" w14:textId="77777777" w:rsidTr="000710BB">
        <w:tc>
          <w:tcPr>
            <w:tcW w:w="2268" w:type="dxa"/>
          </w:tcPr>
          <w:p w14:paraId="790B2673" w14:textId="45F5ACAA" w:rsidR="000710BB" w:rsidRPr="00993442" w:rsidRDefault="000710BB" w:rsidP="00B22F66">
            <w:pPr>
              <w:spacing w:before="240"/>
              <w:ind w:left="34"/>
              <w:rPr>
                <w:b/>
              </w:rPr>
            </w:pPr>
            <w:permStart w:id="1483498374" w:edGrp="everyone" w:colFirst="1" w:colLast="1"/>
            <w:permEnd w:id="339024494"/>
            <w:r w:rsidRPr="00993442">
              <w:rPr>
                <w:b/>
              </w:rPr>
              <w:t>6.3 Undesired behaviours and/or gaming</w:t>
            </w:r>
          </w:p>
        </w:tc>
        <w:tc>
          <w:tcPr>
            <w:tcW w:w="6853" w:type="dxa"/>
          </w:tcPr>
          <w:p w14:paraId="3BCF0137" w14:textId="77777777" w:rsidR="000710BB" w:rsidRPr="00993442" w:rsidRDefault="000710BB" w:rsidP="00B22F66">
            <w:pPr>
              <w:spacing w:before="240"/>
            </w:pPr>
            <w:r w:rsidRPr="00993442">
              <w:t>The indicator is produced using linkage with the relevant mortality statistics and therefore not subject to interference by providers.</w:t>
            </w:r>
          </w:p>
          <w:p w14:paraId="0F6E6324" w14:textId="77777777" w:rsidR="000710BB" w:rsidRPr="00993442" w:rsidRDefault="000710BB" w:rsidP="00B22F66">
            <w:pPr>
              <w:spacing w:before="240"/>
              <w:rPr>
                <w:b/>
              </w:rPr>
            </w:pPr>
            <w:r w:rsidRPr="00993442">
              <w:t>The RCP has wide experience of monitoring the impact of performance indicators, working closely with stroke and cardiac networks, and consider its standard methods to be sufficient to minimise risks of gaming and perverse incentives.</w:t>
            </w:r>
          </w:p>
        </w:tc>
      </w:tr>
      <w:tr w:rsidR="00993442" w:rsidRPr="00993442" w14:paraId="7E7FEC4C" w14:textId="77777777" w:rsidTr="000710BB">
        <w:tc>
          <w:tcPr>
            <w:tcW w:w="2268" w:type="dxa"/>
          </w:tcPr>
          <w:p w14:paraId="0555A3DA" w14:textId="752B6B81" w:rsidR="000710BB" w:rsidRPr="00993442" w:rsidRDefault="000710BB" w:rsidP="00B22F66">
            <w:pPr>
              <w:spacing w:before="240"/>
              <w:ind w:left="34"/>
              <w:rPr>
                <w:b/>
              </w:rPr>
            </w:pPr>
            <w:permStart w:id="1271821891" w:edGrp="everyone" w:colFirst="1" w:colLast="1"/>
            <w:permEnd w:id="1483498374"/>
            <w:r w:rsidRPr="00993442">
              <w:rPr>
                <w:b/>
              </w:rPr>
              <w:t>6.4 Approach to indicator review</w:t>
            </w:r>
          </w:p>
        </w:tc>
        <w:tc>
          <w:tcPr>
            <w:tcW w:w="6853" w:type="dxa"/>
          </w:tcPr>
          <w:p w14:paraId="417BA10F" w14:textId="77777777" w:rsidR="000710BB" w:rsidRPr="00993442" w:rsidRDefault="000710BB" w:rsidP="00B22F66">
            <w:pPr>
              <w:spacing w:before="240"/>
            </w:pPr>
            <w:r w:rsidRPr="00993442">
              <w:t>The Indicator Governance Board (IGB) set a review period of one year when the indicator was previously assured, in order to revisit the presentation and interpretation of this indicator. The time period for the next review will again be set by IGB.</w:t>
            </w:r>
          </w:p>
          <w:p w14:paraId="3EDEA580" w14:textId="77777777" w:rsidR="000710BB" w:rsidRPr="00993442" w:rsidRDefault="000710BB" w:rsidP="00B22F66">
            <w:pPr>
              <w:spacing w:before="240"/>
            </w:pPr>
            <w:r w:rsidRPr="00993442">
              <w:t xml:space="preserve">User feedback and comments on this indicator are welcomed via NHS Digital Enquires </w:t>
            </w:r>
            <w:hyperlink r:id="rId18" w:history="1">
              <w:r w:rsidRPr="00993442">
                <w:rPr>
                  <w:rStyle w:val="Hyperlink"/>
                  <w:color w:val="auto"/>
                </w:rPr>
                <w:t>enquiries@hscic.gov.uk</w:t>
              </w:r>
            </w:hyperlink>
            <w:r w:rsidRPr="00993442">
              <w:t xml:space="preserve">  or the CCG OIS mailbox </w:t>
            </w:r>
            <w:hyperlink r:id="rId19" w:history="1">
              <w:r w:rsidRPr="00993442">
                <w:rPr>
                  <w:rStyle w:val="Hyperlink"/>
                  <w:color w:val="auto"/>
                </w:rPr>
                <w:t>ccgois@hscic.gov.uk</w:t>
              </w:r>
            </w:hyperlink>
          </w:p>
        </w:tc>
      </w:tr>
      <w:tr w:rsidR="00993442" w:rsidRPr="00993442" w14:paraId="370176DE" w14:textId="77777777" w:rsidTr="000710BB">
        <w:tc>
          <w:tcPr>
            <w:tcW w:w="2268" w:type="dxa"/>
          </w:tcPr>
          <w:p w14:paraId="6A719434" w14:textId="730B328F" w:rsidR="000710BB" w:rsidRPr="00993442" w:rsidRDefault="000710BB" w:rsidP="00B22F66">
            <w:pPr>
              <w:spacing w:before="240"/>
              <w:ind w:left="34"/>
              <w:rPr>
                <w:b/>
              </w:rPr>
            </w:pPr>
            <w:permStart w:id="294410976" w:edGrp="everyone" w:colFirst="1" w:colLast="1"/>
            <w:permEnd w:id="1271821891"/>
            <w:r w:rsidRPr="00993442">
              <w:rPr>
                <w:b/>
              </w:rPr>
              <w:t>6.5 Disclosure control</w:t>
            </w:r>
          </w:p>
        </w:tc>
        <w:tc>
          <w:tcPr>
            <w:tcW w:w="6853" w:type="dxa"/>
          </w:tcPr>
          <w:p w14:paraId="224F8F05" w14:textId="77777777" w:rsidR="000710BB" w:rsidRPr="00993442" w:rsidRDefault="000710BB" w:rsidP="00B22F66">
            <w:pPr>
              <w:spacing w:before="240"/>
            </w:pPr>
            <w:r w:rsidRPr="00993442">
              <w:t xml:space="preserve">Case ascertainment used is the proportion of patients per CCG with primary ICD-10 codes I61, I63 and I64 in HES data who are included in SSNAP for the same time period. </w:t>
            </w:r>
          </w:p>
          <w:p w14:paraId="612E7D85" w14:textId="77777777" w:rsidR="000710BB" w:rsidRPr="00993442" w:rsidRDefault="000710BB" w:rsidP="00B22F66">
            <w:pPr>
              <w:spacing w:before="240"/>
            </w:pPr>
            <w:r w:rsidRPr="00993442">
              <w:t xml:space="preserve">Case ascertainment is reported alongside the indicator for all CCGs. The indicator is not reported for any CCGs with lower than 50% case ascertainment or for those with fewer than 20 patients, instead replacing the SMR with ‘*’. </w:t>
            </w:r>
          </w:p>
          <w:p w14:paraId="4F9234D4" w14:textId="77777777" w:rsidR="000710BB" w:rsidRPr="00993442" w:rsidRDefault="000710BB" w:rsidP="00B22F66">
            <w:pPr>
              <w:spacing w:before="240"/>
            </w:pPr>
            <w:r w:rsidRPr="00993442">
              <w:t>Ratios are rounded to two decimal places before publication.</w:t>
            </w:r>
          </w:p>
        </w:tc>
      </w:tr>
      <w:tr w:rsidR="00993442" w:rsidRPr="00993442" w14:paraId="508FA573" w14:textId="77777777" w:rsidTr="000710BB">
        <w:tc>
          <w:tcPr>
            <w:tcW w:w="2268" w:type="dxa"/>
          </w:tcPr>
          <w:p w14:paraId="2002CB52" w14:textId="54E7B218" w:rsidR="000710BB" w:rsidRPr="00993442" w:rsidRDefault="000710BB" w:rsidP="00B22F66">
            <w:pPr>
              <w:spacing w:before="240"/>
              <w:ind w:left="34"/>
              <w:rPr>
                <w:b/>
              </w:rPr>
            </w:pPr>
            <w:permStart w:id="760372454" w:edGrp="everyone" w:colFirst="1" w:colLast="1"/>
            <w:permEnd w:id="294410976"/>
            <w:r w:rsidRPr="00993442">
              <w:rPr>
                <w:b/>
              </w:rPr>
              <w:lastRenderedPageBreak/>
              <w:t>6.6 Copyright</w:t>
            </w:r>
          </w:p>
        </w:tc>
        <w:tc>
          <w:tcPr>
            <w:tcW w:w="6853" w:type="dxa"/>
          </w:tcPr>
          <w:p w14:paraId="263EC170" w14:textId="77777777" w:rsidR="000710BB" w:rsidRPr="00993442" w:rsidRDefault="000710BB" w:rsidP="00B22F66">
            <w:pPr>
              <w:spacing w:before="240"/>
            </w:pPr>
            <w:r w:rsidRPr="00993442">
              <w:t>There are no restrictions on the use of these data. Any subsequent use or publishing of these data should reference the RCP SSNAP.</w:t>
            </w:r>
          </w:p>
        </w:tc>
      </w:tr>
      <w:permEnd w:id="760372454"/>
    </w:tbl>
    <w:p w14:paraId="31CB1CB9" w14:textId="77777777" w:rsidR="00CB2802" w:rsidRPr="00993442" w:rsidRDefault="00CB2802" w:rsidP="00CB2802"/>
    <w:p w14:paraId="136C9B23" w14:textId="160C0C8D" w:rsidR="00CB2802" w:rsidRPr="00993442" w:rsidRDefault="00CB2802" w:rsidP="00BD69FE">
      <w:pPr>
        <w:rPr>
          <w:b/>
          <w:sz w:val="24"/>
          <w:szCs w:val="24"/>
        </w:rPr>
      </w:pPr>
    </w:p>
    <w:p w14:paraId="674A496C" w14:textId="18946A03" w:rsidR="00CB2802" w:rsidRPr="00993442" w:rsidRDefault="00CB2802" w:rsidP="00BD69FE">
      <w:pPr>
        <w:rPr>
          <w:b/>
          <w:sz w:val="24"/>
          <w:szCs w:val="24"/>
        </w:rPr>
      </w:pPr>
    </w:p>
    <w:sdt>
      <w:sdtPr>
        <w:rPr>
          <w:rFonts w:ascii="Arial" w:eastAsiaTheme="majorEastAsia" w:hAnsi="Arial" w:cs="Arial"/>
          <w:caps/>
          <w:lang w:val="en-GB" w:eastAsia="en-US"/>
        </w:rPr>
        <w:id w:val="-28027844"/>
        <w:docPartObj>
          <w:docPartGallery w:val="Cover Pages"/>
          <w:docPartUnique/>
        </w:docPartObj>
      </w:sdtPr>
      <w:sdtEndPr>
        <w:rPr>
          <w:rFonts w:eastAsia="+mn-ea"/>
          <w:b/>
          <w:caps w:val="0"/>
          <w:position w:val="1"/>
          <w:sz w:val="26"/>
          <w:szCs w:val="26"/>
        </w:rPr>
      </w:sdtEndPr>
      <w:sdtContent>
        <w:tbl>
          <w:tblPr>
            <w:tblStyle w:val="TableGrid"/>
            <w:tblW w:w="5000" w:type="pct"/>
            <w:tblLook w:val="04A0" w:firstRow="1" w:lastRow="0" w:firstColumn="1" w:lastColumn="0" w:noHBand="0" w:noVBand="1"/>
          </w:tblPr>
          <w:tblGrid>
            <w:gridCol w:w="10054"/>
          </w:tblGrid>
          <w:tr w:rsidR="00B22F66" w:rsidRPr="00993442" w14:paraId="070A4E72" w14:textId="77777777" w:rsidTr="00B22F66">
            <w:trPr>
              <w:trHeight w:val="2880"/>
            </w:trPr>
            <w:tc>
              <w:tcPr>
                <w:tcW w:w="5000" w:type="pct"/>
              </w:tcPr>
              <w:p w14:paraId="50302E94" w14:textId="77777777" w:rsidR="00CB2802" w:rsidRPr="00993442" w:rsidRDefault="00CB2802" w:rsidP="00B22F66">
                <w:pPr>
                  <w:pStyle w:val="NoSpacing"/>
                  <w:jc w:val="center"/>
                  <w:rPr>
                    <w:rFonts w:ascii="Arial" w:eastAsiaTheme="majorEastAsia" w:hAnsi="Arial" w:cs="Arial"/>
                    <w:caps/>
                  </w:rPr>
                </w:pPr>
              </w:p>
              <w:p w14:paraId="6377D3EE" w14:textId="77777777" w:rsidR="00CB2802" w:rsidRPr="00993442" w:rsidRDefault="00CB2802" w:rsidP="00B22F66">
                <w:pPr>
                  <w:pStyle w:val="NoSpacing"/>
                  <w:jc w:val="center"/>
                  <w:rPr>
                    <w:rFonts w:ascii="Arial" w:eastAsiaTheme="majorEastAsia" w:hAnsi="Arial" w:cs="Arial"/>
                    <w:caps/>
                  </w:rPr>
                </w:pPr>
                <w:r w:rsidRPr="00993442">
                  <w:rPr>
                    <w:rFonts w:ascii="Arial" w:eastAsiaTheme="majorEastAsia" w:hAnsi="Arial" w:cs="Arial"/>
                    <w:caps/>
                    <w:noProof/>
                    <w:lang w:val="en-GB" w:eastAsia="en-GB"/>
                  </w:rPr>
                  <w:drawing>
                    <wp:inline distT="0" distB="0" distL="0" distR="0" wp14:anchorId="302D10DE" wp14:editId="263F8499">
                      <wp:extent cx="2705100" cy="1262380"/>
                      <wp:effectExtent l="0" t="0" r="0" b="0"/>
                      <wp:docPr id="7" name="Picture 7" descr="logo for indicator assur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tc>
          </w:tr>
          <w:tr w:rsidR="00B22F66" w:rsidRPr="00993442" w14:paraId="78412A68" w14:textId="77777777" w:rsidTr="00B22F66">
            <w:trPr>
              <w:trHeight w:val="1440"/>
            </w:trPr>
            <w:tc>
              <w:tcPr>
                <w:tcW w:w="5000" w:type="pct"/>
              </w:tcPr>
              <w:p w14:paraId="31701DFE" w14:textId="77777777" w:rsidR="00CB2802" w:rsidRPr="00993442" w:rsidRDefault="00CB2802" w:rsidP="00B22F66">
                <w:pPr>
                  <w:pStyle w:val="NoSpacing"/>
                  <w:jc w:val="center"/>
                  <w:rPr>
                    <w:rFonts w:ascii="Arial" w:eastAsiaTheme="majorEastAsia" w:hAnsi="Arial" w:cs="Arial"/>
                    <w:sz w:val="72"/>
                    <w:szCs w:val="80"/>
                  </w:rPr>
                </w:pPr>
              </w:p>
              <w:p w14:paraId="353B640E" w14:textId="77777777" w:rsidR="00CB2802" w:rsidRPr="00993442" w:rsidRDefault="00CB2802" w:rsidP="00B22F66">
                <w:pPr>
                  <w:pStyle w:val="NoSpacing"/>
                  <w:jc w:val="center"/>
                  <w:rPr>
                    <w:rFonts w:ascii="Arial" w:eastAsiaTheme="majorEastAsia" w:hAnsi="Arial" w:cs="Arial"/>
                    <w:sz w:val="72"/>
                    <w:szCs w:val="80"/>
                  </w:rPr>
                </w:pPr>
              </w:p>
              <w:p w14:paraId="427A2B34" w14:textId="77777777" w:rsidR="00CB2802" w:rsidRPr="00993442" w:rsidRDefault="00CB2802" w:rsidP="00B22F66">
                <w:pPr>
                  <w:pStyle w:val="NoSpacing"/>
                  <w:jc w:val="center"/>
                  <w:rPr>
                    <w:rFonts w:ascii="Arial" w:eastAsiaTheme="majorEastAsia" w:hAnsi="Arial" w:cs="Arial"/>
                    <w:sz w:val="72"/>
                    <w:szCs w:val="80"/>
                  </w:rPr>
                </w:pPr>
              </w:p>
              <w:p w14:paraId="63D8339E" w14:textId="77777777" w:rsidR="00CB2802" w:rsidRPr="00993442" w:rsidRDefault="00CB2802" w:rsidP="00B22F66">
                <w:pPr>
                  <w:pStyle w:val="NoSpacing"/>
                  <w:jc w:val="center"/>
                  <w:rPr>
                    <w:rFonts w:ascii="Arial" w:eastAsiaTheme="majorEastAsia" w:hAnsi="Arial" w:cs="Arial"/>
                    <w:sz w:val="72"/>
                    <w:szCs w:val="80"/>
                  </w:rPr>
                </w:pPr>
                <w:r w:rsidRPr="00993442">
                  <w:rPr>
                    <w:rFonts w:ascii="Arial" w:eastAsiaTheme="majorEastAsia" w:hAnsi="Arial" w:cs="Arial"/>
                    <w:sz w:val="72"/>
                    <w:szCs w:val="80"/>
                  </w:rPr>
                  <w:t>Indicator Assurance Report</w:t>
                </w:r>
              </w:p>
            </w:tc>
          </w:tr>
          <w:tr w:rsidR="00B22F66" w:rsidRPr="00993442" w14:paraId="31177FE5" w14:textId="77777777" w:rsidTr="00B22F66">
            <w:trPr>
              <w:trHeight w:val="360"/>
            </w:trPr>
            <w:tc>
              <w:tcPr>
                <w:tcW w:w="5000" w:type="pct"/>
              </w:tcPr>
              <w:p w14:paraId="7704DB34" w14:textId="77777777" w:rsidR="00CB2802" w:rsidRPr="00993442" w:rsidRDefault="00CB2802" w:rsidP="00B22F66">
                <w:pPr>
                  <w:pStyle w:val="NormalWeb"/>
                  <w:spacing w:before="0" w:beforeAutospacing="0" w:after="0" w:afterAutospacing="0"/>
                  <w:jc w:val="center"/>
                  <w:rPr>
                    <w:rFonts w:ascii="Arial" w:eastAsia="+mn-ea" w:hAnsi="Arial" w:cs="Arial"/>
                    <w:b/>
                    <w:position w:val="1"/>
                    <w:sz w:val="36"/>
                    <w:szCs w:val="36"/>
                  </w:rPr>
                </w:pPr>
              </w:p>
              <w:p w14:paraId="105A4AD0" w14:textId="77777777" w:rsidR="00CB2802" w:rsidRPr="00993442" w:rsidRDefault="00CB2802" w:rsidP="00B22F66">
                <w:pPr>
                  <w:pStyle w:val="NormalWeb"/>
                  <w:spacing w:before="0" w:beforeAutospacing="0" w:after="0" w:afterAutospacing="0"/>
                  <w:jc w:val="center"/>
                  <w:rPr>
                    <w:rFonts w:ascii="Arial" w:hAnsi="Arial" w:cs="Arial"/>
                    <w:sz w:val="36"/>
                    <w:szCs w:val="36"/>
                  </w:rPr>
                </w:pPr>
                <w:r w:rsidRPr="00993442">
                  <w:rPr>
                    <w:rFonts w:ascii="Arial" w:hAnsi="Arial" w:cs="Arial"/>
                    <w:sz w:val="36"/>
                    <w:szCs w:val="36"/>
                  </w:rPr>
                  <w:t xml:space="preserve">Mortality rate within 30 days of hospital admission for stroke  </w:t>
                </w:r>
              </w:p>
              <w:p w14:paraId="72F4B6D8" w14:textId="77777777" w:rsidR="00CB2802" w:rsidRPr="00993442" w:rsidRDefault="00CB2802" w:rsidP="00B22F66">
                <w:pPr>
                  <w:pStyle w:val="NoSpacing"/>
                  <w:jc w:val="center"/>
                  <w:rPr>
                    <w:rFonts w:ascii="Arial" w:hAnsi="Arial" w:cs="Arial"/>
                    <w:sz w:val="36"/>
                    <w:szCs w:val="36"/>
                  </w:rPr>
                </w:pPr>
              </w:p>
            </w:tc>
          </w:tr>
          <w:tr w:rsidR="00B22F66" w:rsidRPr="00993442" w14:paraId="1E7DF4F7" w14:textId="77777777" w:rsidTr="00B22F66">
            <w:trPr>
              <w:trHeight w:val="360"/>
            </w:trPr>
            <w:tc>
              <w:tcPr>
                <w:tcW w:w="5000" w:type="pct"/>
              </w:tcPr>
              <w:p w14:paraId="6D923EBE" w14:textId="77777777" w:rsidR="00CB2802" w:rsidRPr="00993442" w:rsidRDefault="00CB2802" w:rsidP="00B22F66">
                <w:pPr>
                  <w:pStyle w:val="NoSpacing"/>
                  <w:jc w:val="center"/>
                  <w:rPr>
                    <w:rFonts w:ascii="Arial" w:hAnsi="Arial" w:cs="Arial"/>
                    <w:b/>
                    <w:bCs/>
                    <w:sz w:val="28"/>
                    <w:szCs w:val="28"/>
                  </w:rPr>
                </w:pPr>
                <w:r w:rsidRPr="00993442">
                  <w:rPr>
                    <w:rFonts w:ascii="Arial" w:hAnsi="Arial" w:cs="Arial"/>
                    <w:b/>
                    <w:bCs/>
                    <w:sz w:val="28"/>
                    <w:szCs w:val="28"/>
                  </w:rPr>
                  <w:t>IAP00091</w:t>
                </w:r>
              </w:p>
            </w:tc>
          </w:tr>
        </w:tbl>
        <w:p w14:paraId="612B579C" w14:textId="77777777" w:rsidR="00CB2802" w:rsidRPr="00993442" w:rsidRDefault="00CB2802" w:rsidP="00CB2802">
          <w:pPr>
            <w:jc w:val="center"/>
          </w:pPr>
        </w:p>
        <w:p w14:paraId="56CCD822" w14:textId="77777777" w:rsidR="00CB2802" w:rsidRPr="00993442" w:rsidRDefault="00CB2802" w:rsidP="00CB2802"/>
        <w:p w14:paraId="0B8C6FBD" w14:textId="77777777" w:rsidR="00CB2802" w:rsidRPr="00993442" w:rsidRDefault="00CB2802" w:rsidP="00CB2802"/>
        <w:p w14:paraId="25A761E8" w14:textId="77777777" w:rsidR="00CB2802" w:rsidRPr="00993442" w:rsidRDefault="00CB2802" w:rsidP="00CB2802">
          <w:pPr>
            <w:rPr>
              <w:rFonts w:eastAsia="+mn-ea"/>
              <w:b/>
              <w:position w:val="1"/>
              <w:sz w:val="26"/>
              <w:szCs w:val="26"/>
              <w:lang w:eastAsia="en-GB"/>
            </w:rPr>
          </w:pPr>
          <w:r w:rsidRPr="00993442">
            <w:rPr>
              <w:rFonts w:eastAsia="Times New Roman"/>
              <w:noProof/>
              <w:sz w:val="24"/>
              <w:szCs w:val="24"/>
              <w:lang w:eastAsia="en-GB"/>
            </w:rPr>
            <w:drawing>
              <wp:inline distT="0" distB="0" distL="0" distR="0" wp14:anchorId="5A60D046" wp14:editId="726DD109">
                <wp:extent cx="6452870" cy="1495425"/>
                <wp:effectExtent l="0" t="0" r="5080" b="9525"/>
                <wp:docPr id="6" name="Picture 6" descr="logos for support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6452870" cy="1495425"/>
                        </a:xfrm>
                        <a:prstGeom prst="rect">
                          <a:avLst/>
                        </a:prstGeom>
                        <a:noFill/>
                      </pic:spPr>
                    </pic:pic>
                  </a:graphicData>
                </a:graphic>
              </wp:inline>
            </w:drawing>
          </w:r>
          <w:r w:rsidRPr="00993442">
            <w:rPr>
              <w:rFonts w:eastAsia="+mn-ea"/>
              <w:b/>
              <w:position w:val="1"/>
              <w:sz w:val="26"/>
              <w:szCs w:val="26"/>
            </w:rPr>
            <w:br w:type="page"/>
          </w:r>
        </w:p>
      </w:sdtContent>
    </w:sdt>
    <w:p w14:paraId="2163B642" w14:textId="77777777" w:rsidR="00CB2802" w:rsidRPr="00993442" w:rsidRDefault="00CB2802" w:rsidP="00CB2802">
      <w:pPr>
        <w:pStyle w:val="NormalWeb"/>
        <w:spacing w:before="0" w:beforeAutospacing="0" w:after="0" w:afterAutospacing="0"/>
        <w:rPr>
          <w:rFonts w:ascii="Arial" w:eastAsia="+mn-ea" w:hAnsi="Arial" w:cs="Arial"/>
          <w:position w:val="1"/>
          <w:sz w:val="22"/>
          <w:szCs w:val="22"/>
        </w:rPr>
      </w:pPr>
    </w:p>
    <w:p w14:paraId="0953C591" w14:textId="77777777" w:rsidR="00CB2802" w:rsidRPr="00993442" w:rsidRDefault="00CB2802" w:rsidP="00CB2802">
      <w:pPr>
        <w:pStyle w:val="NormalWeb"/>
        <w:spacing w:before="0" w:beforeAutospacing="0" w:after="0" w:afterAutospacing="0"/>
        <w:rPr>
          <w:rFonts w:ascii="Arial" w:eastAsia="+mn-ea" w:hAnsi="Arial" w:cs="Arial"/>
          <w:b/>
          <w:position w:val="1"/>
          <w:sz w:val="32"/>
          <w:szCs w:val="26"/>
        </w:rPr>
      </w:pPr>
      <w:r w:rsidRPr="00993442">
        <w:rPr>
          <w:rFonts w:ascii="Arial" w:eastAsia="+mn-ea" w:hAnsi="Arial" w:cs="Arial"/>
          <w:b/>
          <w:position w:val="1"/>
          <w:sz w:val="32"/>
          <w:szCs w:val="26"/>
        </w:rPr>
        <w:t>Final Assurance Rating from the Indicator Governance Board</w:t>
      </w:r>
    </w:p>
    <w:p w14:paraId="6DCEF901"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tbl>
      <w:tblPr>
        <w:tblStyle w:val="TableGrid2"/>
        <w:tblW w:w="0" w:type="auto"/>
        <w:tblLook w:val="04A0" w:firstRow="1" w:lastRow="0" w:firstColumn="1" w:lastColumn="0" w:noHBand="0" w:noVBand="1"/>
      </w:tblPr>
      <w:tblGrid>
        <w:gridCol w:w="3617"/>
        <w:gridCol w:w="1391"/>
      </w:tblGrid>
      <w:tr w:rsidR="00993442" w:rsidRPr="00993442" w14:paraId="0FD65249" w14:textId="77777777" w:rsidTr="006B7F28">
        <w:tc>
          <w:tcPr>
            <w:tcW w:w="3617" w:type="dxa"/>
          </w:tcPr>
          <w:p w14:paraId="2E45C276" w14:textId="77777777" w:rsidR="006B7F28" w:rsidRPr="00993442" w:rsidRDefault="006B7F28" w:rsidP="00B22F66">
            <w:pPr>
              <w:spacing w:before="120" w:after="120"/>
              <w:rPr>
                <w:rFonts w:eastAsia="+mn-ea"/>
                <w:b/>
                <w:position w:val="1"/>
                <w:szCs w:val="40"/>
              </w:rPr>
            </w:pPr>
            <w:r w:rsidRPr="00993442">
              <w:rPr>
                <w:rFonts w:eastAsia="+mn-ea"/>
                <w:b/>
                <w:position w:val="1"/>
                <w:szCs w:val="40"/>
              </w:rPr>
              <w:t>Clarity</w:t>
            </w:r>
          </w:p>
        </w:tc>
        <w:tc>
          <w:tcPr>
            <w:tcW w:w="1391" w:type="dxa"/>
          </w:tcPr>
          <w:p w14:paraId="4541FEBC" w14:textId="350705B6" w:rsidR="006B7F28" w:rsidRPr="00993442" w:rsidRDefault="006B7F28" w:rsidP="00B22F66">
            <w:pPr>
              <w:jc w:val="center"/>
              <w:rPr>
                <w:rFonts w:eastAsia="+mn-ea"/>
                <w:b/>
                <w:position w:val="1"/>
                <w:sz w:val="32"/>
                <w:szCs w:val="40"/>
              </w:rPr>
            </w:pPr>
            <w:r w:rsidRPr="00993442">
              <w:rPr>
                <w:rFonts w:eastAsia="+mn-ea"/>
                <w:b/>
                <w:position w:val="1"/>
                <w:sz w:val="32"/>
                <w:szCs w:val="40"/>
              </w:rPr>
              <w:t>Fit for use</w:t>
            </w:r>
          </w:p>
        </w:tc>
      </w:tr>
      <w:tr w:rsidR="00993442" w:rsidRPr="00993442" w14:paraId="444F8888" w14:textId="77777777" w:rsidTr="006B7F28">
        <w:tc>
          <w:tcPr>
            <w:tcW w:w="3617" w:type="dxa"/>
          </w:tcPr>
          <w:p w14:paraId="4AF71663" w14:textId="77777777" w:rsidR="006B7F28" w:rsidRPr="00993442" w:rsidRDefault="006B7F28" w:rsidP="00B22F66">
            <w:pPr>
              <w:spacing w:before="120" w:after="120"/>
              <w:rPr>
                <w:rFonts w:eastAsia="+mn-ea"/>
                <w:b/>
                <w:position w:val="1"/>
                <w:szCs w:val="40"/>
              </w:rPr>
            </w:pPr>
            <w:r w:rsidRPr="00993442">
              <w:rPr>
                <w:rFonts w:eastAsia="+mn-ea"/>
                <w:b/>
                <w:position w:val="1"/>
                <w:szCs w:val="40"/>
              </w:rPr>
              <w:t>Rationale</w:t>
            </w:r>
          </w:p>
        </w:tc>
        <w:tc>
          <w:tcPr>
            <w:tcW w:w="1391" w:type="dxa"/>
          </w:tcPr>
          <w:p w14:paraId="0422C0EA" w14:textId="6972E75D" w:rsidR="006B7F28" w:rsidRPr="00993442" w:rsidRDefault="006B7F28" w:rsidP="00B22F66">
            <w:pPr>
              <w:jc w:val="center"/>
              <w:rPr>
                <w:rFonts w:eastAsia="+mn-ea"/>
                <w:b/>
                <w:position w:val="1"/>
                <w:sz w:val="32"/>
                <w:szCs w:val="40"/>
              </w:rPr>
            </w:pPr>
            <w:r w:rsidRPr="00993442">
              <w:rPr>
                <w:rFonts w:eastAsia="+mn-ea"/>
                <w:b/>
                <w:position w:val="1"/>
                <w:sz w:val="32"/>
                <w:szCs w:val="40"/>
              </w:rPr>
              <w:t>Fit for use</w:t>
            </w:r>
          </w:p>
        </w:tc>
      </w:tr>
      <w:tr w:rsidR="00993442" w:rsidRPr="00993442" w14:paraId="36FAC9DC" w14:textId="77777777" w:rsidTr="006B7F28">
        <w:tc>
          <w:tcPr>
            <w:tcW w:w="3617" w:type="dxa"/>
          </w:tcPr>
          <w:p w14:paraId="34717454" w14:textId="77777777" w:rsidR="006B7F28" w:rsidRPr="00993442" w:rsidRDefault="006B7F28" w:rsidP="00B22F66">
            <w:pPr>
              <w:spacing w:before="120" w:after="120"/>
              <w:rPr>
                <w:rFonts w:eastAsia="+mn-ea"/>
                <w:b/>
                <w:position w:val="1"/>
                <w:szCs w:val="40"/>
              </w:rPr>
            </w:pPr>
            <w:r w:rsidRPr="00993442">
              <w:rPr>
                <w:rFonts w:eastAsia="+mn-ea"/>
                <w:b/>
                <w:position w:val="1"/>
                <w:szCs w:val="40"/>
              </w:rPr>
              <w:t>Data</w:t>
            </w:r>
          </w:p>
        </w:tc>
        <w:tc>
          <w:tcPr>
            <w:tcW w:w="1391" w:type="dxa"/>
          </w:tcPr>
          <w:p w14:paraId="7F889CF8" w14:textId="7822C93A" w:rsidR="006B7F28" w:rsidRPr="00993442" w:rsidRDefault="006B7F28" w:rsidP="00B22F66">
            <w:pPr>
              <w:jc w:val="center"/>
              <w:rPr>
                <w:rFonts w:eastAsia="+mn-ea"/>
                <w:b/>
                <w:position w:val="1"/>
                <w:sz w:val="32"/>
                <w:szCs w:val="40"/>
              </w:rPr>
            </w:pPr>
            <w:r w:rsidRPr="00993442">
              <w:rPr>
                <w:rFonts w:eastAsia="+mn-ea"/>
                <w:b/>
                <w:position w:val="1"/>
                <w:sz w:val="32"/>
                <w:szCs w:val="40"/>
              </w:rPr>
              <w:t xml:space="preserve"> Fit for use with caveats</w:t>
            </w:r>
          </w:p>
        </w:tc>
      </w:tr>
      <w:tr w:rsidR="00993442" w:rsidRPr="00993442" w14:paraId="35D67FB2" w14:textId="77777777" w:rsidTr="006B7F28">
        <w:tc>
          <w:tcPr>
            <w:tcW w:w="3617" w:type="dxa"/>
          </w:tcPr>
          <w:p w14:paraId="0E0B2092" w14:textId="77777777" w:rsidR="006B7F28" w:rsidRPr="00993442" w:rsidRDefault="006B7F28" w:rsidP="00B22F66">
            <w:pPr>
              <w:spacing w:before="120" w:after="120"/>
              <w:rPr>
                <w:rFonts w:eastAsia="+mn-ea"/>
                <w:b/>
                <w:position w:val="1"/>
                <w:szCs w:val="40"/>
              </w:rPr>
            </w:pPr>
            <w:r w:rsidRPr="00993442">
              <w:rPr>
                <w:rFonts w:eastAsia="+mn-ea"/>
                <w:b/>
                <w:position w:val="1"/>
                <w:szCs w:val="40"/>
              </w:rPr>
              <w:t>Construction</w:t>
            </w:r>
          </w:p>
        </w:tc>
        <w:tc>
          <w:tcPr>
            <w:tcW w:w="1391" w:type="dxa"/>
          </w:tcPr>
          <w:p w14:paraId="5BED3351" w14:textId="698EAC3B" w:rsidR="006B7F28" w:rsidRPr="00993442" w:rsidRDefault="006B7F28" w:rsidP="00B22F66">
            <w:pPr>
              <w:jc w:val="center"/>
              <w:rPr>
                <w:rFonts w:eastAsia="+mn-ea"/>
                <w:b/>
                <w:position w:val="1"/>
                <w:sz w:val="32"/>
                <w:szCs w:val="40"/>
              </w:rPr>
            </w:pPr>
            <w:r w:rsidRPr="00993442">
              <w:rPr>
                <w:rFonts w:eastAsia="+mn-ea"/>
                <w:b/>
                <w:position w:val="1"/>
                <w:sz w:val="32"/>
                <w:szCs w:val="40"/>
              </w:rPr>
              <w:t xml:space="preserve"> Fit for use with caveats</w:t>
            </w:r>
          </w:p>
        </w:tc>
      </w:tr>
      <w:tr w:rsidR="00993442" w:rsidRPr="00993442" w14:paraId="59DA602B" w14:textId="77777777" w:rsidTr="006B7F28">
        <w:tc>
          <w:tcPr>
            <w:tcW w:w="3617" w:type="dxa"/>
          </w:tcPr>
          <w:p w14:paraId="36DD5EEF" w14:textId="77777777" w:rsidR="006B7F28" w:rsidRPr="00993442" w:rsidRDefault="006B7F28" w:rsidP="00B22F66">
            <w:pPr>
              <w:spacing w:before="120" w:after="120"/>
              <w:rPr>
                <w:rFonts w:eastAsia="+mn-ea"/>
                <w:b/>
                <w:position w:val="1"/>
                <w:szCs w:val="40"/>
              </w:rPr>
            </w:pPr>
            <w:r w:rsidRPr="00993442">
              <w:rPr>
                <w:rFonts w:eastAsia="+mn-ea"/>
                <w:b/>
                <w:position w:val="1"/>
                <w:szCs w:val="40"/>
              </w:rPr>
              <w:t>Presentation and Interpretation</w:t>
            </w:r>
          </w:p>
        </w:tc>
        <w:tc>
          <w:tcPr>
            <w:tcW w:w="1391" w:type="dxa"/>
          </w:tcPr>
          <w:p w14:paraId="658FD48F" w14:textId="21723E82" w:rsidR="006B7F28" w:rsidRPr="00993442" w:rsidRDefault="006B7F28" w:rsidP="00B22F66">
            <w:pPr>
              <w:jc w:val="center"/>
              <w:rPr>
                <w:rFonts w:eastAsia="+mn-ea"/>
                <w:b/>
                <w:position w:val="1"/>
                <w:sz w:val="32"/>
                <w:szCs w:val="40"/>
              </w:rPr>
            </w:pPr>
            <w:r w:rsidRPr="00993442">
              <w:rPr>
                <w:rFonts w:eastAsia="+mn-ea"/>
                <w:b/>
                <w:position w:val="1"/>
                <w:sz w:val="32"/>
                <w:szCs w:val="40"/>
              </w:rPr>
              <w:t xml:space="preserve"> Fit for use with caveats</w:t>
            </w:r>
          </w:p>
        </w:tc>
      </w:tr>
      <w:tr w:rsidR="00993442" w:rsidRPr="00993442" w14:paraId="292F48FB" w14:textId="77777777" w:rsidTr="006B7F28">
        <w:tc>
          <w:tcPr>
            <w:tcW w:w="3617" w:type="dxa"/>
          </w:tcPr>
          <w:p w14:paraId="34B4B2BD" w14:textId="77777777" w:rsidR="006B7F28" w:rsidRPr="00993442" w:rsidRDefault="006B7F28" w:rsidP="00B22F66">
            <w:pPr>
              <w:spacing w:before="120" w:after="120"/>
              <w:rPr>
                <w:rFonts w:eastAsia="+mn-ea"/>
                <w:b/>
                <w:position w:val="1"/>
                <w:szCs w:val="40"/>
              </w:rPr>
            </w:pPr>
            <w:r w:rsidRPr="00993442">
              <w:rPr>
                <w:rFonts w:eastAsia="+mn-ea"/>
                <w:b/>
                <w:position w:val="1"/>
                <w:szCs w:val="40"/>
              </w:rPr>
              <w:t>Risks and Usefulness</w:t>
            </w:r>
          </w:p>
        </w:tc>
        <w:tc>
          <w:tcPr>
            <w:tcW w:w="1391" w:type="dxa"/>
          </w:tcPr>
          <w:p w14:paraId="1339BDB3" w14:textId="36D4CA5C" w:rsidR="006B7F28" w:rsidRPr="00993442" w:rsidRDefault="006B7F28" w:rsidP="00B22F66">
            <w:pPr>
              <w:jc w:val="center"/>
              <w:rPr>
                <w:rFonts w:eastAsia="+mn-ea"/>
                <w:b/>
                <w:position w:val="1"/>
                <w:sz w:val="32"/>
                <w:szCs w:val="40"/>
              </w:rPr>
            </w:pPr>
            <w:r w:rsidRPr="00993442">
              <w:rPr>
                <w:rFonts w:eastAsia="+mn-ea"/>
                <w:b/>
                <w:position w:val="1"/>
                <w:sz w:val="32"/>
                <w:szCs w:val="40"/>
              </w:rPr>
              <w:t>Fit for use with caveats</w:t>
            </w:r>
          </w:p>
        </w:tc>
      </w:tr>
      <w:tr w:rsidR="00993442" w:rsidRPr="00993442" w14:paraId="3F89C90C" w14:textId="77777777" w:rsidTr="006B7F28">
        <w:tc>
          <w:tcPr>
            <w:tcW w:w="3617" w:type="dxa"/>
          </w:tcPr>
          <w:p w14:paraId="38193A58" w14:textId="4E99AAED" w:rsidR="006B7F28" w:rsidRPr="00993442" w:rsidRDefault="006B7F28" w:rsidP="00B22F66">
            <w:pPr>
              <w:spacing w:before="120" w:after="120"/>
              <w:rPr>
                <w:rFonts w:eastAsia="+mn-ea"/>
                <w:b/>
                <w:position w:val="1"/>
                <w:szCs w:val="40"/>
              </w:rPr>
            </w:pPr>
            <w:r w:rsidRPr="00993442">
              <w:rPr>
                <w:rFonts w:eastAsia="+mn-ea"/>
                <w:b/>
                <w:position w:val="1"/>
                <w:szCs w:val="40"/>
              </w:rPr>
              <w:t>Final Assurance Rating</w:t>
            </w:r>
          </w:p>
        </w:tc>
        <w:tc>
          <w:tcPr>
            <w:tcW w:w="1391" w:type="dxa"/>
          </w:tcPr>
          <w:p w14:paraId="3AE0076E" w14:textId="17B13BE3" w:rsidR="006B7F28" w:rsidRPr="00993442" w:rsidRDefault="006B7F28" w:rsidP="00B22F66">
            <w:pPr>
              <w:jc w:val="center"/>
              <w:rPr>
                <w:rFonts w:eastAsia="+mn-ea"/>
                <w:b/>
                <w:noProof/>
                <w:position w:val="1"/>
                <w:sz w:val="32"/>
                <w:szCs w:val="40"/>
                <w:lang w:eastAsia="en-GB"/>
              </w:rPr>
            </w:pPr>
            <w:r w:rsidRPr="00993442">
              <w:rPr>
                <w:rFonts w:eastAsia="+mn-ea"/>
                <w:b/>
                <w:noProof/>
                <w:position w:val="1"/>
                <w:sz w:val="32"/>
                <w:szCs w:val="40"/>
                <w:lang w:eastAsia="en-GB"/>
              </w:rPr>
              <w:t>Fit for use with caveats</w:t>
            </w:r>
          </w:p>
        </w:tc>
      </w:tr>
    </w:tbl>
    <w:p w14:paraId="160F8D91"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p w14:paraId="6DB6B8FB"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tbl>
      <w:tblPr>
        <w:tblStyle w:val="TableGrid"/>
        <w:tblW w:w="0" w:type="auto"/>
        <w:tblLook w:val="04A0" w:firstRow="1" w:lastRow="0" w:firstColumn="1" w:lastColumn="0" w:noHBand="0" w:noVBand="1"/>
      </w:tblPr>
      <w:tblGrid>
        <w:gridCol w:w="10064"/>
      </w:tblGrid>
      <w:tr w:rsidR="00B22F66" w:rsidRPr="00993442" w14:paraId="52350779" w14:textId="77777777" w:rsidTr="00B22F66">
        <w:sdt>
          <w:sdtPr>
            <w:rPr>
              <w:rFonts w:ascii="Arial" w:eastAsia="+mn-ea" w:hAnsi="Arial" w:cs="Arial"/>
              <w:b/>
              <w:position w:val="1"/>
              <w:sz w:val="22"/>
              <w:szCs w:val="22"/>
            </w:rPr>
            <w:alias w:val="Library status"/>
            <w:tag w:val="Library status"/>
            <w:id w:val="309832324"/>
            <w:placeholder>
              <w:docPart w:val="2B09AD779B064898903B38A7C98930A4"/>
            </w:placeholder>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tiy Assured Indicators" w:value="This indicator has not been approved for inclusion in the National Library of Qualtiy Assured Indicators"/>
            </w:dropDownList>
          </w:sdtPr>
          <w:sdtEndPr/>
          <w:sdtContent>
            <w:tc>
              <w:tcPr>
                <w:tcW w:w="10280" w:type="dxa"/>
                <w:tcBorders>
                  <w:top w:val="nil"/>
                  <w:left w:val="nil"/>
                  <w:bottom w:val="nil"/>
                  <w:right w:val="nil"/>
                </w:tcBorders>
                <w:shd w:val="clear" w:color="auto" w:fill="DBE5F1" w:themeFill="accent1" w:themeFillTint="33"/>
              </w:tcPr>
              <w:p w14:paraId="15E37610" w14:textId="77777777" w:rsidR="00CB2802" w:rsidRPr="00993442" w:rsidRDefault="00CB2802" w:rsidP="00B22F66">
                <w:pPr>
                  <w:pStyle w:val="NormalWeb"/>
                  <w:spacing w:before="60" w:beforeAutospacing="0" w:after="60" w:afterAutospacing="0"/>
                  <w:rPr>
                    <w:rFonts w:ascii="Arial" w:eastAsia="+mn-ea" w:hAnsi="Arial" w:cs="Arial"/>
                    <w:b/>
                    <w:position w:val="1"/>
                    <w:sz w:val="22"/>
                    <w:szCs w:val="22"/>
                  </w:rPr>
                </w:pPr>
                <w:r w:rsidRPr="00993442">
                  <w:rPr>
                    <w:rFonts w:ascii="Arial" w:eastAsia="+mn-ea" w:hAnsi="Arial" w:cs="Arial"/>
                    <w:b/>
                    <w:position w:val="1"/>
                    <w:sz w:val="22"/>
                    <w:szCs w:val="22"/>
                  </w:rPr>
                  <w:t>This indicator has been approved for inclusion in the National Library of Quality Assured Indicators</w:t>
                </w:r>
              </w:p>
            </w:tc>
          </w:sdtContent>
        </w:sdt>
      </w:tr>
    </w:tbl>
    <w:p w14:paraId="576C879F"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p w14:paraId="799BB05B" w14:textId="77777777" w:rsidR="00CB2802" w:rsidRPr="00993442" w:rsidRDefault="00CB2802" w:rsidP="00CB2802">
      <w:pPr>
        <w:pStyle w:val="NormalWeb"/>
        <w:spacing w:before="0" w:beforeAutospacing="0" w:after="0" w:afterAutospacing="0"/>
        <w:rPr>
          <w:rFonts w:ascii="Arial" w:eastAsia="+mn-ea" w:hAnsi="Arial" w:cs="Arial"/>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B22F66" w:rsidRPr="00993442" w14:paraId="2306AFD1" w14:textId="77777777" w:rsidTr="00B22F66">
        <w:tc>
          <w:tcPr>
            <w:tcW w:w="10280" w:type="dxa"/>
            <w:shd w:val="clear" w:color="auto" w:fill="DBE5F1" w:themeFill="accent1" w:themeFillTint="33"/>
          </w:tcPr>
          <w:p w14:paraId="64C98BD7" w14:textId="77777777" w:rsidR="00CB2802" w:rsidRPr="00993442" w:rsidRDefault="00CB2802" w:rsidP="00B22F66">
            <w:pPr>
              <w:pStyle w:val="NormalWeb"/>
              <w:spacing w:before="0" w:beforeAutospacing="0" w:after="0" w:afterAutospacing="0"/>
              <w:rPr>
                <w:rFonts w:ascii="Arial" w:eastAsia="+mn-ea" w:hAnsi="Arial" w:cs="Arial"/>
                <w:b/>
                <w:position w:val="1"/>
                <w:sz w:val="26"/>
                <w:szCs w:val="26"/>
              </w:rPr>
            </w:pPr>
            <w:r w:rsidRPr="00993442">
              <w:rPr>
                <w:rFonts w:ascii="Arial" w:eastAsia="+mn-ea" w:hAnsi="Arial" w:cs="Arial"/>
                <w:b/>
                <w:position w:val="1"/>
                <w:sz w:val="26"/>
                <w:szCs w:val="26"/>
              </w:rPr>
              <w:t>Key findings from Assurance</w:t>
            </w:r>
          </w:p>
        </w:tc>
      </w:tr>
      <w:tr w:rsidR="00B22F66" w:rsidRPr="00993442" w14:paraId="44D233DE" w14:textId="77777777" w:rsidTr="00B22F66">
        <w:tc>
          <w:tcPr>
            <w:tcW w:w="10280" w:type="dxa"/>
          </w:tcPr>
          <w:p w14:paraId="5293B04E" w14:textId="77777777" w:rsidR="00CB2802" w:rsidRPr="00993442" w:rsidRDefault="00CB2802" w:rsidP="00B22F66">
            <w:pPr>
              <w:pStyle w:val="NormalWeb"/>
              <w:spacing w:before="240" w:beforeAutospacing="0" w:after="0" w:afterAutospacing="0"/>
              <w:rPr>
                <w:rFonts w:ascii="Arial" w:eastAsia="+mn-ea" w:hAnsi="Arial" w:cs="Arial"/>
                <w:position w:val="1"/>
                <w:sz w:val="22"/>
                <w:szCs w:val="22"/>
              </w:rPr>
            </w:pPr>
          </w:p>
          <w:p w14:paraId="06DF6FD7" w14:textId="77777777" w:rsidR="00CB2802" w:rsidRPr="00993442" w:rsidRDefault="00CB2802" w:rsidP="00CB2802">
            <w:pPr>
              <w:pStyle w:val="ListParagraph"/>
              <w:numPr>
                <w:ilvl w:val="0"/>
                <w:numId w:val="13"/>
              </w:numPr>
              <w:spacing w:after="0" w:line="240" w:lineRule="auto"/>
              <w:rPr>
                <w:rFonts w:ascii="Arial" w:eastAsia="+mn-ea" w:hAnsi="Arial" w:cs="Arial"/>
                <w:position w:val="1"/>
                <w:lang w:eastAsia="en-GB"/>
              </w:rPr>
            </w:pPr>
            <w:r w:rsidRPr="00993442">
              <w:rPr>
                <w:rFonts w:ascii="Arial" w:eastAsia="+mn-ea" w:hAnsi="Arial" w:cs="Arial"/>
                <w:position w:val="1"/>
                <w:lang w:eastAsia="en-GB"/>
              </w:rPr>
              <w:t xml:space="preserve">IGB members accepted the conclusions reached by MRG, identifying the indicator should be reviewed in 1 year to revisit the presentation of the indicator and how it should be interpreted.  </w:t>
            </w:r>
            <w:r w:rsidRPr="00993442">
              <w:rPr>
                <w:rFonts w:ascii="Arial" w:eastAsia="+mn-ea" w:hAnsi="Arial" w:cs="Arial"/>
                <w:position w:val="1"/>
                <w:lang w:eastAsia="en-GB"/>
              </w:rPr>
              <w:lastRenderedPageBreak/>
              <w:t>IGB would expect that the model is re-calibrated as identified in MRG discussions and that in future results will be centred around 1.</w:t>
            </w:r>
          </w:p>
        </w:tc>
      </w:tr>
    </w:tbl>
    <w:p w14:paraId="4F1C9E4B" w14:textId="77777777" w:rsidR="00CB2802" w:rsidRPr="00993442" w:rsidRDefault="00CB2802" w:rsidP="00CB2802">
      <w:pPr>
        <w:pStyle w:val="NormalWeb"/>
        <w:spacing w:before="0" w:beforeAutospacing="0" w:after="0" w:afterAutospacing="0"/>
        <w:rPr>
          <w:rFonts w:ascii="Arial" w:eastAsia="+mn-ea" w:hAnsi="Arial" w:cs="Arial"/>
          <w:position w:val="1"/>
          <w:sz w:val="22"/>
          <w:szCs w:val="22"/>
        </w:rPr>
      </w:pPr>
    </w:p>
    <w:p w14:paraId="17F18A80" w14:textId="77777777" w:rsidR="00CB2802" w:rsidRPr="00993442" w:rsidRDefault="00CB2802" w:rsidP="00CB2802">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B22F66" w:rsidRPr="00993442" w14:paraId="671BF153" w14:textId="77777777" w:rsidTr="00B22F66">
        <w:tc>
          <w:tcPr>
            <w:tcW w:w="3369" w:type="dxa"/>
            <w:shd w:val="clear" w:color="auto" w:fill="DBE5F1" w:themeFill="accent1" w:themeFillTint="33"/>
          </w:tcPr>
          <w:p w14:paraId="285B0F84" w14:textId="77777777" w:rsidR="00CB2802" w:rsidRPr="00993442" w:rsidRDefault="00CB2802" w:rsidP="00B22F66">
            <w:pPr>
              <w:pStyle w:val="NormalWeb"/>
              <w:spacing w:before="60" w:beforeAutospacing="0" w:after="60" w:afterAutospacing="0"/>
              <w:rPr>
                <w:rFonts w:ascii="Arial" w:eastAsia="+mn-ea" w:hAnsi="Arial" w:cs="Arial"/>
                <w:b/>
                <w:position w:val="1"/>
                <w:sz w:val="22"/>
                <w:szCs w:val="22"/>
              </w:rPr>
            </w:pPr>
            <w:r w:rsidRPr="00993442">
              <w:rPr>
                <w:rFonts w:ascii="Arial" w:eastAsia="+mn-ea" w:hAnsi="Arial" w:cs="Arial"/>
                <w:b/>
                <w:position w:val="1"/>
                <w:sz w:val="22"/>
                <w:szCs w:val="22"/>
              </w:rPr>
              <w:t>Approval date</w:t>
            </w:r>
          </w:p>
        </w:tc>
        <w:sdt>
          <w:sdtPr>
            <w:rPr>
              <w:rFonts w:ascii="Arial" w:eastAsia="+mn-ea" w:hAnsi="Arial" w:cs="Arial"/>
              <w:position w:val="1"/>
              <w:sz w:val="22"/>
              <w:szCs w:val="22"/>
            </w:rPr>
            <w:id w:val="1802733087"/>
            <w:placeholder>
              <w:docPart w:val="ACB16FF446884810995C7BB5A986E4E8"/>
            </w:placeholder>
            <w:date w:fullDate="2015-12-14T00:00:00Z">
              <w:dateFormat w:val="dd/MM/yyyy"/>
              <w:lid w:val="en-GB"/>
              <w:storeMappedDataAs w:val="dateTime"/>
              <w:calendar w:val="gregorian"/>
            </w:date>
          </w:sdtPr>
          <w:sdtEndPr/>
          <w:sdtContent>
            <w:tc>
              <w:tcPr>
                <w:tcW w:w="6945" w:type="dxa"/>
              </w:tcPr>
              <w:p w14:paraId="486F0B93" w14:textId="77777777" w:rsidR="00CB2802" w:rsidRPr="00993442" w:rsidRDefault="00CB2802" w:rsidP="00B22F66">
                <w:pPr>
                  <w:pStyle w:val="NormalWeb"/>
                  <w:spacing w:before="60" w:beforeAutospacing="0" w:after="60" w:afterAutospacing="0"/>
                  <w:rPr>
                    <w:rFonts w:ascii="Arial" w:eastAsia="+mn-ea" w:hAnsi="Arial" w:cs="Arial"/>
                    <w:position w:val="1"/>
                    <w:sz w:val="22"/>
                    <w:szCs w:val="22"/>
                  </w:rPr>
                </w:pPr>
                <w:r w:rsidRPr="00993442">
                  <w:rPr>
                    <w:rFonts w:ascii="Arial" w:eastAsia="+mn-ea" w:hAnsi="Arial" w:cs="Arial"/>
                    <w:position w:val="1"/>
                    <w:sz w:val="22"/>
                    <w:szCs w:val="22"/>
                  </w:rPr>
                  <w:t>14/12/2015</w:t>
                </w:r>
              </w:p>
            </w:tc>
          </w:sdtContent>
        </w:sdt>
      </w:tr>
      <w:tr w:rsidR="00B22F66" w:rsidRPr="00993442" w14:paraId="4BFA7B0B" w14:textId="77777777" w:rsidTr="00B22F66">
        <w:tc>
          <w:tcPr>
            <w:tcW w:w="3369" w:type="dxa"/>
            <w:shd w:val="clear" w:color="auto" w:fill="DBE5F1" w:themeFill="accent1" w:themeFillTint="33"/>
          </w:tcPr>
          <w:p w14:paraId="3605DEB6" w14:textId="77777777" w:rsidR="00CB2802" w:rsidRPr="00993442" w:rsidRDefault="00CB2802" w:rsidP="00B22F66">
            <w:pPr>
              <w:pStyle w:val="NormalWeb"/>
              <w:spacing w:before="60" w:beforeAutospacing="0" w:after="60" w:afterAutospacing="0"/>
              <w:rPr>
                <w:rFonts w:ascii="Arial" w:eastAsia="+mn-ea" w:hAnsi="Arial" w:cs="Arial"/>
                <w:b/>
                <w:position w:val="1"/>
                <w:sz w:val="22"/>
                <w:szCs w:val="22"/>
              </w:rPr>
            </w:pPr>
            <w:r w:rsidRPr="00993442">
              <w:rPr>
                <w:rFonts w:ascii="Arial" w:eastAsia="+mn-ea" w:hAnsi="Arial" w:cs="Arial"/>
                <w:b/>
                <w:position w:val="1"/>
                <w:sz w:val="22"/>
                <w:szCs w:val="22"/>
              </w:rPr>
              <w:t>Review date</w:t>
            </w:r>
          </w:p>
        </w:tc>
        <w:sdt>
          <w:sdtPr>
            <w:rPr>
              <w:rFonts w:ascii="Arial" w:eastAsia="+mn-ea" w:hAnsi="Arial" w:cs="Arial"/>
              <w:position w:val="1"/>
              <w:sz w:val="22"/>
              <w:szCs w:val="22"/>
            </w:rPr>
            <w:id w:val="969868933"/>
            <w:placeholder>
              <w:docPart w:val="ACB16FF446884810995C7BB5A986E4E8"/>
            </w:placeholder>
            <w:date w:fullDate="2016-12-14T00:00:00Z">
              <w:dateFormat w:val="dd/MM/yyyy"/>
              <w:lid w:val="en-GB"/>
              <w:storeMappedDataAs w:val="dateTime"/>
              <w:calendar w:val="gregorian"/>
            </w:date>
          </w:sdtPr>
          <w:sdtEndPr/>
          <w:sdtContent>
            <w:tc>
              <w:tcPr>
                <w:tcW w:w="6945" w:type="dxa"/>
              </w:tcPr>
              <w:p w14:paraId="1A3DB2A1" w14:textId="77777777" w:rsidR="00CB2802" w:rsidRPr="00993442" w:rsidRDefault="00CB2802" w:rsidP="00B22F66">
                <w:pPr>
                  <w:pStyle w:val="NormalWeb"/>
                  <w:spacing w:before="60" w:beforeAutospacing="0" w:after="60" w:afterAutospacing="0"/>
                  <w:rPr>
                    <w:rFonts w:ascii="Arial" w:eastAsia="+mn-ea" w:hAnsi="Arial" w:cs="Arial"/>
                    <w:position w:val="1"/>
                    <w:sz w:val="22"/>
                    <w:szCs w:val="22"/>
                  </w:rPr>
                </w:pPr>
                <w:r w:rsidRPr="00993442">
                  <w:rPr>
                    <w:rFonts w:ascii="Arial" w:eastAsia="+mn-ea" w:hAnsi="Arial" w:cs="Arial"/>
                    <w:position w:val="1"/>
                    <w:sz w:val="22"/>
                    <w:szCs w:val="22"/>
                  </w:rPr>
                  <w:t>14/12/2016</w:t>
                </w:r>
              </w:p>
            </w:tc>
          </w:sdtContent>
        </w:sdt>
      </w:tr>
    </w:tbl>
    <w:p w14:paraId="634F2372" w14:textId="77777777" w:rsidR="00CB2802" w:rsidRPr="00993442" w:rsidRDefault="00CB2802" w:rsidP="00CB2802">
      <w:pPr>
        <w:pStyle w:val="NormalWeb"/>
        <w:spacing w:before="0" w:beforeAutospacing="0" w:after="0" w:afterAutospacing="0"/>
        <w:rPr>
          <w:rFonts w:ascii="Arial" w:eastAsia="+mn-ea" w:hAnsi="Arial" w:cs="Arial"/>
          <w:position w:val="1"/>
          <w:sz w:val="22"/>
          <w:szCs w:val="22"/>
        </w:rPr>
      </w:pPr>
    </w:p>
    <w:p w14:paraId="6E0FAD12" w14:textId="77777777" w:rsidR="00CB2802" w:rsidRPr="00993442" w:rsidRDefault="00CB2802" w:rsidP="00CB2802">
      <w:pPr>
        <w:pStyle w:val="NormalWeb"/>
        <w:spacing w:before="0" w:beforeAutospacing="0" w:after="0" w:afterAutospacing="0"/>
        <w:ind w:left="142" w:hanging="142"/>
        <w:rPr>
          <w:rFonts w:ascii="Arial" w:eastAsia="+mn-ea" w:hAnsi="Arial" w:cs="Arial"/>
          <w:position w:val="1"/>
          <w:sz w:val="22"/>
          <w:szCs w:val="22"/>
        </w:rPr>
      </w:pPr>
    </w:p>
    <w:p w14:paraId="6A6F7184" w14:textId="77777777" w:rsidR="00CB2802" w:rsidRPr="00993442" w:rsidRDefault="00CB2802" w:rsidP="00CB2802">
      <w:r w:rsidRPr="00993442">
        <w:br w:type="page"/>
      </w:r>
    </w:p>
    <w:p w14:paraId="5062B709" w14:textId="77777777" w:rsidR="00CB2802" w:rsidRPr="00993442" w:rsidRDefault="00CB2802" w:rsidP="00CB2802">
      <w:pPr>
        <w:pStyle w:val="NormalWeb"/>
        <w:spacing w:before="0" w:after="0"/>
        <w:rPr>
          <w:rFonts w:ascii="Arial" w:eastAsia="+mn-ea" w:hAnsi="Arial" w:cs="Arial"/>
          <w:b/>
          <w:position w:val="1"/>
          <w:sz w:val="32"/>
          <w:szCs w:val="32"/>
        </w:rPr>
      </w:pPr>
      <w:r w:rsidRPr="00993442">
        <w:rPr>
          <w:rFonts w:ascii="Arial" w:eastAsia="+mn-ea" w:hAnsi="Arial" w:cs="Arial"/>
          <w:b/>
          <w:position w:val="1"/>
          <w:sz w:val="32"/>
          <w:szCs w:val="32"/>
        </w:rPr>
        <w:lastRenderedPageBreak/>
        <w:t>MRG Assessment Summary (</w:t>
      </w:r>
      <w:sdt>
        <w:sdtPr>
          <w:rPr>
            <w:rFonts w:ascii="Arial" w:eastAsia="+mn-ea" w:hAnsi="Arial" w:cs="Arial"/>
            <w:b/>
            <w:position w:val="1"/>
            <w:sz w:val="32"/>
            <w:szCs w:val="32"/>
          </w:rPr>
          <w:id w:val="-527488397"/>
          <w:placeholder>
            <w:docPart w:val="F8CB101A222C4ADD95CE8FEABD240841"/>
          </w:placeholder>
          <w:date w:fullDate="2015-11-26T00:00:00Z">
            <w:dateFormat w:val="dd/MM/yyyy"/>
            <w:lid w:val="en-GB"/>
            <w:storeMappedDataAs w:val="dateTime"/>
            <w:calendar w:val="gregorian"/>
          </w:date>
        </w:sdtPr>
        <w:sdtEndPr/>
        <w:sdtContent>
          <w:r w:rsidRPr="00993442">
            <w:rPr>
              <w:rFonts w:ascii="Arial" w:eastAsia="+mn-ea" w:hAnsi="Arial" w:cs="Arial"/>
              <w:b/>
              <w:position w:val="1"/>
              <w:sz w:val="32"/>
              <w:szCs w:val="32"/>
            </w:rPr>
            <w:t>26/11/2015</w:t>
          </w:r>
        </w:sdtContent>
      </w:sdt>
      <w:r w:rsidRPr="00993442">
        <w:rPr>
          <w:rFonts w:ascii="Arial" w:eastAsia="+mn-ea" w:hAnsi="Arial" w:cs="Arial"/>
          <w:b/>
          <w:position w:val="1"/>
          <w:sz w:val="32"/>
          <w:szCs w:val="32"/>
        </w:rPr>
        <w:t>)</w:t>
      </w:r>
    </w:p>
    <w:p w14:paraId="7614A530"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B22F66" w:rsidRPr="00993442" w14:paraId="153819E4" w14:textId="77777777" w:rsidTr="00B22F66">
        <w:tc>
          <w:tcPr>
            <w:tcW w:w="3369" w:type="dxa"/>
            <w:shd w:val="clear" w:color="auto" w:fill="DBE5F1" w:themeFill="accent1" w:themeFillTint="33"/>
          </w:tcPr>
          <w:p w14:paraId="1112293D" w14:textId="77777777" w:rsidR="00CB2802" w:rsidRPr="00993442" w:rsidRDefault="00CB2802" w:rsidP="00B22F66">
            <w:pPr>
              <w:pStyle w:val="NormalWeb"/>
              <w:spacing w:beforeLines="60" w:before="144" w:beforeAutospacing="0" w:afterLines="60" w:after="144" w:afterAutospacing="0"/>
              <w:rPr>
                <w:rFonts w:ascii="Arial" w:eastAsia="+mn-ea" w:hAnsi="Arial" w:cs="Arial"/>
                <w:b/>
                <w:position w:val="1"/>
                <w:sz w:val="22"/>
                <w:szCs w:val="22"/>
              </w:rPr>
            </w:pPr>
            <w:r w:rsidRPr="00993442">
              <w:rPr>
                <w:rFonts w:ascii="Arial" w:eastAsia="+mn-ea" w:hAnsi="Arial" w:cs="Arial"/>
                <w:b/>
                <w:position w:val="1"/>
                <w:sz w:val="22"/>
                <w:szCs w:val="22"/>
              </w:rPr>
              <w:t>Methodology appraisal body</w:t>
            </w:r>
          </w:p>
        </w:tc>
        <w:tc>
          <w:tcPr>
            <w:tcW w:w="6945" w:type="dxa"/>
          </w:tcPr>
          <w:p w14:paraId="00C4B3F3" w14:textId="77777777" w:rsidR="00CB2802" w:rsidRPr="00993442" w:rsidRDefault="005340D1" w:rsidP="00B22F66">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746196676"/>
                <w:placeholder>
                  <w:docPart w:val="2B09AD779B064898903B38A7C98930A4"/>
                </w:placeholder>
                <w:dropDownList>
                  <w:listItem w:value="Choose an item."/>
                  <w:listItem w:displayText="HSCIC's Indicator &amp; Methodology Assurance Service" w:value="HSCIC's Indicator &amp; Methodology Assurance Service"/>
                </w:dropDownList>
              </w:sdtPr>
              <w:sdtEndPr/>
              <w:sdtContent>
                <w:r w:rsidR="00CB2802" w:rsidRPr="00993442">
                  <w:rPr>
                    <w:rFonts w:ascii="Arial" w:eastAsia="+mn-ea" w:hAnsi="Arial" w:cs="Arial"/>
                    <w:position w:val="1"/>
                    <w:sz w:val="22"/>
                    <w:szCs w:val="22"/>
                  </w:rPr>
                  <w:t>HSCIC's Indicator &amp; Methodology Assurance Service</w:t>
                </w:r>
              </w:sdtContent>
            </w:sdt>
          </w:p>
        </w:tc>
      </w:tr>
      <w:tr w:rsidR="00B22F66" w:rsidRPr="00993442" w14:paraId="178F8A1F" w14:textId="77777777" w:rsidTr="00B2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2446048A"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002898441"/>
            <w:placeholder>
              <w:docPart w:val="7A4564B78003449AB4635D48A6752EFE"/>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2D28F6C4"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position w:val="1"/>
                    <w:sz w:val="22"/>
                    <w:szCs w:val="22"/>
                  </w:rPr>
                  <w:t>Scheduled review (review date reached)</w:t>
                </w:r>
              </w:p>
            </w:tc>
          </w:sdtContent>
        </w:sdt>
      </w:tr>
      <w:tr w:rsidR="00B22F66" w:rsidRPr="00993442" w14:paraId="0320BBF4" w14:textId="77777777" w:rsidTr="00B2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78B278F9"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b/>
                <w:position w:val="1"/>
                <w:sz w:val="22"/>
                <w:szCs w:val="22"/>
              </w:rPr>
              <w:t>Iteration</w:t>
            </w:r>
          </w:p>
        </w:tc>
        <w:sdt>
          <w:sdtPr>
            <w:rPr>
              <w:rFonts w:ascii="Arial" w:eastAsia="+mn-ea" w:hAnsi="Arial" w:cs="Arial"/>
              <w:position w:val="1"/>
              <w:sz w:val="22"/>
              <w:szCs w:val="22"/>
            </w:rPr>
            <w:id w:val="1560052994"/>
            <w:placeholder>
              <w:docPart w:val="228CF3B3C6AE451BA9BD056E1FE34263"/>
            </w:placeholder>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EndPr/>
          <w:sdtContent>
            <w:tc>
              <w:tcPr>
                <w:tcW w:w="6945" w:type="dxa"/>
                <w:tcBorders>
                  <w:top w:val="nil"/>
                  <w:left w:val="nil"/>
                  <w:bottom w:val="nil"/>
                  <w:right w:val="nil"/>
                </w:tcBorders>
              </w:tcPr>
              <w:p w14:paraId="71D7E95E"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position w:val="1"/>
                    <w:sz w:val="22"/>
                    <w:szCs w:val="22"/>
                  </w:rPr>
                  <w:t>2nd MRG meeting</w:t>
                </w:r>
              </w:p>
            </w:tc>
          </w:sdtContent>
        </w:sdt>
      </w:tr>
    </w:tbl>
    <w:p w14:paraId="19D73C69" w14:textId="77777777" w:rsidR="00CB2802" w:rsidRPr="00993442" w:rsidRDefault="00CB2802" w:rsidP="00CB2802"/>
    <w:p w14:paraId="71354789"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r w:rsidRPr="00993442">
        <w:rPr>
          <w:rFonts w:ascii="Arial" w:eastAsia="+mn-ea" w:hAnsi="Arial" w:cs="Arial"/>
          <w:b/>
          <w:position w:val="1"/>
          <w:sz w:val="26"/>
          <w:szCs w:val="26"/>
        </w:rPr>
        <w:t>Suggested Assurance Rating by Methodology Appraisal Body</w:t>
      </w:r>
    </w:p>
    <w:p w14:paraId="240636E0"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tbl>
      <w:tblPr>
        <w:tblStyle w:val="TableGrid2"/>
        <w:tblW w:w="0" w:type="auto"/>
        <w:tblLook w:val="04A0" w:firstRow="1" w:lastRow="0" w:firstColumn="1" w:lastColumn="0" w:noHBand="0" w:noVBand="1"/>
      </w:tblPr>
      <w:tblGrid>
        <w:gridCol w:w="3617"/>
        <w:gridCol w:w="1391"/>
      </w:tblGrid>
      <w:tr w:rsidR="00993442" w:rsidRPr="00993442" w14:paraId="12E4BF9D" w14:textId="77777777" w:rsidTr="006B7F28">
        <w:tc>
          <w:tcPr>
            <w:tcW w:w="3617" w:type="dxa"/>
          </w:tcPr>
          <w:p w14:paraId="05AF6A62" w14:textId="77777777" w:rsidR="006B7F28" w:rsidRPr="00993442" w:rsidRDefault="006B7F28" w:rsidP="00B22F66">
            <w:pPr>
              <w:spacing w:before="120" w:after="120"/>
              <w:rPr>
                <w:rFonts w:eastAsia="+mn-ea"/>
                <w:b/>
                <w:position w:val="1"/>
                <w:szCs w:val="40"/>
              </w:rPr>
            </w:pPr>
            <w:r w:rsidRPr="00993442">
              <w:rPr>
                <w:rFonts w:eastAsia="+mn-ea"/>
                <w:b/>
                <w:position w:val="1"/>
                <w:szCs w:val="40"/>
              </w:rPr>
              <w:t>Clarity</w:t>
            </w:r>
          </w:p>
        </w:tc>
        <w:tc>
          <w:tcPr>
            <w:tcW w:w="1391" w:type="dxa"/>
          </w:tcPr>
          <w:p w14:paraId="3590E66D" w14:textId="51E67742" w:rsidR="006B7F28" w:rsidRPr="00993442" w:rsidRDefault="006B7F28" w:rsidP="00B22F66">
            <w:pPr>
              <w:jc w:val="center"/>
              <w:rPr>
                <w:rFonts w:eastAsia="+mn-ea"/>
                <w:b/>
                <w:position w:val="1"/>
                <w:sz w:val="32"/>
                <w:szCs w:val="40"/>
              </w:rPr>
            </w:pPr>
            <w:r w:rsidRPr="00993442">
              <w:rPr>
                <w:rFonts w:eastAsia="+mn-ea"/>
                <w:b/>
                <w:position w:val="1"/>
                <w:sz w:val="32"/>
                <w:szCs w:val="40"/>
              </w:rPr>
              <w:t>Fit for use</w:t>
            </w:r>
          </w:p>
        </w:tc>
      </w:tr>
      <w:tr w:rsidR="00993442" w:rsidRPr="00993442" w14:paraId="3B892C94" w14:textId="77777777" w:rsidTr="006B7F28">
        <w:tc>
          <w:tcPr>
            <w:tcW w:w="3617" w:type="dxa"/>
          </w:tcPr>
          <w:p w14:paraId="0FD2F8A5" w14:textId="77777777" w:rsidR="006B7F28" w:rsidRPr="00993442" w:rsidRDefault="006B7F28" w:rsidP="00B22F66">
            <w:pPr>
              <w:spacing w:before="120" w:after="120"/>
              <w:rPr>
                <w:rFonts w:eastAsia="+mn-ea"/>
                <w:b/>
                <w:position w:val="1"/>
                <w:szCs w:val="40"/>
              </w:rPr>
            </w:pPr>
            <w:r w:rsidRPr="00993442">
              <w:rPr>
                <w:rFonts w:eastAsia="+mn-ea"/>
                <w:b/>
                <w:position w:val="1"/>
                <w:szCs w:val="40"/>
              </w:rPr>
              <w:t>Rationale</w:t>
            </w:r>
          </w:p>
        </w:tc>
        <w:tc>
          <w:tcPr>
            <w:tcW w:w="1391" w:type="dxa"/>
          </w:tcPr>
          <w:p w14:paraId="2B9984D2" w14:textId="117A0482" w:rsidR="006B7F28" w:rsidRPr="00993442" w:rsidRDefault="006B7F28" w:rsidP="00B22F66">
            <w:pPr>
              <w:jc w:val="center"/>
              <w:rPr>
                <w:rFonts w:eastAsia="+mn-ea"/>
                <w:b/>
                <w:position w:val="1"/>
                <w:sz w:val="32"/>
                <w:szCs w:val="40"/>
              </w:rPr>
            </w:pPr>
            <w:r w:rsidRPr="00993442">
              <w:rPr>
                <w:rFonts w:eastAsia="+mn-ea"/>
                <w:b/>
                <w:position w:val="1"/>
                <w:sz w:val="32"/>
                <w:szCs w:val="40"/>
              </w:rPr>
              <w:t>Fit for use</w:t>
            </w:r>
          </w:p>
        </w:tc>
      </w:tr>
      <w:tr w:rsidR="00993442" w:rsidRPr="00993442" w14:paraId="0EFEF5D1" w14:textId="77777777" w:rsidTr="006B7F28">
        <w:tc>
          <w:tcPr>
            <w:tcW w:w="3617" w:type="dxa"/>
          </w:tcPr>
          <w:p w14:paraId="0136ED12" w14:textId="77777777" w:rsidR="006B7F28" w:rsidRPr="00993442" w:rsidRDefault="006B7F28" w:rsidP="00B22F66">
            <w:pPr>
              <w:spacing w:before="120" w:after="120"/>
              <w:rPr>
                <w:rFonts w:eastAsia="+mn-ea"/>
                <w:b/>
                <w:position w:val="1"/>
                <w:szCs w:val="40"/>
              </w:rPr>
            </w:pPr>
            <w:r w:rsidRPr="00993442">
              <w:rPr>
                <w:rFonts w:eastAsia="+mn-ea"/>
                <w:b/>
                <w:position w:val="1"/>
                <w:szCs w:val="40"/>
              </w:rPr>
              <w:t>Data</w:t>
            </w:r>
          </w:p>
        </w:tc>
        <w:tc>
          <w:tcPr>
            <w:tcW w:w="1391" w:type="dxa"/>
          </w:tcPr>
          <w:p w14:paraId="33318D1A" w14:textId="110BA76D" w:rsidR="006B7F28" w:rsidRPr="00993442" w:rsidRDefault="006B7F28" w:rsidP="00B22F66">
            <w:pPr>
              <w:jc w:val="center"/>
              <w:rPr>
                <w:rFonts w:eastAsia="+mn-ea"/>
                <w:b/>
                <w:position w:val="1"/>
                <w:sz w:val="32"/>
                <w:szCs w:val="40"/>
              </w:rPr>
            </w:pPr>
            <w:r w:rsidRPr="00993442">
              <w:rPr>
                <w:rFonts w:eastAsia="+mn-ea"/>
                <w:b/>
                <w:position w:val="1"/>
                <w:sz w:val="32"/>
                <w:szCs w:val="40"/>
              </w:rPr>
              <w:t xml:space="preserve"> Fit for use with caveats</w:t>
            </w:r>
          </w:p>
        </w:tc>
      </w:tr>
      <w:tr w:rsidR="00993442" w:rsidRPr="00993442" w14:paraId="5987454F" w14:textId="77777777" w:rsidTr="006B7F28">
        <w:tc>
          <w:tcPr>
            <w:tcW w:w="3617" w:type="dxa"/>
          </w:tcPr>
          <w:p w14:paraId="4F6FF8F2" w14:textId="77777777" w:rsidR="006B7F28" w:rsidRPr="00993442" w:rsidRDefault="006B7F28" w:rsidP="00B22F66">
            <w:pPr>
              <w:spacing w:before="120" w:after="120"/>
              <w:rPr>
                <w:rFonts w:eastAsia="+mn-ea"/>
                <w:b/>
                <w:position w:val="1"/>
                <w:szCs w:val="40"/>
              </w:rPr>
            </w:pPr>
            <w:r w:rsidRPr="00993442">
              <w:rPr>
                <w:rFonts w:eastAsia="+mn-ea"/>
                <w:b/>
                <w:position w:val="1"/>
                <w:szCs w:val="40"/>
              </w:rPr>
              <w:t>Construction</w:t>
            </w:r>
          </w:p>
        </w:tc>
        <w:tc>
          <w:tcPr>
            <w:tcW w:w="1391" w:type="dxa"/>
          </w:tcPr>
          <w:p w14:paraId="15AE4484" w14:textId="0722BCEB" w:rsidR="006B7F28" w:rsidRPr="00993442" w:rsidRDefault="006B7F28" w:rsidP="00B22F66">
            <w:pPr>
              <w:jc w:val="center"/>
              <w:rPr>
                <w:rFonts w:eastAsia="+mn-ea"/>
                <w:b/>
                <w:position w:val="1"/>
                <w:sz w:val="32"/>
                <w:szCs w:val="40"/>
              </w:rPr>
            </w:pPr>
            <w:r w:rsidRPr="00993442">
              <w:rPr>
                <w:rFonts w:eastAsia="+mn-ea"/>
                <w:b/>
                <w:position w:val="1"/>
                <w:sz w:val="32"/>
                <w:szCs w:val="40"/>
              </w:rPr>
              <w:t xml:space="preserve"> Fit for use with caveats</w:t>
            </w:r>
          </w:p>
        </w:tc>
      </w:tr>
      <w:tr w:rsidR="00993442" w:rsidRPr="00993442" w14:paraId="1FFCF140" w14:textId="77777777" w:rsidTr="006B7F28">
        <w:tc>
          <w:tcPr>
            <w:tcW w:w="3617" w:type="dxa"/>
          </w:tcPr>
          <w:p w14:paraId="405FC851" w14:textId="77777777" w:rsidR="006B7F28" w:rsidRPr="00993442" w:rsidRDefault="006B7F28" w:rsidP="00B22F66">
            <w:pPr>
              <w:spacing w:before="120" w:after="120"/>
              <w:rPr>
                <w:rFonts w:eastAsia="+mn-ea"/>
                <w:b/>
                <w:position w:val="1"/>
                <w:szCs w:val="40"/>
              </w:rPr>
            </w:pPr>
            <w:r w:rsidRPr="00993442">
              <w:rPr>
                <w:rFonts w:eastAsia="+mn-ea"/>
                <w:b/>
                <w:position w:val="1"/>
                <w:szCs w:val="40"/>
              </w:rPr>
              <w:t>Presentation and Interpretation</w:t>
            </w:r>
          </w:p>
        </w:tc>
        <w:tc>
          <w:tcPr>
            <w:tcW w:w="1391" w:type="dxa"/>
          </w:tcPr>
          <w:p w14:paraId="359493F5" w14:textId="5AB63F50" w:rsidR="006B7F28" w:rsidRPr="00993442" w:rsidRDefault="006B7F28" w:rsidP="00B22F66">
            <w:pPr>
              <w:jc w:val="center"/>
              <w:rPr>
                <w:rFonts w:eastAsia="+mn-ea"/>
                <w:b/>
                <w:position w:val="1"/>
                <w:sz w:val="32"/>
                <w:szCs w:val="40"/>
              </w:rPr>
            </w:pPr>
            <w:r w:rsidRPr="00993442">
              <w:rPr>
                <w:rFonts w:eastAsia="+mn-ea"/>
                <w:b/>
                <w:position w:val="1"/>
                <w:sz w:val="32"/>
                <w:szCs w:val="40"/>
              </w:rPr>
              <w:t xml:space="preserve"> Fit for use with caveats</w:t>
            </w:r>
          </w:p>
        </w:tc>
      </w:tr>
      <w:tr w:rsidR="00993442" w:rsidRPr="00993442" w14:paraId="65488591" w14:textId="77777777" w:rsidTr="006B7F28">
        <w:tc>
          <w:tcPr>
            <w:tcW w:w="3617" w:type="dxa"/>
          </w:tcPr>
          <w:p w14:paraId="70613716" w14:textId="77777777" w:rsidR="006B7F28" w:rsidRPr="00993442" w:rsidRDefault="006B7F28" w:rsidP="00B22F66">
            <w:pPr>
              <w:spacing w:before="120" w:after="120"/>
              <w:rPr>
                <w:rFonts w:eastAsia="+mn-ea"/>
                <w:b/>
                <w:position w:val="1"/>
                <w:szCs w:val="40"/>
              </w:rPr>
            </w:pPr>
            <w:r w:rsidRPr="00993442">
              <w:rPr>
                <w:rFonts w:eastAsia="+mn-ea"/>
                <w:b/>
                <w:position w:val="1"/>
                <w:szCs w:val="40"/>
              </w:rPr>
              <w:t>Risks and Usefulness</w:t>
            </w:r>
          </w:p>
        </w:tc>
        <w:tc>
          <w:tcPr>
            <w:tcW w:w="1391" w:type="dxa"/>
          </w:tcPr>
          <w:p w14:paraId="5C8B40F9" w14:textId="1CA7C5E4" w:rsidR="006B7F28" w:rsidRPr="00993442" w:rsidRDefault="006B7F28" w:rsidP="00B22F66">
            <w:pPr>
              <w:jc w:val="center"/>
              <w:rPr>
                <w:rFonts w:eastAsia="+mn-ea"/>
                <w:b/>
                <w:position w:val="1"/>
                <w:sz w:val="32"/>
                <w:szCs w:val="40"/>
              </w:rPr>
            </w:pPr>
            <w:r w:rsidRPr="00993442">
              <w:rPr>
                <w:rFonts w:eastAsia="+mn-ea"/>
                <w:b/>
                <w:position w:val="1"/>
                <w:sz w:val="32"/>
                <w:szCs w:val="40"/>
              </w:rPr>
              <w:t>Fit for use with caveats</w:t>
            </w:r>
          </w:p>
        </w:tc>
      </w:tr>
      <w:tr w:rsidR="00993442" w:rsidRPr="00993442" w14:paraId="192345F6" w14:textId="77777777" w:rsidTr="006B7F28">
        <w:tc>
          <w:tcPr>
            <w:tcW w:w="3617" w:type="dxa"/>
          </w:tcPr>
          <w:p w14:paraId="67D8C2F2" w14:textId="0E4DCB30" w:rsidR="006B7F28" w:rsidRPr="00993442" w:rsidRDefault="006B7F28" w:rsidP="00B22F66">
            <w:pPr>
              <w:spacing w:before="120" w:after="120"/>
              <w:rPr>
                <w:rFonts w:eastAsia="+mn-ea"/>
                <w:b/>
                <w:position w:val="1"/>
                <w:szCs w:val="40"/>
              </w:rPr>
            </w:pPr>
            <w:r w:rsidRPr="00993442">
              <w:rPr>
                <w:rFonts w:eastAsia="+mn-ea"/>
                <w:b/>
                <w:position w:val="1"/>
                <w:szCs w:val="40"/>
              </w:rPr>
              <w:t>Suggested assurance rating</w:t>
            </w:r>
          </w:p>
        </w:tc>
        <w:tc>
          <w:tcPr>
            <w:tcW w:w="1391" w:type="dxa"/>
          </w:tcPr>
          <w:sdt>
            <w:sdtPr>
              <w:rPr>
                <w:rStyle w:val="Style1"/>
                <w:color w:val="auto"/>
              </w:rPr>
              <w:alias w:val="Overall rating"/>
              <w:tag w:val="Overall rating"/>
              <w:id w:val="-1028943525"/>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dropDownList>
            </w:sdtPr>
            <w:sdtEndPr>
              <w:rPr>
                <w:rStyle w:val="Style1"/>
              </w:rPr>
            </w:sdtEndPr>
            <w:sdtContent>
              <w:p w14:paraId="7484F8C3" w14:textId="77777777" w:rsidR="006B7F28" w:rsidRPr="00993442" w:rsidRDefault="006B7F28" w:rsidP="006B7F28">
                <w:pPr>
                  <w:jc w:val="center"/>
                  <w:rPr>
                    <w:rStyle w:val="Style1"/>
                    <w:color w:val="auto"/>
                  </w:rPr>
                </w:pPr>
                <w:r w:rsidRPr="00993442">
                  <w:rPr>
                    <w:rStyle w:val="Style1"/>
                    <w:color w:val="auto"/>
                  </w:rPr>
                  <w:t>Fit for use with caveats</w:t>
                </w:r>
              </w:p>
            </w:sdtContent>
          </w:sdt>
          <w:p w14:paraId="01BBB534" w14:textId="77777777" w:rsidR="006B7F28" w:rsidRPr="00993442" w:rsidRDefault="006B7F28" w:rsidP="00B22F66">
            <w:pPr>
              <w:jc w:val="center"/>
              <w:rPr>
                <w:rFonts w:eastAsia="+mn-ea"/>
                <w:b/>
                <w:noProof/>
                <w:position w:val="1"/>
                <w:sz w:val="32"/>
                <w:szCs w:val="40"/>
                <w:lang w:eastAsia="en-GB"/>
              </w:rPr>
            </w:pPr>
          </w:p>
        </w:tc>
      </w:tr>
    </w:tbl>
    <w:p w14:paraId="2A390835"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p w14:paraId="68FCAEBF" w14:textId="77777777" w:rsidR="00CB2802" w:rsidRPr="00993442" w:rsidRDefault="00CB2802" w:rsidP="00CB2802">
      <w:pPr>
        <w:spacing w:before="240"/>
        <w:rPr>
          <w:rFonts w:eastAsia="+mn-ea"/>
          <w:b/>
          <w:position w:val="1"/>
          <w:sz w:val="24"/>
          <w:szCs w:val="40"/>
        </w:rPr>
      </w:pPr>
      <w:r w:rsidRPr="00993442">
        <w:rPr>
          <w:rFonts w:eastAsia="+mn-ea"/>
          <w:b/>
          <w:position w:val="1"/>
          <w:sz w:val="24"/>
          <w:szCs w:val="40"/>
        </w:rPr>
        <w:t>Summary Recommendation to Applicant:</w:t>
      </w:r>
    </w:p>
    <w:sdt>
      <w:sdtPr>
        <w:rPr>
          <w:rFonts w:eastAsia="Times New Roman"/>
          <w:sz w:val="23"/>
          <w:szCs w:val="23"/>
          <w:lang w:eastAsia="en-GB"/>
        </w:rPr>
        <w:id w:val="692660743"/>
      </w:sdtPr>
      <w:sdtEndPr/>
      <w:sdtContent>
        <w:p w14:paraId="40C8B8E4" w14:textId="77777777" w:rsidR="00CB2802" w:rsidRPr="00993442" w:rsidRDefault="00CB2802" w:rsidP="00CB2802">
          <w:pPr>
            <w:spacing w:before="240"/>
            <w:rPr>
              <w:rFonts w:eastAsia="+mn-ea"/>
              <w:position w:val="1"/>
            </w:rPr>
          </w:pPr>
          <w:r w:rsidRPr="00993442">
            <w:rPr>
              <w:rFonts w:eastAsia="Times New Roman"/>
              <w:sz w:val="23"/>
              <w:szCs w:val="23"/>
              <w:lang w:eastAsia="en-GB"/>
            </w:rPr>
            <w:t xml:space="preserve">MRG noted that the indicator has been previously assured (with caveats) as suitable for inclusion in the Library of Quality Assured Indicators, however this was under an earlier iteration of the assurance process.  Members thanked the applicant again for the “uplift” in documentation which has allowed the indicator to be assessed against the standard criteria assessment and “levels of assurance”.  The indicator is now recommended for consideration by the IGB, although the developer is recommended to strengthen the description of how the results are presented (particularly with regards to the control limits shown in the table results) to aid the </w:t>
          </w:r>
          <w:proofErr w:type="gramStart"/>
          <w:r w:rsidRPr="00993442">
            <w:rPr>
              <w:rFonts w:eastAsia="Times New Roman"/>
              <w:sz w:val="23"/>
              <w:szCs w:val="23"/>
              <w:lang w:eastAsia="en-GB"/>
            </w:rPr>
            <w:t>users</w:t>
          </w:r>
          <w:proofErr w:type="gramEnd"/>
          <w:r w:rsidRPr="00993442">
            <w:rPr>
              <w:rFonts w:eastAsia="Times New Roman"/>
              <w:sz w:val="23"/>
              <w:szCs w:val="23"/>
              <w:lang w:eastAsia="en-GB"/>
            </w:rPr>
            <w:t xml:space="preserve"> interpretation.</w:t>
          </w:r>
        </w:p>
      </w:sdtContent>
    </w:sdt>
    <w:p w14:paraId="6F69E50E" w14:textId="77777777" w:rsidR="00CB2802" w:rsidRPr="00993442" w:rsidRDefault="00CB2802" w:rsidP="00CB2802">
      <w:pPr>
        <w:spacing w:before="240"/>
        <w:rPr>
          <w:rFonts w:eastAsia="+mn-ea"/>
          <w:b/>
          <w:position w:val="1"/>
          <w:sz w:val="24"/>
          <w:szCs w:val="40"/>
        </w:rPr>
      </w:pPr>
      <w:r w:rsidRPr="00993442">
        <w:rPr>
          <w:rFonts w:eastAsia="+mn-ea"/>
          <w:b/>
          <w:position w:val="1"/>
          <w:sz w:val="24"/>
          <w:szCs w:val="40"/>
        </w:rPr>
        <w:t>Summary Recommendation to IGB:</w:t>
      </w:r>
    </w:p>
    <w:sdt>
      <w:sdtPr>
        <w:rPr>
          <w:rFonts w:eastAsia="Times New Roman"/>
          <w:sz w:val="23"/>
          <w:szCs w:val="23"/>
          <w:lang w:eastAsia="en-GB"/>
        </w:rPr>
        <w:alias w:val="Summary Recommendation to IGB"/>
        <w:tag w:val="Summary Recommendation to IGB"/>
        <w:id w:val="2031983090"/>
      </w:sdtPr>
      <w:sdtEndPr/>
      <w:sdtContent>
        <w:p w14:paraId="4C854F4F" w14:textId="77777777" w:rsidR="00CB2802" w:rsidRPr="00993442" w:rsidRDefault="00CB2802" w:rsidP="00CB2802">
          <w:pPr>
            <w:spacing w:before="240"/>
            <w:rPr>
              <w:lang w:eastAsia="en-GB"/>
            </w:rPr>
          </w:pPr>
          <w:r w:rsidRPr="00993442">
            <w:rPr>
              <w:rFonts w:eastAsia="Times New Roman"/>
              <w:sz w:val="23"/>
              <w:szCs w:val="23"/>
              <w:lang w:eastAsia="en-GB"/>
            </w:rPr>
            <w:t xml:space="preserve">After further consideration and acceptance of the updated information provided </w:t>
          </w:r>
          <w:proofErr w:type="gramStart"/>
          <w:r w:rsidRPr="00993442">
            <w:rPr>
              <w:rFonts w:eastAsia="Times New Roman"/>
              <w:sz w:val="23"/>
              <w:szCs w:val="23"/>
              <w:lang w:eastAsia="en-GB"/>
            </w:rPr>
            <w:t>in regards to</w:t>
          </w:r>
          <w:proofErr w:type="gramEnd"/>
          <w:r w:rsidRPr="00993442">
            <w:rPr>
              <w:rFonts w:eastAsia="Times New Roman"/>
              <w:sz w:val="23"/>
              <w:szCs w:val="23"/>
              <w:lang w:eastAsia="en-GB"/>
            </w:rPr>
            <w:t xml:space="preserve"> the construction of the indicator, MRG recommend the indicator for inclusion in the Library of Quality Assured Indicators.  The MRG however noted the following caveats – that within the methodology presented the control limits are not centred around 1 but are centred around the national average which is not 1.  Although this is not ideal MRG accept that the model is re-calibrated each year and it is anticipated that future results will be centred around 1.  In </w:t>
          </w:r>
          <w:proofErr w:type="gramStart"/>
          <w:r w:rsidRPr="00993442">
            <w:rPr>
              <w:rFonts w:eastAsia="Times New Roman"/>
              <w:sz w:val="23"/>
              <w:szCs w:val="23"/>
              <w:lang w:eastAsia="en-GB"/>
            </w:rPr>
            <w:t>addition</w:t>
          </w:r>
          <w:proofErr w:type="gramEnd"/>
          <w:r w:rsidRPr="00993442">
            <w:rPr>
              <w:rFonts w:eastAsia="Times New Roman"/>
              <w:sz w:val="23"/>
              <w:szCs w:val="23"/>
              <w:lang w:eastAsia="en-GB"/>
            </w:rPr>
            <w:t xml:space="preserve"> MRG recommend that the presentation of results are clearly labelled and described to inform users on what is being presented – i.e. control limits that apply to the rate.</w:t>
          </w:r>
        </w:p>
      </w:sdtContent>
    </w:sdt>
    <w:p w14:paraId="3140620A" w14:textId="77777777" w:rsidR="00CB2802" w:rsidRPr="00993442" w:rsidRDefault="00CB2802" w:rsidP="00CB2802">
      <w:pPr>
        <w:pStyle w:val="NormalWeb"/>
        <w:spacing w:before="0" w:after="0"/>
        <w:rPr>
          <w:rFonts w:ascii="Arial" w:eastAsia="+mn-ea" w:hAnsi="Arial" w:cs="Arial"/>
          <w:b/>
          <w:position w:val="1"/>
          <w:sz w:val="32"/>
          <w:szCs w:val="32"/>
        </w:rPr>
      </w:pPr>
      <w:r w:rsidRPr="00993442">
        <w:rPr>
          <w:rFonts w:ascii="Arial" w:hAnsi="Arial" w:cs="Arial"/>
        </w:rPr>
        <w:t xml:space="preserve"> </w:t>
      </w:r>
      <w:r w:rsidRPr="00993442">
        <w:rPr>
          <w:rFonts w:ascii="Arial" w:eastAsia="+mn-ea" w:hAnsi="Arial" w:cs="Arial"/>
          <w:b/>
          <w:position w:val="1"/>
          <w:sz w:val="32"/>
          <w:szCs w:val="32"/>
        </w:rPr>
        <w:t>MRG Assessment Summary (</w:t>
      </w:r>
      <w:sdt>
        <w:sdtPr>
          <w:rPr>
            <w:rFonts w:ascii="Arial" w:eastAsia="+mn-ea" w:hAnsi="Arial" w:cs="Arial"/>
            <w:b/>
            <w:position w:val="1"/>
            <w:sz w:val="32"/>
            <w:szCs w:val="32"/>
          </w:rPr>
          <w:id w:val="942337987"/>
          <w:placeholder>
            <w:docPart w:val="FFA2CAD1191A40BEAD32D5593C459F01"/>
          </w:placeholder>
          <w:date w:fullDate="2015-09-10T00:00:00Z">
            <w:dateFormat w:val="dd/MM/yyyy"/>
            <w:lid w:val="en-GB"/>
            <w:storeMappedDataAs w:val="dateTime"/>
            <w:calendar w:val="gregorian"/>
          </w:date>
        </w:sdtPr>
        <w:sdtEndPr/>
        <w:sdtContent>
          <w:r w:rsidRPr="00993442">
            <w:rPr>
              <w:rFonts w:ascii="Arial" w:eastAsia="+mn-ea" w:hAnsi="Arial" w:cs="Arial"/>
              <w:b/>
              <w:position w:val="1"/>
              <w:sz w:val="32"/>
              <w:szCs w:val="32"/>
            </w:rPr>
            <w:t>10/09/2015</w:t>
          </w:r>
        </w:sdtContent>
      </w:sdt>
      <w:r w:rsidRPr="00993442">
        <w:rPr>
          <w:rFonts w:ascii="Arial" w:eastAsia="+mn-ea" w:hAnsi="Arial" w:cs="Arial"/>
          <w:b/>
          <w:position w:val="1"/>
          <w:sz w:val="32"/>
          <w:szCs w:val="32"/>
        </w:rPr>
        <w:t>)</w:t>
      </w:r>
    </w:p>
    <w:p w14:paraId="0DFDF965"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B22F66" w:rsidRPr="00993442" w14:paraId="5FA144FB" w14:textId="77777777" w:rsidTr="00B22F66">
        <w:tc>
          <w:tcPr>
            <w:tcW w:w="3369" w:type="dxa"/>
            <w:shd w:val="clear" w:color="auto" w:fill="DBE5F1" w:themeFill="accent1" w:themeFillTint="33"/>
          </w:tcPr>
          <w:p w14:paraId="63555069" w14:textId="77777777" w:rsidR="00CB2802" w:rsidRPr="00993442" w:rsidRDefault="00CB2802" w:rsidP="00B22F66">
            <w:pPr>
              <w:pStyle w:val="NormalWeb"/>
              <w:spacing w:beforeLines="60" w:before="144" w:beforeAutospacing="0" w:afterLines="60" w:after="144" w:afterAutospacing="0"/>
              <w:rPr>
                <w:rFonts w:ascii="Arial" w:eastAsia="+mn-ea" w:hAnsi="Arial" w:cs="Arial"/>
                <w:b/>
                <w:position w:val="1"/>
                <w:sz w:val="22"/>
                <w:szCs w:val="22"/>
              </w:rPr>
            </w:pPr>
            <w:r w:rsidRPr="00993442">
              <w:rPr>
                <w:rFonts w:ascii="Arial" w:eastAsia="+mn-ea" w:hAnsi="Arial" w:cs="Arial"/>
                <w:b/>
                <w:position w:val="1"/>
                <w:sz w:val="22"/>
                <w:szCs w:val="22"/>
              </w:rPr>
              <w:t>Methodology appraisal body</w:t>
            </w:r>
          </w:p>
        </w:tc>
        <w:tc>
          <w:tcPr>
            <w:tcW w:w="6945" w:type="dxa"/>
          </w:tcPr>
          <w:p w14:paraId="5AFAB93D" w14:textId="77777777" w:rsidR="00CB2802" w:rsidRPr="00993442" w:rsidRDefault="005340D1" w:rsidP="00B22F66">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2154486"/>
                <w:placeholder>
                  <w:docPart w:val="EA9A9B2C0AE748DC8826A4FDCFD4EDD9"/>
                </w:placeholder>
                <w:dropDownList>
                  <w:listItem w:value="Choose an item."/>
                  <w:listItem w:displayText="HSCIC's Indicator &amp; Methodology Assurance Service" w:value="HSCIC's Indicator &amp; Methodology Assurance Service"/>
                </w:dropDownList>
              </w:sdtPr>
              <w:sdtEndPr/>
              <w:sdtContent>
                <w:r w:rsidR="00CB2802" w:rsidRPr="00993442">
                  <w:rPr>
                    <w:rFonts w:ascii="Arial" w:eastAsia="+mn-ea" w:hAnsi="Arial" w:cs="Arial"/>
                    <w:position w:val="1"/>
                    <w:sz w:val="22"/>
                    <w:szCs w:val="22"/>
                  </w:rPr>
                  <w:t>HSCIC's Indicator &amp; Methodology Assurance Service</w:t>
                </w:r>
              </w:sdtContent>
            </w:sdt>
          </w:p>
        </w:tc>
      </w:tr>
      <w:tr w:rsidR="00B22F66" w:rsidRPr="00993442" w14:paraId="44B66B44" w14:textId="77777777" w:rsidTr="00B2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48E039A2"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623182495"/>
            <w:placeholder>
              <w:docPart w:val="377BDBCEE19F47AF8C34936FF140D11F"/>
            </w:placeholder>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Borders>
                  <w:top w:val="nil"/>
                  <w:left w:val="nil"/>
                  <w:bottom w:val="nil"/>
                  <w:right w:val="nil"/>
                </w:tcBorders>
              </w:tcPr>
              <w:p w14:paraId="5D0FDDA2"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position w:val="1"/>
                    <w:sz w:val="22"/>
                    <w:szCs w:val="22"/>
                  </w:rPr>
                  <w:t>Scheduled review (review date reached)</w:t>
                </w:r>
              </w:p>
            </w:tc>
          </w:sdtContent>
        </w:sdt>
      </w:tr>
      <w:tr w:rsidR="00B22F66" w:rsidRPr="00993442" w14:paraId="5E752850" w14:textId="77777777" w:rsidTr="00B22F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253DDA42"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b/>
                <w:position w:val="1"/>
                <w:sz w:val="22"/>
                <w:szCs w:val="22"/>
              </w:rPr>
              <w:t>Iteration</w:t>
            </w:r>
          </w:p>
        </w:tc>
        <w:sdt>
          <w:sdtPr>
            <w:rPr>
              <w:rFonts w:ascii="Arial" w:eastAsia="+mn-ea" w:hAnsi="Arial" w:cs="Arial"/>
              <w:position w:val="1"/>
              <w:sz w:val="22"/>
              <w:szCs w:val="22"/>
            </w:rPr>
            <w:id w:val="1783993268"/>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dropDownList>
          </w:sdtPr>
          <w:sdtEndPr/>
          <w:sdtContent>
            <w:tc>
              <w:tcPr>
                <w:tcW w:w="6945" w:type="dxa"/>
                <w:tcBorders>
                  <w:top w:val="nil"/>
                  <w:left w:val="nil"/>
                  <w:bottom w:val="nil"/>
                  <w:right w:val="nil"/>
                </w:tcBorders>
              </w:tcPr>
              <w:p w14:paraId="50EAE58D" w14:textId="77777777" w:rsidR="00CB2802" w:rsidRPr="00993442" w:rsidRDefault="00CB2802" w:rsidP="00B22F66">
                <w:pPr>
                  <w:pStyle w:val="NormalWeb"/>
                  <w:spacing w:beforeLines="60" w:before="144" w:beforeAutospacing="0" w:afterLines="60" w:after="144" w:afterAutospacing="0"/>
                  <w:rPr>
                    <w:rFonts w:ascii="Arial" w:eastAsia="+mn-ea" w:hAnsi="Arial" w:cs="Arial"/>
                    <w:position w:val="1"/>
                    <w:sz w:val="22"/>
                    <w:szCs w:val="22"/>
                  </w:rPr>
                </w:pPr>
                <w:r w:rsidRPr="00993442">
                  <w:rPr>
                    <w:rFonts w:ascii="Arial" w:eastAsia="+mn-ea" w:hAnsi="Arial" w:cs="Arial"/>
                    <w:position w:val="1"/>
                    <w:sz w:val="22"/>
                    <w:szCs w:val="22"/>
                  </w:rPr>
                  <w:t>1st MRG meeting</w:t>
                </w:r>
              </w:p>
            </w:tc>
          </w:sdtContent>
        </w:sdt>
      </w:tr>
    </w:tbl>
    <w:p w14:paraId="4F9879F3" w14:textId="77777777" w:rsidR="00CB2802" w:rsidRPr="00993442" w:rsidRDefault="00CB2802" w:rsidP="00CB2802"/>
    <w:p w14:paraId="278B46E8"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r w:rsidRPr="00993442">
        <w:rPr>
          <w:rFonts w:ascii="Arial" w:eastAsia="+mn-ea" w:hAnsi="Arial" w:cs="Arial"/>
          <w:b/>
          <w:position w:val="1"/>
          <w:sz w:val="26"/>
          <w:szCs w:val="26"/>
        </w:rPr>
        <w:t>Suggested Assurance Rating by Methodology Appraisal Body</w:t>
      </w:r>
    </w:p>
    <w:p w14:paraId="252BEDC7"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tbl>
      <w:tblPr>
        <w:tblStyle w:val="TableGrid2"/>
        <w:tblW w:w="0" w:type="auto"/>
        <w:tblLook w:val="04A0" w:firstRow="1" w:lastRow="0" w:firstColumn="1" w:lastColumn="0" w:noHBand="0" w:noVBand="1"/>
      </w:tblPr>
      <w:tblGrid>
        <w:gridCol w:w="3617"/>
        <w:gridCol w:w="1391"/>
      </w:tblGrid>
      <w:tr w:rsidR="00993442" w:rsidRPr="00993442" w14:paraId="3115F490" w14:textId="77777777" w:rsidTr="006B7F28">
        <w:tc>
          <w:tcPr>
            <w:tcW w:w="3617" w:type="dxa"/>
          </w:tcPr>
          <w:p w14:paraId="3B186E7F" w14:textId="77777777" w:rsidR="006B7F28" w:rsidRPr="00993442" w:rsidRDefault="006B7F28" w:rsidP="00B22F66">
            <w:pPr>
              <w:spacing w:before="120" w:after="120"/>
              <w:rPr>
                <w:rFonts w:eastAsia="+mn-ea"/>
                <w:b/>
                <w:position w:val="1"/>
                <w:szCs w:val="40"/>
              </w:rPr>
            </w:pPr>
            <w:r w:rsidRPr="00993442">
              <w:rPr>
                <w:rFonts w:eastAsia="+mn-ea"/>
                <w:b/>
                <w:position w:val="1"/>
                <w:szCs w:val="40"/>
              </w:rPr>
              <w:t>Clarity</w:t>
            </w:r>
          </w:p>
        </w:tc>
        <w:tc>
          <w:tcPr>
            <w:tcW w:w="1391" w:type="dxa"/>
          </w:tcPr>
          <w:p w14:paraId="3353CE16" w14:textId="7A13D34B" w:rsidR="006B7F28" w:rsidRPr="00993442" w:rsidRDefault="006B7F28" w:rsidP="00B22F66">
            <w:pPr>
              <w:jc w:val="center"/>
              <w:rPr>
                <w:rFonts w:eastAsia="+mn-ea"/>
                <w:b/>
                <w:position w:val="1"/>
                <w:sz w:val="32"/>
                <w:szCs w:val="40"/>
              </w:rPr>
            </w:pPr>
            <w:r w:rsidRPr="00993442">
              <w:rPr>
                <w:rFonts w:eastAsia="+mn-ea"/>
                <w:b/>
                <w:position w:val="1"/>
                <w:sz w:val="32"/>
                <w:szCs w:val="40"/>
              </w:rPr>
              <w:t>Fit for use</w:t>
            </w:r>
          </w:p>
        </w:tc>
      </w:tr>
      <w:tr w:rsidR="00993442" w:rsidRPr="00993442" w14:paraId="65C7FFCC" w14:textId="77777777" w:rsidTr="006B7F28">
        <w:tc>
          <w:tcPr>
            <w:tcW w:w="3617" w:type="dxa"/>
          </w:tcPr>
          <w:p w14:paraId="5F4068B7" w14:textId="77777777" w:rsidR="006B7F28" w:rsidRPr="00993442" w:rsidRDefault="006B7F28" w:rsidP="00B22F66">
            <w:pPr>
              <w:spacing w:before="120" w:after="120"/>
              <w:rPr>
                <w:rFonts w:eastAsia="+mn-ea"/>
                <w:b/>
                <w:position w:val="1"/>
                <w:szCs w:val="40"/>
              </w:rPr>
            </w:pPr>
            <w:r w:rsidRPr="00993442">
              <w:rPr>
                <w:rFonts w:eastAsia="+mn-ea"/>
                <w:b/>
                <w:position w:val="1"/>
                <w:szCs w:val="40"/>
              </w:rPr>
              <w:t>Rationale</w:t>
            </w:r>
          </w:p>
        </w:tc>
        <w:tc>
          <w:tcPr>
            <w:tcW w:w="1391" w:type="dxa"/>
          </w:tcPr>
          <w:p w14:paraId="44FE2B18" w14:textId="659DE526" w:rsidR="006B7F28" w:rsidRPr="00993442" w:rsidRDefault="006B7F28" w:rsidP="00B22F66">
            <w:pPr>
              <w:jc w:val="center"/>
              <w:rPr>
                <w:rFonts w:eastAsia="+mn-ea"/>
                <w:b/>
                <w:position w:val="1"/>
                <w:sz w:val="32"/>
                <w:szCs w:val="40"/>
              </w:rPr>
            </w:pPr>
            <w:r w:rsidRPr="00993442">
              <w:rPr>
                <w:rFonts w:eastAsia="+mn-ea"/>
                <w:b/>
                <w:position w:val="1"/>
                <w:sz w:val="32"/>
                <w:szCs w:val="40"/>
              </w:rPr>
              <w:t>Fit for use with caveats</w:t>
            </w:r>
          </w:p>
        </w:tc>
      </w:tr>
      <w:tr w:rsidR="00993442" w:rsidRPr="00993442" w14:paraId="7633CAFD" w14:textId="77777777" w:rsidTr="006B7F28">
        <w:tc>
          <w:tcPr>
            <w:tcW w:w="3617" w:type="dxa"/>
          </w:tcPr>
          <w:p w14:paraId="4261E110" w14:textId="77777777" w:rsidR="006B7F28" w:rsidRPr="00993442" w:rsidRDefault="006B7F28" w:rsidP="00B22F66">
            <w:pPr>
              <w:spacing w:before="120" w:after="120"/>
              <w:rPr>
                <w:rFonts w:eastAsia="+mn-ea"/>
                <w:b/>
                <w:position w:val="1"/>
                <w:szCs w:val="40"/>
              </w:rPr>
            </w:pPr>
            <w:r w:rsidRPr="00993442">
              <w:rPr>
                <w:rFonts w:eastAsia="+mn-ea"/>
                <w:b/>
                <w:position w:val="1"/>
                <w:szCs w:val="40"/>
              </w:rPr>
              <w:t>Data</w:t>
            </w:r>
          </w:p>
        </w:tc>
        <w:tc>
          <w:tcPr>
            <w:tcW w:w="1391" w:type="dxa"/>
          </w:tcPr>
          <w:p w14:paraId="40040B56" w14:textId="756CD451" w:rsidR="006B7F28" w:rsidRPr="00993442" w:rsidRDefault="006B7F28" w:rsidP="00B22F66">
            <w:pPr>
              <w:jc w:val="center"/>
              <w:rPr>
                <w:rFonts w:eastAsia="+mn-ea"/>
                <w:b/>
                <w:position w:val="1"/>
                <w:sz w:val="32"/>
                <w:szCs w:val="40"/>
              </w:rPr>
            </w:pPr>
            <w:r w:rsidRPr="00993442">
              <w:rPr>
                <w:rFonts w:eastAsia="+mn-ea"/>
                <w:b/>
                <w:position w:val="1"/>
                <w:sz w:val="32"/>
                <w:szCs w:val="40"/>
              </w:rPr>
              <w:t>Fit for use with caveats</w:t>
            </w:r>
          </w:p>
        </w:tc>
      </w:tr>
      <w:tr w:rsidR="00993442" w:rsidRPr="00993442" w14:paraId="0BAB232B" w14:textId="77777777" w:rsidTr="006B7F28">
        <w:tc>
          <w:tcPr>
            <w:tcW w:w="3617" w:type="dxa"/>
          </w:tcPr>
          <w:p w14:paraId="4BB60AAE" w14:textId="77777777" w:rsidR="006B7F28" w:rsidRPr="00993442" w:rsidRDefault="006B7F28" w:rsidP="00B22F66">
            <w:pPr>
              <w:spacing w:before="120" w:after="120"/>
              <w:rPr>
                <w:rFonts w:eastAsia="+mn-ea"/>
                <w:b/>
                <w:position w:val="1"/>
                <w:szCs w:val="40"/>
              </w:rPr>
            </w:pPr>
            <w:r w:rsidRPr="00993442">
              <w:rPr>
                <w:rFonts w:eastAsia="+mn-ea"/>
                <w:b/>
                <w:position w:val="1"/>
                <w:szCs w:val="40"/>
              </w:rPr>
              <w:t>Construction</w:t>
            </w:r>
          </w:p>
        </w:tc>
        <w:tc>
          <w:tcPr>
            <w:tcW w:w="1391" w:type="dxa"/>
          </w:tcPr>
          <w:p w14:paraId="21C4883C" w14:textId="6B1A2EBE" w:rsidR="006B7F28" w:rsidRPr="00993442" w:rsidRDefault="006B7F28" w:rsidP="00B22F66">
            <w:pPr>
              <w:jc w:val="center"/>
              <w:rPr>
                <w:rFonts w:eastAsia="+mn-ea"/>
                <w:b/>
                <w:position w:val="1"/>
                <w:sz w:val="32"/>
                <w:szCs w:val="40"/>
              </w:rPr>
            </w:pPr>
            <w:r w:rsidRPr="00993442">
              <w:rPr>
                <w:rFonts w:eastAsia="+mn-ea"/>
                <w:b/>
                <w:position w:val="1"/>
                <w:sz w:val="32"/>
                <w:szCs w:val="40"/>
              </w:rPr>
              <w:t>Not fit for use</w:t>
            </w:r>
          </w:p>
        </w:tc>
      </w:tr>
      <w:tr w:rsidR="00993442" w:rsidRPr="00993442" w14:paraId="44DE278E" w14:textId="77777777" w:rsidTr="006B7F28">
        <w:tc>
          <w:tcPr>
            <w:tcW w:w="3617" w:type="dxa"/>
          </w:tcPr>
          <w:p w14:paraId="665CAC66" w14:textId="77777777" w:rsidR="006B7F28" w:rsidRPr="00993442" w:rsidRDefault="006B7F28" w:rsidP="00B22F66">
            <w:pPr>
              <w:spacing w:before="120" w:after="120"/>
              <w:rPr>
                <w:rFonts w:eastAsia="+mn-ea"/>
                <w:b/>
                <w:position w:val="1"/>
                <w:szCs w:val="40"/>
              </w:rPr>
            </w:pPr>
            <w:r w:rsidRPr="00993442">
              <w:rPr>
                <w:rFonts w:eastAsia="+mn-ea"/>
                <w:b/>
                <w:position w:val="1"/>
                <w:szCs w:val="40"/>
              </w:rPr>
              <w:lastRenderedPageBreak/>
              <w:t>Presentation and Interpretation</w:t>
            </w:r>
          </w:p>
        </w:tc>
        <w:tc>
          <w:tcPr>
            <w:tcW w:w="1391" w:type="dxa"/>
          </w:tcPr>
          <w:p w14:paraId="0C4EC4BC" w14:textId="66803106" w:rsidR="006B7F28" w:rsidRPr="00993442" w:rsidRDefault="006B7F28" w:rsidP="00B22F66">
            <w:pPr>
              <w:jc w:val="center"/>
              <w:rPr>
                <w:rFonts w:eastAsia="+mn-ea"/>
                <w:b/>
                <w:position w:val="1"/>
                <w:sz w:val="32"/>
                <w:szCs w:val="40"/>
              </w:rPr>
            </w:pPr>
            <w:r w:rsidRPr="00993442">
              <w:rPr>
                <w:rFonts w:eastAsia="+mn-ea"/>
                <w:b/>
                <w:position w:val="1"/>
                <w:sz w:val="32"/>
                <w:szCs w:val="40"/>
              </w:rPr>
              <w:t xml:space="preserve"> Not fit for use</w:t>
            </w:r>
          </w:p>
        </w:tc>
      </w:tr>
      <w:tr w:rsidR="00993442" w:rsidRPr="00993442" w14:paraId="753536C2" w14:textId="77777777" w:rsidTr="006B7F28">
        <w:tc>
          <w:tcPr>
            <w:tcW w:w="3617" w:type="dxa"/>
          </w:tcPr>
          <w:p w14:paraId="34227479" w14:textId="77777777" w:rsidR="006B7F28" w:rsidRPr="00993442" w:rsidRDefault="006B7F28" w:rsidP="00B22F66">
            <w:pPr>
              <w:spacing w:before="120" w:after="120"/>
              <w:rPr>
                <w:rFonts w:eastAsia="+mn-ea"/>
                <w:b/>
                <w:position w:val="1"/>
                <w:szCs w:val="40"/>
              </w:rPr>
            </w:pPr>
            <w:r w:rsidRPr="00993442">
              <w:rPr>
                <w:rFonts w:eastAsia="+mn-ea"/>
                <w:b/>
                <w:position w:val="1"/>
                <w:szCs w:val="40"/>
              </w:rPr>
              <w:t>Risks and Usefulness</w:t>
            </w:r>
          </w:p>
        </w:tc>
        <w:tc>
          <w:tcPr>
            <w:tcW w:w="1391" w:type="dxa"/>
          </w:tcPr>
          <w:p w14:paraId="28DB0400" w14:textId="40A02CE0" w:rsidR="006B7F28" w:rsidRPr="00993442" w:rsidRDefault="006B7F28" w:rsidP="00B22F66">
            <w:pPr>
              <w:jc w:val="center"/>
              <w:rPr>
                <w:rFonts w:eastAsia="+mn-ea"/>
                <w:b/>
                <w:position w:val="1"/>
                <w:sz w:val="32"/>
                <w:szCs w:val="40"/>
              </w:rPr>
            </w:pPr>
            <w:r w:rsidRPr="00993442">
              <w:rPr>
                <w:rFonts w:eastAsia="+mn-ea"/>
                <w:b/>
                <w:noProof/>
                <w:position w:val="1"/>
                <w:sz w:val="32"/>
                <w:szCs w:val="40"/>
                <w:lang w:eastAsia="en-GB"/>
              </w:rPr>
              <w:t>Fit for use with caveats</w:t>
            </w:r>
          </w:p>
        </w:tc>
      </w:tr>
      <w:tr w:rsidR="00993442" w:rsidRPr="00993442" w14:paraId="03531EE5" w14:textId="77777777" w:rsidTr="006B7F28">
        <w:tc>
          <w:tcPr>
            <w:tcW w:w="3617" w:type="dxa"/>
          </w:tcPr>
          <w:p w14:paraId="5900814A" w14:textId="356608C4" w:rsidR="006B7F28" w:rsidRPr="00993442" w:rsidRDefault="006B7F28" w:rsidP="00B22F66">
            <w:pPr>
              <w:spacing w:before="120" w:after="120"/>
              <w:rPr>
                <w:rFonts w:eastAsia="+mn-ea"/>
                <w:b/>
                <w:position w:val="1"/>
                <w:szCs w:val="40"/>
              </w:rPr>
            </w:pPr>
            <w:r w:rsidRPr="00993442">
              <w:rPr>
                <w:rFonts w:eastAsia="+mn-ea"/>
                <w:b/>
                <w:position w:val="1"/>
                <w:szCs w:val="40"/>
              </w:rPr>
              <w:t>Suggested assurance rating</w:t>
            </w:r>
          </w:p>
        </w:tc>
        <w:tc>
          <w:tcPr>
            <w:tcW w:w="1391" w:type="dxa"/>
          </w:tcPr>
          <w:sdt>
            <w:sdtPr>
              <w:rPr>
                <w:rStyle w:val="Style1"/>
                <w:color w:val="auto"/>
              </w:rPr>
              <w:alias w:val="Overall rating"/>
              <w:tag w:val="Overall rating"/>
              <w:id w:val="-1224678567"/>
              <w:dropDownList>
                <w:listItem w:value="Choose an item."/>
                <w:listItem w:displayText="Fit for use" w:value="Fit for use"/>
                <w:listItem w:displayText="Fit for use with caveats" w:value="Fit for use with caveats"/>
                <w:listItem w:displayText="Use with caution" w:value="Use with caution"/>
                <w:listItem w:displayText="Not fit for use" w:value="Not fit for use"/>
                <w:listItem w:displayText="Not enough information provided" w:value="Not enough information provided"/>
              </w:dropDownList>
            </w:sdtPr>
            <w:sdtEndPr>
              <w:rPr>
                <w:rStyle w:val="Style1"/>
              </w:rPr>
            </w:sdtEndPr>
            <w:sdtContent>
              <w:p w14:paraId="7BAE1F1E" w14:textId="77777777" w:rsidR="006B7F28" w:rsidRPr="00993442" w:rsidRDefault="006B7F28" w:rsidP="006B7F28">
                <w:pPr>
                  <w:jc w:val="center"/>
                  <w:rPr>
                    <w:rStyle w:val="Style1"/>
                    <w:color w:val="auto"/>
                  </w:rPr>
                </w:pPr>
                <w:r w:rsidRPr="00993442">
                  <w:rPr>
                    <w:rStyle w:val="Style1"/>
                    <w:color w:val="auto"/>
                  </w:rPr>
                  <w:t>Not fit for use</w:t>
                </w:r>
              </w:p>
            </w:sdtContent>
          </w:sdt>
          <w:p w14:paraId="036CE328" w14:textId="44C5ECA4" w:rsidR="006B7F28" w:rsidRPr="00993442" w:rsidRDefault="006B7F28" w:rsidP="00B22F66">
            <w:pPr>
              <w:jc w:val="center"/>
              <w:rPr>
                <w:rFonts w:eastAsia="+mn-ea"/>
                <w:b/>
                <w:noProof/>
                <w:position w:val="1"/>
                <w:sz w:val="32"/>
                <w:szCs w:val="40"/>
                <w:lang w:eastAsia="en-GB"/>
              </w:rPr>
            </w:pPr>
          </w:p>
        </w:tc>
      </w:tr>
    </w:tbl>
    <w:p w14:paraId="1582AA9D" w14:textId="77777777" w:rsidR="00CB2802" w:rsidRPr="00993442" w:rsidRDefault="00CB2802" w:rsidP="00CB2802">
      <w:pPr>
        <w:pStyle w:val="NormalWeb"/>
        <w:spacing w:before="0" w:beforeAutospacing="0" w:after="0" w:afterAutospacing="0"/>
        <w:rPr>
          <w:rFonts w:ascii="Arial" w:eastAsia="+mn-ea" w:hAnsi="Arial" w:cs="Arial"/>
          <w:b/>
          <w:position w:val="1"/>
          <w:sz w:val="26"/>
          <w:szCs w:val="26"/>
        </w:rPr>
      </w:pPr>
    </w:p>
    <w:p w14:paraId="50D7FF82" w14:textId="77777777" w:rsidR="00CB2802" w:rsidRPr="00993442" w:rsidRDefault="00CB2802" w:rsidP="00CB2802">
      <w:pPr>
        <w:spacing w:before="240"/>
        <w:rPr>
          <w:rFonts w:eastAsia="+mn-ea"/>
          <w:b/>
          <w:position w:val="1"/>
          <w:sz w:val="24"/>
          <w:szCs w:val="40"/>
        </w:rPr>
      </w:pPr>
      <w:r w:rsidRPr="00993442">
        <w:rPr>
          <w:rFonts w:eastAsia="+mn-ea"/>
          <w:b/>
          <w:position w:val="1"/>
          <w:sz w:val="24"/>
          <w:szCs w:val="40"/>
        </w:rPr>
        <w:t>Summary Recommendation to Applicant:</w:t>
      </w:r>
    </w:p>
    <w:sdt>
      <w:sdtPr>
        <w:rPr>
          <w:rFonts w:eastAsia="Times New Roman"/>
          <w:sz w:val="23"/>
          <w:szCs w:val="23"/>
          <w:lang w:eastAsia="en-GB"/>
        </w:rPr>
        <w:id w:val="689580274"/>
      </w:sdtPr>
      <w:sdtEndPr/>
      <w:sdtContent>
        <w:p w14:paraId="0971FA18" w14:textId="77777777" w:rsidR="00CB2802" w:rsidRPr="00993442" w:rsidRDefault="00CB2802" w:rsidP="00CB2802">
          <w:pPr>
            <w:spacing w:before="240"/>
            <w:rPr>
              <w:rFonts w:eastAsia="+mn-ea"/>
              <w:position w:val="1"/>
            </w:rPr>
          </w:pPr>
          <w:r w:rsidRPr="00993442">
            <w:rPr>
              <w:rFonts w:eastAsia="Times New Roman"/>
              <w:sz w:val="23"/>
              <w:szCs w:val="23"/>
              <w:lang w:eastAsia="en-GB"/>
            </w:rPr>
            <w:t xml:space="preserve">MRG noted that the indicator has been previously assured (with caveats) as suitable for inclusion in the Library of Quality Assured Indicators, however this was under an earlier iteration of the assurance process.  Members thanked the applicant for the “uplift” in documentation which has allowed the indicator to be assessed against the standard criteria assessment and “levels of assurance”.  </w:t>
          </w:r>
          <w:r w:rsidRPr="00993442">
            <w:rPr>
              <w:rFonts w:eastAsia="Times New Roman"/>
              <w:sz w:val="23"/>
              <w:szCs w:val="23"/>
              <w:lang w:eastAsia="en-GB"/>
            </w:rPr>
            <w:br/>
          </w:r>
          <w:r w:rsidRPr="00993442">
            <w:rPr>
              <w:rFonts w:eastAsia="Times New Roman"/>
              <w:sz w:val="23"/>
              <w:szCs w:val="23"/>
              <w:lang w:eastAsia="en-GB"/>
            </w:rPr>
            <w:br/>
            <w:t xml:space="preserve">Upon review the indicator has been rated as “not fit for purpose” against the ‘Construction’ and “Interpretation” assessment criterion, which in turn mean that the indicator would not at present be suitable for inclusion in the Library of Quality Assured Indicators. The rating is primarily due to concerns relating to the method of calculating the confidence intervals which are detailed in the appraisal log (comment 4d).  However as the model used to construct the indicator has not been presented as part of the application, MRG members have also concluded that they do not have the necessary level of information to come to a final conclusion on the robustness of the methodology, regardless of the points regarding the confidence intervals (comment 4c).  </w:t>
          </w:r>
          <w:r w:rsidRPr="00993442">
            <w:rPr>
              <w:rFonts w:eastAsia="Times New Roman"/>
              <w:sz w:val="23"/>
              <w:szCs w:val="23"/>
              <w:lang w:eastAsia="en-GB"/>
            </w:rPr>
            <w:br/>
          </w:r>
          <w:r w:rsidRPr="00993442">
            <w:rPr>
              <w:rFonts w:eastAsia="Times New Roman"/>
              <w:sz w:val="23"/>
              <w:szCs w:val="23"/>
              <w:lang w:eastAsia="en-GB"/>
            </w:rPr>
            <w:br/>
            <w:t>As such MRG strongly recommend the indicator returns to MRG for reconsideration following further investigation of the points raised in the appraisal log (see below).</w:t>
          </w:r>
        </w:p>
      </w:sdtContent>
    </w:sdt>
    <w:p w14:paraId="7494125A" w14:textId="77777777" w:rsidR="00CB2802" w:rsidRPr="00993442" w:rsidRDefault="00CB2802" w:rsidP="00CB2802">
      <w:pPr>
        <w:spacing w:before="240"/>
        <w:rPr>
          <w:rFonts w:eastAsia="+mn-ea"/>
          <w:b/>
          <w:position w:val="1"/>
          <w:sz w:val="24"/>
          <w:szCs w:val="40"/>
        </w:rPr>
      </w:pPr>
    </w:p>
    <w:p w14:paraId="6F910A44" w14:textId="77777777" w:rsidR="00CB2802" w:rsidRPr="00993442" w:rsidRDefault="00CB2802" w:rsidP="00CB2802">
      <w:pPr>
        <w:spacing w:before="240"/>
        <w:rPr>
          <w:rFonts w:eastAsia="+mn-ea"/>
          <w:b/>
          <w:position w:val="1"/>
          <w:sz w:val="24"/>
          <w:szCs w:val="40"/>
        </w:rPr>
      </w:pPr>
      <w:r w:rsidRPr="00993442">
        <w:rPr>
          <w:rFonts w:eastAsia="+mn-ea"/>
          <w:b/>
          <w:position w:val="1"/>
          <w:sz w:val="24"/>
          <w:szCs w:val="40"/>
        </w:rPr>
        <w:t>Summary Recommendation to IGB:</w:t>
      </w:r>
    </w:p>
    <w:p w14:paraId="2A43D169" w14:textId="77777777" w:rsidR="00CB2802" w:rsidRPr="00993442" w:rsidRDefault="005340D1" w:rsidP="00CB2802">
      <w:pPr>
        <w:spacing w:before="240"/>
        <w:rPr>
          <w:rFonts w:eastAsia="Times New Roman"/>
          <w:sz w:val="23"/>
          <w:szCs w:val="23"/>
          <w:lang w:eastAsia="en-GB"/>
        </w:rPr>
      </w:pPr>
      <w:sdt>
        <w:sdtPr>
          <w:rPr>
            <w:rFonts w:eastAsia="Times New Roman"/>
            <w:sz w:val="23"/>
            <w:szCs w:val="23"/>
            <w:lang w:eastAsia="en-GB"/>
          </w:rPr>
          <w:alias w:val="Summary Recommendation to IGB"/>
          <w:tag w:val="Summary Recommendation to IGB"/>
          <w:id w:val="2043094404"/>
          <w:text w:multiLine="1"/>
        </w:sdtPr>
        <w:sdtEndPr/>
        <w:sdtContent>
          <w:r w:rsidR="00CB2802" w:rsidRPr="00993442">
            <w:rPr>
              <w:rFonts w:eastAsia="Times New Roman"/>
              <w:sz w:val="23"/>
              <w:szCs w:val="23"/>
              <w:lang w:eastAsia="en-GB"/>
            </w:rPr>
            <w:t>Upon review, MRG currently do not endorse the indicator for inclusion in the Library as per the comments provided to the applicant.</w:t>
          </w:r>
          <w:r w:rsidR="00CB2802" w:rsidRPr="00993442">
            <w:rPr>
              <w:rFonts w:eastAsia="Times New Roman"/>
              <w:sz w:val="23"/>
              <w:szCs w:val="23"/>
              <w:lang w:eastAsia="en-GB"/>
            </w:rPr>
            <w:br/>
          </w:r>
          <w:r w:rsidR="00CB2802" w:rsidRPr="00993442">
            <w:rPr>
              <w:rFonts w:eastAsia="Times New Roman"/>
              <w:sz w:val="23"/>
              <w:szCs w:val="23"/>
              <w:lang w:eastAsia="en-GB"/>
            </w:rPr>
            <w:br/>
            <w:t>Members also raised concern that a HES-based indicator is also currently live (part of the Compendium) and have recommended that this indicator be put forward for assurance such that the methodology for the indicator could also be assessed.</w:t>
          </w:r>
        </w:sdtContent>
      </w:sdt>
    </w:p>
    <w:p w14:paraId="06C5629E" w14:textId="77777777" w:rsidR="00CB2802" w:rsidRPr="00993442" w:rsidRDefault="00CB2802" w:rsidP="00CB2802"/>
    <w:p w14:paraId="5D650716" w14:textId="77777777" w:rsidR="00CB2802" w:rsidRPr="00993442" w:rsidRDefault="00CB2802" w:rsidP="00CB2802">
      <w:pPr>
        <w:rPr>
          <w:b/>
          <w:spacing w:val="5"/>
          <w:kern w:val="28"/>
          <w:szCs w:val="52"/>
        </w:rPr>
      </w:pPr>
      <w:r w:rsidRPr="00993442">
        <w:rPr>
          <w:b/>
        </w:rPr>
        <w:t>Please find a detailed description of recommendations and actions in the appraisal log at the end of the document.</w:t>
      </w:r>
    </w:p>
    <w:p w14:paraId="07CDBFF8" w14:textId="77777777" w:rsidR="00CB2802" w:rsidRPr="00993442" w:rsidRDefault="00CB2802" w:rsidP="00CB2802">
      <w:pPr>
        <w:rPr>
          <w:rFonts w:eastAsia="+mn-ea"/>
          <w:sz w:val="40"/>
        </w:rPr>
      </w:pPr>
      <w:r w:rsidRPr="00993442">
        <w:rPr>
          <w:rFonts w:eastAsia="+mn-ea"/>
          <w:sz w:val="40"/>
        </w:rPr>
        <w:br w:type="page"/>
      </w:r>
    </w:p>
    <w:p w14:paraId="7B4A52EC" w14:textId="77777777" w:rsidR="00CB2802" w:rsidRPr="00993442" w:rsidRDefault="00CB2802" w:rsidP="00CB2802">
      <w:pPr>
        <w:pStyle w:val="NormalWeb"/>
        <w:spacing w:before="0" w:beforeAutospacing="0" w:after="0" w:afterAutospacing="0"/>
        <w:rPr>
          <w:rFonts w:ascii="Arial" w:eastAsia="+mn-ea" w:hAnsi="Arial" w:cs="Arial"/>
          <w:b/>
          <w:position w:val="1"/>
          <w:sz w:val="32"/>
          <w:szCs w:val="32"/>
        </w:rPr>
      </w:pPr>
      <w:r w:rsidRPr="00993442">
        <w:rPr>
          <w:rFonts w:ascii="Arial" w:eastAsia="+mn-ea" w:hAnsi="Arial" w:cs="Arial"/>
          <w:b/>
          <w:position w:val="1"/>
          <w:sz w:val="32"/>
          <w:szCs w:val="32"/>
        </w:rPr>
        <w:lastRenderedPageBreak/>
        <w:t>What do the Assurance Ratings mean?</w:t>
      </w:r>
    </w:p>
    <w:p w14:paraId="6D5C3306" w14:textId="77777777" w:rsidR="00CB2802" w:rsidRPr="00993442" w:rsidRDefault="00CB2802" w:rsidP="00CB2802"/>
    <w:tbl>
      <w:tblPr>
        <w:tblStyle w:val="TableGrid2"/>
        <w:tblW w:w="0" w:type="auto"/>
        <w:tblLook w:val="04A0" w:firstRow="1" w:lastRow="0" w:firstColumn="1" w:lastColumn="0" w:noHBand="0" w:noVBand="1"/>
      </w:tblPr>
      <w:tblGrid>
        <w:gridCol w:w="2693"/>
        <w:gridCol w:w="6095"/>
      </w:tblGrid>
      <w:tr w:rsidR="00993442" w:rsidRPr="00993442" w14:paraId="034C9B0F" w14:textId="77777777" w:rsidTr="006B7F28">
        <w:tc>
          <w:tcPr>
            <w:tcW w:w="2693" w:type="dxa"/>
          </w:tcPr>
          <w:p w14:paraId="6DC3F0EA" w14:textId="485F5126" w:rsidR="006B7F28" w:rsidRPr="00993442" w:rsidRDefault="006B7F28" w:rsidP="00B22F66">
            <w:pPr>
              <w:spacing w:before="120" w:after="120"/>
              <w:rPr>
                <w:b/>
              </w:rPr>
            </w:pPr>
            <w:r w:rsidRPr="00993442">
              <w:rPr>
                <w:b/>
                <w:sz w:val="28"/>
                <w:szCs w:val="28"/>
              </w:rPr>
              <w:t>Rating</w:t>
            </w:r>
          </w:p>
        </w:tc>
        <w:tc>
          <w:tcPr>
            <w:tcW w:w="6095" w:type="dxa"/>
          </w:tcPr>
          <w:p w14:paraId="10FE353A" w14:textId="03D5B9E9" w:rsidR="006B7F28" w:rsidRPr="00993442" w:rsidRDefault="006B7F28" w:rsidP="00B22F66">
            <w:pPr>
              <w:spacing w:before="120" w:after="120"/>
            </w:pPr>
            <w:r w:rsidRPr="00993442">
              <w:rPr>
                <w:b/>
                <w:sz w:val="28"/>
                <w:szCs w:val="28"/>
              </w:rPr>
              <w:t>Description</w:t>
            </w:r>
          </w:p>
        </w:tc>
      </w:tr>
      <w:tr w:rsidR="00993442" w:rsidRPr="00993442" w14:paraId="483C8A12" w14:textId="77777777" w:rsidTr="006B7F28">
        <w:tc>
          <w:tcPr>
            <w:tcW w:w="2693" w:type="dxa"/>
          </w:tcPr>
          <w:p w14:paraId="4332C3BC" w14:textId="77777777" w:rsidR="006B7F28" w:rsidRPr="00993442" w:rsidRDefault="006B7F28" w:rsidP="00B22F66">
            <w:pPr>
              <w:spacing w:before="120" w:after="120"/>
              <w:rPr>
                <w:b/>
              </w:rPr>
            </w:pPr>
            <w:r w:rsidRPr="00993442">
              <w:rPr>
                <w:b/>
              </w:rPr>
              <w:t>Fit for use</w:t>
            </w:r>
          </w:p>
        </w:tc>
        <w:tc>
          <w:tcPr>
            <w:tcW w:w="6095" w:type="dxa"/>
          </w:tcPr>
          <w:p w14:paraId="0D8BD379" w14:textId="77777777" w:rsidR="006B7F28" w:rsidRPr="00993442" w:rsidRDefault="006B7F28" w:rsidP="00B22F66">
            <w:pPr>
              <w:spacing w:before="120" w:after="120"/>
            </w:pPr>
            <w:r w:rsidRPr="00993442">
              <w:t>This indicator can be used with confidence that it is constructed in a sound manner that is fit for purpose.</w:t>
            </w:r>
          </w:p>
        </w:tc>
      </w:tr>
      <w:tr w:rsidR="00993442" w:rsidRPr="00993442" w14:paraId="537FAB7A" w14:textId="77777777" w:rsidTr="006B7F28">
        <w:tc>
          <w:tcPr>
            <w:tcW w:w="2693" w:type="dxa"/>
          </w:tcPr>
          <w:p w14:paraId="1D107B21" w14:textId="77777777" w:rsidR="006B7F28" w:rsidRPr="00993442" w:rsidRDefault="006B7F28" w:rsidP="00B22F66">
            <w:pPr>
              <w:spacing w:before="120" w:after="120"/>
              <w:rPr>
                <w:b/>
              </w:rPr>
            </w:pPr>
            <w:r w:rsidRPr="00993442">
              <w:rPr>
                <w:b/>
              </w:rPr>
              <w:t>Fit for use with caveats</w:t>
            </w:r>
          </w:p>
        </w:tc>
        <w:tc>
          <w:tcPr>
            <w:tcW w:w="6095" w:type="dxa"/>
          </w:tcPr>
          <w:p w14:paraId="1C5066AD" w14:textId="77777777" w:rsidR="006B7F28" w:rsidRPr="00993442" w:rsidRDefault="006B7F28" w:rsidP="00B22F66">
            <w:pPr>
              <w:spacing w:before="120" w:after="120"/>
            </w:pPr>
            <w:r w:rsidRPr="00993442">
              <w:t xml:space="preserve">The indicator is fit for </w:t>
            </w:r>
            <w:proofErr w:type="gramStart"/>
            <w:r w:rsidRPr="00993442">
              <w:t>use,</w:t>
            </w:r>
            <w:proofErr w:type="gramEnd"/>
            <w:r w:rsidRPr="00993442">
              <w:t xml:space="preserve"> however users should be aware of caveats and/or recommendations for improvement that have been identified during the assurance process.</w:t>
            </w:r>
          </w:p>
        </w:tc>
      </w:tr>
      <w:tr w:rsidR="00993442" w:rsidRPr="00993442" w14:paraId="6AB50D96" w14:textId="77777777" w:rsidTr="006B7F28">
        <w:tc>
          <w:tcPr>
            <w:tcW w:w="2693" w:type="dxa"/>
          </w:tcPr>
          <w:p w14:paraId="7940FB32" w14:textId="77777777" w:rsidR="006B7F28" w:rsidRPr="00993442" w:rsidRDefault="006B7F28" w:rsidP="00B22F66">
            <w:pPr>
              <w:spacing w:before="120" w:after="120"/>
              <w:rPr>
                <w:b/>
              </w:rPr>
            </w:pPr>
            <w:r w:rsidRPr="00993442">
              <w:rPr>
                <w:b/>
              </w:rPr>
              <w:t>Use with caution</w:t>
            </w:r>
          </w:p>
        </w:tc>
        <w:tc>
          <w:tcPr>
            <w:tcW w:w="6095" w:type="dxa"/>
          </w:tcPr>
          <w:p w14:paraId="4CF19384" w14:textId="77777777" w:rsidR="006B7F28" w:rsidRPr="00993442" w:rsidRDefault="006B7F28" w:rsidP="00B22F66">
            <w:pPr>
              <w:spacing w:before="120" w:after="120"/>
            </w:pPr>
            <w:r w:rsidRPr="00993442">
              <w:t xml:space="preserve">The indicator is based on a sound methodology for which the assurance process </w:t>
            </w:r>
            <w:proofErr w:type="gramStart"/>
            <w:r w:rsidRPr="00993442">
              <w:t>endorse</w:t>
            </w:r>
            <w:proofErr w:type="gramEnd"/>
            <w:r w:rsidRPr="00993442">
              <w:t xml:space="preserve"> the use, however issues have been identified with the national data source which have implications for its use as an indicator.</w:t>
            </w:r>
          </w:p>
        </w:tc>
      </w:tr>
      <w:tr w:rsidR="00993442" w:rsidRPr="00993442" w14:paraId="43C0010B" w14:textId="77777777" w:rsidTr="006B7F28">
        <w:tc>
          <w:tcPr>
            <w:tcW w:w="2693" w:type="dxa"/>
          </w:tcPr>
          <w:p w14:paraId="5D85CC43" w14:textId="77777777" w:rsidR="006B7F28" w:rsidRPr="00993442" w:rsidRDefault="006B7F28" w:rsidP="00B22F66">
            <w:pPr>
              <w:spacing w:before="120" w:after="120"/>
              <w:rPr>
                <w:b/>
              </w:rPr>
            </w:pPr>
            <w:r w:rsidRPr="00993442">
              <w:rPr>
                <w:b/>
              </w:rPr>
              <w:t>Not fit for use</w:t>
            </w:r>
          </w:p>
        </w:tc>
        <w:tc>
          <w:tcPr>
            <w:tcW w:w="6095" w:type="dxa"/>
          </w:tcPr>
          <w:p w14:paraId="70FA0C8A" w14:textId="77777777" w:rsidR="006B7F28" w:rsidRPr="00993442" w:rsidRDefault="006B7F28" w:rsidP="00B22F66">
            <w:pPr>
              <w:spacing w:before="120" w:after="120"/>
            </w:pPr>
            <w:r w:rsidRPr="00993442">
              <w:t>Issues have been identified with the indicator which have resulted in the assurance process currently not endorsing its use as a quality indicator.</w:t>
            </w:r>
          </w:p>
        </w:tc>
      </w:tr>
      <w:tr w:rsidR="00993442" w:rsidRPr="00993442" w14:paraId="0769575C" w14:textId="77777777" w:rsidTr="006B7F28">
        <w:tc>
          <w:tcPr>
            <w:tcW w:w="2693" w:type="dxa"/>
          </w:tcPr>
          <w:p w14:paraId="494FBDD3" w14:textId="77777777" w:rsidR="006B7F28" w:rsidRPr="00993442" w:rsidRDefault="006B7F28" w:rsidP="00B22F66">
            <w:pPr>
              <w:spacing w:before="120" w:after="120"/>
              <w:rPr>
                <w:b/>
              </w:rPr>
            </w:pPr>
            <w:r w:rsidRPr="00993442">
              <w:rPr>
                <w:b/>
              </w:rPr>
              <w:t>Not enough information provided</w:t>
            </w:r>
          </w:p>
        </w:tc>
        <w:tc>
          <w:tcPr>
            <w:tcW w:w="6095" w:type="dxa"/>
          </w:tcPr>
          <w:p w14:paraId="13323008" w14:textId="77777777" w:rsidR="006B7F28" w:rsidRPr="00993442" w:rsidRDefault="006B7F28" w:rsidP="00B22F66">
            <w:pPr>
              <w:spacing w:before="120" w:after="120"/>
            </w:pPr>
            <w:r w:rsidRPr="00993442">
              <w:t>There has not been enough information supplied to the assurance process to be able to accurately give the indicator a level of assurance.</w:t>
            </w:r>
          </w:p>
        </w:tc>
      </w:tr>
    </w:tbl>
    <w:p w14:paraId="6F491D97" w14:textId="77777777" w:rsidR="00CB2802" w:rsidRPr="00993442" w:rsidRDefault="00CB2802" w:rsidP="00CB2802">
      <w:pPr>
        <w:pStyle w:val="NormalWeb"/>
        <w:spacing w:before="0" w:beforeAutospacing="0" w:after="0" w:afterAutospacing="0"/>
        <w:rPr>
          <w:rFonts w:ascii="Arial" w:eastAsia="+mn-ea" w:hAnsi="Arial" w:cs="Arial"/>
          <w:sz w:val="40"/>
        </w:rPr>
      </w:pPr>
      <w:r w:rsidRPr="00993442">
        <w:rPr>
          <w:rFonts w:ascii="Arial" w:eastAsia="+mn-ea" w:hAnsi="Arial" w:cs="Arial"/>
          <w:sz w:val="40"/>
        </w:rPr>
        <w:br w:type="page"/>
      </w:r>
    </w:p>
    <w:p w14:paraId="63011A65" w14:textId="77777777" w:rsidR="00CB2802" w:rsidRPr="00993442" w:rsidRDefault="00CB2802" w:rsidP="00CB2802">
      <w:pPr>
        <w:spacing w:before="240"/>
        <w:rPr>
          <w:rFonts w:eastAsia="+mn-ea"/>
          <w:b/>
          <w:position w:val="1"/>
          <w:sz w:val="32"/>
          <w:szCs w:val="40"/>
          <w:lang w:eastAsia="en-GB"/>
        </w:rPr>
        <w:sectPr w:rsidR="00CB2802" w:rsidRPr="00993442" w:rsidSect="00B22F66">
          <w:headerReference w:type="first" r:id="rId22"/>
          <w:footerReference w:type="first" r:id="rId23"/>
          <w:pgSz w:w="11906" w:h="16838"/>
          <w:pgMar w:top="851" w:right="991" w:bottom="1440" w:left="851" w:header="567" w:footer="708" w:gutter="0"/>
          <w:pgNumType w:start="0"/>
          <w:cols w:space="708"/>
          <w:titlePg/>
          <w:docGrid w:linePitch="360"/>
        </w:sectPr>
      </w:pPr>
    </w:p>
    <w:p w14:paraId="3C5E8E4D" w14:textId="77777777" w:rsidR="00CB2802" w:rsidRPr="00993442" w:rsidRDefault="00CB2802" w:rsidP="00CB2802">
      <w:pPr>
        <w:pStyle w:val="NormalWeb"/>
        <w:spacing w:before="0" w:beforeAutospacing="0" w:after="0" w:afterAutospacing="0"/>
        <w:rPr>
          <w:rFonts w:ascii="Arial" w:eastAsia="+mn-ea" w:hAnsi="Arial" w:cs="Arial"/>
          <w:b/>
          <w:position w:val="1"/>
          <w:sz w:val="32"/>
          <w:szCs w:val="26"/>
        </w:rPr>
      </w:pPr>
      <w:r w:rsidRPr="00993442">
        <w:rPr>
          <w:rFonts w:ascii="Arial" w:eastAsia="+mn-ea" w:hAnsi="Arial" w:cs="Arial"/>
          <w:b/>
          <w:position w:val="1"/>
          <w:sz w:val="32"/>
          <w:szCs w:val="26"/>
        </w:rPr>
        <w:lastRenderedPageBreak/>
        <w:t xml:space="preserve">Appraisal Log </w:t>
      </w:r>
    </w:p>
    <w:p w14:paraId="1285F23F" w14:textId="538DB118" w:rsidR="00CB2802" w:rsidRPr="00993442" w:rsidRDefault="006B7F28" w:rsidP="00CB2802">
      <w:pPr>
        <w:pStyle w:val="NormalWeb"/>
        <w:spacing w:before="0" w:beforeAutospacing="0" w:after="0" w:afterAutospacing="0"/>
        <w:rPr>
          <w:rFonts w:ascii="Arial" w:eastAsia="+mn-ea" w:hAnsi="Arial" w:cs="Arial"/>
          <w:b/>
          <w:position w:val="1"/>
          <w:sz w:val="32"/>
          <w:szCs w:val="26"/>
        </w:rPr>
      </w:pPr>
      <w:r w:rsidRPr="00993442">
        <w:rPr>
          <w:rFonts w:ascii="Arial" w:hAnsi="Arial" w:cs="Arial"/>
          <w:b/>
          <w:sz w:val="28"/>
          <w:szCs w:val="28"/>
        </w:rPr>
        <w:t>Clarity</w:t>
      </w:r>
    </w:p>
    <w:tbl>
      <w:tblPr>
        <w:tblStyle w:val="TableGrid2"/>
        <w:tblW w:w="5000" w:type="pct"/>
        <w:tblLook w:val="04A0" w:firstRow="1" w:lastRow="0" w:firstColumn="1" w:lastColumn="0" w:noHBand="0" w:noVBand="1"/>
      </w:tblPr>
      <w:tblGrid>
        <w:gridCol w:w="867"/>
        <w:gridCol w:w="4254"/>
        <w:gridCol w:w="1183"/>
        <w:gridCol w:w="4531"/>
        <w:gridCol w:w="1268"/>
        <w:gridCol w:w="1195"/>
        <w:gridCol w:w="1270"/>
      </w:tblGrid>
      <w:tr w:rsidR="00993442" w:rsidRPr="00993442" w14:paraId="2DF51388" w14:textId="77777777" w:rsidTr="006B7F28">
        <w:tc>
          <w:tcPr>
            <w:tcW w:w="298" w:type="pct"/>
          </w:tcPr>
          <w:p w14:paraId="3749F82F" w14:textId="77777777" w:rsidR="00CB2802" w:rsidRPr="00993442" w:rsidRDefault="00CB2802" w:rsidP="00B22F66">
            <w:pPr>
              <w:rPr>
                <w:b/>
                <w:i/>
              </w:rPr>
            </w:pPr>
            <w:r w:rsidRPr="00993442">
              <w:rPr>
                <w:b/>
                <w:i/>
              </w:rPr>
              <w:t>Rec. no</w:t>
            </w:r>
          </w:p>
        </w:tc>
        <w:tc>
          <w:tcPr>
            <w:tcW w:w="1460" w:type="pct"/>
          </w:tcPr>
          <w:p w14:paraId="2BC2F93E" w14:textId="77777777" w:rsidR="00CB2802" w:rsidRPr="00993442" w:rsidRDefault="00CB2802" w:rsidP="00B22F66">
            <w:pPr>
              <w:rPr>
                <w:b/>
                <w:i/>
              </w:rPr>
            </w:pPr>
            <w:r w:rsidRPr="00993442">
              <w:rPr>
                <w:b/>
                <w:i/>
              </w:rPr>
              <w:t>Issue or recommendation</w:t>
            </w:r>
          </w:p>
        </w:tc>
        <w:tc>
          <w:tcPr>
            <w:tcW w:w="406" w:type="pct"/>
          </w:tcPr>
          <w:p w14:paraId="71E09504" w14:textId="77777777" w:rsidR="00CB2802" w:rsidRPr="00993442" w:rsidRDefault="00CB2802" w:rsidP="00B22F66">
            <w:pPr>
              <w:rPr>
                <w:b/>
                <w:i/>
              </w:rPr>
            </w:pPr>
            <w:r w:rsidRPr="00993442">
              <w:rPr>
                <w:b/>
                <w:i/>
              </w:rPr>
              <w:t>Raised by / Date</w:t>
            </w:r>
          </w:p>
        </w:tc>
        <w:tc>
          <w:tcPr>
            <w:tcW w:w="1555" w:type="pct"/>
          </w:tcPr>
          <w:p w14:paraId="4FC19DF5" w14:textId="77777777" w:rsidR="00CB2802" w:rsidRPr="00993442" w:rsidRDefault="00CB2802" w:rsidP="00B22F66">
            <w:pPr>
              <w:rPr>
                <w:b/>
                <w:i/>
              </w:rPr>
            </w:pPr>
            <w:r w:rsidRPr="00993442">
              <w:rPr>
                <w:b/>
                <w:i/>
              </w:rPr>
              <w:t>Response or Action taken by applicant</w:t>
            </w:r>
          </w:p>
        </w:tc>
        <w:tc>
          <w:tcPr>
            <w:tcW w:w="435" w:type="pct"/>
          </w:tcPr>
          <w:p w14:paraId="51D5A23C" w14:textId="77777777" w:rsidR="00CB2802" w:rsidRPr="00993442" w:rsidRDefault="00CB2802" w:rsidP="00B22F66">
            <w:pPr>
              <w:rPr>
                <w:b/>
                <w:i/>
              </w:rPr>
            </w:pPr>
            <w:r w:rsidRPr="00993442">
              <w:rPr>
                <w:b/>
                <w:i/>
              </w:rPr>
              <w:t>Response date</w:t>
            </w:r>
          </w:p>
        </w:tc>
        <w:tc>
          <w:tcPr>
            <w:tcW w:w="410" w:type="pct"/>
          </w:tcPr>
          <w:p w14:paraId="0BBDB6A9" w14:textId="77777777" w:rsidR="00CB2802" w:rsidRPr="00993442" w:rsidRDefault="00CB2802" w:rsidP="00B22F66">
            <w:pPr>
              <w:rPr>
                <w:b/>
                <w:i/>
              </w:rPr>
            </w:pPr>
            <w:r w:rsidRPr="00993442">
              <w:rPr>
                <w:b/>
                <w:i/>
              </w:rPr>
              <w:t>Resolved</w:t>
            </w:r>
          </w:p>
        </w:tc>
        <w:tc>
          <w:tcPr>
            <w:tcW w:w="436" w:type="pct"/>
          </w:tcPr>
          <w:p w14:paraId="0815233A" w14:textId="77777777" w:rsidR="00CB2802" w:rsidRPr="00993442" w:rsidRDefault="00CB2802" w:rsidP="00B22F66">
            <w:pPr>
              <w:rPr>
                <w:b/>
                <w:i/>
              </w:rPr>
            </w:pPr>
            <w:r w:rsidRPr="00993442">
              <w:rPr>
                <w:b/>
                <w:i/>
              </w:rPr>
              <w:t>Sign off by / Date</w:t>
            </w:r>
          </w:p>
        </w:tc>
      </w:tr>
      <w:tr w:rsidR="00993442" w:rsidRPr="00993442" w14:paraId="7D4CEAD7" w14:textId="77777777" w:rsidTr="006B7F28">
        <w:tc>
          <w:tcPr>
            <w:tcW w:w="298" w:type="pct"/>
          </w:tcPr>
          <w:p w14:paraId="2DFB095F" w14:textId="77777777" w:rsidR="00CB2802" w:rsidRPr="00993442" w:rsidRDefault="00CB2802" w:rsidP="00B22F66">
            <w:r w:rsidRPr="00993442">
              <w:t>1a</w:t>
            </w:r>
          </w:p>
        </w:tc>
        <w:tc>
          <w:tcPr>
            <w:tcW w:w="1460" w:type="pct"/>
          </w:tcPr>
          <w:p w14:paraId="12A3477F" w14:textId="77777777" w:rsidR="00CB2802" w:rsidRPr="00993442" w:rsidRDefault="00CB2802" w:rsidP="00B22F66">
            <w:r w:rsidRPr="00993442">
              <w:t>No issues raised</w:t>
            </w:r>
          </w:p>
        </w:tc>
        <w:tc>
          <w:tcPr>
            <w:tcW w:w="406" w:type="pct"/>
          </w:tcPr>
          <w:p w14:paraId="1CFA9FA4" w14:textId="77777777" w:rsidR="00CB2802" w:rsidRPr="00993442" w:rsidRDefault="00CB2802" w:rsidP="00B22F66"/>
        </w:tc>
        <w:tc>
          <w:tcPr>
            <w:tcW w:w="1555" w:type="pct"/>
          </w:tcPr>
          <w:p w14:paraId="55CB1B83" w14:textId="77777777" w:rsidR="00CB2802" w:rsidRPr="00993442" w:rsidRDefault="00CB2802" w:rsidP="00B22F66"/>
        </w:tc>
        <w:tc>
          <w:tcPr>
            <w:tcW w:w="435" w:type="pct"/>
          </w:tcPr>
          <w:p w14:paraId="6BEB4E9F" w14:textId="77777777" w:rsidR="00CB2802" w:rsidRPr="00993442" w:rsidRDefault="00CB2802" w:rsidP="00B22F66"/>
        </w:tc>
        <w:sdt>
          <w:sdtPr>
            <w:id w:val="692496695"/>
            <w14:checkbox>
              <w14:checked w14:val="0"/>
              <w14:checkedState w14:val="2612" w14:font="MS Gothic"/>
              <w14:uncheckedState w14:val="2610" w14:font="MS Gothic"/>
            </w14:checkbox>
          </w:sdtPr>
          <w:sdtEndPr/>
          <w:sdtContent>
            <w:tc>
              <w:tcPr>
                <w:tcW w:w="410" w:type="pct"/>
              </w:tcPr>
              <w:p w14:paraId="3D342864" w14:textId="77777777" w:rsidR="00CB2802" w:rsidRPr="00993442" w:rsidRDefault="00CB2802" w:rsidP="00B22F66">
                <w:pPr>
                  <w:jc w:val="center"/>
                </w:pPr>
                <w:r w:rsidRPr="00993442">
                  <w:rPr>
                    <w:rFonts w:ascii="Segoe UI Symbol" w:eastAsia="MS Gothic" w:hAnsi="Segoe UI Symbol" w:cs="Segoe UI Symbol"/>
                  </w:rPr>
                  <w:t>☐</w:t>
                </w:r>
              </w:p>
            </w:tc>
          </w:sdtContent>
        </w:sdt>
        <w:tc>
          <w:tcPr>
            <w:tcW w:w="436" w:type="pct"/>
          </w:tcPr>
          <w:p w14:paraId="14FE5D45" w14:textId="77777777" w:rsidR="00CB2802" w:rsidRPr="00993442" w:rsidRDefault="00CB2802" w:rsidP="00B22F66"/>
        </w:tc>
      </w:tr>
    </w:tbl>
    <w:p w14:paraId="0ADA44F3" w14:textId="017A5F05" w:rsidR="00CB2802" w:rsidRPr="00993442" w:rsidRDefault="006B7F28" w:rsidP="00CB2802">
      <w:r w:rsidRPr="00993442">
        <w:rPr>
          <w:b/>
          <w:sz w:val="28"/>
          <w:szCs w:val="28"/>
        </w:rPr>
        <w:t>Rationale</w:t>
      </w:r>
    </w:p>
    <w:tbl>
      <w:tblPr>
        <w:tblStyle w:val="TableGrid2"/>
        <w:tblW w:w="5000" w:type="pct"/>
        <w:tblLook w:val="04A0" w:firstRow="1" w:lastRow="0" w:firstColumn="1" w:lastColumn="0" w:noHBand="0" w:noVBand="1"/>
      </w:tblPr>
      <w:tblGrid>
        <w:gridCol w:w="856"/>
        <w:gridCol w:w="4241"/>
        <w:gridCol w:w="1171"/>
        <w:gridCol w:w="4519"/>
        <w:gridCol w:w="1268"/>
        <w:gridCol w:w="1195"/>
        <w:gridCol w:w="1318"/>
      </w:tblGrid>
      <w:tr w:rsidR="00993442" w:rsidRPr="00993442" w14:paraId="6FBD7494" w14:textId="77777777" w:rsidTr="006B7F28">
        <w:tc>
          <w:tcPr>
            <w:tcW w:w="294" w:type="pct"/>
          </w:tcPr>
          <w:p w14:paraId="0FB5FDD4" w14:textId="77777777" w:rsidR="00CB2802" w:rsidRPr="00993442" w:rsidRDefault="00CB2802" w:rsidP="00B22F66">
            <w:pPr>
              <w:rPr>
                <w:b/>
                <w:i/>
              </w:rPr>
            </w:pPr>
            <w:r w:rsidRPr="00993442">
              <w:rPr>
                <w:b/>
                <w:i/>
              </w:rPr>
              <w:t>Rec. no</w:t>
            </w:r>
          </w:p>
        </w:tc>
        <w:tc>
          <w:tcPr>
            <w:tcW w:w="1456" w:type="pct"/>
          </w:tcPr>
          <w:p w14:paraId="53D778CB" w14:textId="77777777" w:rsidR="00CB2802" w:rsidRPr="00993442" w:rsidRDefault="00CB2802" w:rsidP="00B22F66">
            <w:pPr>
              <w:rPr>
                <w:b/>
                <w:i/>
              </w:rPr>
            </w:pPr>
            <w:r w:rsidRPr="00993442">
              <w:rPr>
                <w:b/>
                <w:i/>
              </w:rPr>
              <w:t>Issue or recommendation</w:t>
            </w:r>
          </w:p>
        </w:tc>
        <w:tc>
          <w:tcPr>
            <w:tcW w:w="402" w:type="pct"/>
          </w:tcPr>
          <w:p w14:paraId="0C41E83A" w14:textId="77777777" w:rsidR="00CB2802" w:rsidRPr="00993442" w:rsidRDefault="00CB2802" w:rsidP="00B22F66">
            <w:pPr>
              <w:rPr>
                <w:b/>
                <w:i/>
              </w:rPr>
            </w:pPr>
            <w:r w:rsidRPr="00993442">
              <w:rPr>
                <w:b/>
                <w:i/>
              </w:rPr>
              <w:t>Raised by / Date</w:t>
            </w:r>
          </w:p>
        </w:tc>
        <w:tc>
          <w:tcPr>
            <w:tcW w:w="1551" w:type="pct"/>
          </w:tcPr>
          <w:p w14:paraId="5776C2CC" w14:textId="77777777" w:rsidR="00CB2802" w:rsidRPr="00993442" w:rsidRDefault="00CB2802" w:rsidP="00B22F66">
            <w:pPr>
              <w:rPr>
                <w:b/>
                <w:i/>
              </w:rPr>
            </w:pPr>
            <w:r w:rsidRPr="00993442">
              <w:rPr>
                <w:b/>
                <w:i/>
              </w:rPr>
              <w:t>Response or Action taken by applicant</w:t>
            </w:r>
          </w:p>
        </w:tc>
        <w:tc>
          <w:tcPr>
            <w:tcW w:w="435" w:type="pct"/>
          </w:tcPr>
          <w:p w14:paraId="021C0220" w14:textId="77777777" w:rsidR="00CB2802" w:rsidRPr="00993442" w:rsidRDefault="00CB2802" w:rsidP="00B22F66">
            <w:pPr>
              <w:rPr>
                <w:b/>
                <w:i/>
              </w:rPr>
            </w:pPr>
            <w:r w:rsidRPr="00993442">
              <w:rPr>
                <w:b/>
                <w:i/>
              </w:rPr>
              <w:t>Response date</w:t>
            </w:r>
          </w:p>
        </w:tc>
        <w:tc>
          <w:tcPr>
            <w:tcW w:w="410" w:type="pct"/>
          </w:tcPr>
          <w:p w14:paraId="078A3C54" w14:textId="77777777" w:rsidR="00CB2802" w:rsidRPr="00993442" w:rsidRDefault="00CB2802" w:rsidP="00B22F66">
            <w:pPr>
              <w:rPr>
                <w:b/>
                <w:i/>
              </w:rPr>
            </w:pPr>
            <w:r w:rsidRPr="00993442">
              <w:rPr>
                <w:b/>
                <w:i/>
              </w:rPr>
              <w:t>Resolved</w:t>
            </w:r>
          </w:p>
        </w:tc>
        <w:tc>
          <w:tcPr>
            <w:tcW w:w="452" w:type="pct"/>
          </w:tcPr>
          <w:p w14:paraId="5D39068F" w14:textId="77777777" w:rsidR="00CB2802" w:rsidRPr="00993442" w:rsidRDefault="00CB2802" w:rsidP="00B22F66">
            <w:pPr>
              <w:rPr>
                <w:b/>
                <w:i/>
              </w:rPr>
            </w:pPr>
            <w:r w:rsidRPr="00993442">
              <w:rPr>
                <w:b/>
                <w:i/>
              </w:rPr>
              <w:t>Sign off by / Date</w:t>
            </w:r>
          </w:p>
        </w:tc>
      </w:tr>
      <w:tr w:rsidR="00993442" w:rsidRPr="00993442" w14:paraId="4E122763" w14:textId="77777777" w:rsidTr="006B7F28">
        <w:tc>
          <w:tcPr>
            <w:tcW w:w="294" w:type="pct"/>
          </w:tcPr>
          <w:p w14:paraId="522E3E1C" w14:textId="77777777" w:rsidR="00CB2802" w:rsidRPr="00993442" w:rsidRDefault="00CB2802" w:rsidP="00B22F66">
            <w:r w:rsidRPr="00993442">
              <w:t>2a</w:t>
            </w:r>
          </w:p>
        </w:tc>
        <w:tc>
          <w:tcPr>
            <w:tcW w:w="1456" w:type="pct"/>
          </w:tcPr>
          <w:p w14:paraId="5311AB30" w14:textId="77777777" w:rsidR="00CB2802" w:rsidRPr="00993442" w:rsidRDefault="00CB2802" w:rsidP="00B22F66">
            <w:r w:rsidRPr="00993442">
              <w:t>A sponsor for the indicator needs to be identified.</w:t>
            </w:r>
          </w:p>
        </w:tc>
        <w:tc>
          <w:tcPr>
            <w:tcW w:w="402" w:type="pct"/>
          </w:tcPr>
          <w:p w14:paraId="67E1234E" w14:textId="77777777" w:rsidR="00CB2802" w:rsidRPr="00993442" w:rsidRDefault="00CB2802" w:rsidP="00B22F66">
            <w:r w:rsidRPr="00993442">
              <w:t>MRG</w:t>
            </w:r>
          </w:p>
          <w:p w14:paraId="4314637E" w14:textId="77777777" w:rsidR="00CB2802" w:rsidRPr="00993442" w:rsidRDefault="00CB2802" w:rsidP="00B22F66"/>
          <w:p w14:paraId="0039B1CB" w14:textId="77777777" w:rsidR="00CB2802" w:rsidRPr="00993442" w:rsidRDefault="00CB2802" w:rsidP="00B22F66">
            <w:r w:rsidRPr="00993442">
              <w:t>10/09/15</w:t>
            </w:r>
          </w:p>
        </w:tc>
        <w:tc>
          <w:tcPr>
            <w:tcW w:w="1551" w:type="pct"/>
          </w:tcPr>
          <w:p w14:paraId="40666421" w14:textId="77777777" w:rsidR="00CB2802" w:rsidRPr="00993442" w:rsidRDefault="00CB2802" w:rsidP="00B22F66">
            <w:r w:rsidRPr="00993442">
              <w:t>The sponsor of the CCG OIS is Richard Owen, Outcomes Strategy Lead, NHS Medical Directorate, NHS England.</w:t>
            </w:r>
          </w:p>
        </w:tc>
        <w:tc>
          <w:tcPr>
            <w:tcW w:w="435" w:type="pct"/>
          </w:tcPr>
          <w:p w14:paraId="331C2659" w14:textId="77777777" w:rsidR="00CB2802" w:rsidRPr="00993442" w:rsidRDefault="00CB2802" w:rsidP="00B22F66">
            <w:pPr>
              <w:jc w:val="center"/>
              <w:rPr>
                <w:sz w:val="18"/>
                <w:szCs w:val="18"/>
              </w:rPr>
            </w:pPr>
            <w:r w:rsidRPr="00993442">
              <w:rPr>
                <w:sz w:val="18"/>
                <w:szCs w:val="18"/>
              </w:rPr>
              <w:t>26/11/15</w:t>
            </w:r>
          </w:p>
        </w:tc>
        <w:sdt>
          <w:sdtPr>
            <w:rPr>
              <w:sz w:val="32"/>
              <w:szCs w:val="20"/>
            </w:rPr>
            <w:id w:val="-1105881597"/>
            <w14:checkbox>
              <w14:checked w14:val="1"/>
              <w14:checkedState w14:val="00FE" w14:font="Wingdings"/>
              <w14:uncheckedState w14:val="006F" w14:font="Wingdings"/>
            </w14:checkbox>
          </w:sdtPr>
          <w:sdtEndPr/>
          <w:sdtContent>
            <w:tc>
              <w:tcPr>
                <w:tcW w:w="410" w:type="pct"/>
              </w:tcPr>
              <w:p w14:paraId="59F7FCD2" w14:textId="77777777" w:rsidR="00CB2802" w:rsidRPr="00993442" w:rsidRDefault="00CB2802" w:rsidP="00B22F66">
                <w:pPr>
                  <w:jc w:val="center"/>
                  <w:rPr>
                    <w:sz w:val="18"/>
                    <w:szCs w:val="20"/>
                  </w:rPr>
                </w:pPr>
                <w:r w:rsidRPr="00993442">
                  <w:rPr>
                    <w:sz w:val="32"/>
                    <w:szCs w:val="20"/>
                  </w:rPr>
                  <w:sym w:font="Wingdings" w:char="F0FE"/>
                </w:r>
              </w:p>
            </w:tc>
          </w:sdtContent>
        </w:sdt>
        <w:tc>
          <w:tcPr>
            <w:tcW w:w="452" w:type="pct"/>
          </w:tcPr>
          <w:p w14:paraId="19AAF1FD" w14:textId="77777777" w:rsidR="00CB2802" w:rsidRPr="00993442" w:rsidRDefault="00CB2802" w:rsidP="00B22F66">
            <w:pPr>
              <w:rPr>
                <w:sz w:val="18"/>
                <w:szCs w:val="20"/>
              </w:rPr>
            </w:pPr>
            <w:r w:rsidRPr="00993442">
              <w:rPr>
                <w:sz w:val="18"/>
                <w:szCs w:val="20"/>
              </w:rPr>
              <w:t>MRG – 26/11/2015</w:t>
            </w:r>
          </w:p>
        </w:tc>
      </w:tr>
      <w:tr w:rsidR="00993442" w:rsidRPr="00993442" w14:paraId="7014BE32" w14:textId="77777777" w:rsidTr="006B7F28">
        <w:tc>
          <w:tcPr>
            <w:tcW w:w="294" w:type="pct"/>
          </w:tcPr>
          <w:p w14:paraId="297DEED0" w14:textId="77777777" w:rsidR="00CB2802" w:rsidRPr="00993442" w:rsidRDefault="00CB2802" w:rsidP="00B22F66">
            <w:r w:rsidRPr="00993442">
              <w:t>2b</w:t>
            </w:r>
          </w:p>
        </w:tc>
        <w:tc>
          <w:tcPr>
            <w:tcW w:w="1456" w:type="pct"/>
          </w:tcPr>
          <w:p w14:paraId="5F3F5FFA" w14:textId="77777777" w:rsidR="00CB2802" w:rsidRPr="00993442" w:rsidRDefault="00CB2802" w:rsidP="00B22F66">
            <w:pPr>
              <w:rPr>
                <w:szCs w:val="18"/>
              </w:rPr>
            </w:pPr>
            <w:r w:rsidRPr="00993442">
              <w:rPr>
                <w:szCs w:val="18"/>
              </w:rPr>
              <w:t>The definition should be clear as to the types of stroke included in the indicator.</w:t>
            </w:r>
          </w:p>
        </w:tc>
        <w:tc>
          <w:tcPr>
            <w:tcW w:w="402" w:type="pct"/>
          </w:tcPr>
          <w:p w14:paraId="1D51DF6D" w14:textId="77777777" w:rsidR="00CB2802" w:rsidRPr="00993442" w:rsidRDefault="00CB2802" w:rsidP="00B22F66">
            <w:pPr>
              <w:rPr>
                <w:szCs w:val="18"/>
              </w:rPr>
            </w:pPr>
            <w:r w:rsidRPr="00993442">
              <w:rPr>
                <w:szCs w:val="18"/>
              </w:rPr>
              <w:t>MRG</w:t>
            </w:r>
          </w:p>
          <w:p w14:paraId="68F517C3" w14:textId="77777777" w:rsidR="00CB2802" w:rsidRPr="00993442" w:rsidRDefault="00CB2802" w:rsidP="00B22F66">
            <w:pPr>
              <w:rPr>
                <w:szCs w:val="18"/>
              </w:rPr>
            </w:pPr>
          </w:p>
          <w:p w14:paraId="1D9D7267" w14:textId="77777777" w:rsidR="00CB2802" w:rsidRPr="00993442" w:rsidRDefault="00CB2802" w:rsidP="00B22F66">
            <w:pPr>
              <w:rPr>
                <w:szCs w:val="18"/>
              </w:rPr>
            </w:pPr>
            <w:r w:rsidRPr="00993442">
              <w:rPr>
                <w:szCs w:val="18"/>
              </w:rPr>
              <w:t>10/09/15</w:t>
            </w:r>
          </w:p>
        </w:tc>
        <w:tc>
          <w:tcPr>
            <w:tcW w:w="1551" w:type="pct"/>
          </w:tcPr>
          <w:p w14:paraId="3C3A95BC" w14:textId="77777777" w:rsidR="00CB2802" w:rsidRPr="00993442" w:rsidRDefault="00CB2802" w:rsidP="00B22F66">
            <w:pPr>
              <w:spacing w:before="120" w:after="120"/>
              <w:rPr>
                <w:szCs w:val="18"/>
              </w:rPr>
            </w:pPr>
            <w:r w:rsidRPr="00993442">
              <w:rPr>
                <w:szCs w:val="18"/>
              </w:rPr>
              <w:t>A sentence is included in the definition section of the IAS application form and Indicator Quality Statement, stating: Stroke is defined within this indicator as intracerebral haemorrhage (ICD-10 code: I61), cerebral infarction (I63) and stroke, not specified as haemorrhage or infarction (I64).</w:t>
            </w:r>
          </w:p>
        </w:tc>
        <w:tc>
          <w:tcPr>
            <w:tcW w:w="435" w:type="pct"/>
          </w:tcPr>
          <w:p w14:paraId="2E8F2F9B" w14:textId="77777777" w:rsidR="00CB2802" w:rsidRPr="00993442" w:rsidRDefault="00CB2802" w:rsidP="00B22F66">
            <w:pPr>
              <w:jc w:val="center"/>
              <w:rPr>
                <w:szCs w:val="18"/>
              </w:rPr>
            </w:pPr>
            <w:r w:rsidRPr="00993442">
              <w:rPr>
                <w:szCs w:val="18"/>
              </w:rPr>
              <w:t>26/11/15</w:t>
            </w:r>
          </w:p>
        </w:tc>
        <w:sdt>
          <w:sdtPr>
            <w:rPr>
              <w:szCs w:val="20"/>
            </w:rPr>
            <w:id w:val="-834139063"/>
            <w14:checkbox>
              <w14:checked w14:val="1"/>
              <w14:checkedState w14:val="00FE" w14:font="Wingdings"/>
              <w14:uncheckedState w14:val="006F" w14:font="Wingdings"/>
            </w14:checkbox>
          </w:sdtPr>
          <w:sdtEndPr/>
          <w:sdtContent>
            <w:tc>
              <w:tcPr>
                <w:tcW w:w="410" w:type="pct"/>
              </w:tcPr>
              <w:p w14:paraId="46220CC6" w14:textId="77777777" w:rsidR="00CB2802" w:rsidRPr="00993442" w:rsidRDefault="00CB2802" w:rsidP="00B22F66">
                <w:pPr>
                  <w:jc w:val="center"/>
                  <w:rPr>
                    <w:szCs w:val="20"/>
                  </w:rPr>
                </w:pPr>
                <w:r w:rsidRPr="00993442">
                  <w:rPr>
                    <w:szCs w:val="20"/>
                  </w:rPr>
                  <w:sym w:font="Wingdings" w:char="F0FE"/>
                </w:r>
              </w:p>
            </w:tc>
          </w:sdtContent>
        </w:sdt>
        <w:tc>
          <w:tcPr>
            <w:tcW w:w="452" w:type="pct"/>
          </w:tcPr>
          <w:p w14:paraId="2350DC00" w14:textId="77777777" w:rsidR="00CB2802" w:rsidRPr="00993442" w:rsidRDefault="00CB2802" w:rsidP="00B22F66">
            <w:pPr>
              <w:rPr>
                <w:szCs w:val="20"/>
              </w:rPr>
            </w:pPr>
            <w:r w:rsidRPr="00993442">
              <w:rPr>
                <w:szCs w:val="20"/>
              </w:rPr>
              <w:t>MRG – 26/11/2015</w:t>
            </w:r>
          </w:p>
        </w:tc>
      </w:tr>
    </w:tbl>
    <w:p w14:paraId="66D167F7" w14:textId="31B80709" w:rsidR="00CB2802" w:rsidRPr="00993442" w:rsidRDefault="006B7F28" w:rsidP="00CB2802">
      <w:r w:rsidRPr="00993442">
        <w:rPr>
          <w:b/>
          <w:sz w:val="28"/>
          <w:szCs w:val="28"/>
        </w:rPr>
        <w:t>Data</w:t>
      </w:r>
    </w:p>
    <w:tbl>
      <w:tblPr>
        <w:tblStyle w:val="TableGrid2"/>
        <w:tblW w:w="5000" w:type="pct"/>
        <w:tblLook w:val="04A0" w:firstRow="1" w:lastRow="0" w:firstColumn="1" w:lastColumn="0" w:noHBand="0" w:noVBand="1"/>
      </w:tblPr>
      <w:tblGrid>
        <w:gridCol w:w="856"/>
        <w:gridCol w:w="4241"/>
        <w:gridCol w:w="1171"/>
        <w:gridCol w:w="4519"/>
        <w:gridCol w:w="1268"/>
        <w:gridCol w:w="1195"/>
        <w:gridCol w:w="1318"/>
      </w:tblGrid>
      <w:tr w:rsidR="00993442" w:rsidRPr="00993442" w14:paraId="2A030A11" w14:textId="77777777" w:rsidTr="006B7F28">
        <w:tc>
          <w:tcPr>
            <w:tcW w:w="294" w:type="pct"/>
          </w:tcPr>
          <w:p w14:paraId="272D8497" w14:textId="77777777" w:rsidR="00CB2802" w:rsidRPr="00993442" w:rsidRDefault="00CB2802" w:rsidP="00B22F66">
            <w:pPr>
              <w:rPr>
                <w:b/>
                <w:i/>
              </w:rPr>
            </w:pPr>
            <w:r w:rsidRPr="00993442">
              <w:rPr>
                <w:b/>
                <w:i/>
              </w:rPr>
              <w:t>Rec. no</w:t>
            </w:r>
          </w:p>
        </w:tc>
        <w:tc>
          <w:tcPr>
            <w:tcW w:w="1456" w:type="pct"/>
          </w:tcPr>
          <w:p w14:paraId="18445898" w14:textId="77777777" w:rsidR="00CB2802" w:rsidRPr="00993442" w:rsidRDefault="00CB2802" w:rsidP="00B22F66">
            <w:pPr>
              <w:rPr>
                <w:b/>
                <w:i/>
              </w:rPr>
            </w:pPr>
            <w:r w:rsidRPr="00993442">
              <w:rPr>
                <w:b/>
                <w:i/>
              </w:rPr>
              <w:t>Issue or recommendation</w:t>
            </w:r>
          </w:p>
        </w:tc>
        <w:tc>
          <w:tcPr>
            <w:tcW w:w="402" w:type="pct"/>
          </w:tcPr>
          <w:p w14:paraId="11077A7D" w14:textId="77777777" w:rsidR="00CB2802" w:rsidRPr="00993442" w:rsidRDefault="00CB2802" w:rsidP="00B22F66">
            <w:pPr>
              <w:rPr>
                <w:b/>
                <w:i/>
              </w:rPr>
            </w:pPr>
            <w:r w:rsidRPr="00993442">
              <w:rPr>
                <w:b/>
                <w:i/>
              </w:rPr>
              <w:t>Raised by / Date</w:t>
            </w:r>
          </w:p>
        </w:tc>
        <w:tc>
          <w:tcPr>
            <w:tcW w:w="1551" w:type="pct"/>
          </w:tcPr>
          <w:p w14:paraId="66F2DAE2" w14:textId="77777777" w:rsidR="00CB2802" w:rsidRPr="00993442" w:rsidRDefault="00CB2802" w:rsidP="00B22F66">
            <w:pPr>
              <w:rPr>
                <w:b/>
                <w:i/>
              </w:rPr>
            </w:pPr>
            <w:r w:rsidRPr="00993442">
              <w:rPr>
                <w:b/>
                <w:i/>
              </w:rPr>
              <w:t>Response or Action taken by applicant</w:t>
            </w:r>
          </w:p>
        </w:tc>
        <w:tc>
          <w:tcPr>
            <w:tcW w:w="435" w:type="pct"/>
          </w:tcPr>
          <w:p w14:paraId="0DC40944" w14:textId="77777777" w:rsidR="00CB2802" w:rsidRPr="00993442" w:rsidRDefault="00CB2802" w:rsidP="00B22F66">
            <w:pPr>
              <w:rPr>
                <w:b/>
                <w:i/>
              </w:rPr>
            </w:pPr>
            <w:r w:rsidRPr="00993442">
              <w:rPr>
                <w:b/>
                <w:i/>
              </w:rPr>
              <w:t>Response date</w:t>
            </w:r>
          </w:p>
        </w:tc>
        <w:tc>
          <w:tcPr>
            <w:tcW w:w="410" w:type="pct"/>
          </w:tcPr>
          <w:p w14:paraId="34A41E2A" w14:textId="77777777" w:rsidR="00CB2802" w:rsidRPr="00993442" w:rsidRDefault="00CB2802" w:rsidP="00B22F66">
            <w:pPr>
              <w:rPr>
                <w:b/>
                <w:i/>
              </w:rPr>
            </w:pPr>
            <w:r w:rsidRPr="00993442">
              <w:rPr>
                <w:b/>
                <w:i/>
              </w:rPr>
              <w:t>Resolved</w:t>
            </w:r>
          </w:p>
        </w:tc>
        <w:tc>
          <w:tcPr>
            <w:tcW w:w="452" w:type="pct"/>
          </w:tcPr>
          <w:p w14:paraId="17260E66" w14:textId="77777777" w:rsidR="00CB2802" w:rsidRPr="00993442" w:rsidRDefault="00CB2802" w:rsidP="00B22F66">
            <w:pPr>
              <w:rPr>
                <w:b/>
                <w:i/>
              </w:rPr>
            </w:pPr>
            <w:r w:rsidRPr="00993442">
              <w:rPr>
                <w:b/>
                <w:i/>
              </w:rPr>
              <w:t>Sign off by / Date</w:t>
            </w:r>
          </w:p>
        </w:tc>
      </w:tr>
      <w:tr w:rsidR="00993442" w:rsidRPr="00993442" w14:paraId="50D24D5F" w14:textId="77777777" w:rsidTr="006B7F28">
        <w:tc>
          <w:tcPr>
            <w:tcW w:w="294" w:type="pct"/>
          </w:tcPr>
          <w:p w14:paraId="51A5EBB1" w14:textId="77777777" w:rsidR="00CB2802" w:rsidRPr="00993442" w:rsidRDefault="00CB2802" w:rsidP="00B22F66">
            <w:pPr>
              <w:rPr>
                <w:rFonts w:eastAsia="Times New Roman"/>
                <w:szCs w:val="20"/>
                <w:lang w:eastAsia="en-GB"/>
              </w:rPr>
            </w:pPr>
            <w:r w:rsidRPr="00993442">
              <w:rPr>
                <w:rFonts w:eastAsia="Times New Roman"/>
                <w:szCs w:val="20"/>
                <w:lang w:eastAsia="en-GB"/>
              </w:rPr>
              <w:t>3a</w:t>
            </w:r>
          </w:p>
        </w:tc>
        <w:tc>
          <w:tcPr>
            <w:tcW w:w="1456" w:type="pct"/>
          </w:tcPr>
          <w:p w14:paraId="654FC402" w14:textId="77777777" w:rsidR="00CB2802" w:rsidRPr="00993442" w:rsidRDefault="00CB2802" w:rsidP="00B22F66">
            <w:pPr>
              <w:rPr>
                <w:rFonts w:eastAsia="Times New Roman"/>
                <w:szCs w:val="18"/>
                <w:lang w:eastAsia="en-GB"/>
              </w:rPr>
            </w:pPr>
            <w:r w:rsidRPr="00993442">
              <w:rPr>
                <w:rFonts w:eastAsia="Times New Roman"/>
                <w:szCs w:val="18"/>
                <w:lang w:eastAsia="en-GB"/>
              </w:rPr>
              <w:t>Further analysis is recommended to compare improvements in the audit data quality with HES as part of review process.</w:t>
            </w:r>
          </w:p>
          <w:p w14:paraId="401F7158" w14:textId="77777777" w:rsidR="00CB2802" w:rsidRPr="00993442" w:rsidRDefault="00CB2802" w:rsidP="00B22F66">
            <w:pPr>
              <w:rPr>
                <w:rFonts w:eastAsia="Times New Roman"/>
                <w:szCs w:val="18"/>
                <w:lang w:eastAsia="en-GB"/>
              </w:rPr>
            </w:pPr>
          </w:p>
        </w:tc>
        <w:tc>
          <w:tcPr>
            <w:tcW w:w="402" w:type="pct"/>
          </w:tcPr>
          <w:p w14:paraId="114C1709" w14:textId="77777777" w:rsidR="00CB2802" w:rsidRPr="00993442" w:rsidRDefault="00CB2802" w:rsidP="00B22F66">
            <w:pPr>
              <w:rPr>
                <w:rFonts w:eastAsia="Times New Roman"/>
                <w:szCs w:val="18"/>
                <w:lang w:eastAsia="en-GB"/>
              </w:rPr>
            </w:pPr>
            <w:r w:rsidRPr="00993442">
              <w:rPr>
                <w:rFonts w:eastAsia="Times New Roman"/>
                <w:szCs w:val="18"/>
                <w:lang w:eastAsia="en-GB"/>
              </w:rPr>
              <w:t>IGB 30/11/12</w:t>
            </w:r>
          </w:p>
        </w:tc>
        <w:tc>
          <w:tcPr>
            <w:tcW w:w="1551" w:type="pct"/>
          </w:tcPr>
          <w:p w14:paraId="2F1C747C" w14:textId="77777777" w:rsidR="00CB2802" w:rsidRPr="00993442" w:rsidRDefault="00CB2802" w:rsidP="00B22F66">
            <w:pPr>
              <w:spacing w:before="120" w:after="120"/>
              <w:rPr>
                <w:rFonts w:eastAsia="Times New Roman"/>
                <w:lang w:eastAsia="en-GB"/>
              </w:rPr>
            </w:pPr>
            <w:r w:rsidRPr="00993442">
              <w:rPr>
                <w:rFonts w:eastAsia="Times New Roman"/>
                <w:lang w:eastAsia="en-GB"/>
              </w:rPr>
              <w:t>The indicator is published in the context of case ascertainment between SSNAP and HES. This is the percentage of patients with primary ICD-10 codes I61, I63 and I64 in HES who are included in SSNAP for the same time period.</w:t>
            </w:r>
          </w:p>
          <w:p w14:paraId="71AD8612" w14:textId="77777777" w:rsidR="00CB2802" w:rsidRPr="00993442" w:rsidRDefault="00CB2802" w:rsidP="00B22F66">
            <w:pPr>
              <w:spacing w:before="120" w:after="120"/>
              <w:rPr>
                <w:rFonts w:eastAsia="Times New Roman"/>
                <w:lang w:eastAsia="en-GB"/>
              </w:rPr>
            </w:pPr>
            <w:r w:rsidRPr="00993442">
              <w:rPr>
                <w:rFonts w:eastAsia="Times New Roman"/>
                <w:lang w:eastAsia="en-GB"/>
              </w:rPr>
              <w:t xml:space="preserve">The SSNAP is a mandatory collection and overall case ascertainment increased from 72% in Quarter 1 to 95% in Quarter 4, </w:t>
            </w:r>
            <w:r w:rsidRPr="00993442">
              <w:rPr>
                <w:rFonts w:eastAsia="Times New Roman"/>
                <w:lang w:eastAsia="en-GB"/>
              </w:rPr>
              <w:lastRenderedPageBreak/>
              <w:t>2013/14 (Quarter 2: 83%, Quarter 3: 90%). It has further improved to 97% by Quarter 4, 2014/15. Case ascertainment is reported alongside the indicator for all CCGs in the published CCG OIS data files. Only five CCGs (2.4%) had their standardised mortality ratios suppressed in the published 2013/14 data due to less than 50% case ascertainment with HES.</w:t>
            </w:r>
          </w:p>
          <w:p w14:paraId="28FD5641" w14:textId="77777777" w:rsidR="00CB2802" w:rsidRPr="00993442" w:rsidRDefault="00CB2802" w:rsidP="00B22F66">
            <w:pPr>
              <w:spacing w:before="120" w:after="120"/>
              <w:rPr>
                <w:rFonts w:eastAsia="Times New Roman"/>
                <w:lang w:eastAsia="en-GB"/>
              </w:rPr>
            </w:pPr>
            <w:r w:rsidRPr="00993442">
              <w:rPr>
                <w:rFonts w:eastAsia="Times New Roman"/>
                <w:lang w:eastAsia="en-GB"/>
              </w:rPr>
              <w:t>Patient records are only included in audit analyses if they include the minimum requirements of completion of mandatory fields. The minimum includes all of the fields required to calculate this indicator. Case ascertainment is reported publicly at hospital level and therefore there is a strong incentive for hospitals to ensure they have submitted all of their patients to the audit and completed the mandatory fields. The data is received via a secure web tool which has strong built-in validation meaning that data is fully complete.</w:t>
            </w:r>
          </w:p>
        </w:tc>
        <w:tc>
          <w:tcPr>
            <w:tcW w:w="435" w:type="pct"/>
          </w:tcPr>
          <w:p w14:paraId="19E2BCE1" w14:textId="77777777" w:rsidR="00CB2802" w:rsidRPr="00993442" w:rsidRDefault="00CB2802" w:rsidP="00B22F66">
            <w:pPr>
              <w:jc w:val="center"/>
              <w:rPr>
                <w:rFonts w:eastAsia="Times New Roman"/>
                <w:lang w:eastAsia="en-GB"/>
              </w:rPr>
            </w:pPr>
            <w:r w:rsidRPr="00993442">
              <w:rPr>
                <w:rFonts w:eastAsia="Times New Roman"/>
                <w:lang w:eastAsia="en-GB"/>
              </w:rPr>
              <w:lastRenderedPageBreak/>
              <w:t>13/08/15</w:t>
            </w:r>
          </w:p>
        </w:tc>
        <w:sdt>
          <w:sdtPr>
            <w:id w:val="1493914746"/>
            <w14:checkbox>
              <w14:checked w14:val="1"/>
              <w14:checkedState w14:val="00FE" w14:font="Wingdings"/>
              <w14:uncheckedState w14:val="006F" w14:font="Wingdings"/>
            </w14:checkbox>
          </w:sdtPr>
          <w:sdtEndPr/>
          <w:sdtContent>
            <w:tc>
              <w:tcPr>
                <w:tcW w:w="410" w:type="pct"/>
              </w:tcPr>
              <w:p w14:paraId="2A74BF3C" w14:textId="77777777" w:rsidR="00CB2802" w:rsidRPr="00993442" w:rsidRDefault="00CB2802" w:rsidP="00B22F66">
                <w:pPr>
                  <w:jc w:val="center"/>
                  <w:rPr>
                    <w:rFonts w:eastAsia="Times New Roman"/>
                    <w:lang w:eastAsia="en-GB"/>
                  </w:rPr>
                </w:pPr>
                <w:r w:rsidRPr="00993442">
                  <w:sym w:font="Wingdings" w:char="F0FE"/>
                </w:r>
              </w:p>
            </w:tc>
          </w:sdtContent>
        </w:sdt>
        <w:tc>
          <w:tcPr>
            <w:tcW w:w="452" w:type="pct"/>
          </w:tcPr>
          <w:p w14:paraId="5BD91CD0" w14:textId="77777777" w:rsidR="00CB2802" w:rsidRPr="00993442" w:rsidRDefault="00CB2802" w:rsidP="00B22F66">
            <w:r w:rsidRPr="00993442">
              <w:t>MRG</w:t>
            </w:r>
          </w:p>
          <w:p w14:paraId="3333445C" w14:textId="77777777" w:rsidR="00CB2802" w:rsidRPr="00993442" w:rsidRDefault="00CB2802" w:rsidP="00B22F66">
            <w:pPr>
              <w:rPr>
                <w:rFonts w:eastAsia="Times New Roman"/>
                <w:lang w:eastAsia="en-GB"/>
              </w:rPr>
            </w:pPr>
            <w:r w:rsidRPr="00993442">
              <w:t>10/09/15</w:t>
            </w:r>
          </w:p>
        </w:tc>
      </w:tr>
      <w:tr w:rsidR="00993442" w:rsidRPr="00993442" w14:paraId="2A0BC982" w14:textId="77777777" w:rsidTr="006B7F28">
        <w:tc>
          <w:tcPr>
            <w:tcW w:w="294" w:type="pct"/>
          </w:tcPr>
          <w:p w14:paraId="2EEF0816" w14:textId="77777777" w:rsidR="00CB2802" w:rsidRPr="00993442" w:rsidRDefault="00CB2802" w:rsidP="00B22F66">
            <w:pPr>
              <w:rPr>
                <w:rFonts w:eastAsia="Times New Roman"/>
                <w:szCs w:val="20"/>
                <w:lang w:eastAsia="en-GB"/>
              </w:rPr>
            </w:pPr>
            <w:r w:rsidRPr="00993442">
              <w:rPr>
                <w:rFonts w:eastAsia="Times New Roman"/>
                <w:szCs w:val="20"/>
                <w:lang w:eastAsia="en-GB"/>
              </w:rPr>
              <w:t>3b</w:t>
            </w:r>
          </w:p>
        </w:tc>
        <w:tc>
          <w:tcPr>
            <w:tcW w:w="1456" w:type="pct"/>
          </w:tcPr>
          <w:p w14:paraId="2315EDEA"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MRG recommended that information on the quality of the linkage between the audit and ONS mortality data should be included.  </w:t>
            </w:r>
          </w:p>
        </w:tc>
        <w:tc>
          <w:tcPr>
            <w:tcW w:w="402" w:type="pct"/>
          </w:tcPr>
          <w:p w14:paraId="1B54ED25"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r w:rsidRPr="00993442">
              <w:rPr>
                <w:rFonts w:eastAsia="Times New Roman"/>
                <w:szCs w:val="18"/>
                <w:lang w:eastAsia="en-GB"/>
              </w:rPr>
              <w:br/>
              <w:t>- During initial appraisal</w:t>
            </w:r>
          </w:p>
        </w:tc>
        <w:tc>
          <w:tcPr>
            <w:tcW w:w="1551" w:type="pct"/>
          </w:tcPr>
          <w:p w14:paraId="241A74B1"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SSNAP records are linked with mortality information from ONS. The SSNAP data are securely sent for linkage following each quarterly deadline, and the information on any death notifications is provided back monthly. This enables SSNAP to track mortality other than as reported on SSNAP (i.e. after patients have left care). As well as providing </w:t>
            </w:r>
            <w:proofErr w:type="spellStart"/>
            <w:r w:rsidRPr="00993442">
              <w:rPr>
                <w:rFonts w:eastAsia="Times New Roman"/>
                <w:szCs w:val="18"/>
                <w:lang w:eastAsia="en-GB"/>
              </w:rPr>
              <w:t>casemix</w:t>
            </w:r>
            <w:proofErr w:type="spellEnd"/>
            <w:r w:rsidRPr="00993442">
              <w:rPr>
                <w:rFonts w:eastAsia="Times New Roman"/>
                <w:szCs w:val="18"/>
                <w:lang w:eastAsia="en-GB"/>
              </w:rPr>
              <w:t xml:space="preserve"> adjusted mortality rates, this is also used for other purposes, such as </w:t>
            </w:r>
            <w:r w:rsidRPr="00993442">
              <w:rPr>
                <w:rFonts w:eastAsia="Times New Roman"/>
                <w:szCs w:val="18"/>
                <w:lang w:eastAsia="en-GB"/>
              </w:rPr>
              <w:lastRenderedPageBreak/>
              <w:t xml:space="preserve">to determine eligibility for receiving a </w:t>
            </w:r>
            <w:proofErr w:type="gramStart"/>
            <w:r w:rsidRPr="00993442">
              <w:rPr>
                <w:rFonts w:eastAsia="Times New Roman"/>
                <w:szCs w:val="18"/>
                <w:lang w:eastAsia="en-GB"/>
              </w:rPr>
              <w:t>six month</w:t>
            </w:r>
            <w:proofErr w:type="gramEnd"/>
            <w:r w:rsidRPr="00993442">
              <w:rPr>
                <w:rFonts w:eastAsia="Times New Roman"/>
                <w:szCs w:val="18"/>
                <w:lang w:eastAsia="en-GB"/>
              </w:rPr>
              <w:t xml:space="preserve"> assessment.</w:t>
            </w:r>
          </w:p>
          <w:p w14:paraId="25FB7262"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The match rate between SSNAP and ONS data stood at over 98% for 2013/14 data; </w:t>
            </w:r>
            <w:proofErr w:type="gramStart"/>
            <w:r w:rsidRPr="00993442">
              <w:rPr>
                <w:rFonts w:eastAsia="Times New Roman"/>
                <w:szCs w:val="18"/>
                <w:lang w:eastAsia="en-GB"/>
              </w:rPr>
              <w:t>therefore</w:t>
            </w:r>
            <w:proofErr w:type="gramEnd"/>
            <w:r w:rsidRPr="00993442">
              <w:rPr>
                <w:rFonts w:eastAsia="Times New Roman"/>
                <w:szCs w:val="18"/>
                <w:lang w:eastAsia="en-GB"/>
              </w:rPr>
              <w:t xml:space="preserve"> the indicator is considered an accurate representation of mortality for stroke patients. The RCP are still awaiting 2014/15 mortality data but there are not expected to be concerns with the linkage.</w:t>
            </w:r>
          </w:p>
        </w:tc>
        <w:tc>
          <w:tcPr>
            <w:tcW w:w="435" w:type="pct"/>
          </w:tcPr>
          <w:p w14:paraId="3A5FE967" w14:textId="77777777" w:rsidR="00CB2802" w:rsidRPr="00993442" w:rsidRDefault="00CB2802" w:rsidP="00B22F66">
            <w:pPr>
              <w:jc w:val="center"/>
              <w:rPr>
                <w:rFonts w:eastAsia="Times New Roman"/>
                <w:szCs w:val="18"/>
                <w:lang w:eastAsia="en-GB"/>
              </w:rPr>
            </w:pPr>
            <w:r w:rsidRPr="00993442">
              <w:rPr>
                <w:rFonts w:eastAsia="Times New Roman"/>
                <w:szCs w:val="18"/>
                <w:lang w:eastAsia="en-GB"/>
              </w:rPr>
              <w:lastRenderedPageBreak/>
              <w:t>During initial appraisal</w:t>
            </w:r>
          </w:p>
        </w:tc>
        <w:sdt>
          <w:sdtPr>
            <w:rPr>
              <w:szCs w:val="20"/>
            </w:rPr>
            <w:id w:val="-507909500"/>
            <w14:checkbox>
              <w14:checked w14:val="1"/>
              <w14:checkedState w14:val="00FE" w14:font="Wingdings"/>
              <w14:uncheckedState w14:val="006F" w14:font="Wingdings"/>
            </w14:checkbox>
          </w:sdtPr>
          <w:sdtEndPr/>
          <w:sdtContent>
            <w:tc>
              <w:tcPr>
                <w:tcW w:w="410" w:type="pct"/>
              </w:tcPr>
              <w:p w14:paraId="0C89D90E" w14:textId="77777777" w:rsidR="00CB2802" w:rsidRPr="00993442" w:rsidRDefault="00CB2802" w:rsidP="00B22F66">
                <w:pPr>
                  <w:jc w:val="center"/>
                  <w:rPr>
                    <w:szCs w:val="20"/>
                  </w:rPr>
                </w:pPr>
                <w:r w:rsidRPr="00993442">
                  <w:rPr>
                    <w:szCs w:val="20"/>
                  </w:rPr>
                  <w:sym w:font="Wingdings" w:char="F0FE"/>
                </w:r>
              </w:p>
            </w:tc>
          </w:sdtContent>
        </w:sdt>
        <w:tc>
          <w:tcPr>
            <w:tcW w:w="452" w:type="pct"/>
          </w:tcPr>
          <w:p w14:paraId="1F58B040" w14:textId="77777777" w:rsidR="00CB2802" w:rsidRPr="00993442" w:rsidRDefault="00CB2802" w:rsidP="00B22F66">
            <w:pPr>
              <w:rPr>
                <w:szCs w:val="20"/>
              </w:rPr>
            </w:pPr>
            <w:r w:rsidRPr="00993442">
              <w:rPr>
                <w:szCs w:val="20"/>
              </w:rPr>
              <w:t>MRG</w:t>
            </w:r>
          </w:p>
          <w:p w14:paraId="286E49A3" w14:textId="77777777" w:rsidR="00CB2802" w:rsidRPr="00993442" w:rsidRDefault="00CB2802" w:rsidP="00B22F66">
            <w:pPr>
              <w:rPr>
                <w:rFonts w:eastAsia="Times New Roman"/>
                <w:szCs w:val="20"/>
                <w:lang w:eastAsia="en-GB"/>
              </w:rPr>
            </w:pPr>
            <w:r w:rsidRPr="00993442">
              <w:rPr>
                <w:szCs w:val="20"/>
              </w:rPr>
              <w:t>10/09/15</w:t>
            </w:r>
          </w:p>
        </w:tc>
      </w:tr>
      <w:tr w:rsidR="00993442" w:rsidRPr="00993442" w14:paraId="393F1DF1" w14:textId="77777777" w:rsidTr="006B7F28">
        <w:tc>
          <w:tcPr>
            <w:tcW w:w="294" w:type="pct"/>
          </w:tcPr>
          <w:p w14:paraId="213E4B28" w14:textId="77777777" w:rsidR="00CB2802" w:rsidRPr="00993442" w:rsidRDefault="00CB2802" w:rsidP="00B22F66">
            <w:pPr>
              <w:rPr>
                <w:rFonts w:eastAsia="Times New Roman"/>
                <w:szCs w:val="20"/>
                <w:lang w:eastAsia="en-GB"/>
              </w:rPr>
            </w:pPr>
            <w:r w:rsidRPr="00993442">
              <w:rPr>
                <w:rFonts w:eastAsia="Times New Roman"/>
                <w:szCs w:val="20"/>
                <w:lang w:eastAsia="en-GB"/>
              </w:rPr>
              <w:t>3c</w:t>
            </w:r>
          </w:p>
        </w:tc>
        <w:tc>
          <w:tcPr>
            <w:tcW w:w="1456" w:type="pct"/>
          </w:tcPr>
          <w:p w14:paraId="6DD60995" w14:textId="77777777" w:rsidR="00CB2802" w:rsidRPr="00993442" w:rsidRDefault="00CB2802" w:rsidP="00B22F66">
            <w:pPr>
              <w:rPr>
                <w:rFonts w:eastAsia="Times New Roman"/>
                <w:szCs w:val="18"/>
                <w:lang w:eastAsia="en-GB"/>
              </w:rPr>
            </w:pPr>
            <w:r w:rsidRPr="00993442">
              <w:rPr>
                <w:rFonts w:eastAsia="Times New Roman"/>
                <w:szCs w:val="18"/>
                <w:lang w:eastAsia="en-GB"/>
              </w:rPr>
              <w:t>The rationale for selecting the ICD-10 codes used to identify stroke patients should be clearly stated in the documentation for each indicator.</w:t>
            </w:r>
          </w:p>
          <w:p w14:paraId="473A80FB" w14:textId="77777777" w:rsidR="00CB2802" w:rsidRPr="00993442" w:rsidRDefault="00CB2802" w:rsidP="00B22F66">
            <w:pPr>
              <w:rPr>
                <w:rFonts w:eastAsia="Times New Roman"/>
                <w:szCs w:val="18"/>
                <w:lang w:eastAsia="en-GB"/>
              </w:rPr>
            </w:pPr>
          </w:p>
          <w:p w14:paraId="2A72EDBC" w14:textId="77777777" w:rsidR="00CB2802" w:rsidRPr="00993442" w:rsidRDefault="00CB2802" w:rsidP="00B22F66">
            <w:pPr>
              <w:rPr>
                <w:rFonts w:eastAsia="Times New Roman"/>
                <w:szCs w:val="18"/>
                <w:lang w:eastAsia="en-GB"/>
              </w:rPr>
            </w:pPr>
          </w:p>
          <w:p w14:paraId="161702E4" w14:textId="77777777" w:rsidR="00CB2802" w:rsidRPr="00993442" w:rsidRDefault="00CB2802" w:rsidP="00B22F66">
            <w:pPr>
              <w:rPr>
                <w:rFonts w:eastAsia="Times New Roman"/>
                <w:szCs w:val="18"/>
                <w:lang w:eastAsia="en-GB"/>
              </w:rPr>
            </w:pPr>
          </w:p>
          <w:p w14:paraId="0BD6A425" w14:textId="77777777" w:rsidR="00CB2802" w:rsidRPr="00993442" w:rsidRDefault="00CB2802" w:rsidP="00B22F66">
            <w:pPr>
              <w:rPr>
                <w:rFonts w:eastAsia="Times New Roman"/>
                <w:szCs w:val="18"/>
                <w:lang w:eastAsia="en-GB"/>
              </w:rPr>
            </w:pPr>
          </w:p>
          <w:p w14:paraId="4463E593" w14:textId="77777777" w:rsidR="00CB2802" w:rsidRPr="00993442" w:rsidRDefault="00CB2802" w:rsidP="00B22F66">
            <w:pPr>
              <w:rPr>
                <w:rFonts w:eastAsia="Times New Roman"/>
                <w:szCs w:val="18"/>
                <w:lang w:eastAsia="en-GB"/>
              </w:rPr>
            </w:pPr>
          </w:p>
          <w:p w14:paraId="476B12D7" w14:textId="77777777" w:rsidR="00CB2802" w:rsidRPr="00993442" w:rsidRDefault="00CB2802" w:rsidP="00B22F66">
            <w:pPr>
              <w:rPr>
                <w:rFonts w:eastAsia="Times New Roman"/>
                <w:szCs w:val="18"/>
                <w:lang w:eastAsia="en-GB"/>
              </w:rPr>
            </w:pPr>
          </w:p>
          <w:p w14:paraId="71BEA528" w14:textId="77777777" w:rsidR="00CB2802" w:rsidRPr="00993442" w:rsidRDefault="00CB2802" w:rsidP="00B22F66">
            <w:pPr>
              <w:rPr>
                <w:rFonts w:eastAsia="Times New Roman"/>
                <w:szCs w:val="18"/>
                <w:lang w:eastAsia="en-GB"/>
              </w:rPr>
            </w:pPr>
          </w:p>
          <w:p w14:paraId="39D2F4AE" w14:textId="77777777" w:rsidR="00CB2802" w:rsidRPr="00993442" w:rsidRDefault="00CB2802" w:rsidP="00B22F66">
            <w:pPr>
              <w:rPr>
                <w:rFonts w:eastAsia="Times New Roman"/>
                <w:szCs w:val="18"/>
                <w:lang w:eastAsia="en-GB"/>
              </w:rPr>
            </w:pPr>
          </w:p>
          <w:p w14:paraId="6D018881" w14:textId="77777777" w:rsidR="00CB2802" w:rsidRPr="00993442" w:rsidRDefault="00CB2802" w:rsidP="00B22F66">
            <w:pPr>
              <w:rPr>
                <w:rFonts w:eastAsia="Times New Roman"/>
                <w:szCs w:val="18"/>
                <w:lang w:eastAsia="en-GB"/>
              </w:rPr>
            </w:pPr>
          </w:p>
          <w:p w14:paraId="6EDEC023" w14:textId="77777777" w:rsidR="00CB2802" w:rsidRPr="00993442" w:rsidRDefault="00CB2802" w:rsidP="00B22F66">
            <w:pPr>
              <w:rPr>
                <w:rFonts w:eastAsia="Times New Roman"/>
                <w:szCs w:val="18"/>
                <w:lang w:eastAsia="en-GB"/>
              </w:rPr>
            </w:pPr>
          </w:p>
          <w:p w14:paraId="727DE18B" w14:textId="77777777" w:rsidR="00CB2802" w:rsidRPr="00993442" w:rsidRDefault="00CB2802" w:rsidP="00B22F66">
            <w:pPr>
              <w:rPr>
                <w:rFonts w:eastAsia="Times New Roman"/>
                <w:szCs w:val="18"/>
                <w:lang w:eastAsia="en-GB"/>
              </w:rPr>
            </w:pPr>
          </w:p>
          <w:p w14:paraId="624281D0" w14:textId="77777777" w:rsidR="00CB2802" w:rsidRPr="00993442" w:rsidRDefault="00CB2802" w:rsidP="00B22F66">
            <w:pPr>
              <w:rPr>
                <w:rFonts w:eastAsia="Times New Roman"/>
                <w:szCs w:val="18"/>
                <w:lang w:eastAsia="en-GB"/>
              </w:rPr>
            </w:pPr>
          </w:p>
          <w:p w14:paraId="2C7AED31" w14:textId="77777777" w:rsidR="00CB2802" w:rsidRPr="00993442" w:rsidRDefault="00CB2802" w:rsidP="00B22F66">
            <w:pPr>
              <w:rPr>
                <w:rFonts w:eastAsia="Times New Roman"/>
                <w:szCs w:val="18"/>
                <w:lang w:eastAsia="en-GB"/>
              </w:rPr>
            </w:pPr>
          </w:p>
          <w:p w14:paraId="02EA4879" w14:textId="77777777" w:rsidR="00CB2802" w:rsidRPr="00993442" w:rsidRDefault="00CB2802" w:rsidP="00B22F66">
            <w:pPr>
              <w:rPr>
                <w:rFonts w:eastAsia="Times New Roman"/>
                <w:szCs w:val="18"/>
                <w:lang w:eastAsia="en-GB"/>
              </w:rPr>
            </w:pPr>
          </w:p>
          <w:p w14:paraId="70EAEAFF" w14:textId="77777777" w:rsidR="00CB2802" w:rsidRPr="00993442" w:rsidRDefault="00CB2802" w:rsidP="00B22F66">
            <w:pPr>
              <w:rPr>
                <w:rFonts w:eastAsia="Times New Roman"/>
                <w:szCs w:val="18"/>
                <w:lang w:eastAsia="en-GB"/>
              </w:rPr>
            </w:pPr>
          </w:p>
          <w:p w14:paraId="7F463CCF" w14:textId="77777777" w:rsidR="00CB2802" w:rsidRPr="00993442" w:rsidRDefault="00CB2802" w:rsidP="00B22F66">
            <w:pPr>
              <w:rPr>
                <w:rFonts w:eastAsia="Times New Roman"/>
                <w:szCs w:val="18"/>
                <w:lang w:eastAsia="en-GB"/>
              </w:rPr>
            </w:pPr>
            <w:r w:rsidRPr="00993442">
              <w:rPr>
                <w:rFonts w:eastAsia="Times New Roman"/>
                <w:szCs w:val="18"/>
                <w:lang w:eastAsia="en-GB"/>
              </w:rPr>
              <w:t>Update:</w:t>
            </w:r>
          </w:p>
          <w:p w14:paraId="4497D200"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There is a discrepancy between what SSNAP and the clinical classifications service consider a stroke, therefore further justification for the codes used is </w:t>
            </w:r>
            <w:r w:rsidRPr="00993442">
              <w:rPr>
                <w:rFonts w:eastAsia="Times New Roman"/>
                <w:szCs w:val="18"/>
                <w:lang w:eastAsia="en-GB"/>
              </w:rPr>
              <w:lastRenderedPageBreak/>
              <w:t>required and the definition should be updated (as stated in recommendation 2b).</w:t>
            </w:r>
          </w:p>
          <w:p w14:paraId="0F602D22" w14:textId="77777777" w:rsidR="00CB2802" w:rsidRPr="00993442" w:rsidRDefault="00CB2802" w:rsidP="00B22F66">
            <w:pPr>
              <w:rPr>
                <w:rFonts w:eastAsia="Times New Roman"/>
                <w:szCs w:val="18"/>
                <w:lang w:eastAsia="en-GB"/>
              </w:rPr>
            </w:pPr>
          </w:p>
        </w:tc>
        <w:tc>
          <w:tcPr>
            <w:tcW w:w="402" w:type="pct"/>
          </w:tcPr>
          <w:p w14:paraId="77B030BD" w14:textId="77777777" w:rsidR="00CB2802" w:rsidRPr="00993442" w:rsidRDefault="00CB2802" w:rsidP="00B22F66">
            <w:pPr>
              <w:rPr>
                <w:rFonts w:eastAsia="Times New Roman"/>
                <w:szCs w:val="18"/>
                <w:lang w:eastAsia="en-GB"/>
              </w:rPr>
            </w:pPr>
            <w:r w:rsidRPr="00993442">
              <w:rPr>
                <w:rFonts w:eastAsia="Times New Roman"/>
                <w:szCs w:val="18"/>
                <w:lang w:eastAsia="en-GB"/>
              </w:rPr>
              <w:lastRenderedPageBreak/>
              <w:t>MRG</w:t>
            </w:r>
            <w:r w:rsidRPr="00993442">
              <w:rPr>
                <w:rFonts w:eastAsia="Times New Roman"/>
                <w:szCs w:val="18"/>
                <w:lang w:eastAsia="en-GB"/>
              </w:rPr>
              <w:br/>
              <w:t>- During initial appraisal</w:t>
            </w:r>
          </w:p>
          <w:p w14:paraId="3D4AB620" w14:textId="77777777" w:rsidR="00CB2802" w:rsidRPr="00993442" w:rsidRDefault="00CB2802" w:rsidP="00B22F66">
            <w:pPr>
              <w:rPr>
                <w:rFonts w:eastAsia="Times New Roman"/>
                <w:szCs w:val="18"/>
                <w:lang w:eastAsia="en-GB"/>
              </w:rPr>
            </w:pPr>
          </w:p>
          <w:p w14:paraId="7639C004" w14:textId="77777777" w:rsidR="00CB2802" w:rsidRPr="00993442" w:rsidRDefault="00CB2802" w:rsidP="00B22F66">
            <w:pPr>
              <w:rPr>
                <w:rFonts w:eastAsia="Times New Roman"/>
                <w:szCs w:val="18"/>
                <w:lang w:eastAsia="en-GB"/>
              </w:rPr>
            </w:pPr>
          </w:p>
          <w:p w14:paraId="208843DB" w14:textId="77777777" w:rsidR="00CB2802" w:rsidRPr="00993442" w:rsidRDefault="00CB2802" w:rsidP="00B22F66">
            <w:pPr>
              <w:rPr>
                <w:rFonts w:eastAsia="Times New Roman"/>
                <w:szCs w:val="18"/>
                <w:lang w:eastAsia="en-GB"/>
              </w:rPr>
            </w:pPr>
          </w:p>
          <w:p w14:paraId="269FD957" w14:textId="77777777" w:rsidR="00CB2802" w:rsidRPr="00993442" w:rsidRDefault="00CB2802" w:rsidP="00B22F66">
            <w:pPr>
              <w:rPr>
                <w:rFonts w:eastAsia="Times New Roman"/>
                <w:szCs w:val="18"/>
                <w:lang w:eastAsia="en-GB"/>
              </w:rPr>
            </w:pPr>
          </w:p>
          <w:p w14:paraId="5D619B98" w14:textId="77777777" w:rsidR="00CB2802" w:rsidRPr="00993442" w:rsidRDefault="00CB2802" w:rsidP="00B22F66">
            <w:pPr>
              <w:rPr>
                <w:rFonts w:eastAsia="Times New Roman"/>
                <w:szCs w:val="18"/>
                <w:lang w:eastAsia="en-GB"/>
              </w:rPr>
            </w:pPr>
          </w:p>
          <w:p w14:paraId="049B10E1" w14:textId="77777777" w:rsidR="00CB2802" w:rsidRPr="00993442" w:rsidRDefault="00CB2802" w:rsidP="00B22F66">
            <w:pPr>
              <w:rPr>
                <w:rFonts w:eastAsia="Times New Roman"/>
                <w:szCs w:val="18"/>
                <w:lang w:eastAsia="en-GB"/>
              </w:rPr>
            </w:pPr>
          </w:p>
          <w:p w14:paraId="4BE3487A" w14:textId="77777777" w:rsidR="00CB2802" w:rsidRPr="00993442" w:rsidRDefault="00CB2802" w:rsidP="00B22F66">
            <w:pPr>
              <w:rPr>
                <w:rFonts w:eastAsia="Times New Roman"/>
                <w:szCs w:val="18"/>
                <w:lang w:eastAsia="en-GB"/>
              </w:rPr>
            </w:pPr>
          </w:p>
          <w:p w14:paraId="696047C2" w14:textId="77777777" w:rsidR="00CB2802" w:rsidRPr="00993442" w:rsidRDefault="00CB2802" w:rsidP="00B22F66">
            <w:pPr>
              <w:rPr>
                <w:rFonts w:eastAsia="Times New Roman"/>
                <w:szCs w:val="18"/>
                <w:lang w:eastAsia="en-GB"/>
              </w:rPr>
            </w:pPr>
          </w:p>
          <w:p w14:paraId="2DADDCB5" w14:textId="77777777" w:rsidR="00CB2802" w:rsidRPr="00993442" w:rsidRDefault="00CB2802" w:rsidP="00B22F66">
            <w:pPr>
              <w:rPr>
                <w:rFonts w:eastAsia="Times New Roman"/>
                <w:szCs w:val="18"/>
                <w:lang w:eastAsia="en-GB"/>
              </w:rPr>
            </w:pPr>
          </w:p>
          <w:p w14:paraId="01F8CF91" w14:textId="77777777" w:rsidR="00CB2802" w:rsidRPr="00993442" w:rsidRDefault="00CB2802" w:rsidP="00B22F66">
            <w:pPr>
              <w:rPr>
                <w:rFonts w:eastAsia="Times New Roman"/>
                <w:szCs w:val="18"/>
                <w:lang w:eastAsia="en-GB"/>
              </w:rPr>
            </w:pPr>
          </w:p>
          <w:p w14:paraId="413FAFEA" w14:textId="77777777" w:rsidR="00CB2802" w:rsidRPr="00993442" w:rsidRDefault="00CB2802" w:rsidP="00B22F66">
            <w:pPr>
              <w:rPr>
                <w:rFonts w:eastAsia="Times New Roman"/>
                <w:szCs w:val="18"/>
                <w:lang w:eastAsia="en-GB"/>
              </w:rPr>
            </w:pPr>
          </w:p>
          <w:p w14:paraId="434C6D5D" w14:textId="77777777" w:rsidR="00CB2802" w:rsidRPr="00993442" w:rsidRDefault="00CB2802" w:rsidP="00B22F66">
            <w:pPr>
              <w:rPr>
                <w:rFonts w:eastAsia="Times New Roman"/>
                <w:szCs w:val="18"/>
                <w:lang w:eastAsia="en-GB"/>
              </w:rPr>
            </w:pPr>
          </w:p>
          <w:p w14:paraId="660C72F5" w14:textId="77777777" w:rsidR="00CB2802" w:rsidRPr="00993442" w:rsidRDefault="00CB2802" w:rsidP="00B22F66">
            <w:pPr>
              <w:rPr>
                <w:rFonts w:eastAsia="Times New Roman"/>
                <w:szCs w:val="18"/>
                <w:lang w:eastAsia="en-GB"/>
              </w:rPr>
            </w:pPr>
          </w:p>
          <w:p w14:paraId="06A3099C" w14:textId="77777777" w:rsidR="00CB2802" w:rsidRPr="00993442" w:rsidRDefault="00CB2802" w:rsidP="00B22F66">
            <w:pPr>
              <w:rPr>
                <w:rFonts w:eastAsia="Times New Roman"/>
                <w:szCs w:val="18"/>
                <w:lang w:eastAsia="en-GB"/>
              </w:rPr>
            </w:pPr>
          </w:p>
          <w:p w14:paraId="37B448AA" w14:textId="77777777" w:rsidR="00CB2802" w:rsidRPr="00993442" w:rsidRDefault="00CB2802" w:rsidP="00B22F66">
            <w:pPr>
              <w:rPr>
                <w:rFonts w:eastAsia="Times New Roman"/>
                <w:szCs w:val="18"/>
                <w:lang w:eastAsia="en-GB"/>
              </w:rPr>
            </w:pPr>
          </w:p>
          <w:p w14:paraId="1A5474EE"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p>
          <w:p w14:paraId="351699C4" w14:textId="77777777" w:rsidR="00CB2802" w:rsidRPr="00993442" w:rsidRDefault="00CB2802" w:rsidP="00B22F66">
            <w:pPr>
              <w:rPr>
                <w:rFonts w:eastAsia="Times New Roman"/>
                <w:szCs w:val="18"/>
                <w:lang w:eastAsia="en-GB"/>
              </w:rPr>
            </w:pPr>
          </w:p>
          <w:p w14:paraId="3F15BCBC" w14:textId="77777777" w:rsidR="00CB2802" w:rsidRPr="00993442" w:rsidRDefault="00CB2802" w:rsidP="00B22F66">
            <w:pPr>
              <w:rPr>
                <w:rFonts w:eastAsia="Times New Roman"/>
                <w:szCs w:val="18"/>
                <w:lang w:eastAsia="en-GB"/>
              </w:rPr>
            </w:pPr>
            <w:r w:rsidRPr="00993442">
              <w:rPr>
                <w:rFonts w:eastAsia="Times New Roman"/>
                <w:szCs w:val="18"/>
                <w:lang w:eastAsia="en-GB"/>
              </w:rPr>
              <w:t>10/09/15</w:t>
            </w:r>
          </w:p>
        </w:tc>
        <w:tc>
          <w:tcPr>
            <w:tcW w:w="1551" w:type="pct"/>
          </w:tcPr>
          <w:p w14:paraId="3FF64B8B"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The SSNAP uses the following ICD-10 diagnosis codes to identify stroke patients:</w:t>
            </w:r>
          </w:p>
          <w:p w14:paraId="66BCE5C4" w14:textId="77777777" w:rsidR="00CB2802" w:rsidRPr="00993442" w:rsidRDefault="00CB2802" w:rsidP="00CB2802">
            <w:pPr>
              <w:pStyle w:val="ListParagraph"/>
              <w:numPr>
                <w:ilvl w:val="0"/>
                <w:numId w:val="14"/>
              </w:numPr>
              <w:spacing w:before="120" w:after="120" w:line="240" w:lineRule="auto"/>
              <w:rPr>
                <w:rFonts w:ascii="Arial" w:eastAsia="Times New Roman" w:hAnsi="Arial" w:cs="Arial"/>
                <w:szCs w:val="18"/>
                <w:lang w:eastAsia="en-GB"/>
              </w:rPr>
            </w:pPr>
            <w:r w:rsidRPr="00993442">
              <w:rPr>
                <w:rFonts w:ascii="Arial" w:eastAsia="Times New Roman" w:hAnsi="Arial" w:cs="Arial"/>
                <w:szCs w:val="18"/>
                <w:lang w:eastAsia="en-GB"/>
              </w:rPr>
              <w:t>I61 - Intracerebral haemorrhage</w:t>
            </w:r>
          </w:p>
          <w:p w14:paraId="77C77AF9" w14:textId="77777777" w:rsidR="00CB2802" w:rsidRPr="00993442" w:rsidRDefault="00CB2802" w:rsidP="00CB2802">
            <w:pPr>
              <w:pStyle w:val="ListParagraph"/>
              <w:numPr>
                <w:ilvl w:val="0"/>
                <w:numId w:val="14"/>
              </w:numPr>
              <w:spacing w:before="120" w:after="120" w:line="240" w:lineRule="auto"/>
              <w:rPr>
                <w:rFonts w:ascii="Arial" w:eastAsia="Times New Roman" w:hAnsi="Arial" w:cs="Arial"/>
                <w:szCs w:val="18"/>
                <w:lang w:eastAsia="en-GB"/>
              </w:rPr>
            </w:pPr>
            <w:r w:rsidRPr="00993442">
              <w:rPr>
                <w:rFonts w:ascii="Arial" w:eastAsia="Times New Roman" w:hAnsi="Arial" w:cs="Arial"/>
                <w:szCs w:val="18"/>
                <w:lang w:eastAsia="en-GB"/>
              </w:rPr>
              <w:t>I63 - Cerebral infarction</w:t>
            </w:r>
          </w:p>
          <w:p w14:paraId="3AC59C71" w14:textId="77777777" w:rsidR="00CB2802" w:rsidRPr="00993442" w:rsidRDefault="00CB2802" w:rsidP="00CB2802">
            <w:pPr>
              <w:pStyle w:val="ListParagraph"/>
              <w:numPr>
                <w:ilvl w:val="0"/>
                <w:numId w:val="14"/>
              </w:numPr>
              <w:spacing w:before="120" w:after="120" w:line="240" w:lineRule="auto"/>
              <w:rPr>
                <w:rFonts w:ascii="Arial" w:eastAsia="Times New Roman" w:hAnsi="Arial" w:cs="Arial"/>
                <w:szCs w:val="18"/>
                <w:lang w:eastAsia="en-GB"/>
              </w:rPr>
            </w:pPr>
            <w:r w:rsidRPr="00993442">
              <w:rPr>
                <w:rFonts w:ascii="Arial" w:eastAsia="Times New Roman" w:hAnsi="Arial" w:cs="Arial"/>
                <w:szCs w:val="18"/>
                <w:lang w:eastAsia="en-GB"/>
              </w:rPr>
              <w:t>I64 - Stroke, not specified as haemorrhage or infarction</w:t>
            </w:r>
          </w:p>
          <w:p w14:paraId="4A0F69CD"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The coding advice from the Clinical Classifications Service also includes I60 (Subarachnoid haemorrhage) and I62 (Other nontraumatic intracranial haemorrhage), however this advice would not be endorsed by the RCP as subarachnoid haemorrhage and other non-traumatic intracranial haemorrhage have a different care pathway and outcome.</w:t>
            </w:r>
          </w:p>
          <w:p w14:paraId="4C5AB3A4" w14:textId="77777777" w:rsidR="00CB2802" w:rsidRPr="00993442" w:rsidRDefault="00CB2802" w:rsidP="00B22F66">
            <w:pPr>
              <w:spacing w:before="120" w:after="120"/>
              <w:rPr>
                <w:rFonts w:eastAsia="Times New Roman"/>
                <w:szCs w:val="18"/>
                <w:lang w:eastAsia="en-GB"/>
              </w:rPr>
            </w:pPr>
          </w:p>
          <w:p w14:paraId="4EAA7012" w14:textId="77777777" w:rsidR="00CB2802" w:rsidRPr="00993442" w:rsidRDefault="00CB2802" w:rsidP="00B22F66">
            <w:pPr>
              <w:rPr>
                <w:rFonts w:eastAsia="Times New Roman"/>
                <w:szCs w:val="18"/>
                <w:lang w:eastAsia="en-GB"/>
              </w:rPr>
            </w:pPr>
          </w:p>
          <w:p w14:paraId="7B9A460A" w14:textId="77777777" w:rsidR="00CB2802" w:rsidRPr="00993442" w:rsidRDefault="00CB2802" w:rsidP="00B22F66">
            <w:pPr>
              <w:rPr>
                <w:rFonts w:eastAsia="Times New Roman"/>
                <w:szCs w:val="18"/>
                <w:lang w:eastAsia="en-GB"/>
              </w:rPr>
            </w:pPr>
            <w:r w:rsidRPr="00993442">
              <w:rPr>
                <w:rFonts w:eastAsia="Times New Roman"/>
                <w:szCs w:val="18"/>
                <w:lang w:eastAsia="en-GB"/>
              </w:rPr>
              <w:t>Update:</w:t>
            </w:r>
          </w:p>
          <w:p w14:paraId="687DF63A"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Subarachnoid haemorrhages and other non-traumatic intracranial haemorrhages are routinely and nearly always managed </w:t>
            </w:r>
            <w:r w:rsidRPr="00993442">
              <w:rPr>
                <w:rFonts w:eastAsia="Times New Roman"/>
                <w:szCs w:val="18"/>
                <w:lang w:eastAsia="en-GB"/>
              </w:rPr>
              <w:lastRenderedPageBreak/>
              <w:t>entirely outside of the stroke unit by neurosurgeons or by interventional neuroradiologists, which is what is recommended in national guidelines for these cases. The indicators need to reflect the care given on appropriate clinical pathways, not arbitrary groupings.</w:t>
            </w:r>
          </w:p>
        </w:tc>
        <w:tc>
          <w:tcPr>
            <w:tcW w:w="435" w:type="pct"/>
          </w:tcPr>
          <w:p w14:paraId="435BEE01" w14:textId="77777777" w:rsidR="00CB2802" w:rsidRPr="00993442" w:rsidRDefault="00CB2802" w:rsidP="00B22F66">
            <w:pPr>
              <w:jc w:val="center"/>
              <w:rPr>
                <w:rFonts w:eastAsia="Times New Roman"/>
                <w:szCs w:val="18"/>
                <w:lang w:eastAsia="en-GB"/>
              </w:rPr>
            </w:pPr>
            <w:r w:rsidRPr="00993442">
              <w:rPr>
                <w:rFonts w:eastAsia="Times New Roman"/>
                <w:szCs w:val="18"/>
                <w:lang w:eastAsia="en-GB"/>
              </w:rPr>
              <w:lastRenderedPageBreak/>
              <w:t>During initial appraisal</w:t>
            </w:r>
          </w:p>
        </w:tc>
        <w:sdt>
          <w:sdtPr>
            <w:rPr>
              <w:szCs w:val="20"/>
            </w:rPr>
            <w:id w:val="50124116"/>
            <w14:checkbox>
              <w14:checked w14:val="1"/>
              <w14:checkedState w14:val="00FE" w14:font="Wingdings"/>
              <w14:uncheckedState w14:val="006F" w14:font="Wingdings"/>
            </w14:checkbox>
          </w:sdtPr>
          <w:sdtEndPr/>
          <w:sdtContent>
            <w:tc>
              <w:tcPr>
                <w:tcW w:w="410" w:type="pct"/>
              </w:tcPr>
              <w:p w14:paraId="38C67B86" w14:textId="77777777" w:rsidR="00CB2802" w:rsidRPr="00993442" w:rsidRDefault="00CB2802" w:rsidP="00B22F66">
                <w:pPr>
                  <w:jc w:val="center"/>
                  <w:rPr>
                    <w:szCs w:val="20"/>
                  </w:rPr>
                </w:pPr>
                <w:r w:rsidRPr="00993442">
                  <w:rPr>
                    <w:szCs w:val="20"/>
                  </w:rPr>
                  <w:sym w:font="Wingdings" w:char="F0FE"/>
                </w:r>
              </w:p>
            </w:tc>
          </w:sdtContent>
        </w:sdt>
        <w:tc>
          <w:tcPr>
            <w:tcW w:w="452" w:type="pct"/>
          </w:tcPr>
          <w:p w14:paraId="317D9162" w14:textId="77777777" w:rsidR="00CB2802" w:rsidRPr="00993442" w:rsidRDefault="00CB2802" w:rsidP="00B22F66">
            <w:pPr>
              <w:rPr>
                <w:rFonts w:eastAsia="Times New Roman"/>
                <w:szCs w:val="20"/>
                <w:lang w:eastAsia="en-GB"/>
              </w:rPr>
            </w:pPr>
            <w:r w:rsidRPr="00993442">
              <w:rPr>
                <w:rFonts w:eastAsia="Times New Roman"/>
                <w:szCs w:val="20"/>
                <w:lang w:eastAsia="en-GB"/>
              </w:rPr>
              <w:t>MRG – 26/11/2015</w:t>
            </w:r>
          </w:p>
        </w:tc>
      </w:tr>
      <w:tr w:rsidR="00993442" w:rsidRPr="00993442" w14:paraId="6B91900F" w14:textId="77777777" w:rsidTr="006B7F28">
        <w:tc>
          <w:tcPr>
            <w:tcW w:w="294" w:type="pct"/>
          </w:tcPr>
          <w:p w14:paraId="456C6903" w14:textId="77777777" w:rsidR="00CB2802" w:rsidRPr="00993442" w:rsidRDefault="00CB2802" w:rsidP="00B22F66">
            <w:pPr>
              <w:rPr>
                <w:rFonts w:eastAsia="Times New Roman"/>
                <w:szCs w:val="20"/>
                <w:lang w:eastAsia="en-GB"/>
              </w:rPr>
            </w:pPr>
            <w:r w:rsidRPr="00993442">
              <w:rPr>
                <w:rFonts w:eastAsia="Times New Roman"/>
                <w:szCs w:val="20"/>
                <w:lang w:eastAsia="en-GB"/>
              </w:rPr>
              <w:t>3d</w:t>
            </w:r>
          </w:p>
        </w:tc>
        <w:tc>
          <w:tcPr>
            <w:tcW w:w="1456" w:type="pct"/>
          </w:tcPr>
          <w:p w14:paraId="6B057659" w14:textId="77777777" w:rsidR="00CB2802" w:rsidRPr="00993442" w:rsidRDefault="00CB2802" w:rsidP="00B22F66">
            <w:pPr>
              <w:rPr>
                <w:rFonts w:eastAsia="Times New Roman"/>
                <w:szCs w:val="18"/>
                <w:lang w:eastAsia="en-GB"/>
              </w:rPr>
            </w:pPr>
            <w:r w:rsidRPr="00993442">
              <w:rPr>
                <w:rFonts w:eastAsia="Times New Roman"/>
                <w:szCs w:val="18"/>
                <w:lang w:eastAsia="en-GB"/>
              </w:rPr>
              <w:t>The narrative around why SSNAP is being used as opposed to HES should be strengthened.  The application states that over-coding occurs in HES, however the results in section 5.9 show that case “ascertainment” against HES is over 100%.</w:t>
            </w:r>
          </w:p>
        </w:tc>
        <w:tc>
          <w:tcPr>
            <w:tcW w:w="402" w:type="pct"/>
          </w:tcPr>
          <w:p w14:paraId="4B9A2181"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p>
          <w:p w14:paraId="73041E5D" w14:textId="77777777" w:rsidR="00CB2802" w:rsidRPr="00993442" w:rsidRDefault="00CB2802" w:rsidP="00B22F66">
            <w:pPr>
              <w:rPr>
                <w:rFonts w:eastAsia="Times New Roman"/>
                <w:szCs w:val="18"/>
                <w:lang w:eastAsia="en-GB"/>
              </w:rPr>
            </w:pPr>
          </w:p>
          <w:p w14:paraId="000DC116" w14:textId="77777777" w:rsidR="00CB2802" w:rsidRPr="00993442" w:rsidRDefault="00CB2802" w:rsidP="00B22F66">
            <w:pPr>
              <w:rPr>
                <w:rFonts w:eastAsia="Times New Roman"/>
                <w:szCs w:val="18"/>
                <w:lang w:eastAsia="en-GB"/>
              </w:rPr>
            </w:pPr>
            <w:r w:rsidRPr="00993442">
              <w:rPr>
                <w:rFonts w:eastAsia="Times New Roman"/>
                <w:szCs w:val="18"/>
                <w:lang w:eastAsia="en-GB"/>
              </w:rPr>
              <w:t>10/09/15</w:t>
            </w:r>
          </w:p>
        </w:tc>
        <w:tc>
          <w:tcPr>
            <w:tcW w:w="1551" w:type="pct"/>
          </w:tcPr>
          <w:p w14:paraId="2AB520AA"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The application stated that the RCP view at the original MRG meeting in 2012 was that over-coding of stroke can occur in HES</w:t>
            </w:r>
            <w:r w:rsidRPr="00993442">
              <w:t xml:space="preserve"> </w:t>
            </w:r>
            <w:r w:rsidRPr="00993442">
              <w:rPr>
                <w:rFonts w:eastAsia="Times New Roman"/>
                <w:szCs w:val="18"/>
                <w:lang w:eastAsia="en-GB"/>
              </w:rPr>
              <w:t xml:space="preserve">compared to epidemiological studies and that clinicians had reported poor coding for stroke in some instances when they used HES as the sole means of identifying cases. </w:t>
            </w:r>
          </w:p>
          <w:p w14:paraId="01B2F207"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HES does not contain stroke severity information or known history of atrial fibrillation prior to stroke, which are key parts of the mortality case mix adjustment model and would be a fundamental limitation to using HES data to measure mortality. Both of these factors are included in the SSNAP model because they are significantly associated with the risk of dying (as would be expected).</w:t>
            </w:r>
          </w:p>
        </w:tc>
        <w:tc>
          <w:tcPr>
            <w:tcW w:w="435" w:type="pct"/>
          </w:tcPr>
          <w:p w14:paraId="48FBB69B" w14:textId="77777777" w:rsidR="00CB2802" w:rsidRPr="00993442" w:rsidRDefault="00CB2802" w:rsidP="00B22F66">
            <w:pPr>
              <w:jc w:val="center"/>
              <w:rPr>
                <w:rFonts w:eastAsia="Times New Roman"/>
                <w:szCs w:val="18"/>
                <w:lang w:eastAsia="en-GB"/>
              </w:rPr>
            </w:pPr>
            <w:r w:rsidRPr="00993442">
              <w:rPr>
                <w:rFonts w:eastAsia="Times New Roman"/>
                <w:szCs w:val="18"/>
                <w:lang w:eastAsia="en-GB"/>
              </w:rPr>
              <w:t>26/11/15</w:t>
            </w:r>
          </w:p>
        </w:tc>
        <w:sdt>
          <w:sdtPr>
            <w:rPr>
              <w:szCs w:val="20"/>
            </w:rPr>
            <w:id w:val="-816418278"/>
            <w14:checkbox>
              <w14:checked w14:val="1"/>
              <w14:checkedState w14:val="00FE" w14:font="Wingdings"/>
              <w14:uncheckedState w14:val="006F" w14:font="Wingdings"/>
            </w14:checkbox>
          </w:sdtPr>
          <w:sdtEndPr/>
          <w:sdtContent>
            <w:tc>
              <w:tcPr>
                <w:tcW w:w="410" w:type="pct"/>
              </w:tcPr>
              <w:p w14:paraId="7B993DC3" w14:textId="77777777" w:rsidR="00CB2802" w:rsidRPr="00993442" w:rsidRDefault="00CB2802" w:rsidP="00B22F66">
                <w:pPr>
                  <w:jc w:val="center"/>
                  <w:rPr>
                    <w:szCs w:val="20"/>
                  </w:rPr>
                </w:pPr>
                <w:r w:rsidRPr="00993442">
                  <w:rPr>
                    <w:szCs w:val="20"/>
                  </w:rPr>
                  <w:sym w:font="Wingdings" w:char="F0FE"/>
                </w:r>
              </w:p>
            </w:tc>
          </w:sdtContent>
        </w:sdt>
        <w:tc>
          <w:tcPr>
            <w:tcW w:w="452" w:type="pct"/>
          </w:tcPr>
          <w:p w14:paraId="40E3506F" w14:textId="77777777" w:rsidR="00CB2802" w:rsidRPr="00993442" w:rsidRDefault="00CB2802" w:rsidP="00B22F66">
            <w:pPr>
              <w:rPr>
                <w:rFonts w:eastAsia="Times New Roman"/>
                <w:szCs w:val="20"/>
                <w:lang w:eastAsia="en-GB"/>
              </w:rPr>
            </w:pPr>
            <w:r w:rsidRPr="00993442">
              <w:rPr>
                <w:rFonts w:eastAsia="Times New Roman"/>
                <w:szCs w:val="20"/>
                <w:lang w:eastAsia="en-GB"/>
              </w:rPr>
              <w:t>MRG – 26/11/2015</w:t>
            </w:r>
          </w:p>
        </w:tc>
      </w:tr>
      <w:tr w:rsidR="00993442" w:rsidRPr="00993442" w14:paraId="1CB6883E" w14:textId="77777777" w:rsidTr="006B7F28">
        <w:tc>
          <w:tcPr>
            <w:tcW w:w="294" w:type="pct"/>
          </w:tcPr>
          <w:p w14:paraId="4A507234" w14:textId="77777777" w:rsidR="00CB2802" w:rsidRPr="00993442" w:rsidRDefault="00CB2802" w:rsidP="00B22F66">
            <w:pPr>
              <w:rPr>
                <w:rFonts w:eastAsia="Times New Roman"/>
                <w:szCs w:val="20"/>
                <w:lang w:eastAsia="en-GB"/>
              </w:rPr>
            </w:pPr>
            <w:r w:rsidRPr="00993442">
              <w:rPr>
                <w:rFonts w:eastAsia="Times New Roman"/>
                <w:szCs w:val="20"/>
                <w:lang w:eastAsia="en-GB"/>
              </w:rPr>
              <w:t>3e</w:t>
            </w:r>
          </w:p>
        </w:tc>
        <w:tc>
          <w:tcPr>
            <w:tcW w:w="1456" w:type="pct"/>
          </w:tcPr>
          <w:p w14:paraId="0B3A1E51"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The applicant should consider how useful it is to provide case ascertainment against HES data, since it is recognised that over-coding occurs in HES, making the figure hard to interpret. If the figure is to be presented, MRG recommend changing the name from “case </w:t>
            </w:r>
            <w:r w:rsidRPr="00993442">
              <w:rPr>
                <w:rFonts w:eastAsia="Times New Roman"/>
                <w:szCs w:val="18"/>
                <w:lang w:eastAsia="en-GB"/>
              </w:rPr>
              <w:lastRenderedPageBreak/>
              <w:t>ascertainment” to “case comparison” and to present bands above 90+%.</w:t>
            </w:r>
          </w:p>
        </w:tc>
        <w:tc>
          <w:tcPr>
            <w:tcW w:w="402" w:type="pct"/>
          </w:tcPr>
          <w:p w14:paraId="4FA9D2B4" w14:textId="77777777" w:rsidR="00CB2802" w:rsidRPr="00993442" w:rsidRDefault="00CB2802" w:rsidP="00B22F66">
            <w:pPr>
              <w:rPr>
                <w:rFonts w:eastAsia="Times New Roman"/>
                <w:szCs w:val="18"/>
                <w:lang w:eastAsia="en-GB"/>
              </w:rPr>
            </w:pPr>
            <w:r w:rsidRPr="00993442">
              <w:rPr>
                <w:rFonts w:eastAsia="Times New Roman"/>
                <w:szCs w:val="18"/>
                <w:lang w:eastAsia="en-GB"/>
              </w:rPr>
              <w:lastRenderedPageBreak/>
              <w:t>MRG</w:t>
            </w:r>
          </w:p>
          <w:p w14:paraId="410535F5" w14:textId="77777777" w:rsidR="00CB2802" w:rsidRPr="00993442" w:rsidRDefault="00CB2802" w:rsidP="00B22F66">
            <w:pPr>
              <w:rPr>
                <w:rFonts w:eastAsia="Times New Roman"/>
                <w:szCs w:val="18"/>
                <w:lang w:eastAsia="en-GB"/>
              </w:rPr>
            </w:pPr>
          </w:p>
          <w:p w14:paraId="7FF3C76D" w14:textId="77777777" w:rsidR="00CB2802" w:rsidRPr="00993442" w:rsidRDefault="00CB2802" w:rsidP="00B22F66">
            <w:pPr>
              <w:rPr>
                <w:rFonts w:eastAsia="Times New Roman"/>
                <w:szCs w:val="18"/>
                <w:lang w:eastAsia="en-GB"/>
              </w:rPr>
            </w:pPr>
            <w:r w:rsidRPr="00993442">
              <w:rPr>
                <w:rFonts w:eastAsia="Times New Roman"/>
                <w:szCs w:val="18"/>
                <w:lang w:eastAsia="en-GB"/>
              </w:rPr>
              <w:t>10/09/15</w:t>
            </w:r>
          </w:p>
        </w:tc>
        <w:tc>
          <w:tcPr>
            <w:tcW w:w="1551" w:type="pct"/>
          </w:tcPr>
          <w:p w14:paraId="46368F1E"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This contextual case ascertainment information aligns to the information and bandings presented in the RCP SSNAP </w:t>
            </w:r>
            <w:proofErr w:type="spellStart"/>
            <w:proofErr w:type="gramStart"/>
            <w:r w:rsidRPr="00993442">
              <w:rPr>
                <w:rFonts w:eastAsia="Times New Roman"/>
                <w:szCs w:val="18"/>
                <w:lang w:eastAsia="en-GB"/>
              </w:rPr>
              <w:t>publication.The</w:t>
            </w:r>
            <w:proofErr w:type="spellEnd"/>
            <w:proofErr w:type="gramEnd"/>
            <w:r w:rsidRPr="00993442">
              <w:rPr>
                <w:rFonts w:eastAsia="Times New Roman"/>
                <w:szCs w:val="18"/>
                <w:lang w:eastAsia="en-GB"/>
              </w:rPr>
              <w:t xml:space="preserve"> RCP view is that it is not case comparison as it is not comparing the same year’s HES with SSNAP. Since the purpose of including case ascertainment is to highlight CCGs with low case </w:t>
            </w:r>
            <w:r w:rsidRPr="00993442">
              <w:rPr>
                <w:rFonts w:eastAsia="Times New Roman"/>
                <w:szCs w:val="18"/>
                <w:lang w:eastAsia="en-GB"/>
              </w:rPr>
              <w:lastRenderedPageBreak/>
              <w:t xml:space="preserve">ascertainment indicating that hospitals within the CCG have not been entering in all their patients onto SSNAP (and the results may therefore not reflect the care that all the CCGs patients received), having bands above 100% would not be useful. HES is not the ‘gold standard’, but it is a useful indication of case selection. </w:t>
            </w:r>
          </w:p>
          <w:p w14:paraId="361D48BE"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The HES case ascertainment figure (‘Estimated expected number of patients from HES’) is the number of patients who have been coded as a primary diagnosis of stroke during their admission in a year’s worth of HES, split by the patient’s CCG recorded in the HES record. The indicator is not reported for CCGs with less than 50% case ascertainment.</w:t>
            </w:r>
          </w:p>
        </w:tc>
        <w:tc>
          <w:tcPr>
            <w:tcW w:w="435" w:type="pct"/>
          </w:tcPr>
          <w:p w14:paraId="1C7C6882" w14:textId="77777777" w:rsidR="00CB2802" w:rsidRPr="00993442" w:rsidRDefault="00CB2802" w:rsidP="00B22F66">
            <w:pPr>
              <w:jc w:val="center"/>
              <w:rPr>
                <w:rFonts w:eastAsia="Times New Roman"/>
                <w:szCs w:val="18"/>
                <w:lang w:eastAsia="en-GB"/>
              </w:rPr>
            </w:pPr>
            <w:r w:rsidRPr="00993442">
              <w:rPr>
                <w:rFonts w:eastAsia="Times New Roman"/>
                <w:szCs w:val="18"/>
                <w:lang w:eastAsia="en-GB"/>
              </w:rPr>
              <w:lastRenderedPageBreak/>
              <w:t>26/11/15</w:t>
            </w:r>
          </w:p>
        </w:tc>
        <w:sdt>
          <w:sdtPr>
            <w:rPr>
              <w:szCs w:val="20"/>
            </w:rPr>
            <w:id w:val="-485938944"/>
            <w14:checkbox>
              <w14:checked w14:val="1"/>
              <w14:checkedState w14:val="00FE" w14:font="Wingdings"/>
              <w14:uncheckedState w14:val="006F" w14:font="Wingdings"/>
            </w14:checkbox>
          </w:sdtPr>
          <w:sdtEndPr/>
          <w:sdtContent>
            <w:tc>
              <w:tcPr>
                <w:tcW w:w="410" w:type="pct"/>
              </w:tcPr>
              <w:p w14:paraId="6BC201A4" w14:textId="77777777" w:rsidR="00CB2802" w:rsidRPr="00993442" w:rsidRDefault="00CB2802" w:rsidP="00B22F66">
                <w:pPr>
                  <w:jc w:val="center"/>
                  <w:rPr>
                    <w:szCs w:val="20"/>
                  </w:rPr>
                </w:pPr>
                <w:r w:rsidRPr="00993442">
                  <w:rPr>
                    <w:szCs w:val="20"/>
                  </w:rPr>
                  <w:sym w:font="Wingdings" w:char="F0FE"/>
                </w:r>
              </w:p>
            </w:tc>
          </w:sdtContent>
        </w:sdt>
        <w:tc>
          <w:tcPr>
            <w:tcW w:w="452" w:type="pct"/>
          </w:tcPr>
          <w:p w14:paraId="0CC5D62F" w14:textId="77777777" w:rsidR="00CB2802" w:rsidRPr="00993442" w:rsidRDefault="00CB2802" w:rsidP="00B22F66">
            <w:pPr>
              <w:rPr>
                <w:rFonts w:eastAsia="Times New Roman"/>
                <w:szCs w:val="20"/>
                <w:lang w:eastAsia="en-GB"/>
              </w:rPr>
            </w:pPr>
            <w:r w:rsidRPr="00993442">
              <w:rPr>
                <w:rFonts w:eastAsia="Times New Roman"/>
                <w:szCs w:val="20"/>
                <w:lang w:eastAsia="en-GB"/>
              </w:rPr>
              <w:t>MRG – 26/11/2015</w:t>
            </w:r>
          </w:p>
        </w:tc>
      </w:tr>
    </w:tbl>
    <w:p w14:paraId="21956AB9" w14:textId="79A7F17F" w:rsidR="00CB2802" w:rsidRPr="00993442" w:rsidRDefault="006B7F28" w:rsidP="00CB2802">
      <w:r w:rsidRPr="00993442">
        <w:rPr>
          <w:b/>
          <w:sz w:val="28"/>
          <w:szCs w:val="28"/>
        </w:rPr>
        <w:t>Construction</w:t>
      </w:r>
    </w:p>
    <w:tbl>
      <w:tblPr>
        <w:tblStyle w:val="TableGrid2"/>
        <w:tblW w:w="14794" w:type="dxa"/>
        <w:tblLayout w:type="fixed"/>
        <w:tblLook w:val="04A0" w:firstRow="1" w:lastRow="0" w:firstColumn="1" w:lastColumn="0" w:noHBand="0" w:noVBand="1"/>
      </w:tblPr>
      <w:tblGrid>
        <w:gridCol w:w="952"/>
        <w:gridCol w:w="4387"/>
        <w:gridCol w:w="1269"/>
        <w:gridCol w:w="4700"/>
        <w:gridCol w:w="1089"/>
        <w:gridCol w:w="1033"/>
        <w:gridCol w:w="1364"/>
      </w:tblGrid>
      <w:tr w:rsidR="00993442" w:rsidRPr="00993442" w14:paraId="285F083A" w14:textId="77777777" w:rsidTr="006B7F28">
        <w:tc>
          <w:tcPr>
            <w:tcW w:w="952" w:type="dxa"/>
          </w:tcPr>
          <w:p w14:paraId="178FF661" w14:textId="77777777" w:rsidR="00CB2802" w:rsidRPr="00993442" w:rsidRDefault="00CB2802" w:rsidP="00B22F66">
            <w:pPr>
              <w:rPr>
                <w:b/>
                <w:i/>
              </w:rPr>
            </w:pPr>
            <w:r w:rsidRPr="00993442">
              <w:rPr>
                <w:b/>
                <w:i/>
              </w:rPr>
              <w:t>Rec. no</w:t>
            </w:r>
          </w:p>
        </w:tc>
        <w:tc>
          <w:tcPr>
            <w:tcW w:w="4387" w:type="dxa"/>
          </w:tcPr>
          <w:p w14:paraId="08EB94F3" w14:textId="77777777" w:rsidR="00CB2802" w:rsidRPr="00993442" w:rsidRDefault="00CB2802" w:rsidP="00B22F66">
            <w:pPr>
              <w:rPr>
                <w:b/>
                <w:i/>
              </w:rPr>
            </w:pPr>
            <w:r w:rsidRPr="00993442">
              <w:rPr>
                <w:b/>
                <w:i/>
              </w:rPr>
              <w:t>Issue or recommendation</w:t>
            </w:r>
          </w:p>
        </w:tc>
        <w:tc>
          <w:tcPr>
            <w:tcW w:w="1269" w:type="dxa"/>
          </w:tcPr>
          <w:p w14:paraId="50BDDA1C" w14:textId="77777777" w:rsidR="00CB2802" w:rsidRPr="00993442" w:rsidRDefault="00CB2802" w:rsidP="00B22F66">
            <w:pPr>
              <w:rPr>
                <w:b/>
                <w:i/>
              </w:rPr>
            </w:pPr>
            <w:r w:rsidRPr="00993442">
              <w:rPr>
                <w:b/>
                <w:i/>
              </w:rPr>
              <w:t>Raised by / Date</w:t>
            </w:r>
          </w:p>
        </w:tc>
        <w:tc>
          <w:tcPr>
            <w:tcW w:w="4700" w:type="dxa"/>
          </w:tcPr>
          <w:p w14:paraId="1E6547FB" w14:textId="77777777" w:rsidR="00CB2802" w:rsidRPr="00993442" w:rsidRDefault="00CB2802" w:rsidP="00B22F66">
            <w:pPr>
              <w:rPr>
                <w:b/>
                <w:i/>
              </w:rPr>
            </w:pPr>
            <w:r w:rsidRPr="00993442">
              <w:rPr>
                <w:b/>
                <w:i/>
              </w:rPr>
              <w:t>Response or Action taken by applicant</w:t>
            </w:r>
          </w:p>
        </w:tc>
        <w:tc>
          <w:tcPr>
            <w:tcW w:w="1089" w:type="dxa"/>
          </w:tcPr>
          <w:p w14:paraId="2E871990" w14:textId="77777777" w:rsidR="00CB2802" w:rsidRPr="00993442" w:rsidRDefault="00CB2802" w:rsidP="00B22F66">
            <w:pPr>
              <w:rPr>
                <w:b/>
                <w:i/>
              </w:rPr>
            </w:pPr>
            <w:r w:rsidRPr="00993442">
              <w:rPr>
                <w:b/>
                <w:i/>
              </w:rPr>
              <w:t>Response date</w:t>
            </w:r>
          </w:p>
        </w:tc>
        <w:tc>
          <w:tcPr>
            <w:tcW w:w="1033" w:type="dxa"/>
          </w:tcPr>
          <w:p w14:paraId="0FEC77B1" w14:textId="77777777" w:rsidR="00CB2802" w:rsidRPr="00993442" w:rsidRDefault="00CB2802" w:rsidP="00B22F66">
            <w:pPr>
              <w:rPr>
                <w:b/>
                <w:i/>
              </w:rPr>
            </w:pPr>
            <w:r w:rsidRPr="00993442">
              <w:rPr>
                <w:b/>
                <w:i/>
              </w:rPr>
              <w:t>Resolved</w:t>
            </w:r>
          </w:p>
        </w:tc>
        <w:tc>
          <w:tcPr>
            <w:tcW w:w="1364" w:type="dxa"/>
          </w:tcPr>
          <w:p w14:paraId="7DB874A0" w14:textId="77777777" w:rsidR="00CB2802" w:rsidRPr="00993442" w:rsidRDefault="00CB2802" w:rsidP="00B22F66">
            <w:pPr>
              <w:rPr>
                <w:b/>
                <w:i/>
              </w:rPr>
            </w:pPr>
            <w:r w:rsidRPr="00993442">
              <w:rPr>
                <w:b/>
                <w:i/>
              </w:rPr>
              <w:t>Sign off by / Date</w:t>
            </w:r>
          </w:p>
        </w:tc>
      </w:tr>
      <w:tr w:rsidR="00993442" w:rsidRPr="00993442" w14:paraId="281B1143" w14:textId="77777777" w:rsidTr="006B7F28">
        <w:tc>
          <w:tcPr>
            <w:tcW w:w="952" w:type="dxa"/>
          </w:tcPr>
          <w:p w14:paraId="60CB5456" w14:textId="77777777" w:rsidR="00CB2802" w:rsidRPr="00993442" w:rsidRDefault="00CB2802" w:rsidP="00B22F66">
            <w:pPr>
              <w:rPr>
                <w:rFonts w:eastAsia="Times New Roman"/>
                <w:szCs w:val="20"/>
                <w:lang w:eastAsia="en-GB"/>
              </w:rPr>
            </w:pPr>
            <w:r w:rsidRPr="00993442">
              <w:rPr>
                <w:rFonts w:eastAsia="Times New Roman"/>
                <w:szCs w:val="20"/>
                <w:lang w:eastAsia="en-GB"/>
              </w:rPr>
              <w:t>4a</w:t>
            </w:r>
          </w:p>
        </w:tc>
        <w:tc>
          <w:tcPr>
            <w:tcW w:w="4387" w:type="dxa"/>
          </w:tcPr>
          <w:p w14:paraId="736F5B14" w14:textId="77777777" w:rsidR="00CB2802" w:rsidRPr="00993442" w:rsidRDefault="00CB2802" w:rsidP="00B22F66">
            <w:pPr>
              <w:rPr>
                <w:rFonts w:eastAsia="Times New Roman"/>
                <w:szCs w:val="18"/>
                <w:lang w:eastAsia="en-GB"/>
              </w:rPr>
            </w:pPr>
            <w:r w:rsidRPr="00993442">
              <w:rPr>
                <w:rFonts w:eastAsia="Times New Roman"/>
                <w:szCs w:val="18"/>
                <w:lang w:eastAsia="en-GB"/>
              </w:rPr>
              <w:t>Clarification sought from RCP on what standardisation will be used in the indicator</w:t>
            </w:r>
          </w:p>
        </w:tc>
        <w:tc>
          <w:tcPr>
            <w:tcW w:w="1269" w:type="dxa"/>
          </w:tcPr>
          <w:p w14:paraId="1206076E"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p>
          <w:p w14:paraId="0C57AF80" w14:textId="77777777" w:rsidR="00CB2802" w:rsidRPr="00993442" w:rsidRDefault="00CB2802" w:rsidP="00B22F66">
            <w:pPr>
              <w:rPr>
                <w:rFonts w:eastAsia="Times New Roman"/>
                <w:szCs w:val="18"/>
                <w:lang w:eastAsia="en-GB"/>
              </w:rPr>
            </w:pPr>
            <w:r w:rsidRPr="00993442">
              <w:rPr>
                <w:rFonts w:eastAsia="Times New Roman"/>
                <w:szCs w:val="18"/>
                <w:lang w:eastAsia="en-GB"/>
              </w:rPr>
              <w:t>- During initial appraisal</w:t>
            </w:r>
          </w:p>
        </w:tc>
        <w:tc>
          <w:tcPr>
            <w:tcW w:w="4700" w:type="dxa"/>
          </w:tcPr>
          <w:p w14:paraId="1AF47F3E" w14:textId="77777777" w:rsidR="00CB2802" w:rsidRPr="00993442" w:rsidRDefault="00CB2802" w:rsidP="00B22F66">
            <w:pPr>
              <w:spacing w:before="120" w:after="120"/>
              <w:rPr>
                <w:rFonts w:eastAsia="Times New Roman"/>
                <w:b/>
                <w:szCs w:val="18"/>
                <w:u w:val="single"/>
                <w:lang w:eastAsia="en-GB"/>
              </w:rPr>
            </w:pPr>
            <w:r w:rsidRPr="00993442">
              <w:rPr>
                <w:rFonts w:eastAsia="Times New Roman"/>
                <w:b/>
                <w:szCs w:val="18"/>
                <w:u w:val="single"/>
                <w:lang w:eastAsia="en-GB"/>
              </w:rPr>
              <w:t>Standardised Mortality Ratio</w:t>
            </w:r>
          </w:p>
          <w:p w14:paraId="30C23AC7"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The standardised mortality ratio (indirectly standardised ratio) is given by:</w:t>
            </w:r>
          </w:p>
          <w:p w14:paraId="2655A230" w14:textId="77777777" w:rsidR="00CB2802" w:rsidRPr="00993442" w:rsidRDefault="00CB2802" w:rsidP="00B22F66">
            <w:pPr>
              <w:spacing w:before="120" w:after="120"/>
              <w:rPr>
                <w:rFonts w:eastAsia="Times New Roman"/>
                <w:szCs w:val="18"/>
                <w:lang w:eastAsia="en-GB"/>
              </w:rPr>
            </w:pPr>
          </w:p>
          <w:p w14:paraId="3E3BC043" w14:textId="77777777" w:rsidR="00CB2802" w:rsidRPr="00993442" w:rsidRDefault="00CB2802" w:rsidP="00B22F66">
            <w:pPr>
              <w:spacing w:before="120" w:after="120"/>
              <w:rPr>
                <w:rFonts w:eastAsia="Times New Roman"/>
                <w:szCs w:val="18"/>
                <w:lang w:eastAsia="en-GB"/>
              </w:rPr>
            </w:pPr>
            <w:r w:rsidRPr="00993442">
              <w:rPr>
                <w:b/>
                <w:noProof/>
                <w:lang w:eastAsia="en-GB"/>
              </w:rPr>
              <w:drawing>
                <wp:inline distT="0" distB="0" distL="0" distR="0" wp14:anchorId="244C6836" wp14:editId="7479F2AC">
                  <wp:extent cx="1764665" cy="500380"/>
                  <wp:effectExtent l="0" t="0" r="6985" b="0"/>
                  <wp:docPr id="289" name="Picture 289" descr="formula to calculate standardised mortality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4665" cy="500380"/>
                          </a:xfrm>
                          <a:prstGeom prst="rect">
                            <a:avLst/>
                          </a:prstGeom>
                          <a:noFill/>
                          <a:ln>
                            <a:noFill/>
                          </a:ln>
                        </pic:spPr>
                      </pic:pic>
                    </a:graphicData>
                  </a:graphic>
                </wp:inline>
              </w:drawing>
            </w:r>
          </w:p>
          <w:p w14:paraId="154BA65B" w14:textId="77777777" w:rsidR="00CB2802" w:rsidRPr="00993442" w:rsidRDefault="00CB2802" w:rsidP="00B22F66">
            <w:pPr>
              <w:spacing w:before="120" w:after="120"/>
              <w:rPr>
                <w:szCs w:val="18"/>
              </w:rPr>
            </w:pPr>
            <w:r w:rsidRPr="00993442">
              <w:rPr>
                <w:szCs w:val="18"/>
              </w:rPr>
              <w:t xml:space="preserve">Where: </w:t>
            </w:r>
          </w:p>
          <w:p w14:paraId="1239A6A3" w14:textId="77777777" w:rsidR="00CB2802" w:rsidRPr="00993442" w:rsidRDefault="00CB2802" w:rsidP="00B22F66">
            <w:pPr>
              <w:spacing w:before="120" w:after="120"/>
              <w:rPr>
                <w:szCs w:val="18"/>
              </w:rPr>
            </w:pPr>
            <w:r w:rsidRPr="00993442">
              <w:rPr>
                <w:szCs w:val="18"/>
              </w:rPr>
              <w:t xml:space="preserve">O is the total observed number of events in the local or subject population </w:t>
            </w:r>
          </w:p>
          <w:p w14:paraId="48BA69D2" w14:textId="77777777" w:rsidR="00CB2802" w:rsidRPr="00993442" w:rsidRDefault="00CB2802" w:rsidP="00B22F66">
            <w:pPr>
              <w:spacing w:before="120" w:after="120"/>
              <w:rPr>
                <w:szCs w:val="18"/>
              </w:rPr>
            </w:pPr>
            <w:r w:rsidRPr="00993442">
              <w:rPr>
                <w:i/>
                <w:iCs/>
                <w:szCs w:val="18"/>
              </w:rPr>
              <w:lastRenderedPageBreak/>
              <w:t xml:space="preserve">E </w:t>
            </w:r>
            <w:r w:rsidRPr="00993442">
              <w:rPr>
                <w:szCs w:val="18"/>
              </w:rPr>
              <w:t xml:space="preserve">is the total number of expected events in the local or subject population, given the standard rates </w:t>
            </w:r>
            <w:proofErr w:type="spellStart"/>
            <w:r w:rsidRPr="00993442">
              <w:rPr>
                <w:szCs w:val="18"/>
              </w:rPr>
              <w:t>λ</w:t>
            </w:r>
            <w:r w:rsidRPr="00993442">
              <w:rPr>
                <w:i/>
                <w:iCs/>
                <w:szCs w:val="18"/>
                <w:vertAlign w:val="subscript"/>
              </w:rPr>
              <w:t>i</w:t>
            </w:r>
            <w:proofErr w:type="spellEnd"/>
            <w:r w:rsidRPr="00993442">
              <w:rPr>
                <w:i/>
                <w:iCs/>
                <w:szCs w:val="18"/>
                <w:vertAlign w:val="subscript"/>
              </w:rPr>
              <w:t xml:space="preserve"> </w:t>
            </w:r>
            <w:r w:rsidRPr="00993442">
              <w:rPr>
                <w:szCs w:val="18"/>
              </w:rPr>
              <w:t xml:space="preserve">in the reference or standard </w:t>
            </w:r>
            <w:proofErr w:type="gramStart"/>
            <w:r w:rsidRPr="00993442">
              <w:rPr>
                <w:szCs w:val="18"/>
              </w:rPr>
              <w:t>population;</w:t>
            </w:r>
            <w:proofErr w:type="gramEnd"/>
            <w:r w:rsidRPr="00993442">
              <w:rPr>
                <w:szCs w:val="18"/>
              </w:rPr>
              <w:t xml:space="preserve"> </w:t>
            </w:r>
          </w:p>
          <w:p w14:paraId="327A7661" w14:textId="77777777" w:rsidR="00CB2802" w:rsidRPr="00993442" w:rsidRDefault="00CB2802" w:rsidP="00B22F66">
            <w:pPr>
              <w:spacing w:before="120" w:after="120"/>
              <w:rPr>
                <w:szCs w:val="18"/>
              </w:rPr>
            </w:pPr>
            <w:r w:rsidRPr="00993442">
              <w:rPr>
                <w:i/>
                <w:iCs/>
                <w:szCs w:val="18"/>
              </w:rPr>
              <w:t>O</w:t>
            </w:r>
            <w:r w:rsidRPr="00993442">
              <w:rPr>
                <w:i/>
                <w:iCs/>
                <w:szCs w:val="18"/>
                <w:vertAlign w:val="subscript"/>
              </w:rPr>
              <w:t>i</w:t>
            </w:r>
            <w:r w:rsidRPr="00993442">
              <w:rPr>
                <w:i/>
                <w:iCs/>
                <w:szCs w:val="18"/>
              </w:rPr>
              <w:t xml:space="preserve"> </w:t>
            </w:r>
            <w:r w:rsidRPr="00993442">
              <w:rPr>
                <w:szCs w:val="18"/>
              </w:rPr>
              <w:t xml:space="preserve">is the observed numbers of events in the local or subject population in age group </w:t>
            </w:r>
            <w:proofErr w:type="spellStart"/>
            <w:proofErr w:type="gramStart"/>
            <w:r w:rsidRPr="00993442">
              <w:rPr>
                <w:i/>
                <w:iCs/>
                <w:szCs w:val="18"/>
              </w:rPr>
              <w:t>i</w:t>
            </w:r>
            <w:proofErr w:type="spellEnd"/>
            <w:r w:rsidRPr="00993442">
              <w:rPr>
                <w:szCs w:val="18"/>
              </w:rPr>
              <w:t>;</w:t>
            </w:r>
            <w:proofErr w:type="gramEnd"/>
            <w:r w:rsidRPr="00993442">
              <w:rPr>
                <w:szCs w:val="18"/>
              </w:rPr>
              <w:t xml:space="preserve"> </w:t>
            </w:r>
          </w:p>
          <w:p w14:paraId="1F1C3FF5" w14:textId="77777777" w:rsidR="00CB2802" w:rsidRPr="00993442" w:rsidRDefault="00CB2802" w:rsidP="00B22F66">
            <w:pPr>
              <w:spacing w:before="120" w:after="120"/>
              <w:rPr>
                <w:szCs w:val="18"/>
              </w:rPr>
            </w:pPr>
            <w:proofErr w:type="spellStart"/>
            <w:r w:rsidRPr="00993442">
              <w:rPr>
                <w:i/>
                <w:iCs/>
                <w:szCs w:val="18"/>
              </w:rPr>
              <w:t>Ei</w:t>
            </w:r>
            <w:proofErr w:type="spellEnd"/>
            <w:r w:rsidRPr="00993442">
              <w:rPr>
                <w:i/>
                <w:iCs/>
                <w:szCs w:val="18"/>
              </w:rPr>
              <w:t xml:space="preserve"> </w:t>
            </w:r>
            <w:r w:rsidRPr="00993442">
              <w:rPr>
                <w:szCs w:val="18"/>
              </w:rPr>
              <w:t xml:space="preserve">is the expected number of events in the local or subject population in age group </w:t>
            </w:r>
            <w:proofErr w:type="spellStart"/>
            <w:r w:rsidRPr="00993442">
              <w:rPr>
                <w:i/>
                <w:iCs/>
                <w:szCs w:val="18"/>
              </w:rPr>
              <w:t>i</w:t>
            </w:r>
            <w:proofErr w:type="spellEnd"/>
            <w:r w:rsidRPr="00993442">
              <w:rPr>
                <w:szCs w:val="18"/>
              </w:rPr>
              <w:t xml:space="preserve">, given the standard rate </w:t>
            </w:r>
            <w:proofErr w:type="spellStart"/>
            <w:r w:rsidRPr="00993442">
              <w:rPr>
                <w:szCs w:val="18"/>
              </w:rPr>
              <w:t>λ</w:t>
            </w:r>
            <w:r w:rsidRPr="00993442">
              <w:rPr>
                <w:i/>
                <w:iCs/>
                <w:szCs w:val="18"/>
                <w:vertAlign w:val="subscript"/>
              </w:rPr>
              <w:t>i</w:t>
            </w:r>
            <w:proofErr w:type="spellEnd"/>
            <w:r w:rsidRPr="00993442">
              <w:rPr>
                <w:i/>
                <w:iCs/>
                <w:szCs w:val="18"/>
              </w:rPr>
              <w:t xml:space="preserve"> </w:t>
            </w:r>
            <w:r w:rsidRPr="00993442">
              <w:rPr>
                <w:szCs w:val="18"/>
              </w:rPr>
              <w:t xml:space="preserve">in the reference or standard </w:t>
            </w:r>
            <w:proofErr w:type="gramStart"/>
            <w:r w:rsidRPr="00993442">
              <w:rPr>
                <w:szCs w:val="18"/>
              </w:rPr>
              <w:t>population;</w:t>
            </w:r>
            <w:proofErr w:type="gramEnd"/>
            <w:r w:rsidRPr="00993442">
              <w:rPr>
                <w:szCs w:val="18"/>
              </w:rPr>
              <w:t xml:space="preserve"> </w:t>
            </w:r>
          </w:p>
          <w:p w14:paraId="19CE4FE1" w14:textId="77777777" w:rsidR="00CB2802" w:rsidRPr="00993442" w:rsidRDefault="00CB2802" w:rsidP="00B22F66">
            <w:pPr>
              <w:spacing w:before="120" w:after="120"/>
              <w:rPr>
                <w:szCs w:val="18"/>
              </w:rPr>
            </w:pPr>
            <w:proofErr w:type="spellStart"/>
            <w:r w:rsidRPr="00993442">
              <w:rPr>
                <w:i/>
                <w:iCs/>
                <w:szCs w:val="18"/>
              </w:rPr>
              <w:t>n</w:t>
            </w:r>
            <w:r w:rsidRPr="00993442">
              <w:rPr>
                <w:i/>
                <w:iCs/>
                <w:szCs w:val="18"/>
                <w:vertAlign w:val="subscript"/>
              </w:rPr>
              <w:t>i</w:t>
            </w:r>
            <w:proofErr w:type="spellEnd"/>
            <w:r w:rsidRPr="00993442">
              <w:rPr>
                <w:i/>
                <w:iCs/>
                <w:szCs w:val="18"/>
              </w:rPr>
              <w:t xml:space="preserve"> </w:t>
            </w:r>
            <w:r w:rsidRPr="00993442">
              <w:rPr>
                <w:szCs w:val="18"/>
              </w:rPr>
              <w:t xml:space="preserve">is the number of individuals in the local or subject population in age group </w:t>
            </w:r>
            <w:proofErr w:type="spellStart"/>
            <w:proofErr w:type="gramStart"/>
            <w:r w:rsidRPr="00993442">
              <w:rPr>
                <w:i/>
                <w:iCs/>
                <w:szCs w:val="18"/>
              </w:rPr>
              <w:t>i</w:t>
            </w:r>
            <w:proofErr w:type="spellEnd"/>
            <w:r w:rsidRPr="00993442">
              <w:rPr>
                <w:szCs w:val="18"/>
              </w:rPr>
              <w:t>;</w:t>
            </w:r>
            <w:proofErr w:type="gramEnd"/>
            <w:r w:rsidRPr="00993442">
              <w:rPr>
                <w:szCs w:val="18"/>
              </w:rPr>
              <w:t xml:space="preserve"> </w:t>
            </w:r>
          </w:p>
          <w:p w14:paraId="1ADB3538" w14:textId="77777777" w:rsidR="00CB2802" w:rsidRPr="00993442" w:rsidRDefault="00CB2802" w:rsidP="00B22F66">
            <w:pPr>
              <w:spacing w:before="120" w:after="120"/>
              <w:rPr>
                <w:szCs w:val="18"/>
                <w:u w:val="single"/>
              </w:rPr>
            </w:pPr>
            <w:proofErr w:type="spellStart"/>
            <w:r w:rsidRPr="00993442">
              <w:rPr>
                <w:szCs w:val="18"/>
              </w:rPr>
              <w:t>λ</w:t>
            </w:r>
            <w:r w:rsidRPr="00993442">
              <w:rPr>
                <w:i/>
                <w:iCs/>
                <w:szCs w:val="18"/>
                <w:vertAlign w:val="subscript"/>
              </w:rPr>
              <w:t>i</w:t>
            </w:r>
            <w:proofErr w:type="spellEnd"/>
            <w:r w:rsidRPr="00993442">
              <w:rPr>
                <w:i/>
                <w:iCs/>
                <w:szCs w:val="18"/>
              </w:rPr>
              <w:t xml:space="preserve"> </w:t>
            </w:r>
            <w:r w:rsidRPr="00993442">
              <w:rPr>
                <w:szCs w:val="18"/>
              </w:rPr>
              <w:t xml:space="preserve">is the crude age-specific rate in the reference or standard population in age group </w:t>
            </w:r>
            <w:proofErr w:type="spellStart"/>
            <w:proofErr w:type="gramStart"/>
            <w:r w:rsidRPr="00993442">
              <w:rPr>
                <w:i/>
                <w:iCs/>
                <w:szCs w:val="18"/>
              </w:rPr>
              <w:t>i</w:t>
            </w:r>
            <w:proofErr w:type="spellEnd"/>
            <w:r w:rsidRPr="00993442">
              <w:rPr>
                <w:szCs w:val="18"/>
              </w:rPr>
              <w:t>;</w:t>
            </w:r>
            <w:proofErr w:type="gramEnd"/>
          </w:p>
          <w:p w14:paraId="66956DF2" w14:textId="77777777" w:rsidR="00CB2802" w:rsidRPr="00993442" w:rsidRDefault="00CB2802" w:rsidP="00B22F66">
            <w:pPr>
              <w:spacing w:before="120" w:after="120"/>
              <w:rPr>
                <w:rFonts w:eastAsia="Times New Roman"/>
                <w:b/>
                <w:szCs w:val="18"/>
                <w:u w:val="single"/>
                <w:lang w:eastAsia="en-GB"/>
              </w:rPr>
            </w:pPr>
            <w:proofErr w:type="spellStart"/>
            <w:r w:rsidRPr="00993442">
              <w:rPr>
                <w:rFonts w:eastAsia="Times New Roman"/>
                <w:b/>
                <w:szCs w:val="18"/>
                <w:u w:val="single"/>
                <w:lang w:eastAsia="en-GB"/>
              </w:rPr>
              <w:t>Casemix</w:t>
            </w:r>
            <w:proofErr w:type="spellEnd"/>
            <w:r w:rsidRPr="00993442">
              <w:rPr>
                <w:rFonts w:eastAsia="Times New Roman"/>
                <w:b/>
                <w:szCs w:val="18"/>
                <w:u w:val="single"/>
                <w:lang w:eastAsia="en-GB"/>
              </w:rPr>
              <w:t xml:space="preserve"> Adjustment </w:t>
            </w:r>
          </w:p>
          <w:p w14:paraId="0DA7DD7F"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To estimate the probability of </w:t>
            </w:r>
            <w:proofErr w:type="gramStart"/>
            <w:r w:rsidRPr="00993442">
              <w:rPr>
                <w:rFonts w:eastAsia="Times New Roman"/>
                <w:szCs w:val="18"/>
                <w:lang w:eastAsia="en-GB"/>
              </w:rPr>
              <w:t>30 day</w:t>
            </w:r>
            <w:proofErr w:type="gramEnd"/>
            <w:r w:rsidRPr="00993442">
              <w:rPr>
                <w:rFonts w:eastAsia="Times New Roman"/>
                <w:szCs w:val="18"/>
                <w:lang w:eastAsia="en-GB"/>
              </w:rPr>
              <w:t xml:space="preserve"> mortality for a patient, the observed value of each variable in the model is multiplied by a corresponding coefficient and summed to give a value, ω. This is a data-driven model and the coefficients are created based on the strength the variable has on mortality according to the cohort of data.</w:t>
            </w:r>
          </w:p>
          <w:p w14:paraId="7BE8F8EC"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The value ω is then used in the equation </w:t>
            </w:r>
            <m:oMath>
              <m:f>
                <m:fPr>
                  <m:ctrlPr>
                    <w:rPr>
                      <w:rFonts w:ascii="Cambria Math" w:eastAsia="Times New Roman" w:hAnsi="Cambria Math"/>
                      <w:szCs w:val="18"/>
                      <w:lang w:eastAsia="en-GB"/>
                    </w:rPr>
                  </m:ctrlPr>
                </m:fPr>
                <m:num>
                  <m:func>
                    <m:funcPr>
                      <m:ctrlPr>
                        <w:rPr>
                          <w:rFonts w:ascii="Cambria Math" w:eastAsia="Times New Roman" w:hAnsi="Cambria Math"/>
                          <w:szCs w:val="18"/>
                          <w:lang w:eastAsia="en-GB"/>
                        </w:rPr>
                      </m:ctrlPr>
                    </m:funcPr>
                    <m:fName>
                      <m:r>
                        <m:rPr>
                          <m:sty m:val="p"/>
                        </m:rPr>
                        <w:rPr>
                          <w:rFonts w:ascii="Cambria Math" w:eastAsia="Times New Roman" w:hAnsi="Cambria Math"/>
                          <w:szCs w:val="18"/>
                          <w:lang w:eastAsia="en-GB"/>
                        </w:rPr>
                        <m:t>exp</m:t>
                      </m:r>
                    </m:fName>
                    <m:e>
                      <m:r>
                        <m:rPr>
                          <m:sty m:val="p"/>
                        </m:rPr>
                        <w:rPr>
                          <w:rFonts w:ascii="Cambria Math" w:eastAsia="Times New Roman" w:hAnsi="Cambria Math"/>
                          <w:szCs w:val="18"/>
                          <w:lang w:eastAsia="en-GB"/>
                        </w:rPr>
                        <m:t>(ω)</m:t>
                      </m:r>
                    </m:e>
                  </m:func>
                </m:num>
                <m:den>
                  <m:r>
                    <m:rPr>
                      <m:sty m:val="p"/>
                    </m:rPr>
                    <w:rPr>
                      <w:rFonts w:ascii="Cambria Math" w:eastAsia="Times New Roman" w:hAnsi="Cambria Math"/>
                      <w:szCs w:val="18"/>
                      <w:lang w:eastAsia="en-GB"/>
                    </w:rPr>
                    <m:t>1+exp⁡(ω)</m:t>
                  </m:r>
                </m:den>
              </m:f>
            </m:oMath>
            <w:r w:rsidRPr="00993442">
              <w:rPr>
                <w:rFonts w:eastAsia="Times New Roman"/>
                <w:szCs w:val="18"/>
                <w:lang w:eastAsia="en-GB"/>
              </w:rPr>
              <w:t xml:space="preserve"> to give the predicted probability of </w:t>
            </w:r>
            <w:proofErr w:type="gramStart"/>
            <w:r w:rsidRPr="00993442">
              <w:rPr>
                <w:rFonts w:eastAsia="Times New Roman"/>
                <w:szCs w:val="18"/>
                <w:lang w:eastAsia="en-GB"/>
              </w:rPr>
              <w:t>30 day</w:t>
            </w:r>
            <w:proofErr w:type="gramEnd"/>
            <w:r w:rsidRPr="00993442">
              <w:rPr>
                <w:rFonts w:eastAsia="Times New Roman"/>
                <w:szCs w:val="18"/>
                <w:lang w:eastAsia="en-GB"/>
              </w:rPr>
              <w:t xml:space="preserve"> mortality.</w:t>
            </w:r>
          </w:p>
          <w:p w14:paraId="33A260E2"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The RCP use two models for </w:t>
            </w:r>
            <w:proofErr w:type="spellStart"/>
            <w:r w:rsidRPr="00993442">
              <w:rPr>
                <w:rFonts w:eastAsia="Times New Roman"/>
                <w:szCs w:val="18"/>
                <w:lang w:eastAsia="en-GB"/>
              </w:rPr>
              <w:t>casemix</w:t>
            </w:r>
            <w:proofErr w:type="spellEnd"/>
            <w:r w:rsidRPr="00993442">
              <w:rPr>
                <w:rFonts w:eastAsia="Times New Roman"/>
                <w:szCs w:val="18"/>
                <w:lang w:eastAsia="en-GB"/>
              </w:rPr>
              <w:t xml:space="preserve"> adjustment, which are detailed in the published paper ‘Derivation and external </w:t>
            </w:r>
            <w:r w:rsidRPr="00993442">
              <w:rPr>
                <w:rFonts w:eastAsia="Times New Roman"/>
                <w:szCs w:val="18"/>
                <w:lang w:eastAsia="en-GB"/>
              </w:rPr>
              <w:lastRenderedPageBreak/>
              <w:t xml:space="preserve">validation of a </w:t>
            </w:r>
            <w:proofErr w:type="spellStart"/>
            <w:r w:rsidRPr="00993442">
              <w:rPr>
                <w:rFonts w:eastAsia="Times New Roman"/>
                <w:szCs w:val="18"/>
                <w:lang w:eastAsia="en-GB"/>
              </w:rPr>
              <w:t>casemix</w:t>
            </w:r>
            <w:proofErr w:type="spellEnd"/>
            <w:r w:rsidRPr="00993442">
              <w:rPr>
                <w:rFonts w:eastAsia="Times New Roman"/>
                <w:szCs w:val="18"/>
                <w:lang w:eastAsia="en-GB"/>
              </w:rPr>
              <w:t xml:space="preserve"> model for the standardized reporting of 30-day stroke mortality rates’: </w:t>
            </w:r>
            <w:hyperlink r:id="rId24" w:history="1">
              <w:r w:rsidRPr="00993442">
                <w:rPr>
                  <w:rStyle w:val="Hyperlink"/>
                  <w:color w:val="auto"/>
                  <w:lang w:eastAsia="en-GB"/>
                </w:rPr>
                <w:t>http://www.ncbi.nlm.nih.gov/pubmed/25293667</w:t>
              </w:r>
            </w:hyperlink>
            <w:r w:rsidRPr="00993442">
              <w:rPr>
                <w:rFonts w:eastAsia="Times New Roman"/>
                <w:szCs w:val="18"/>
                <w:lang w:eastAsia="en-GB"/>
              </w:rPr>
              <w:t xml:space="preserve">. </w:t>
            </w:r>
          </w:p>
          <w:p w14:paraId="776B8E59"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Model A includes age (&lt;60, 60-69, 70-79, 80-89, and ≥90 years), National Institutes of Health Stroke Severity (NIHSS) Score on admission, presence of atrial fibrillation on admission, and stroke type (ischemic versus primary intracerebral haemorrhage). It is used when the record has a fully completed NIHSS score. Model B includes only the consciousness component of the NIHSS and is used when the NIHSS score is not fully completed in the record.</w:t>
            </w:r>
          </w:p>
        </w:tc>
        <w:tc>
          <w:tcPr>
            <w:tcW w:w="1089" w:type="dxa"/>
          </w:tcPr>
          <w:p w14:paraId="7440DAC6" w14:textId="77777777" w:rsidR="00CB2802" w:rsidRPr="00993442" w:rsidRDefault="00CB2802" w:rsidP="00B22F66">
            <w:pPr>
              <w:rPr>
                <w:rFonts w:eastAsia="Times New Roman"/>
                <w:szCs w:val="18"/>
                <w:lang w:eastAsia="en-GB"/>
              </w:rPr>
            </w:pPr>
            <w:r w:rsidRPr="00993442">
              <w:rPr>
                <w:rFonts w:eastAsia="Times New Roman"/>
                <w:szCs w:val="18"/>
                <w:lang w:eastAsia="en-GB"/>
              </w:rPr>
              <w:lastRenderedPageBreak/>
              <w:t>During initial appraisal</w:t>
            </w:r>
          </w:p>
        </w:tc>
        <w:sdt>
          <w:sdtPr>
            <w:rPr>
              <w:szCs w:val="20"/>
            </w:rPr>
            <w:id w:val="967857796"/>
            <w14:checkbox>
              <w14:checked w14:val="1"/>
              <w14:checkedState w14:val="00FE" w14:font="Wingdings"/>
              <w14:uncheckedState w14:val="006F" w14:font="Wingdings"/>
            </w14:checkbox>
          </w:sdtPr>
          <w:sdtEndPr/>
          <w:sdtContent>
            <w:tc>
              <w:tcPr>
                <w:tcW w:w="1033" w:type="dxa"/>
              </w:tcPr>
              <w:p w14:paraId="7715D43D" w14:textId="77777777" w:rsidR="00CB2802" w:rsidRPr="00993442" w:rsidRDefault="00CB2802" w:rsidP="00B22F66">
                <w:pPr>
                  <w:jc w:val="center"/>
                  <w:rPr>
                    <w:rFonts w:eastAsia="Times New Roman"/>
                    <w:szCs w:val="20"/>
                    <w:lang w:eastAsia="en-GB"/>
                  </w:rPr>
                </w:pPr>
                <w:r w:rsidRPr="00993442">
                  <w:rPr>
                    <w:szCs w:val="20"/>
                  </w:rPr>
                  <w:sym w:font="Wingdings" w:char="F0FE"/>
                </w:r>
              </w:p>
            </w:tc>
          </w:sdtContent>
        </w:sdt>
        <w:tc>
          <w:tcPr>
            <w:tcW w:w="1364" w:type="dxa"/>
          </w:tcPr>
          <w:p w14:paraId="1B7C212C" w14:textId="77777777" w:rsidR="00CB2802" w:rsidRPr="00993442" w:rsidRDefault="00CB2802" w:rsidP="00B22F66">
            <w:pPr>
              <w:rPr>
                <w:szCs w:val="20"/>
              </w:rPr>
            </w:pPr>
            <w:r w:rsidRPr="00993442">
              <w:rPr>
                <w:szCs w:val="20"/>
              </w:rPr>
              <w:t>MRG</w:t>
            </w:r>
          </w:p>
          <w:p w14:paraId="041155F4" w14:textId="77777777" w:rsidR="00CB2802" w:rsidRPr="00993442" w:rsidRDefault="00CB2802" w:rsidP="00B22F66">
            <w:pPr>
              <w:rPr>
                <w:rFonts w:eastAsia="Times New Roman"/>
                <w:szCs w:val="20"/>
                <w:lang w:eastAsia="en-GB"/>
              </w:rPr>
            </w:pPr>
            <w:r w:rsidRPr="00993442">
              <w:rPr>
                <w:szCs w:val="20"/>
              </w:rPr>
              <w:t>10/09/15</w:t>
            </w:r>
          </w:p>
        </w:tc>
      </w:tr>
      <w:tr w:rsidR="00993442" w:rsidRPr="00993442" w14:paraId="3D9E34A2" w14:textId="77777777" w:rsidTr="006B7F28">
        <w:tc>
          <w:tcPr>
            <w:tcW w:w="952" w:type="dxa"/>
          </w:tcPr>
          <w:p w14:paraId="317203D8" w14:textId="77777777" w:rsidR="00CB2802" w:rsidRPr="00993442" w:rsidRDefault="00CB2802" w:rsidP="00B22F66">
            <w:pPr>
              <w:rPr>
                <w:rFonts w:eastAsia="Times New Roman"/>
                <w:szCs w:val="20"/>
                <w:lang w:eastAsia="en-GB"/>
              </w:rPr>
            </w:pPr>
            <w:r w:rsidRPr="00993442">
              <w:rPr>
                <w:rFonts w:eastAsia="Times New Roman"/>
                <w:szCs w:val="20"/>
                <w:lang w:eastAsia="en-GB"/>
              </w:rPr>
              <w:lastRenderedPageBreak/>
              <w:t>4b</w:t>
            </w:r>
          </w:p>
        </w:tc>
        <w:tc>
          <w:tcPr>
            <w:tcW w:w="4387" w:type="dxa"/>
          </w:tcPr>
          <w:p w14:paraId="7E0A3A66" w14:textId="77777777" w:rsidR="00CB2802" w:rsidRPr="00993442" w:rsidRDefault="00CB2802" w:rsidP="00B22F66">
            <w:pPr>
              <w:rPr>
                <w:rFonts w:eastAsia="Times New Roman"/>
                <w:szCs w:val="18"/>
                <w:lang w:eastAsia="en-GB"/>
              </w:rPr>
            </w:pPr>
            <w:r w:rsidRPr="00993442">
              <w:rPr>
                <w:rFonts w:eastAsia="Times New Roman"/>
                <w:szCs w:val="18"/>
                <w:lang w:eastAsia="en-GB"/>
              </w:rPr>
              <w:t>Investigation undertaken on breakdowns on age and sex shown to be comparable with published literature and not felt to represent a selection bias.</w:t>
            </w:r>
          </w:p>
          <w:p w14:paraId="696F5F73"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RCP annual report will provide detailed information on the demographics of the patients included in SSNAP. </w:t>
            </w:r>
          </w:p>
          <w:p w14:paraId="70ADBD7A" w14:textId="77777777" w:rsidR="00CB2802" w:rsidRPr="00993442" w:rsidRDefault="00CB2802" w:rsidP="00B22F66">
            <w:pPr>
              <w:rPr>
                <w:rFonts w:eastAsia="Times New Roman"/>
                <w:szCs w:val="18"/>
                <w:lang w:eastAsia="en-GB"/>
              </w:rPr>
            </w:pPr>
          </w:p>
        </w:tc>
        <w:tc>
          <w:tcPr>
            <w:tcW w:w="1269" w:type="dxa"/>
          </w:tcPr>
          <w:p w14:paraId="544AF771"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r w:rsidRPr="00993442">
              <w:rPr>
                <w:rFonts w:eastAsia="Times New Roman"/>
                <w:szCs w:val="18"/>
                <w:lang w:eastAsia="en-GB"/>
              </w:rPr>
              <w:br/>
              <w:t>- During initial appraisal</w:t>
            </w:r>
          </w:p>
        </w:tc>
        <w:tc>
          <w:tcPr>
            <w:tcW w:w="4700" w:type="dxa"/>
          </w:tcPr>
          <w:p w14:paraId="5B038949" w14:textId="77777777" w:rsidR="00CB2802" w:rsidRPr="00993442" w:rsidRDefault="00CB2802" w:rsidP="00B22F66">
            <w:pPr>
              <w:spacing w:before="120" w:after="120" w:line="276" w:lineRule="auto"/>
              <w:rPr>
                <w:rFonts w:eastAsia="Times New Roman"/>
                <w:szCs w:val="18"/>
                <w:lang w:eastAsia="en-GB"/>
              </w:rPr>
            </w:pPr>
            <w:r w:rsidRPr="00993442">
              <w:rPr>
                <w:rFonts w:eastAsia="Times New Roman"/>
                <w:szCs w:val="18"/>
                <w:lang w:eastAsia="en-GB"/>
              </w:rPr>
              <w:t xml:space="preserve">The SSNAP annual report provides some overall demographic details of patients included in the SSNAP </w:t>
            </w:r>
            <w:hyperlink r:id="rId25" w:history="1">
              <w:r w:rsidRPr="00993442">
                <w:rPr>
                  <w:rFonts w:eastAsia="Times New Roman"/>
                  <w:szCs w:val="18"/>
                  <w:u w:val="single"/>
                  <w:lang w:eastAsia="en-GB"/>
                </w:rPr>
                <w:t>https://www.strokeaudit.org/Documents/Newspress/SSNAP-Annual-Report-(April-2013-March-2014).pdf</w:t>
              </w:r>
            </w:hyperlink>
            <w:r w:rsidRPr="00993442">
              <w:rPr>
                <w:rFonts w:eastAsia="Times New Roman"/>
                <w:szCs w:val="18"/>
                <w:lang w:eastAsia="en-GB"/>
              </w:rPr>
              <w:t xml:space="preserve"> </w:t>
            </w:r>
          </w:p>
          <w:p w14:paraId="31B68A31" w14:textId="77777777" w:rsidR="00CB2802" w:rsidRPr="00993442" w:rsidRDefault="00CB2802" w:rsidP="00B22F66">
            <w:pPr>
              <w:spacing w:before="120" w:after="120"/>
              <w:rPr>
                <w:rFonts w:eastAsia="Times New Roman"/>
                <w:b/>
                <w:szCs w:val="18"/>
                <w:u w:val="single"/>
                <w:lang w:eastAsia="en-GB"/>
              </w:rPr>
            </w:pPr>
            <w:r w:rsidRPr="00993442">
              <w:rPr>
                <w:rFonts w:eastAsia="Times New Roman"/>
                <w:szCs w:val="18"/>
                <w:lang w:eastAsia="en-GB"/>
              </w:rPr>
              <w:t xml:space="preserve">Along with a host of other detailed audit information, the quarterly SSNAP public report provides specific details on the </w:t>
            </w:r>
            <w:proofErr w:type="spellStart"/>
            <w:r w:rsidRPr="00993442">
              <w:rPr>
                <w:rFonts w:eastAsia="Times New Roman"/>
                <w:szCs w:val="18"/>
                <w:lang w:eastAsia="en-GB"/>
              </w:rPr>
              <w:t>casemix</w:t>
            </w:r>
            <w:proofErr w:type="spellEnd"/>
            <w:r w:rsidRPr="00993442">
              <w:rPr>
                <w:rFonts w:eastAsia="Times New Roman"/>
                <w:szCs w:val="18"/>
                <w:lang w:eastAsia="en-GB"/>
              </w:rPr>
              <w:t xml:space="preserve"> breakdowns, including patient numbers, gender, age, co-morbidities, stroke type, Modified Rankin Scales scores, NIHSS and the onset of symptoms (Section 2: </w:t>
            </w:r>
            <w:proofErr w:type="spellStart"/>
            <w:r w:rsidRPr="00993442">
              <w:rPr>
                <w:rFonts w:eastAsia="Times New Roman"/>
                <w:szCs w:val="18"/>
                <w:lang w:eastAsia="en-GB"/>
              </w:rPr>
              <w:t>Casemix</w:t>
            </w:r>
            <w:proofErr w:type="spellEnd"/>
            <w:r w:rsidRPr="00993442">
              <w:rPr>
                <w:rFonts w:eastAsia="Times New Roman"/>
                <w:szCs w:val="18"/>
                <w:lang w:eastAsia="en-GB"/>
              </w:rPr>
              <w:t xml:space="preserve">, p48) </w:t>
            </w:r>
            <w:hyperlink r:id="rId26" w:history="1">
              <w:r w:rsidRPr="00993442">
                <w:rPr>
                  <w:rFonts w:eastAsia="Times New Roman"/>
                  <w:szCs w:val="18"/>
                  <w:u w:val="single"/>
                  <w:lang w:eastAsia="en-GB"/>
                </w:rPr>
                <w:t>https://www.strokeaudit.org/Documents/Resul</w:t>
              </w:r>
              <w:r w:rsidRPr="00993442">
                <w:rPr>
                  <w:rFonts w:eastAsia="Times New Roman"/>
                  <w:szCs w:val="18"/>
                  <w:u w:val="single"/>
                  <w:lang w:eastAsia="en-GB"/>
                </w:rPr>
                <w:lastRenderedPageBreak/>
                <w:t>ts/National/OctDec2014/OctDec2014-PublicReport.aspx</w:t>
              </w:r>
            </w:hyperlink>
          </w:p>
        </w:tc>
        <w:tc>
          <w:tcPr>
            <w:tcW w:w="1089" w:type="dxa"/>
          </w:tcPr>
          <w:p w14:paraId="42E03704" w14:textId="77777777" w:rsidR="00CB2802" w:rsidRPr="00993442" w:rsidRDefault="00CB2802" w:rsidP="00B22F66">
            <w:pPr>
              <w:rPr>
                <w:rFonts w:eastAsia="Times New Roman"/>
                <w:szCs w:val="18"/>
                <w:lang w:eastAsia="en-GB"/>
              </w:rPr>
            </w:pPr>
            <w:r w:rsidRPr="00993442">
              <w:rPr>
                <w:rFonts w:eastAsia="Times New Roman"/>
                <w:szCs w:val="18"/>
                <w:lang w:eastAsia="en-GB"/>
              </w:rPr>
              <w:lastRenderedPageBreak/>
              <w:t>During initial appraisal</w:t>
            </w:r>
          </w:p>
        </w:tc>
        <w:sdt>
          <w:sdtPr>
            <w:rPr>
              <w:szCs w:val="20"/>
            </w:rPr>
            <w:id w:val="-255603570"/>
            <w14:checkbox>
              <w14:checked w14:val="1"/>
              <w14:checkedState w14:val="00FE" w14:font="Wingdings"/>
              <w14:uncheckedState w14:val="006F" w14:font="Wingdings"/>
            </w14:checkbox>
          </w:sdtPr>
          <w:sdtEndPr/>
          <w:sdtContent>
            <w:tc>
              <w:tcPr>
                <w:tcW w:w="1033" w:type="dxa"/>
              </w:tcPr>
              <w:p w14:paraId="2EAB7DA7" w14:textId="77777777" w:rsidR="00CB2802" w:rsidRPr="00993442" w:rsidRDefault="00CB2802" w:rsidP="00B22F66">
                <w:pPr>
                  <w:jc w:val="center"/>
                  <w:rPr>
                    <w:szCs w:val="20"/>
                  </w:rPr>
                </w:pPr>
                <w:r w:rsidRPr="00993442">
                  <w:rPr>
                    <w:szCs w:val="20"/>
                  </w:rPr>
                  <w:sym w:font="Wingdings" w:char="F0FE"/>
                </w:r>
              </w:p>
            </w:tc>
          </w:sdtContent>
        </w:sdt>
        <w:tc>
          <w:tcPr>
            <w:tcW w:w="1364" w:type="dxa"/>
          </w:tcPr>
          <w:p w14:paraId="04004A69" w14:textId="77777777" w:rsidR="00CB2802" w:rsidRPr="00993442" w:rsidRDefault="00CB2802" w:rsidP="00B22F66">
            <w:pPr>
              <w:rPr>
                <w:szCs w:val="20"/>
              </w:rPr>
            </w:pPr>
            <w:r w:rsidRPr="00993442">
              <w:rPr>
                <w:szCs w:val="20"/>
              </w:rPr>
              <w:t>MRG</w:t>
            </w:r>
          </w:p>
          <w:p w14:paraId="1A335059" w14:textId="77777777" w:rsidR="00CB2802" w:rsidRPr="00993442" w:rsidRDefault="00CB2802" w:rsidP="00B22F66">
            <w:pPr>
              <w:rPr>
                <w:rFonts w:eastAsia="Times New Roman"/>
                <w:szCs w:val="20"/>
                <w:lang w:eastAsia="en-GB"/>
              </w:rPr>
            </w:pPr>
            <w:r w:rsidRPr="00993442">
              <w:rPr>
                <w:szCs w:val="20"/>
              </w:rPr>
              <w:t>10/09/15</w:t>
            </w:r>
          </w:p>
        </w:tc>
      </w:tr>
      <w:tr w:rsidR="00993442" w:rsidRPr="00993442" w14:paraId="4403CD74" w14:textId="77777777" w:rsidTr="006B7F28">
        <w:tc>
          <w:tcPr>
            <w:tcW w:w="952" w:type="dxa"/>
          </w:tcPr>
          <w:p w14:paraId="7955FD92" w14:textId="77777777" w:rsidR="00CB2802" w:rsidRPr="00993442" w:rsidRDefault="00CB2802" w:rsidP="00B22F66">
            <w:pPr>
              <w:rPr>
                <w:rFonts w:eastAsia="Times New Roman"/>
                <w:sz w:val="24"/>
                <w:szCs w:val="20"/>
                <w:lang w:eastAsia="en-GB"/>
              </w:rPr>
            </w:pPr>
            <w:r w:rsidRPr="00993442">
              <w:rPr>
                <w:rFonts w:eastAsia="Times New Roman"/>
                <w:sz w:val="24"/>
                <w:szCs w:val="20"/>
                <w:lang w:eastAsia="en-GB"/>
              </w:rPr>
              <w:t>4c</w:t>
            </w:r>
          </w:p>
        </w:tc>
        <w:tc>
          <w:tcPr>
            <w:tcW w:w="4387" w:type="dxa"/>
          </w:tcPr>
          <w:p w14:paraId="72EDB841"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Currently, the indicator is not </w:t>
            </w:r>
            <w:proofErr w:type="gramStart"/>
            <w:r w:rsidRPr="00993442">
              <w:rPr>
                <w:rFonts w:eastAsia="Times New Roman"/>
                <w:szCs w:val="18"/>
                <w:lang w:eastAsia="en-GB"/>
              </w:rPr>
              <w:t>replicable</w:t>
            </w:r>
            <w:proofErr w:type="gramEnd"/>
            <w:r w:rsidRPr="00993442">
              <w:rPr>
                <w:rFonts w:eastAsia="Times New Roman"/>
                <w:szCs w:val="18"/>
                <w:lang w:eastAsia="en-GB"/>
              </w:rPr>
              <w:t xml:space="preserve"> and the model needs to be provided for a full assessment to be possible. More information needs to be provided as to how the ‘expected’ figure is calculated, referencing the data period used in the model.</w:t>
            </w:r>
          </w:p>
        </w:tc>
        <w:tc>
          <w:tcPr>
            <w:tcW w:w="1269" w:type="dxa"/>
          </w:tcPr>
          <w:p w14:paraId="24C29D4F"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p>
          <w:p w14:paraId="5919B7BD" w14:textId="77777777" w:rsidR="00CB2802" w:rsidRPr="00993442" w:rsidRDefault="00CB2802" w:rsidP="00B22F66">
            <w:pPr>
              <w:rPr>
                <w:rFonts w:eastAsia="Times New Roman"/>
                <w:szCs w:val="18"/>
                <w:lang w:eastAsia="en-GB"/>
              </w:rPr>
            </w:pPr>
          </w:p>
          <w:p w14:paraId="4AAAB7E8" w14:textId="77777777" w:rsidR="00CB2802" w:rsidRPr="00993442" w:rsidRDefault="00CB2802" w:rsidP="00B22F66">
            <w:pPr>
              <w:rPr>
                <w:rFonts w:eastAsia="Times New Roman"/>
                <w:szCs w:val="18"/>
                <w:lang w:eastAsia="en-GB"/>
              </w:rPr>
            </w:pPr>
            <w:r w:rsidRPr="00993442">
              <w:rPr>
                <w:rFonts w:eastAsia="Times New Roman"/>
                <w:szCs w:val="18"/>
                <w:lang w:eastAsia="en-GB"/>
              </w:rPr>
              <w:t>10/09/15</w:t>
            </w:r>
          </w:p>
        </w:tc>
        <w:tc>
          <w:tcPr>
            <w:tcW w:w="4700" w:type="dxa"/>
          </w:tcPr>
          <w:p w14:paraId="125E2EDA" w14:textId="77777777" w:rsidR="00CB2802" w:rsidRPr="00993442" w:rsidRDefault="00CB2802" w:rsidP="00B22F66">
            <w:pPr>
              <w:spacing w:before="120"/>
              <w:rPr>
                <w:rFonts w:eastAsia="Times New Roman"/>
                <w:szCs w:val="18"/>
                <w:lang w:eastAsia="en-GB"/>
              </w:rPr>
            </w:pPr>
            <w:r w:rsidRPr="00993442">
              <w:rPr>
                <w:rFonts w:eastAsia="Times New Roman"/>
                <w:szCs w:val="18"/>
                <w:lang w:eastAsia="en-GB"/>
              </w:rPr>
              <w:t xml:space="preserve">To estimate the probability of </w:t>
            </w:r>
            <w:proofErr w:type="gramStart"/>
            <w:r w:rsidRPr="00993442">
              <w:rPr>
                <w:rFonts w:eastAsia="Times New Roman"/>
                <w:szCs w:val="18"/>
                <w:lang w:eastAsia="en-GB"/>
              </w:rPr>
              <w:t>30 day</w:t>
            </w:r>
            <w:proofErr w:type="gramEnd"/>
            <w:r w:rsidRPr="00993442">
              <w:rPr>
                <w:rFonts w:eastAsia="Times New Roman"/>
                <w:szCs w:val="18"/>
                <w:lang w:eastAsia="en-GB"/>
              </w:rPr>
              <w:t xml:space="preserve"> mortality for a patient, the observed value of each variable in the model is multiplied by a corresponding coefficient and summed to give a value, ω. This is a data-driven model and the coefficients are created based on the strength the variable has on mortality according to the cohort of data.</w:t>
            </w:r>
          </w:p>
          <w:p w14:paraId="4238266E" w14:textId="77777777" w:rsidR="00CB2802" w:rsidRPr="00993442" w:rsidRDefault="00CB2802" w:rsidP="00B22F66">
            <w:pPr>
              <w:rPr>
                <w:rFonts w:eastAsia="Times New Roman"/>
                <w:szCs w:val="18"/>
                <w:lang w:eastAsia="en-GB"/>
              </w:rPr>
            </w:pPr>
          </w:p>
          <w:p w14:paraId="7F271D81"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The value ω is then used in the equation </w:t>
            </w:r>
            <m:oMath>
              <m:f>
                <m:fPr>
                  <m:ctrlPr>
                    <w:rPr>
                      <w:rFonts w:ascii="Cambria Math" w:eastAsia="Times New Roman" w:hAnsi="Cambria Math"/>
                      <w:i/>
                      <w:szCs w:val="18"/>
                      <w:lang w:eastAsia="en-GB"/>
                    </w:rPr>
                  </m:ctrlPr>
                </m:fPr>
                <m:num>
                  <m:func>
                    <m:funcPr>
                      <m:ctrlPr>
                        <w:rPr>
                          <w:rFonts w:ascii="Cambria Math" w:eastAsia="Times New Roman" w:hAnsi="Cambria Math"/>
                          <w:i/>
                          <w:szCs w:val="18"/>
                          <w:lang w:eastAsia="en-GB"/>
                        </w:rPr>
                      </m:ctrlPr>
                    </m:funcPr>
                    <m:fName>
                      <m:r>
                        <m:rPr>
                          <m:sty m:val="p"/>
                        </m:rPr>
                        <w:rPr>
                          <w:rFonts w:ascii="Cambria Math" w:eastAsia="Times New Roman" w:hAnsi="Cambria Math"/>
                          <w:szCs w:val="18"/>
                          <w:lang w:eastAsia="en-GB"/>
                        </w:rPr>
                        <m:t>exp</m:t>
                      </m:r>
                    </m:fName>
                    <m:e>
                      <m:r>
                        <w:rPr>
                          <w:rFonts w:ascii="Cambria Math" w:eastAsia="Times New Roman" w:hAnsi="Cambria Math"/>
                          <w:szCs w:val="18"/>
                          <w:lang w:eastAsia="en-GB"/>
                        </w:rPr>
                        <m:t>(ω)</m:t>
                      </m:r>
                    </m:e>
                  </m:func>
                </m:num>
                <m:den>
                  <m:r>
                    <w:rPr>
                      <w:rFonts w:ascii="Cambria Math" w:eastAsia="Times New Roman" w:hAnsi="Cambria Math"/>
                      <w:szCs w:val="18"/>
                      <w:lang w:eastAsia="en-GB"/>
                    </w:rPr>
                    <m:t>1+</m:t>
                  </m:r>
                  <m:r>
                    <m:rPr>
                      <m:sty m:val="p"/>
                    </m:rPr>
                    <w:rPr>
                      <w:rFonts w:ascii="Cambria Math" w:eastAsia="Times New Roman" w:hAnsi="Cambria Math"/>
                      <w:szCs w:val="18"/>
                      <w:lang w:eastAsia="en-GB"/>
                    </w:rPr>
                    <m:t>exp⁡</m:t>
                  </m:r>
                  <m:r>
                    <w:rPr>
                      <w:rFonts w:ascii="Cambria Math" w:eastAsia="Times New Roman" w:hAnsi="Cambria Math"/>
                      <w:szCs w:val="18"/>
                      <w:lang w:eastAsia="en-GB"/>
                    </w:rPr>
                    <m:t>(ω)</m:t>
                  </m:r>
                </m:den>
              </m:f>
            </m:oMath>
            <w:r w:rsidRPr="00993442">
              <w:rPr>
                <w:rFonts w:eastAsia="Times New Roman"/>
                <w:szCs w:val="18"/>
                <w:lang w:eastAsia="en-GB"/>
              </w:rPr>
              <w:t xml:space="preserve"> to give the predicted probability of </w:t>
            </w:r>
            <w:proofErr w:type="gramStart"/>
            <w:r w:rsidRPr="00993442">
              <w:rPr>
                <w:rFonts w:eastAsia="Times New Roman"/>
                <w:szCs w:val="18"/>
                <w:lang w:eastAsia="en-GB"/>
              </w:rPr>
              <w:t>30 day</w:t>
            </w:r>
            <w:proofErr w:type="gramEnd"/>
            <w:r w:rsidRPr="00993442">
              <w:rPr>
                <w:rFonts w:eastAsia="Times New Roman"/>
                <w:szCs w:val="18"/>
                <w:lang w:eastAsia="en-GB"/>
              </w:rPr>
              <w:t xml:space="preserve"> mortality.</w:t>
            </w:r>
          </w:p>
          <w:p w14:paraId="1AA3CC03" w14:textId="77777777" w:rsidR="00CB2802" w:rsidRPr="00993442" w:rsidRDefault="00CB2802" w:rsidP="00B22F66">
            <w:pPr>
              <w:rPr>
                <w:rFonts w:eastAsia="Times New Roman"/>
                <w:szCs w:val="18"/>
                <w:lang w:eastAsia="en-GB"/>
              </w:rPr>
            </w:pPr>
          </w:p>
          <w:p w14:paraId="18D6432B"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The RCP use two models for </w:t>
            </w:r>
            <w:proofErr w:type="spellStart"/>
            <w:r w:rsidRPr="00993442">
              <w:rPr>
                <w:rFonts w:eastAsia="Times New Roman"/>
                <w:szCs w:val="18"/>
                <w:lang w:eastAsia="en-GB"/>
              </w:rPr>
              <w:t>casemix</w:t>
            </w:r>
            <w:proofErr w:type="spellEnd"/>
            <w:r w:rsidRPr="00993442">
              <w:rPr>
                <w:rFonts w:eastAsia="Times New Roman"/>
                <w:szCs w:val="18"/>
                <w:lang w:eastAsia="en-GB"/>
              </w:rPr>
              <w:t xml:space="preserve"> adjustment, which are detailed in the published paper ‘Derivation and external validation of a </w:t>
            </w:r>
            <w:proofErr w:type="spellStart"/>
            <w:r w:rsidRPr="00993442">
              <w:rPr>
                <w:rFonts w:eastAsia="Times New Roman"/>
                <w:szCs w:val="18"/>
                <w:lang w:eastAsia="en-GB"/>
              </w:rPr>
              <w:t>casemix</w:t>
            </w:r>
            <w:proofErr w:type="spellEnd"/>
            <w:r w:rsidRPr="00993442">
              <w:rPr>
                <w:rFonts w:eastAsia="Times New Roman"/>
                <w:szCs w:val="18"/>
                <w:lang w:eastAsia="en-GB"/>
              </w:rPr>
              <w:t xml:space="preserve"> model for the standardized reporting of 30-day stroke mortality </w:t>
            </w:r>
            <w:proofErr w:type="gramStart"/>
            <w:r w:rsidRPr="00993442">
              <w:rPr>
                <w:rFonts w:eastAsia="Times New Roman"/>
                <w:szCs w:val="18"/>
                <w:lang w:eastAsia="en-GB"/>
              </w:rPr>
              <w:t>rates’</w:t>
            </w:r>
            <w:proofErr w:type="gramEnd"/>
            <w:r w:rsidRPr="00993442">
              <w:rPr>
                <w:rFonts w:eastAsia="Times New Roman"/>
                <w:szCs w:val="18"/>
                <w:lang w:eastAsia="en-GB"/>
              </w:rPr>
              <w:t xml:space="preserve">. Bray BD, Campbell J, Cloud GC, Hoffman A, James M, Tyrrell PJ, Wolfe CD, Rudd AG; Intercollegiate Stroke Working Party Group (2014) </w:t>
            </w:r>
            <w:hyperlink r:id="rId27" w:history="1">
              <w:r w:rsidRPr="00993442">
                <w:rPr>
                  <w:rStyle w:val="Hyperlink"/>
                  <w:rFonts w:eastAsia="Times New Roman"/>
                  <w:color w:val="auto"/>
                  <w:lang w:eastAsia="en-GB"/>
                </w:rPr>
                <w:t>http://www.ncbi.nlm.nih.gov/pubmed/25293667</w:t>
              </w:r>
            </w:hyperlink>
            <w:r w:rsidRPr="00993442">
              <w:rPr>
                <w:rFonts w:eastAsia="Times New Roman"/>
                <w:szCs w:val="18"/>
                <w:lang w:eastAsia="en-GB"/>
              </w:rPr>
              <w:t xml:space="preserve"> </w:t>
            </w:r>
          </w:p>
          <w:p w14:paraId="6A428373" w14:textId="77777777" w:rsidR="00CB2802" w:rsidRPr="00993442" w:rsidRDefault="00CB2802" w:rsidP="00B22F66">
            <w:pPr>
              <w:rPr>
                <w:rFonts w:eastAsia="Times New Roman"/>
                <w:szCs w:val="18"/>
                <w:lang w:eastAsia="en-GB"/>
              </w:rPr>
            </w:pPr>
          </w:p>
          <w:p w14:paraId="2EC7E24A" w14:textId="5202C48C" w:rsidR="00CB2802" w:rsidRPr="00993442" w:rsidRDefault="006B7F28" w:rsidP="00B22F66">
            <w:pPr>
              <w:spacing w:after="120"/>
              <w:rPr>
                <w:rFonts w:eastAsia="Times New Roman"/>
                <w:szCs w:val="18"/>
                <w:lang w:eastAsia="en-GB"/>
              </w:rPr>
            </w:pPr>
            <w:r w:rsidRPr="00993442">
              <w:rPr>
                <w:rFonts w:eastAsia="Times New Roman"/>
                <w:szCs w:val="18"/>
                <w:lang w:eastAsia="en-GB"/>
              </w:rPr>
              <w:t>See tables below for details.</w:t>
            </w:r>
          </w:p>
        </w:tc>
        <w:tc>
          <w:tcPr>
            <w:tcW w:w="1089" w:type="dxa"/>
          </w:tcPr>
          <w:p w14:paraId="45410660" w14:textId="77777777" w:rsidR="00CB2802" w:rsidRPr="00993442" w:rsidRDefault="00CB2802" w:rsidP="00B22F66">
            <w:pPr>
              <w:rPr>
                <w:rFonts w:eastAsia="Times New Roman"/>
                <w:szCs w:val="18"/>
                <w:lang w:eastAsia="en-GB"/>
              </w:rPr>
            </w:pPr>
            <w:r w:rsidRPr="00993442">
              <w:rPr>
                <w:rFonts w:eastAsia="Times New Roman"/>
                <w:szCs w:val="18"/>
                <w:lang w:eastAsia="en-GB"/>
              </w:rPr>
              <w:t>26/11/15</w:t>
            </w:r>
          </w:p>
        </w:tc>
        <w:sdt>
          <w:sdtPr>
            <w:rPr>
              <w:sz w:val="40"/>
              <w:szCs w:val="20"/>
            </w:rPr>
            <w:id w:val="2067981697"/>
            <w14:checkbox>
              <w14:checked w14:val="1"/>
              <w14:checkedState w14:val="00FE" w14:font="Wingdings"/>
              <w14:uncheckedState w14:val="006F" w14:font="Wingdings"/>
            </w14:checkbox>
          </w:sdtPr>
          <w:sdtEndPr/>
          <w:sdtContent>
            <w:tc>
              <w:tcPr>
                <w:tcW w:w="1033" w:type="dxa"/>
              </w:tcPr>
              <w:p w14:paraId="6A9E7461" w14:textId="77777777" w:rsidR="00CB2802" w:rsidRPr="00993442" w:rsidRDefault="00CB2802" w:rsidP="00B22F66">
                <w:pPr>
                  <w:jc w:val="center"/>
                  <w:rPr>
                    <w:sz w:val="40"/>
                    <w:szCs w:val="20"/>
                  </w:rPr>
                </w:pPr>
                <w:r w:rsidRPr="00993442">
                  <w:rPr>
                    <w:sz w:val="40"/>
                    <w:szCs w:val="20"/>
                  </w:rPr>
                  <w:sym w:font="Wingdings" w:char="F0FE"/>
                </w:r>
              </w:p>
            </w:tc>
          </w:sdtContent>
        </w:sdt>
        <w:tc>
          <w:tcPr>
            <w:tcW w:w="1364" w:type="dxa"/>
          </w:tcPr>
          <w:p w14:paraId="5BE38F78" w14:textId="77777777" w:rsidR="00CB2802" w:rsidRPr="00993442" w:rsidRDefault="00CB2802" w:rsidP="00B22F66">
            <w:pPr>
              <w:rPr>
                <w:szCs w:val="20"/>
              </w:rPr>
            </w:pPr>
            <w:r w:rsidRPr="00993442">
              <w:rPr>
                <w:rFonts w:eastAsia="Times New Roman"/>
                <w:szCs w:val="20"/>
                <w:lang w:eastAsia="en-GB"/>
              </w:rPr>
              <w:t>MRG – 26/11/2015</w:t>
            </w:r>
          </w:p>
        </w:tc>
      </w:tr>
    </w:tbl>
    <w:p w14:paraId="39AC8313" w14:textId="77777777" w:rsidR="006B7F28" w:rsidRPr="00993442" w:rsidRDefault="006B7F28"/>
    <w:p w14:paraId="6B73FF58" w14:textId="77777777" w:rsidR="006B7F28" w:rsidRPr="00993442" w:rsidRDefault="006B7F28" w:rsidP="006B7F28">
      <w:pPr>
        <w:rPr>
          <w:rFonts w:eastAsia="Times New Roman"/>
          <w:szCs w:val="18"/>
          <w:lang w:eastAsia="en-GB"/>
        </w:rPr>
      </w:pPr>
      <w:r w:rsidRPr="00993442">
        <w:rPr>
          <w:rFonts w:eastAsia="Times New Roman"/>
          <w:szCs w:val="18"/>
          <w:lang w:eastAsia="en-GB"/>
        </w:rPr>
        <w:t>For 2013-14, the following coefficients were used:</w:t>
      </w:r>
    </w:p>
    <w:p w14:paraId="24F480E6" w14:textId="77777777" w:rsidR="006B7F28" w:rsidRPr="00993442" w:rsidRDefault="006B7F28"/>
    <w:p w14:paraId="03A07159" w14:textId="77777777" w:rsidR="006B7F28" w:rsidRPr="00993442" w:rsidRDefault="006B7F28"/>
    <w:p w14:paraId="450359C6" w14:textId="5301B598" w:rsidR="006B7F28" w:rsidRPr="00993442" w:rsidRDefault="006B7F28">
      <w:r w:rsidRPr="00993442">
        <w:lastRenderedPageBreak/>
        <w:t>Model A</w:t>
      </w:r>
    </w:p>
    <w:tbl>
      <w:tblPr>
        <w:tblStyle w:val="TableGrid2"/>
        <w:tblW w:w="0" w:type="auto"/>
        <w:tblLayout w:type="fixed"/>
        <w:tblLook w:val="04A0" w:firstRow="1" w:lastRow="0" w:firstColumn="1" w:lastColumn="0" w:noHBand="0" w:noVBand="1"/>
      </w:tblPr>
      <w:tblGrid>
        <w:gridCol w:w="2010"/>
        <w:gridCol w:w="1137"/>
      </w:tblGrid>
      <w:tr w:rsidR="006B7F28" w:rsidRPr="00993442" w14:paraId="1F29539D" w14:textId="77777777" w:rsidTr="009879CF">
        <w:tc>
          <w:tcPr>
            <w:tcW w:w="2010" w:type="dxa"/>
          </w:tcPr>
          <w:p w14:paraId="27885A56" w14:textId="77777777" w:rsidR="006B7F28" w:rsidRPr="00993442" w:rsidRDefault="006B7F28" w:rsidP="009879CF">
            <w:pPr>
              <w:rPr>
                <w:rFonts w:eastAsia="Times New Roman"/>
                <w:szCs w:val="18"/>
                <w:lang w:eastAsia="en-GB"/>
              </w:rPr>
            </w:pPr>
            <w:r w:rsidRPr="00993442">
              <w:rPr>
                <w:rFonts w:eastAsia="Times New Roman"/>
                <w:szCs w:val="18"/>
                <w:lang w:eastAsia="en-GB"/>
              </w:rPr>
              <w:t>Variable</w:t>
            </w:r>
          </w:p>
        </w:tc>
        <w:tc>
          <w:tcPr>
            <w:tcW w:w="1137" w:type="dxa"/>
          </w:tcPr>
          <w:p w14:paraId="34FE69B0" w14:textId="77777777" w:rsidR="006B7F28" w:rsidRPr="00993442" w:rsidRDefault="006B7F28" w:rsidP="009879CF">
            <w:pPr>
              <w:rPr>
                <w:rFonts w:eastAsia="Times New Roman"/>
                <w:szCs w:val="18"/>
                <w:lang w:eastAsia="en-GB"/>
              </w:rPr>
            </w:pPr>
            <w:r w:rsidRPr="00993442">
              <w:rPr>
                <w:rFonts w:eastAsia="Times New Roman"/>
                <w:szCs w:val="18"/>
                <w:lang w:eastAsia="en-GB"/>
              </w:rPr>
              <w:t>Coefficient</w:t>
            </w:r>
          </w:p>
        </w:tc>
      </w:tr>
      <w:tr w:rsidR="006B7F28" w:rsidRPr="00993442" w14:paraId="4AA1DF46" w14:textId="77777777" w:rsidTr="009879CF">
        <w:tc>
          <w:tcPr>
            <w:tcW w:w="2010" w:type="dxa"/>
          </w:tcPr>
          <w:p w14:paraId="0F797D3D" w14:textId="77777777" w:rsidR="006B7F28" w:rsidRPr="00993442" w:rsidRDefault="006B7F28" w:rsidP="009879CF">
            <w:pPr>
              <w:rPr>
                <w:rFonts w:eastAsia="Times New Roman"/>
                <w:i/>
                <w:szCs w:val="18"/>
                <w:lang w:eastAsia="en-GB"/>
              </w:rPr>
            </w:pPr>
            <w:r w:rsidRPr="00993442">
              <w:rPr>
                <w:rFonts w:eastAsia="Times New Roman"/>
                <w:i/>
                <w:szCs w:val="18"/>
                <w:lang w:eastAsia="en-GB"/>
              </w:rPr>
              <w:t>Age</w:t>
            </w:r>
          </w:p>
        </w:tc>
        <w:tc>
          <w:tcPr>
            <w:tcW w:w="1137" w:type="dxa"/>
          </w:tcPr>
          <w:p w14:paraId="42C64069" w14:textId="77777777" w:rsidR="006B7F28" w:rsidRPr="00993442" w:rsidRDefault="006B7F28" w:rsidP="009879CF">
            <w:pPr>
              <w:rPr>
                <w:rFonts w:eastAsia="Times New Roman"/>
                <w:szCs w:val="18"/>
                <w:lang w:eastAsia="en-GB"/>
              </w:rPr>
            </w:pPr>
          </w:p>
        </w:tc>
      </w:tr>
      <w:tr w:rsidR="006B7F28" w:rsidRPr="00993442" w14:paraId="022E22AB" w14:textId="77777777" w:rsidTr="009879CF">
        <w:tc>
          <w:tcPr>
            <w:tcW w:w="2010" w:type="dxa"/>
          </w:tcPr>
          <w:p w14:paraId="3EFF662F" w14:textId="77777777" w:rsidR="006B7F28" w:rsidRPr="00993442" w:rsidRDefault="006B7F28" w:rsidP="009879CF">
            <w:pPr>
              <w:rPr>
                <w:rFonts w:eastAsia="Times New Roman"/>
                <w:szCs w:val="18"/>
                <w:lang w:eastAsia="en-GB"/>
              </w:rPr>
            </w:pPr>
            <w:r w:rsidRPr="00993442">
              <w:rPr>
                <w:rFonts w:eastAsia="Times New Roman"/>
                <w:szCs w:val="18"/>
                <w:lang w:eastAsia="en-GB"/>
              </w:rPr>
              <w:t>&lt;60</w:t>
            </w:r>
          </w:p>
        </w:tc>
        <w:tc>
          <w:tcPr>
            <w:tcW w:w="1137" w:type="dxa"/>
          </w:tcPr>
          <w:p w14:paraId="66FFE62C" w14:textId="77777777" w:rsidR="006B7F28" w:rsidRPr="00993442" w:rsidRDefault="006B7F28" w:rsidP="009879CF">
            <w:pPr>
              <w:rPr>
                <w:rFonts w:eastAsia="Times New Roman"/>
                <w:szCs w:val="18"/>
                <w:lang w:eastAsia="en-GB"/>
              </w:rPr>
            </w:pPr>
            <w:r w:rsidRPr="00993442">
              <w:rPr>
                <w:rFonts w:eastAsia="Times New Roman"/>
                <w:szCs w:val="18"/>
                <w:lang w:eastAsia="en-GB"/>
              </w:rPr>
              <w:t>0.000</w:t>
            </w:r>
          </w:p>
        </w:tc>
      </w:tr>
      <w:tr w:rsidR="006B7F28" w:rsidRPr="00993442" w14:paraId="0D76D804" w14:textId="77777777" w:rsidTr="009879CF">
        <w:tc>
          <w:tcPr>
            <w:tcW w:w="2010" w:type="dxa"/>
          </w:tcPr>
          <w:p w14:paraId="3EF4B730" w14:textId="77777777" w:rsidR="006B7F28" w:rsidRPr="00993442" w:rsidRDefault="006B7F28" w:rsidP="009879CF">
            <w:pPr>
              <w:rPr>
                <w:rFonts w:eastAsia="Times New Roman"/>
                <w:szCs w:val="18"/>
                <w:lang w:eastAsia="en-GB"/>
              </w:rPr>
            </w:pPr>
            <w:r w:rsidRPr="00993442">
              <w:rPr>
                <w:rFonts w:eastAsia="Times New Roman"/>
                <w:szCs w:val="18"/>
                <w:lang w:eastAsia="en-GB"/>
              </w:rPr>
              <w:t>60-69</w:t>
            </w:r>
          </w:p>
        </w:tc>
        <w:tc>
          <w:tcPr>
            <w:tcW w:w="1137" w:type="dxa"/>
          </w:tcPr>
          <w:p w14:paraId="4D2487B4" w14:textId="77777777" w:rsidR="006B7F28" w:rsidRPr="00993442" w:rsidRDefault="006B7F28" w:rsidP="009879CF">
            <w:pPr>
              <w:rPr>
                <w:rFonts w:eastAsia="Times New Roman"/>
                <w:szCs w:val="18"/>
                <w:lang w:eastAsia="en-GB"/>
              </w:rPr>
            </w:pPr>
            <w:r w:rsidRPr="00993442">
              <w:rPr>
                <w:rFonts w:eastAsia="Times New Roman"/>
                <w:szCs w:val="18"/>
                <w:lang w:eastAsia="en-GB"/>
              </w:rPr>
              <w:t>0.624</w:t>
            </w:r>
          </w:p>
        </w:tc>
      </w:tr>
      <w:tr w:rsidR="006B7F28" w:rsidRPr="00993442" w14:paraId="5400A9EC" w14:textId="77777777" w:rsidTr="009879CF">
        <w:tc>
          <w:tcPr>
            <w:tcW w:w="2010" w:type="dxa"/>
          </w:tcPr>
          <w:p w14:paraId="2349B9D7" w14:textId="77777777" w:rsidR="006B7F28" w:rsidRPr="00993442" w:rsidRDefault="006B7F28" w:rsidP="009879CF">
            <w:pPr>
              <w:rPr>
                <w:rFonts w:eastAsia="Times New Roman"/>
                <w:szCs w:val="18"/>
                <w:lang w:eastAsia="en-GB"/>
              </w:rPr>
            </w:pPr>
            <w:r w:rsidRPr="00993442">
              <w:rPr>
                <w:rFonts w:eastAsia="Times New Roman"/>
                <w:szCs w:val="18"/>
                <w:lang w:eastAsia="en-GB"/>
              </w:rPr>
              <w:t>70-79</w:t>
            </w:r>
          </w:p>
        </w:tc>
        <w:tc>
          <w:tcPr>
            <w:tcW w:w="1137" w:type="dxa"/>
          </w:tcPr>
          <w:p w14:paraId="5E6B4345" w14:textId="77777777" w:rsidR="006B7F28" w:rsidRPr="00993442" w:rsidRDefault="006B7F28" w:rsidP="009879CF">
            <w:pPr>
              <w:rPr>
                <w:rFonts w:eastAsia="Times New Roman"/>
                <w:szCs w:val="18"/>
                <w:lang w:eastAsia="en-GB"/>
              </w:rPr>
            </w:pPr>
            <w:r w:rsidRPr="00993442">
              <w:rPr>
                <w:rFonts w:eastAsia="Times New Roman"/>
                <w:szCs w:val="18"/>
                <w:lang w:eastAsia="en-GB"/>
              </w:rPr>
              <w:t>1.033</w:t>
            </w:r>
          </w:p>
        </w:tc>
      </w:tr>
      <w:tr w:rsidR="006B7F28" w:rsidRPr="00993442" w14:paraId="21EB5F31" w14:textId="77777777" w:rsidTr="009879CF">
        <w:tc>
          <w:tcPr>
            <w:tcW w:w="2010" w:type="dxa"/>
          </w:tcPr>
          <w:p w14:paraId="3883A63D" w14:textId="77777777" w:rsidR="006B7F28" w:rsidRPr="00993442" w:rsidRDefault="006B7F28" w:rsidP="009879CF">
            <w:pPr>
              <w:rPr>
                <w:rFonts w:eastAsia="Times New Roman"/>
                <w:szCs w:val="18"/>
                <w:lang w:eastAsia="en-GB"/>
              </w:rPr>
            </w:pPr>
            <w:r w:rsidRPr="00993442">
              <w:rPr>
                <w:rFonts w:eastAsia="Times New Roman"/>
                <w:szCs w:val="18"/>
                <w:lang w:eastAsia="en-GB"/>
              </w:rPr>
              <w:t>80-89</w:t>
            </w:r>
          </w:p>
        </w:tc>
        <w:tc>
          <w:tcPr>
            <w:tcW w:w="1137" w:type="dxa"/>
          </w:tcPr>
          <w:p w14:paraId="2D8D5465" w14:textId="77777777" w:rsidR="006B7F28" w:rsidRPr="00993442" w:rsidRDefault="006B7F28" w:rsidP="009879CF">
            <w:pPr>
              <w:rPr>
                <w:rFonts w:eastAsia="Times New Roman"/>
                <w:szCs w:val="18"/>
                <w:lang w:eastAsia="en-GB"/>
              </w:rPr>
            </w:pPr>
            <w:r w:rsidRPr="00993442">
              <w:rPr>
                <w:rFonts w:eastAsia="Times New Roman"/>
                <w:szCs w:val="18"/>
                <w:lang w:eastAsia="en-GB"/>
              </w:rPr>
              <w:t>1.488</w:t>
            </w:r>
          </w:p>
        </w:tc>
      </w:tr>
      <w:tr w:rsidR="006B7F28" w:rsidRPr="00993442" w14:paraId="10A19407" w14:textId="77777777" w:rsidTr="009879CF">
        <w:tc>
          <w:tcPr>
            <w:tcW w:w="2010" w:type="dxa"/>
          </w:tcPr>
          <w:p w14:paraId="5DAF8CA0" w14:textId="77777777" w:rsidR="006B7F28" w:rsidRPr="00993442" w:rsidRDefault="006B7F28" w:rsidP="009879CF">
            <w:pPr>
              <w:rPr>
                <w:rFonts w:eastAsia="Times New Roman"/>
                <w:szCs w:val="18"/>
                <w:lang w:eastAsia="en-GB"/>
              </w:rPr>
            </w:pPr>
            <w:r w:rsidRPr="00993442">
              <w:rPr>
                <w:rFonts w:eastAsia="Times New Roman"/>
                <w:szCs w:val="18"/>
                <w:lang w:eastAsia="en-GB"/>
              </w:rPr>
              <w:t>90+</w:t>
            </w:r>
          </w:p>
        </w:tc>
        <w:tc>
          <w:tcPr>
            <w:tcW w:w="1137" w:type="dxa"/>
          </w:tcPr>
          <w:p w14:paraId="32B2CE50" w14:textId="77777777" w:rsidR="006B7F28" w:rsidRPr="00993442" w:rsidRDefault="006B7F28" w:rsidP="009879CF">
            <w:pPr>
              <w:rPr>
                <w:rFonts w:eastAsia="Times New Roman"/>
                <w:szCs w:val="18"/>
                <w:lang w:eastAsia="en-GB"/>
              </w:rPr>
            </w:pPr>
            <w:r w:rsidRPr="00993442">
              <w:rPr>
                <w:rFonts w:eastAsia="Times New Roman"/>
                <w:szCs w:val="18"/>
                <w:lang w:eastAsia="en-GB"/>
              </w:rPr>
              <w:t>1.781</w:t>
            </w:r>
          </w:p>
        </w:tc>
      </w:tr>
      <w:tr w:rsidR="006B7F28" w:rsidRPr="00993442" w14:paraId="07D710CC" w14:textId="77777777" w:rsidTr="009879CF">
        <w:tc>
          <w:tcPr>
            <w:tcW w:w="2010" w:type="dxa"/>
          </w:tcPr>
          <w:p w14:paraId="21B89687" w14:textId="77777777" w:rsidR="006B7F28" w:rsidRPr="00993442" w:rsidRDefault="006B7F28" w:rsidP="009879CF">
            <w:pPr>
              <w:rPr>
                <w:rFonts w:eastAsia="Times New Roman"/>
                <w:i/>
                <w:szCs w:val="18"/>
                <w:lang w:eastAsia="en-GB"/>
              </w:rPr>
            </w:pPr>
            <w:r w:rsidRPr="00993442">
              <w:rPr>
                <w:rFonts w:eastAsia="Times New Roman"/>
                <w:i/>
                <w:szCs w:val="18"/>
                <w:lang w:eastAsia="en-GB"/>
              </w:rPr>
              <w:t>NIHSS</w:t>
            </w:r>
          </w:p>
        </w:tc>
        <w:tc>
          <w:tcPr>
            <w:tcW w:w="1137" w:type="dxa"/>
          </w:tcPr>
          <w:p w14:paraId="4173858C" w14:textId="77777777" w:rsidR="006B7F28" w:rsidRPr="00993442" w:rsidRDefault="006B7F28" w:rsidP="009879CF">
            <w:pPr>
              <w:rPr>
                <w:rFonts w:eastAsia="Times New Roman"/>
                <w:szCs w:val="18"/>
                <w:lang w:eastAsia="en-GB"/>
              </w:rPr>
            </w:pPr>
            <w:r w:rsidRPr="00993442">
              <w:rPr>
                <w:rFonts w:eastAsia="Times New Roman"/>
                <w:szCs w:val="18"/>
                <w:lang w:eastAsia="en-GB"/>
              </w:rPr>
              <w:t>0.137</w:t>
            </w:r>
          </w:p>
        </w:tc>
      </w:tr>
      <w:tr w:rsidR="006B7F28" w:rsidRPr="00993442" w14:paraId="71326786" w14:textId="77777777" w:rsidTr="009879CF">
        <w:tc>
          <w:tcPr>
            <w:tcW w:w="2010" w:type="dxa"/>
          </w:tcPr>
          <w:p w14:paraId="60AC19C8" w14:textId="77777777" w:rsidR="006B7F28" w:rsidRPr="00993442" w:rsidRDefault="006B7F28" w:rsidP="009879CF">
            <w:pPr>
              <w:rPr>
                <w:rFonts w:eastAsia="Times New Roman"/>
                <w:i/>
                <w:szCs w:val="18"/>
                <w:lang w:eastAsia="en-GB"/>
              </w:rPr>
            </w:pPr>
            <w:r w:rsidRPr="00993442">
              <w:rPr>
                <w:rFonts w:eastAsia="Times New Roman"/>
                <w:i/>
                <w:szCs w:val="18"/>
                <w:lang w:eastAsia="en-GB"/>
              </w:rPr>
              <w:t>Atrial fibrillation</w:t>
            </w:r>
          </w:p>
        </w:tc>
        <w:tc>
          <w:tcPr>
            <w:tcW w:w="1137" w:type="dxa"/>
          </w:tcPr>
          <w:p w14:paraId="4565E5EC" w14:textId="77777777" w:rsidR="006B7F28" w:rsidRPr="00993442" w:rsidRDefault="006B7F28" w:rsidP="009879CF">
            <w:pPr>
              <w:rPr>
                <w:rFonts w:eastAsia="Times New Roman"/>
                <w:szCs w:val="18"/>
                <w:lang w:eastAsia="en-GB"/>
              </w:rPr>
            </w:pPr>
            <w:r w:rsidRPr="00993442">
              <w:rPr>
                <w:rFonts w:eastAsia="Times New Roman"/>
                <w:szCs w:val="18"/>
                <w:lang w:eastAsia="en-GB"/>
              </w:rPr>
              <w:t>0.425</w:t>
            </w:r>
          </w:p>
        </w:tc>
      </w:tr>
      <w:tr w:rsidR="006B7F28" w:rsidRPr="00993442" w14:paraId="54D8BBA2" w14:textId="77777777" w:rsidTr="009879CF">
        <w:tc>
          <w:tcPr>
            <w:tcW w:w="2010" w:type="dxa"/>
          </w:tcPr>
          <w:p w14:paraId="35BA62E3" w14:textId="77777777" w:rsidR="006B7F28" w:rsidRPr="00993442" w:rsidRDefault="006B7F28" w:rsidP="009879CF">
            <w:pPr>
              <w:rPr>
                <w:rFonts w:eastAsia="Times New Roman"/>
                <w:i/>
                <w:szCs w:val="18"/>
                <w:lang w:eastAsia="en-GB"/>
              </w:rPr>
            </w:pPr>
            <w:r w:rsidRPr="00993442">
              <w:rPr>
                <w:rFonts w:eastAsia="Times New Roman"/>
                <w:i/>
                <w:szCs w:val="18"/>
                <w:lang w:eastAsia="en-GB"/>
              </w:rPr>
              <w:t>Stroke Type</w:t>
            </w:r>
          </w:p>
        </w:tc>
        <w:tc>
          <w:tcPr>
            <w:tcW w:w="1137" w:type="dxa"/>
          </w:tcPr>
          <w:p w14:paraId="4A7064D2" w14:textId="77777777" w:rsidR="006B7F28" w:rsidRPr="00993442" w:rsidRDefault="006B7F28" w:rsidP="009879CF">
            <w:pPr>
              <w:rPr>
                <w:rFonts w:eastAsia="Times New Roman"/>
                <w:szCs w:val="18"/>
                <w:lang w:eastAsia="en-GB"/>
              </w:rPr>
            </w:pPr>
          </w:p>
        </w:tc>
      </w:tr>
      <w:tr w:rsidR="006B7F28" w:rsidRPr="00993442" w14:paraId="6BF32C70" w14:textId="77777777" w:rsidTr="009879CF">
        <w:tc>
          <w:tcPr>
            <w:tcW w:w="2010" w:type="dxa"/>
          </w:tcPr>
          <w:p w14:paraId="19A30C8C" w14:textId="77777777" w:rsidR="006B7F28" w:rsidRPr="00993442" w:rsidRDefault="006B7F28" w:rsidP="009879CF">
            <w:pPr>
              <w:rPr>
                <w:rFonts w:eastAsia="Times New Roman"/>
                <w:szCs w:val="18"/>
                <w:lang w:eastAsia="en-GB"/>
              </w:rPr>
            </w:pPr>
            <w:r w:rsidRPr="00993442">
              <w:rPr>
                <w:rFonts w:eastAsia="Times New Roman"/>
                <w:szCs w:val="18"/>
                <w:lang w:eastAsia="en-GB"/>
              </w:rPr>
              <w:t>Ischemic</w:t>
            </w:r>
          </w:p>
        </w:tc>
        <w:tc>
          <w:tcPr>
            <w:tcW w:w="1137" w:type="dxa"/>
          </w:tcPr>
          <w:p w14:paraId="1F251068" w14:textId="77777777" w:rsidR="006B7F28" w:rsidRPr="00993442" w:rsidRDefault="006B7F28" w:rsidP="009879CF">
            <w:pPr>
              <w:rPr>
                <w:rFonts w:eastAsia="Times New Roman"/>
                <w:szCs w:val="18"/>
                <w:lang w:eastAsia="en-GB"/>
              </w:rPr>
            </w:pPr>
            <w:r w:rsidRPr="00993442">
              <w:rPr>
                <w:rFonts w:eastAsia="Times New Roman"/>
                <w:szCs w:val="18"/>
                <w:lang w:eastAsia="en-GB"/>
              </w:rPr>
              <w:t>0.000</w:t>
            </w:r>
          </w:p>
        </w:tc>
      </w:tr>
      <w:tr w:rsidR="006B7F28" w:rsidRPr="00993442" w14:paraId="13643D9E" w14:textId="77777777" w:rsidTr="009879CF">
        <w:tc>
          <w:tcPr>
            <w:tcW w:w="2010" w:type="dxa"/>
          </w:tcPr>
          <w:p w14:paraId="6AFCA98A" w14:textId="77777777" w:rsidR="006B7F28" w:rsidRPr="00993442" w:rsidRDefault="006B7F28" w:rsidP="009879CF">
            <w:pPr>
              <w:rPr>
                <w:rFonts w:eastAsia="Times New Roman"/>
                <w:szCs w:val="18"/>
                <w:lang w:eastAsia="en-GB"/>
              </w:rPr>
            </w:pPr>
            <w:r w:rsidRPr="00993442">
              <w:rPr>
                <w:rFonts w:eastAsia="Times New Roman"/>
                <w:szCs w:val="18"/>
                <w:lang w:eastAsia="en-GB"/>
              </w:rPr>
              <w:t>ICH</w:t>
            </w:r>
          </w:p>
        </w:tc>
        <w:tc>
          <w:tcPr>
            <w:tcW w:w="1137" w:type="dxa"/>
          </w:tcPr>
          <w:p w14:paraId="7A00FFDA" w14:textId="77777777" w:rsidR="006B7F28" w:rsidRPr="00993442" w:rsidRDefault="006B7F28" w:rsidP="009879CF">
            <w:pPr>
              <w:rPr>
                <w:rFonts w:eastAsia="Times New Roman"/>
                <w:szCs w:val="18"/>
                <w:lang w:eastAsia="en-GB"/>
              </w:rPr>
            </w:pPr>
            <w:r w:rsidRPr="00993442">
              <w:rPr>
                <w:rFonts w:eastAsia="Times New Roman"/>
                <w:szCs w:val="18"/>
                <w:lang w:eastAsia="en-GB"/>
              </w:rPr>
              <w:t>0.870</w:t>
            </w:r>
          </w:p>
        </w:tc>
      </w:tr>
      <w:tr w:rsidR="00993442" w:rsidRPr="00993442" w14:paraId="05F4B011" w14:textId="77777777" w:rsidTr="009879CF">
        <w:tc>
          <w:tcPr>
            <w:tcW w:w="2010" w:type="dxa"/>
          </w:tcPr>
          <w:p w14:paraId="079C8DC6" w14:textId="77777777" w:rsidR="006B7F28" w:rsidRPr="00993442" w:rsidRDefault="006B7F28" w:rsidP="009879CF">
            <w:pPr>
              <w:rPr>
                <w:rFonts w:eastAsia="Times New Roman"/>
                <w:szCs w:val="18"/>
                <w:lang w:eastAsia="en-GB"/>
              </w:rPr>
            </w:pPr>
            <w:r w:rsidRPr="00993442">
              <w:rPr>
                <w:rFonts w:eastAsia="Times New Roman"/>
                <w:szCs w:val="18"/>
                <w:lang w:eastAsia="en-GB"/>
              </w:rPr>
              <w:t>Constant</w:t>
            </w:r>
          </w:p>
        </w:tc>
        <w:tc>
          <w:tcPr>
            <w:tcW w:w="1137" w:type="dxa"/>
          </w:tcPr>
          <w:p w14:paraId="1BF7A153" w14:textId="77777777" w:rsidR="006B7F28" w:rsidRPr="00993442" w:rsidRDefault="006B7F28" w:rsidP="009879CF">
            <w:pPr>
              <w:rPr>
                <w:rFonts w:eastAsia="Times New Roman"/>
                <w:szCs w:val="18"/>
                <w:lang w:eastAsia="en-GB"/>
              </w:rPr>
            </w:pPr>
            <w:r w:rsidRPr="00993442">
              <w:rPr>
                <w:rFonts w:eastAsia="Times New Roman"/>
                <w:szCs w:val="18"/>
                <w:lang w:eastAsia="en-GB"/>
              </w:rPr>
              <w:t>-5.250</w:t>
            </w:r>
          </w:p>
        </w:tc>
      </w:tr>
    </w:tbl>
    <w:p w14:paraId="7B6D8EBD" w14:textId="3509D23C" w:rsidR="006B7F28" w:rsidRPr="00993442" w:rsidRDefault="006B7F28"/>
    <w:p w14:paraId="54D31F16" w14:textId="77777777" w:rsidR="006B7F28" w:rsidRPr="00993442" w:rsidRDefault="006B7F28"/>
    <w:p w14:paraId="58600CDC" w14:textId="77DA2D9C" w:rsidR="006B7F28" w:rsidRPr="00993442" w:rsidRDefault="006B7F28"/>
    <w:p w14:paraId="6C4B2851" w14:textId="73E76C8B" w:rsidR="006B7F28" w:rsidRPr="00993442" w:rsidRDefault="006B7F28" w:rsidP="006B7F28">
      <w:pPr>
        <w:rPr>
          <w:rFonts w:eastAsia="Times New Roman"/>
          <w:szCs w:val="18"/>
          <w:lang w:eastAsia="en-GB"/>
        </w:rPr>
      </w:pPr>
      <w:r w:rsidRPr="00993442">
        <w:rPr>
          <w:rFonts w:eastAsia="Times New Roman"/>
          <w:szCs w:val="18"/>
          <w:lang w:eastAsia="en-GB"/>
        </w:rPr>
        <w:t>Model B</w:t>
      </w:r>
    </w:p>
    <w:tbl>
      <w:tblPr>
        <w:tblStyle w:val="TableGrid1"/>
        <w:tblW w:w="0" w:type="auto"/>
        <w:tblLayout w:type="fixed"/>
        <w:tblLook w:val="04A0" w:firstRow="1" w:lastRow="0" w:firstColumn="1" w:lastColumn="0" w:noHBand="0" w:noVBand="1"/>
      </w:tblPr>
      <w:tblGrid>
        <w:gridCol w:w="2010"/>
        <w:gridCol w:w="1137"/>
      </w:tblGrid>
      <w:tr w:rsidR="00993442" w:rsidRPr="00993442" w14:paraId="37E4FD24" w14:textId="77777777" w:rsidTr="006B7F28">
        <w:tc>
          <w:tcPr>
            <w:tcW w:w="2010" w:type="dxa"/>
          </w:tcPr>
          <w:p w14:paraId="1B72224C" w14:textId="77777777" w:rsidR="006B7F28" w:rsidRPr="00993442" w:rsidRDefault="006B7F28" w:rsidP="009879CF">
            <w:pPr>
              <w:rPr>
                <w:rFonts w:eastAsia="Times New Roman"/>
                <w:szCs w:val="18"/>
                <w:lang w:eastAsia="en-GB"/>
              </w:rPr>
            </w:pPr>
            <w:r w:rsidRPr="00993442">
              <w:rPr>
                <w:rFonts w:eastAsia="Times New Roman"/>
                <w:szCs w:val="18"/>
                <w:lang w:eastAsia="en-GB"/>
              </w:rPr>
              <w:t>Variable</w:t>
            </w:r>
          </w:p>
        </w:tc>
        <w:tc>
          <w:tcPr>
            <w:tcW w:w="1137" w:type="dxa"/>
          </w:tcPr>
          <w:p w14:paraId="049A8B77" w14:textId="77777777" w:rsidR="006B7F28" w:rsidRPr="00993442" w:rsidRDefault="006B7F28" w:rsidP="009879CF">
            <w:pPr>
              <w:rPr>
                <w:rFonts w:eastAsia="Times New Roman"/>
                <w:szCs w:val="18"/>
                <w:lang w:eastAsia="en-GB"/>
              </w:rPr>
            </w:pPr>
            <w:r w:rsidRPr="00993442">
              <w:rPr>
                <w:rFonts w:eastAsia="Times New Roman"/>
                <w:szCs w:val="18"/>
                <w:lang w:eastAsia="en-GB"/>
              </w:rPr>
              <w:t>Coefficient</w:t>
            </w:r>
          </w:p>
        </w:tc>
      </w:tr>
      <w:tr w:rsidR="00993442" w:rsidRPr="00993442" w14:paraId="60D29D8B" w14:textId="77777777" w:rsidTr="006B7F28">
        <w:tc>
          <w:tcPr>
            <w:tcW w:w="2010" w:type="dxa"/>
          </w:tcPr>
          <w:p w14:paraId="66D02EA9" w14:textId="77777777" w:rsidR="006B7F28" w:rsidRPr="00993442" w:rsidRDefault="006B7F28" w:rsidP="009879CF">
            <w:pPr>
              <w:rPr>
                <w:rFonts w:eastAsia="Times New Roman"/>
                <w:i/>
                <w:szCs w:val="18"/>
                <w:lang w:eastAsia="en-GB"/>
              </w:rPr>
            </w:pPr>
            <w:r w:rsidRPr="00993442">
              <w:rPr>
                <w:rFonts w:eastAsia="Times New Roman"/>
                <w:i/>
                <w:szCs w:val="18"/>
                <w:lang w:eastAsia="en-GB"/>
              </w:rPr>
              <w:t>Age</w:t>
            </w:r>
          </w:p>
        </w:tc>
        <w:tc>
          <w:tcPr>
            <w:tcW w:w="1137" w:type="dxa"/>
          </w:tcPr>
          <w:p w14:paraId="5B9AE867" w14:textId="77777777" w:rsidR="006B7F28" w:rsidRPr="00993442" w:rsidRDefault="006B7F28" w:rsidP="009879CF">
            <w:pPr>
              <w:rPr>
                <w:rFonts w:eastAsia="Times New Roman"/>
                <w:szCs w:val="18"/>
                <w:lang w:eastAsia="en-GB"/>
              </w:rPr>
            </w:pPr>
          </w:p>
        </w:tc>
      </w:tr>
      <w:tr w:rsidR="00993442" w:rsidRPr="00993442" w14:paraId="2A0F0325" w14:textId="77777777" w:rsidTr="006B7F28">
        <w:tc>
          <w:tcPr>
            <w:tcW w:w="2010" w:type="dxa"/>
          </w:tcPr>
          <w:p w14:paraId="0AF2CD71" w14:textId="77777777" w:rsidR="006B7F28" w:rsidRPr="00993442" w:rsidRDefault="006B7F28" w:rsidP="009879CF">
            <w:pPr>
              <w:rPr>
                <w:rFonts w:eastAsia="Times New Roman"/>
                <w:szCs w:val="18"/>
                <w:lang w:eastAsia="en-GB"/>
              </w:rPr>
            </w:pPr>
            <w:r w:rsidRPr="00993442">
              <w:rPr>
                <w:rFonts w:eastAsia="Times New Roman"/>
                <w:szCs w:val="18"/>
                <w:lang w:eastAsia="en-GB"/>
              </w:rPr>
              <w:t>&lt;60</w:t>
            </w:r>
          </w:p>
        </w:tc>
        <w:tc>
          <w:tcPr>
            <w:tcW w:w="1137" w:type="dxa"/>
          </w:tcPr>
          <w:p w14:paraId="1FC029C4" w14:textId="77777777" w:rsidR="006B7F28" w:rsidRPr="00993442" w:rsidRDefault="006B7F28" w:rsidP="009879CF">
            <w:pPr>
              <w:rPr>
                <w:rFonts w:eastAsia="Times New Roman"/>
                <w:szCs w:val="18"/>
                <w:lang w:eastAsia="en-GB"/>
              </w:rPr>
            </w:pPr>
            <w:r w:rsidRPr="00993442">
              <w:rPr>
                <w:rFonts w:eastAsia="Times New Roman"/>
                <w:szCs w:val="18"/>
                <w:lang w:eastAsia="en-GB"/>
              </w:rPr>
              <w:t>0.000</w:t>
            </w:r>
          </w:p>
        </w:tc>
      </w:tr>
      <w:tr w:rsidR="00993442" w:rsidRPr="00993442" w14:paraId="1EFDF106" w14:textId="77777777" w:rsidTr="006B7F28">
        <w:tc>
          <w:tcPr>
            <w:tcW w:w="2010" w:type="dxa"/>
          </w:tcPr>
          <w:p w14:paraId="1CF86C19" w14:textId="77777777" w:rsidR="006B7F28" w:rsidRPr="00993442" w:rsidRDefault="006B7F28" w:rsidP="009879CF">
            <w:pPr>
              <w:rPr>
                <w:rFonts w:eastAsia="Times New Roman"/>
                <w:szCs w:val="18"/>
                <w:lang w:eastAsia="en-GB"/>
              </w:rPr>
            </w:pPr>
            <w:r w:rsidRPr="00993442">
              <w:rPr>
                <w:rFonts w:eastAsia="Times New Roman"/>
                <w:szCs w:val="18"/>
                <w:lang w:eastAsia="en-GB"/>
              </w:rPr>
              <w:t>60-69</w:t>
            </w:r>
          </w:p>
        </w:tc>
        <w:tc>
          <w:tcPr>
            <w:tcW w:w="1137" w:type="dxa"/>
          </w:tcPr>
          <w:p w14:paraId="0157C3C4" w14:textId="77777777" w:rsidR="006B7F28" w:rsidRPr="00993442" w:rsidRDefault="006B7F28" w:rsidP="009879CF">
            <w:pPr>
              <w:rPr>
                <w:rFonts w:eastAsia="Times New Roman"/>
                <w:szCs w:val="18"/>
                <w:lang w:eastAsia="en-GB"/>
              </w:rPr>
            </w:pPr>
            <w:r w:rsidRPr="00993442">
              <w:rPr>
                <w:rFonts w:eastAsia="Times New Roman"/>
                <w:szCs w:val="18"/>
                <w:lang w:eastAsia="en-GB"/>
              </w:rPr>
              <w:t>0.657</w:t>
            </w:r>
          </w:p>
        </w:tc>
      </w:tr>
      <w:tr w:rsidR="00993442" w:rsidRPr="00993442" w14:paraId="570CAC04" w14:textId="77777777" w:rsidTr="006B7F28">
        <w:tc>
          <w:tcPr>
            <w:tcW w:w="2010" w:type="dxa"/>
          </w:tcPr>
          <w:p w14:paraId="0F143D37" w14:textId="77777777" w:rsidR="006B7F28" w:rsidRPr="00993442" w:rsidRDefault="006B7F28" w:rsidP="009879CF">
            <w:pPr>
              <w:rPr>
                <w:rFonts w:eastAsia="Times New Roman"/>
                <w:szCs w:val="18"/>
                <w:lang w:eastAsia="en-GB"/>
              </w:rPr>
            </w:pPr>
            <w:r w:rsidRPr="00993442">
              <w:rPr>
                <w:rFonts w:eastAsia="Times New Roman"/>
                <w:szCs w:val="18"/>
                <w:lang w:eastAsia="en-GB"/>
              </w:rPr>
              <w:t>70-79</w:t>
            </w:r>
          </w:p>
        </w:tc>
        <w:tc>
          <w:tcPr>
            <w:tcW w:w="1137" w:type="dxa"/>
          </w:tcPr>
          <w:p w14:paraId="167D1148" w14:textId="77777777" w:rsidR="006B7F28" w:rsidRPr="00993442" w:rsidRDefault="006B7F28" w:rsidP="009879CF">
            <w:pPr>
              <w:rPr>
                <w:rFonts w:eastAsia="Times New Roman"/>
                <w:szCs w:val="18"/>
                <w:lang w:eastAsia="en-GB"/>
              </w:rPr>
            </w:pPr>
            <w:r w:rsidRPr="00993442">
              <w:rPr>
                <w:rFonts w:eastAsia="Times New Roman"/>
                <w:szCs w:val="18"/>
                <w:lang w:eastAsia="en-GB"/>
              </w:rPr>
              <w:t>1.252</w:t>
            </w:r>
          </w:p>
        </w:tc>
      </w:tr>
      <w:tr w:rsidR="00993442" w:rsidRPr="00993442" w14:paraId="27465C74" w14:textId="77777777" w:rsidTr="006B7F28">
        <w:tc>
          <w:tcPr>
            <w:tcW w:w="2010" w:type="dxa"/>
          </w:tcPr>
          <w:p w14:paraId="1C300822" w14:textId="77777777" w:rsidR="006B7F28" w:rsidRPr="00993442" w:rsidRDefault="006B7F28" w:rsidP="009879CF">
            <w:pPr>
              <w:rPr>
                <w:rFonts w:eastAsia="Times New Roman"/>
                <w:szCs w:val="18"/>
                <w:lang w:eastAsia="en-GB"/>
              </w:rPr>
            </w:pPr>
            <w:r w:rsidRPr="00993442">
              <w:rPr>
                <w:rFonts w:eastAsia="Times New Roman"/>
                <w:szCs w:val="18"/>
                <w:lang w:eastAsia="en-GB"/>
              </w:rPr>
              <w:t>80-89</w:t>
            </w:r>
          </w:p>
        </w:tc>
        <w:tc>
          <w:tcPr>
            <w:tcW w:w="1137" w:type="dxa"/>
          </w:tcPr>
          <w:p w14:paraId="79B4C715" w14:textId="77777777" w:rsidR="006B7F28" w:rsidRPr="00993442" w:rsidRDefault="006B7F28" w:rsidP="009879CF">
            <w:pPr>
              <w:rPr>
                <w:rFonts w:eastAsia="Times New Roman"/>
                <w:szCs w:val="18"/>
                <w:lang w:eastAsia="en-GB"/>
              </w:rPr>
            </w:pPr>
            <w:r w:rsidRPr="00993442">
              <w:rPr>
                <w:rFonts w:eastAsia="Times New Roman"/>
                <w:szCs w:val="18"/>
                <w:lang w:eastAsia="en-GB"/>
              </w:rPr>
              <w:t>1.613</w:t>
            </w:r>
          </w:p>
        </w:tc>
      </w:tr>
      <w:tr w:rsidR="00993442" w:rsidRPr="00993442" w14:paraId="0B740A81" w14:textId="77777777" w:rsidTr="006B7F28">
        <w:tc>
          <w:tcPr>
            <w:tcW w:w="2010" w:type="dxa"/>
          </w:tcPr>
          <w:p w14:paraId="5155904D" w14:textId="77777777" w:rsidR="006B7F28" w:rsidRPr="00993442" w:rsidRDefault="006B7F28" w:rsidP="009879CF">
            <w:pPr>
              <w:rPr>
                <w:rFonts w:eastAsia="Times New Roman"/>
                <w:szCs w:val="18"/>
                <w:lang w:eastAsia="en-GB"/>
              </w:rPr>
            </w:pPr>
            <w:r w:rsidRPr="00993442">
              <w:rPr>
                <w:rFonts w:eastAsia="Times New Roman"/>
                <w:szCs w:val="18"/>
                <w:lang w:eastAsia="en-GB"/>
              </w:rPr>
              <w:t>90+</w:t>
            </w:r>
          </w:p>
        </w:tc>
        <w:tc>
          <w:tcPr>
            <w:tcW w:w="1137" w:type="dxa"/>
          </w:tcPr>
          <w:p w14:paraId="5A8DC2B9" w14:textId="77777777" w:rsidR="006B7F28" w:rsidRPr="00993442" w:rsidRDefault="006B7F28" w:rsidP="009879CF">
            <w:pPr>
              <w:rPr>
                <w:rFonts w:eastAsia="Times New Roman"/>
                <w:szCs w:val="18"/>
                <w:lang w:eastAsia="en-GB"/>
              </w:rPr>
            </w:pPr>
            <w:r w:rsidRPr="00993442">
              <w:rPr>
                <w:rFonts w:eastAsia="Times New Roman"/>
                <w:szCs w:val="18"/>
                <w:lang w:eastAsia="en-GB"/>
              </w:rPr>
              <w:t>2.127</w:t>
            </w:r>
          </w:p>
        </w:tc>
      </w:tr>
      <w:tr w:rsidR="00993442" w:rsidRPr="00993442" w14:paraId="1A643605" w14:textId="77777777" w:rsidTr="006B7F28">
        <w:tc>
          <w:tcPr>
            <w:tcW w:w="2010" w:type="dxa"/>
          </w:tcPr>
          <w:p w14:paraId="7DC39B6D" w14:textId="77777777" w:rsidR="006B7F28" w:rsidRPr="00993442" w:rsidRDefault="006B7F28" w:rsidP="009879CF">
            <w:pPr>
              <w:rPr>
                <w:rFonts w:eastAsia="Times New Roman"/>
                <w:i/>
                <w:szCs w:val="18"/>
                <w:lang w:eastAsia="en-GB"/>
              </w:rPr>
            </w:pPr>
            <w:r w:rsidRPr="00993442">
              <w:rPr>
                <w:rFonts w:eastAsia="Times New Roman"/>
                <w:i/>
                <w:szCs w:val="18"/>
                <w:lang w:eastAsia="en-GB"/>
              </w:rPr>
              <w:t>NIHSS Consciousness</w:t>
            </w:r>
          </w:p>
        </w:tc>
        <w:tc>
          <w:tcPr>
            <w:tcW w:w="1137" w:type="dxa"/>
          </w:tcPr>
          <w:p w14:paraId="542E9703" w14:textId="77777777" w:rsidR="006B7F28" w:rsidRPr="00993442" w:rsidRDefault="006B7F28" w:rsidP="009879CF">
            <w:pPr>
              <w:rPr>
                <w:rFonts w:eastAsia="Times New Roman"/>
                <w:szCs w:val="18"/>
                <w:lang w:eastAsia="en-GB"/>
              </w:rPr>
            </w:pPr>
          </w:p>
        </w:tc>
      </w:tr>
      <w:tr w:rsidR="00993442" w:rsidRPr="00993442" w14:paraId="1688D95F" w14:textId="77777777" w:rsidTr="006B7F28">
        <w:tc>
          <w:tcPr>
            <w:tcW w:w="2010" w:type="dxa"/>
          </w:tcPr>
          <w:p w14:paraId="11790ED3" w14:textId="77777777" w:rsidR="006B7F28" w:rsidRPr="00993442" w:rsidRDefault="006B7F28" w:rsidP="009879CF">
            <w:pPr>
              <w:rPr>
                <w:rFonts w:eastAsia="Times New Roman"/>
                <w:szCs w:val="18"/>
                <w:lang w:eastAsia="en-GB"/>
              </w:rPr>
            </w:pPr>
            <w:r w:rsidRPr="00993442">
              <w:rPr>
                <w:rFonts w:eastAsia="Times New Roman"/>
                <w:szCs w:val="18"/>
                <w:lang w:eastAsia="en-GB"/>
              </w:rPr>
              <w:t>0 - Alert</w:t>
            </w:r>
          </w:p>
        </w:tc>
        <w:tc>
          <w:tcPr>
            <w:tcW w:w="1137" w:type="dxa"/>
          </w:tcPr>
          <w:p w14:paraId="6C3A602F" w14:textId="77777777" w:rsidR="006B7F28" w:rsidRPr="00993442" w:rsidRDefault="006B7F28" w:rsidP="009879CF">
            <w:pPr>
              <w:rPr>
                <w:rFonts w:eastAsia="Times New Roman"/>
                <w:szCs w:val="18"/>
                <w:lang w:eastAsia="en-GB"/>
              </w:rPr>
            </w:pPr>
            <w:r w:rsidRPr="00993442">
              <w:rPr>
                <w:rFonts w:eastAsia="Times New Roman"/>
                <w:szCs w:val="18"/>
                <w:lang w:eastAsia="en-GB"/>
              </w:rPr>
              <w:t>0.000</w:t>
            </w:r>
          </w:p>
        </w:tc>
      </w:tr>
      <w:tr w:rsidR="00993442" w:rsidRPr="00993442" w14:paraId="69EF6B86" w14:textId="77777777" w:rsidTr="006B7F28">
        <w:tc>
          <w:tcPr>
            <w:tcW w:w="2010" w:type="dxa"/>
          </w:tcPr>
          <w:p w14:paraId="1B07D360" w14:textId="77777777" w:rsidR="006B7F28" w:rsidRPr="00993442" w:rsidRDefault="006B7F28" w:rsidP="009879CF">
            <w:pPr>
              <w:rPr>
                <w:rFonts w:eastAsia="Times New Roman"/>
                <w:szCs w:val="18"/>
                <w:lang w:eastAsia="en-GB"/>
              </w:rPr>
            </w:pPr>
            <w:r w:rsidRPr="00993442">
              <w:rPr>
                <w:rFonts w:eastAsia="Times New Roman"/>
                <w:szCs w:val="18"/>
                <w:lang w:eastAsia="en-GB"/>
              </w:rPr>
              <w:t>1 – Verbal response</w:t>
            </w:r>
          </w:p>
        </w:tc>
        <w:tc>
          <w:tcPr>
            <w:tcW w:w="1137" w:type="dxa"/>
          </w:tcPr>
          <w:p w14:paraId="1644D6C1" w14:textId="77777777" w:rsidR="006B7F28" w:rsidRPr="00993442" w:rsidRDefault="006B7F28" w:rsidP="009879CF">
            <w:pPr>
              <w:rPr>
                <w:rFonts w:eastAsia="Times New Roman"/>
                <w:szCs w:val="18"/>
                <w:lang w:eastAsia="en-GB"/>
              </w:rPr>
            </w:pPr>
            <w:r w:rsidRPr="00993442">
              <w:rPr>
                <w:rFonts w:eastAsia="Times New Roman"/>
                <w:szCs w:val="18"/>
                <w:lang w:eastAsia="en-GB"/>
              </w:rPr>
              <w:t>1.585</w:t>
            </w:r>
          </w:p>
        </w:tc>
      </w:tr>
      <w:tr w:rsidR="00993442" w:rsidRPr="00993442" w14:paraId="05DF4D45" w14:textId="77777777" w:rsidTr="006B7F28">
        <w:tc>
          <w:tcPr>
            <w:tcW w:w="2010" w:type="dxa"/>
          </w:tcPr>
          <w:p w14:paraId="20FCE37A" w14:textId="77777777" w:rsidR="006B7F28" w:rsidRPr="00993442" w:rsidRDefault="006B7F28" w:rsidP="009879CF">
            <w:pPr>
              <w:rPr>
                <w:rFonts w:eastAsia="Times New Roman"/>
                <w:szCs w:val="18"/>
                <w:lang w:eastAsia="en-GB"/>
              </w:rPr>
            </w:pPr>
            <w:r w:rsidRPr="00993442">
              <w:rPr>
                <w:rFonts w:eastAsia="Times New Roman"/>
                <w:szCs w:val="18"/>
                <w:lang w:eastAsia="en-GB"/>
              </w:rPr>
              <w:t>2 – Pain response</w:t>
            </w:r>
          </w:p>
        </w:tc>
        <w:tc>
          <w:tcPr>
            <w:tcW w:w="1137" w:type="dxa"/>
          </w:tcPr>
          <w:p w14:paraId="20AF7319" w14:textId="77777777" w:rsidR="006B7F28" w:rsidRPr="00993442" w:rsidRDefault="006B7F28" w:rsidP="009879CF">
            <w:pPr>
              <w:rPr>
                <w:rFonts w:eastAsia="Times New Roman"/>
                <w:szCs w:val="18"/>
                <w:lang w:eastAsia="en-GB"/>
              </w:rPr>
            </w:pPr>
            <w:r w:rsidRPr="00993442">
              <w:rPr>
                <w:rFonts w:eastAsia="Times New Roman"/>
                <w:szCs w:val="18"/>
                <w:lang w:eastAsia="en-GB"/>
              </w:rPr>
              <w:t>2.576</w:t>
            </w:r>
          </w:p>
        </w:tc>
      </w:tr>
      <w:tr w:rsidR="00993442" w:rsidRPr="00993442" w14:paraId="60C478B8" w14:textId="77777777" w:rsidTr="006B7F28">
        <w:tc>
          <w:tcPr>
            <w:tcW w:w="2010" w:type="dxa"/>
          </w:tcPr>
          <w:p w14:paraId="62A3F29B" w14:textId="77777777" w:rsidR="006B7F28" w:rsidRPr="00993442" w:rsidRDefault="006B7F28" w:rsidP="009879CF">
            <w:pPr>
              <w:rPr>
                <w:rFonts w:eastAsia="Times New Roman"/>
                <w:szCs w:val="18"/>
                <w:lang w:eastAsia="en-GB"/>
              </w:rPr>
            </w:pPr>
            <w:r w:rsidRPr="00993442">
              <w:rPr>
                <w:rFonts w:eastAsia="Times New Roman"/>
                <w:szCs w:val="18"/>
                <w:lang w:eastAsia="en-GB"/>
              </w:rPr>
              <w:lastRenderedPageBreak/>
              <w:t>3 - Unconscious</w:t>
            </w:r>
          </w:p>
        </w:tc>
        <w:tc>
          <w:tcPr>
            <w:tcW w:w="1137" w:type="dxa"/>
          </w:tcPr>
          <w:p w14:paraId="469F1A65" w14:textId="77777777" w:rsidR="006B7F28" w:rsidRPr="00993442" w:rsidRDefault="006B7F28" w:rsidP="009879CF">
            <w:pPr>
              <w:rPr>
                <w:rFonts w:eastAsia="Times New Roman"/>
                <w:szCs w:val="18"/>
                <w:lang w:eastAsia="en-GB"/>
              </w:rPr>
            </w:pPr>
            <w:r w:rsidRPr="00993442">
              <w:rPr>
                <w:rFonts w:eastAsia="Times New Roman"/>
                <w:szCs w:val="18"/>
                <w:lang w:eastAsia="en-GB"/>
              </w:rPr>
              <w:t>3.564</w:t>
            </w:r>
          </w:p>
        </w:tc>
      </w:tr>
      <w:tr w:rsidR="00993442" w:rsidRPr="00993442" w14:paraId="6B003FE8" w14:textId="77777777" w:rsidTr="006B7F28">
        <w:tc>
          <w:tcPr>
            <w:tcW w:w="2010" w:type="dxa"/>
          </w:tcPr>
          <w:p w14:paraId="6C58177D" w14:textId="77777777" w:rsidR="006B7F28" w:rsidRPr="00993442" w:rsidRDefault="006B7F28" w:rsidP="009879CF">
            <w:pPr>
              <w:rPr>
                <w:rFonts w:eastAsia="Times New Roman"/>
                <w:i/>
                <w:szCs w:val="18"/>
                <w:lang w:eastAsia="en-GB"/>
              </w:rPr>
            </w:pPr>
            <w:proofErr w:type="spellStart"/>
            <w:r w:rsidRPr="00993442">
              <w:rPr>
                <w:rFonts w:eastAsia="Times New Roman"/>
                <w:i/>
                <w:szCs w:val="18"/>
                <w:lang w:eastAsia="en-GB"/>
              </w:rPr>
              <w:t>Atril</w:t>
            </w:r>
            <w:proofErr w:type="spellEnd"/>
            <w:r w:rsidRPr="00993442">
              <w:rPr>
                <w:rFonts w:eastAsia="Times New Roman"/>
                <w:i/>
                <w:szCs w:val="18"/>
                <w:lang w:eastAsia="en-GB"/>
              </w:rPr>
              <w:t xml:space="preserve"> fibrillation</w:t>
            </w:r>
          </w:p>
        </w:tc>
        <w:tc>
          <w:tcPr>
            <w:tcW w:w="1137" w:type="dxa"/>
          </w:tcPr>
          <w:p w14:paraId="0A89FECA" w14:textId="77777777" w:rsidR="006B7F28" w:rsidRPr="00993442" w:rsidRDefault="006B7F28" w:rsidP="009879CF">
            <w:pPr>
              <w:rPr>
                <w:rFonts w:eastAsia="Times New Roman"/>
                <w:szCs w:val="18"/>
                <w:lang w:eastAsia="en-GB"/>
              </w:rPr>
            </w:pPr>
            <w:r w:rsidRPr="00993442">
              <w:rPr>
                <w:rFonts w:eastAsia="Times New Roman"/>
                <w:szCs w:val="18"/>
                <w:lang w:eastAsia="en-GB"/>
              </w:rPr>
              <w:t>0.467</w:t>
            </w:r>
          </w:p>
        </w:tc>
      </w:tr>
      <w:tr w:rsidR="00993442" w:rsidRPr="00993442" w14:paraId="6BCAB8BC" w14:textId="77777777" w:rsidTr="006B7F28">
        <w:tc>
          <w:tcPr>
            <w:tcW w:w="2010" w:type="dxa"/>
          </w:tcPr>
          <w:p w14:paraId="03A08DCA" w14:textId="77777777" w:rsidR="006B7F28" w:rsidRPr="00993442" w:rsidRDefault="006B7F28" w:rsidP="009879CF">
            <w:pPr>
              <w:rPr>
                <w:rFonts w:eastAsia="Times New Roman"/>
                <w:i/>
                <w:szCs w:val="18"/>
                <w:lang w:eastAsia="en-GB"/>
              </w:rPr>
            </w:pPr>
            <w:r w:rsidRPr="00993442">
              <w:rPr>
                <w:rFonts w:eastAsia="Times New Roman"/>
                <w:i/>
                <w:szCs w:val="18"/>
                <w:lang w:eastAsia="en-GB"/>
              </w:rPr>
              <w:t>Stroke Type</w:t>
            </w:r>
          </w:p>
        </w:tc>
        <w:tc>
          <w:tcPr>
            <w:tcW w:w="1137" w:type="dxa"/>
          </w:tcPr>
          <w:p w14:paraId="416C1E14" w14:textId="77777777" w:rsidR="006B7F28" w:rsidRPr="00993442" w:rsidRDefault="006B7F28" w:rsidP="009879CF">
            <w:pPr>
              <w:rPr>
                <w:rFonts w:eastAsia="Times New Roman"/>
                <w:szCs w:val="18"/>
                <w:lang w:eastAsia="en-GB"/>
              </w:rPr>
            </w:pPr>
          </w:p>
        </w:tc>
      </w:tr>
      <w:tr w:rsidR="00993442" w:rsidRPr="00993442" w14:paraId="055D4DC4" w14:textId="77777777" w:rsidTr="006B7F28">
        <w:tc>
          <w:tcPr>
            <w:tcW w:w="2010" w:type="dxa"/>
          </w:tcPr>
          <w:p w14:paraId="5B1DEB79" w14:textId="77777777" w:rsidR="006B7F28" w:rsidRPr="00993442" w:rsidRDefault="006B7F28" w:rsidP="009879CF">
            <w:pPr>
              <w:rPr>
                <w:rFonts w:eastAsia="Times New Roman"/>
                <w:szCs w:val="18"/>
                <w:lang w:eastAsia="en-GB"/>
              </w:rPr>
            </w:pPr>
            <w:r w:rsidRPr="00993442">
              <w:rPr>
                <w:rFonts w:eastAsia="Times New Roman"/>
                <w:szCs w:val="18"/>
                <w:lang w:eastAsia="en-GB"/>
              </w:rPr>
              <w:t>Ischemic</w:t>
            </w:r>
          </w:p>
        </w:tc>
        <w:tc>
          <w:tcPr>
            <w:tcW w:w="1137" w:type="dxa"/>
          </w:tcPr>
          <w:p w14:paraId="25DF5F72" w14:textId="77777777" w:rsidR="006B7F28" w:rsidRPr="00993442" w:rsidRDefault="006B7F28" w:rsidP="009879CF">
            <w:pPr>
              <w:rPr>
                <w:rFonts w:eastAsia="Times New Roman"/>
                <w:szCs w:val="18"/>
                <w:lang w:eastAsia="en-GB"/>
              </w:rPr>
            </w:pPr>
            <w:r w:rsidRPr="00993442">
              <w:rPr>
                <w:rFonts w:eastAsia="Times New Roman"/>
                <w:szCs w:val="18"/>
                <w:lang w:eastAsia="en-GB"/>
              </w:rPr>
              <w:t>0.000</w:t>
            </w:r>
          </w:p>
        </w:tc>
      </w:tr>
      <w:tr w:rsidR="00993442" w:rsidRPr="00993442" w14:paraId="63A9AC1F" w14:textId="77777777" w:rsidTr="006B7F28">
        <w:tc>
          <w:tcPr>
            <w:tcW w:w="2010" w:type="dxa"/>
          </w:tcPr>
          <w:p w14:paraId="677D1844" w14:textId="77777777" w:rsidR="006B7F28" w:rsidRPr="00993442" w:rsidRDefault="006B7F28" w:rsidP="009879CF">
            <w:pPr>
              <w:rPr>
                <w:rFonts w:eastAsia="Times New Roman"/>
                <w:szCs w:val="18"/>
                <w:lang w:eastAsia="en-GB"/>
              </w:rPr>
            </w:pPr>
            <w:r w:rsidRPr="00993442">
              <w:rPr>
                <w:rFonts w:eastAsia="Times New Roman"/>
                <w:szCs w:val="18"/>
                <w:lang w:eastAsia="en-GB"/>
              </w:rPr>
              <w:t>ICH</w:t>
            </w:r>
          </w:p>
        </w:tc>
        <w:tc>
          <w:tcPr>
            <w:tcW w:w="1137" w:type="dxa"/>
          </w:tcPr>
          <w:p w14:paraId="4518CE28" w14:textId="77777777" w:rsidR="006B7F28" w:rsidRPr="00993442" w:rsidRDefault="006B7F28" w:rsidP="009879CF">
            <w:pPr>
              <w:rPr>
                <w:rFonts w:eastAsia="Times New Roman"/>
                <w:szCs w:val="18"/>
                <w:lang w:eastAsia="en-GB"/>
              </w:rPr>
            </w:pPr>
            <w:r w:rsidRPr="00993442">
              <w:rPr>
                <w:rFonts w:eastAsia="Times New Roman"/>
                <w:szCs w:val="18"/>
                <w:lang w:eastAsia="en-GB"/>
              </w:rPr>
              <w:t>0.877</w:t>
            </w:r>
          </w:p>
        </w:tc>
      </w:tr>
      <w:tr w:rsidR="00993442" w:rsidRPr="00993442" w14:paraId="22137573" w14:textId="77777777" w:rsidTr="006B7F28">
        <w:tc>
          <w:tcPr>
            <w:tcW w:w="2010" w:type="dxa"/>
          </w:tcPr>
          <w:p w14:paraId="7F3D080F" w14:textId="77777777" w:rsidR="006B7F28" w:rsidRPr="00993442" w:rsidRDefault="006B7F28" w:rsidP="009879CF">
            <w:pPr>
              <w:rPr>
                <w:rFonts w:eastAsia="Times New Roman"/>
                <w:szCs w:val="18"/>
                <w:lang w:eastAsia="en-GB"/>
              </w:rPr>
            </w:pPr>
            <w:r w:rsidRPr="00993442">
              <w:rPr>
                <w:rFonts w:eastAsia="Times New Roman"/>
                <w:szCs w:val="18"/>
                <w:lang w:eastAsia="en-GB"/>
              </w:rPr>
              <w:t>Constant</w:t>
            </w:r>
          </w:p>
        </w:tc>
        <w:tc>
          <w:tcPr>
            <w:tcW w:w="1137" w:type="dxa"/>
          </w:tcPr>
          <w:p w14:paraId="636B2FBE" w14:textId="77777777" w:rsidR="006B7F28" w:rsidRPr="00993442" w:rsidRDefault="006B7F28" w:rsidP="009879CF">
            <w:pPr>
              <w:rPr>
                <w:rFonts w:eastAsia="Times New Roman"/>
                <w:szCs w:val="18"/>
                <w:lang w:eastAsia="en-GB"/>
              </w:rPr>
            </w:pPr>
            <w:r w:rsidRPr="00993442">
              <w:rPr>
                <w:rFonts w:eastAsia="Times New Roman"/>
                <w:szCs w:val="18"/>
                <w:lang w:eastAsia="en-GB"/>
              </w:rPr>
              <w:t>-4.158</w:t>
            </w:r>
          </w:p>
        </w:tc>
      </w:tr>
    </w:tbl>
    <w:p w14:paraId="0A258FB0" w14:textId="77777777" w:rsidR="006B7F28" w:rsidRPr="00993442" w:rsidRDefault="006B7F28" w:rsidP="006B7F28">
      <w:pPr>
        <w:rPr>
          <w:rFonts w:eastAsia="Times New Roman"/>
          <w:szCs w:val="18"/>
          <w:lang w:eastAsia="en-GB"/>
        </w:rPr>
      </w:pPr>
    </w:p>
    <w:p w14:paraId="27818A12" w14:textId="77777777" w:rsidR="006B7F28" w:rsidRPr="00993442" w:rsidRDefault="006B7F28" w:rsidP="006B7F28">
      <w:pPr>
        <w:rPr>
          <w:rFonts w:eastAsia="Times New Roman"/>
          <w:szCs w:val="18"/>
          <w:lang w:eastAsia="en-GB"/>
        </w:rPr>
      </w:pPr>
    </w:p>
    <w:p w14:paraId="597D0F4D" w14:textId="77777777" w:rsidR="006B7F28" w:rsidRPr="00993442" w:rsidRDefault="006B7F28" w:rsidP="006B7F28">
      <w:pPr>
        <w:rPr>
          <w:rFonts w:eastAsia="Times New Roman"/>
          <w:szCs w:val="18"/>
          <w:lang w:eastAsia="en-GB"/>
        </w:rPr>
      </w:pPr>
    </w:p>
    <w:p w14:paraId="5B53CBD8" w14:textId="77777777" w:rsidR="006B7F28" w:rsidRPr="00993442" w:rsidRDefault="006B7F28" w:rsidP="006B7F28">
      <w:pPr>
        <w:rPr>
          <w:rFonts w:eastAsia="Times New Roman"/>
          <w:szCs w:val="18"/>
          <w:lang w:eastAsia="en-GB"/>
        </w:rPr>
      </w:pPr>
    </w:p>
    <w:p w14:paraId="38AD35CB" w14:textId="77777777" w:rsidR="006B7F28" w:rsidRPr="00993442" w:rsidRDefault="006B7F28" w:rsidP="006B7F28">
      <w:pPr>
        <w:rPr>
          <w:rFonts w:eastAsia="Times New Roman"/>
          <w:szCs w:val="18"/>
          <w:lang w:eastAsia="en-GB"/>
        </w:rPr>
      </w:pPr>
    </w:p>
    <w:p w14:paraId="536CF865" w14:textId="38BFFF2D" w:rsidR="006B7F28" w:rsidRPr="00993442" w:rsidRDefault="006B7F28" w:rsidP="006B7F28">
      <w:pPr>
        <w:rPr>
          <w:rFonts w:eastAsia="Times New Roman"/>
          <w:szCs w:val="18"/>
          <w:lang w:eastAsia="en-GB"/>
        </w:rPr>
      </w:pPr>
      <w:r w:rsidRPr="00993442">
        <w:rPr>
          <w:rFonts w:eastAsia="Times New Roman"/>
          <w:szCs w:val="18"/>
          <w:lang w:eastAsia="en-GB"/>
        </w:rPr>
        <w:t>These coefficients were derived during the model fitting procedure that was written up in the peer-reviewed paper. The model above was derived and validated against the South London Stroke Register. A step-by-step explanation is below:</w:t>
      </w:r>
    </w:p>
    <w:p w14:paraId="168216A2" w14:textId="77777777" w:rsidR="006B7F28" w:rsidRPr="00993442" w:rsidRDefault="006B7F28" w:rsidP="006B7F28">
      <w:pPr>
        <w:rPr>
          <w:rFonts w:eastAsia="Times New Roman"/>
          <w:szCs w:val="18"/>
          <w:lang w:eastAsia="en-GB"/>
        </w:rPr>
      </w:pPr>
    </w:p>
    <w:p w14:paraId="17AAF376" w14:textId="77777777" w:rsidR="006B7F28" w:rsidRPr="00993442" w:rsidRDefault="006B7F28" w:rsidP="006B7F28">
      <w:pPr>
        <w:rPr>
          <w:rFonts w:eastAsia="Times New Roman"/>
          <w:szCs w:val="18"/>
          <w:lang w:eastAsia="en-GB"/>
        </w:rPr>
      </w:pPr>
      <w:r w:rsidRPr="00993442">
        <w:rPr>
          <w:rFonts w:eastAsia="Times New Roman"/>
          <w:szCs w:val="18"/>
          <w:lang w:eastAsia="en-GB"/>
        </w:rPr>
        <w:t>For Model A (where the National Institutes of Health Stroke Severity (NIHSS) is fully completed) the calculations are as follows:</w:t>
      </w:r>
    </w:p>
    <w:p w14:paraId="144AA899" w14:textId="77777777" w:rsidR="006B7F28" w:rsidRPr="00993442" w:rsidRDefault="006B7F28" w:rsidP="006B7F28">
      <w:pPr>
        <w:rPr>
          <w:rFonts w:eastAsia="Times New Roman"/>
          <w:szCs w:val="18"/>
          <w:lang w:eastAsia="en-GB"/>
        </w:rPr>
      </w:pPr>
    </w:p>
    <w:p w14:paraId="0F32A7F0" w14:textId="77777777" w:rsidR="006B7F28" w:rsidRPr="00993442" w:rsidRDefault="006B7F28" w:rsidP="006B7F28">
      <w:pPr>
        <w:rPr>
          <w:rFonts w:eastAsia="Times New Roman"/>
          <w:szCs w:val="18"/>
          <w:lang w:eastAsia="en-GB"/>
        </w:rPr>
      </w:pPr>
      <w:r w:rsidRPr="00993442">
        <w:rPr>
          <w:rFonts w:eastAsia="Times New Roman"/>
          <w:szCs w:val="18"/>
          <w:lang w:eastAsia="en-GB"/>
        </w:rPr>
        <w:t>Age is in 5 bands:</w:t>
      </w:r>
    </w:p>
    <w:p w14:paraId="25615810" w14:textId="77777777" w:rsidR="006B7F28" w:rsidRPr="00993442" w:rsidRDefault="006B7F28" w:rsidP="006B7F28">
      <w:pPr>
        <w:rPr>
          <w:rFonts w:eastAsia="Times New Roman"/>
          <w:szCs w:val="18"/>
          <w:lang w:eastAsia="en-GB"/>
        </w:rPr>
      </w:pPr>
      <w:r w:rsidRPr="00993442">
        <w:rPr>
          <w:rFonts w:eastAsia="Times New Roman"/>
          <w:szCs w:val="18"/>
          <w:lang w:eastAsia="en-GB"/>
        </w:rPr>
        <w:t>Less than 60 (coefficient of 0)</w:t>
      </w:r>
    </w:p>
    <w:p w14:paraId="227C284B" w14:textId="77777777" w:rsidR="006B7F28" w:rsidRPr="00993442" w:rsidRDefault="006B7F28" w:rsidP="006B7F28">
      <w:pPr>
        <w:rPr>
          <w:rFonts w:eastAsia="Times New Roman"/>
          <w:szCs w:val="18"/>
          <w:lang w:eastAsia="en-GB"/>
        </w:rPr>
      </w:pPr>
      <w:r w:rsidRPr="00993442">
        <w:rPr>
          <w:rFonts w:eastAsia="Times New Roman"/>
          <w:szCs w:val="18"/>
          <w:lang w:eastAsia="en-GB"/>
        </w:rPr>
        <w:t>60-69 (coefficient of 0.624)</w:t>
      </w:r>
    </w:p>
    <w:p w14:paraId="10228DDB" w14:textId="77777777" w:rsidR="006B7F28" w:rsidRPr="00993442" w:rsidRDefault="006B7F28" w:rsidP="006B7F28">
      <w:pPr>
        <w:rPr>
          <w:rFonts w:eastAsia="Times New Roman"/>
          <w:szCs w:val="18"/>
          <w:lang w:eastAsia="en-GB"/>
        </w:rPr>
      </w:pPr>
      <w:r w:rsidRPr="00993442">
        <w:rPr>
          <w:rFonts w:eastAsia="Times New Roman"/>
          <w:szCs w:val="18"/>
          <w:lang w:eastAsia="en-GB"/>
        </w:rPr>
        <w:t>70-79 (coefficient of 1.033)</w:t>
      </w:r>
    </w:p>
    <w:p w14:paraId="18A8BE69" w14:textId="77777777" w:rsidR="006B7F28" w:rsidRPr="00993442" w:rsidRDefault="006B7F28" w:rsidP="006B7F28">
      <w:pPr>
        <w:rPr>
          <w:rFonts w:eastAsia="Times New Roman"/>
          <w:szCs w:val="18"/>
          <w:lang w:eastAsia="en-GB"/>
        </w:rPr>
      </w:pPr>
      <w:r w:rsidRPr="00993442">
        <w:rPr>
          <w:rFonts w:eastAsia="Times New Roman"/>
          <w:szCs w:val="18"/>
          <w:lang w:eastAsia="en-GB"/>
        </w:rPr>
        <w:t>80-89 (coefficient of 1.488)</w:t>
      </w:r>
    </w:p>
    <w:p w14:paraId="1C9D904C" w14:textId="77777777" w:rsidR="006B7F28" w:rsidRPr="00993442" w:rsidRDefault="006B7F28" w:rsidP="006B7F28">
      <w:pPr>
        <w:rPr>
          <w:rFonts w:eastAsia="Times New Roman"/>
          <w:szCs w:val="18"/>
          <w:lang w:eastAsia="en-GB"/>
        </w:rPr>
      </w:pPr>
      <w:r w:rsidRPr="00993442">
        <w:rPr>
          <w:rFonts w:eastAsia="Times New Roman"/>
          <w:szCs w:val="18"/>
          <w:lang w:eastAsia="en-GB"/>
        </w:rPr>
        <w:t>90+ (coefficient of 1.781)</w:t>
      </w:r>
    </w:p>
    <w:p w14:paraId="63B57864" w14:textId="77777777" w:rsidR="006B7F28" w:rsidRPr="00993442" w:rsidRDefault="006B7F28" w:rsidP="006B7F28">
      <w:pPr>
        <w:rPr>
          <w:rFonts w:eastAsia="Times New Roman"/>
          <w:szCs w:val="18"/>
          <w:lang w:eastAsia="en-GB"/>
        </w:rPr>
      </w:pPr>
    </w:p>
    <w:p w14:paraId="43D88ACA" w14:textId="77777777" w:rsidR="006B7F28" w:rsidRPr="00993442" w:rsidRDefault="006B7F28" w:rsidP="006B7F28">
      <w:pPr>
        <w:rPr>
          <w:rFonts w:eastAsia="Times New Roman"/>
          <w:szCs w:val="18"/>
          <w:lang w:eastAsia="en-GB"/>
        </w:rPr>
      </w:pPr>
      <w:r w:rsidRPr="00993442">
        <w:rPr>
          <w:rFonts w:eastAsia="Times New Roman"/>
          <w:szCs w:val="18"/>
          <w:lang w:eastAsia="en-GB"/>
        </w:rPr>
        <w:t>The coefficient for NIHSS is the NIHSS score multiplied by 0.137</w:t>
      </w:r>
    </w:p>
    <w:p w14:paraId="655147E3" w14:textId="77777777" w:rsidR="006B7F28" w:rsidRPr="00993442" w:rsidRDefault="006B7F28" w:rsidP="006B7F28">
      <w:pPr>
        <w:rPr>
          <w:rFonts w:eastAsia="Times New Roman"/>
          <w:szCs w:val="18"/>
          <w:lang w:eastAsia="en-GB"/>
        </w:rPr>
      </w:pPr>
    </w:p>
    <w:p w14:paraId="7A3FCDDE" w14:textId="77777777" w:rsidR="006B7F28" w:rsidRPr="00993442" w:rsidRDefault="006B7F28" w:rsidP="006B7F28">
      <w:pPr>
        <w:rPr>
          <w:rFonts w:eastAsia="Times New Roman"/>
          <w:szCs w:val="18"/>
          <w:lang w:eastAsia="en-GB"/>
        </w:rPr>
      </w:pPr>
      <w:r w:rsidRPr="00993442">
        <w:rPr>
          <w:rFonts w:eastAsia="Times New Roman"/>
          <w:szCs w:val="18"/>
          <w:lang w:eastAsia="en-GB"/>
        </w:rPr>
        <w:t>If the patient was known to be in atrial fibrillation before stroke, the coefficient is 0.425 (otherwise 0)</w:t>
      </w:r>
    </w:p>
    <w:p w14:paraId="7CC9A7E5" w14:textId="77777777" w:rsidR="006B7F28" w:rsidRPr="00993442" w:rsidRDefault="006B7F28" w:rsidP="006B7F28">
      <w:pPr>
        <w:rPr>
          <w:rFonts w:eastAsia="Times New Roman"/>
          <w:szCs w:val="18"/>
          <w:lang w:eastAsia="en-GB"/>
        </w:rPr>
      </w:pPr>
    </w:p>
    <w:p w14:paraId="5F3AEBE8" w14:textId="77777777" w:rsidR="006B7F28" w:rsidRPr="00993442" w:rsidRDefault="006B7F28" w:rsidP="006B7F28">
      <w:pPr>
        <w:rPr>
          <w:rFonts w:eastAsia="Times New Roman"/>
          <w:szCs w:val="18"/>
          <w:lang w:eastAsia="en-GB"/>
        </w:rPr>
      </w:pPr>
      <w:r w:rsidRPr="00993442">
        <w:rPr>
          <w:rFonts w:eastAsia="Times New Roman"/>
          <w:szCs w:val="18"/>
          <w:lang w:eastAsia="en-GB"/>
        </w:rPr>
        <w:t>If the patient had a haemorrhagic stroke, the coefficient is 0.87 (otherwise 0)</w:t>
      </w:r>
    </w:p>
    <w:p w14:paraId="72791CE3" w14:textId="77777777" w:rsidR="006B7F28" w:rsidRPr="00993442" w:rsidRDefault="006B7F28" w:rsidP="006B7F28">
      <w:pPr>
        <w:rPr>
          <w:rFonts w:eastAsia="Times New Roman"/>
          <w:szCs w:val="18"/>
          <w:lang w:eastAsia="en-GB"/>
        </w:rPr>
      </w:pPr>
    </w:p>
    <w:p w14:paraId="2B56291A" w14:textId="77777777" w:rsidR="006B7F28" w:rsidRPr="00993442" w:rsidRDefault="006B7F28" w:rsidP="006B7F28">
      <w:pPr>
        <w:rPr>
          <w:rFonts w:eastAsia="Times New Roman"/>
          <w:szCs w:val="18"/>
          <w:lang w:eastAsia="en-GB"/>
        </w:rPr>
      </w:pPr>
      <w:r w:rsidRPr="00993442">
        <w:rPr>
          <w:rFonts w:eastAsia="Times New Roman"/>
          <w:szCs w:val="18"/>
          <w:lang w:eastAsia="en-GB"/>
        </w:rPr>
        <w:t>The sum for the individual is the sum of the above 4 coefficients minus 5.25</w:t>
      </w:r>
    </w:p>
    <w:p w14:paraId="23738F02" w14:textId="77777777" w:rsidR="006B7F28" w:rsidRPr="00993442" w:rsidRDefault="006B7F28" w:rsidP="006B7F28">
      <w:pPr>
        <w:rPr>
          <w:rFonts w:eastAsia="Times New Roman"/>
          <w:szCs w:val="18"/>
          <w:lang w:eastAsia="en-GB"/>
        </w:rPr>
      </w:pPr>
      <w:r w:rsidRPr="00993442">
        <w:rPr>
          <w:rFonts w:eastAsia="Times New Roman"/>
          <w:szCs w:val="18"/>
          <w:lang w:eastAsia="en-GB"/>
        </w:rPr>
        <w:t xml:space="preserve">The probability is then </w:t>
      </w:r>
      <w:proofErr w:type="gramStart"/>
      <w:r w:rsidRPr="00993442">
        <w:rPr>
          <w:rFonts w:eastAsia="Times New Roman"/>
          <w:szCs w:val="18"/>
          <w:lang w:eastAsia="en-GB"/>
        </w:rPr>
        <w:t>e(</w:t>
      </w:r>
      <w:proofErr w:type="gramEnd"/>
      <w:r w:rsidRPr="00993442">
        <w:rPr>
          <w:rFonts w:eastAsia="Times New Roman"/>
          <w:szCs w:val="18"/>
          <w:lang w:eastAsia="en-GB"/>
        </w:rPr>
        <w:t>Model A)/(1+e(Model A))</w:t>
      </w:r>
    </w:p>
    <w:p w14:paraId="2341FAEC" w14:textId="77777777" w:rsidR="006B7F28" w:rsidRPr="00993442" w:rsidRDefault="006B7F28" w:rsidP="006B7F28">
      <w:pPr>
        <w:rPr>
          <w:rFonts w:eastAsia="Times New Roman"/>
          <w:szCs w:val="18"/>
          <w:lang w:eastAsia="en-GB"/>
        </w:rPr>
      </w:pPr>
    </w:p>
    <w:p w14:paraId="3543F63E" w14:textId="77777777" w:rsidR="006B7F28" w:rsidRPr="00993442" w:rsidRDefault="006B7F28" w:rsidP="006B7F28">
      <w:pPr>
        <w:rPr>
          <w:rFonts w:eastAsia="Times New Roman"/>
          <w:szCs w:val="18"/>
          <w:lang w:eastAsia="en-GB"/>
        </w:rPr>
      </w:pPr>
      <w:proofErr w:type="gramStart"/>
      <w:r w:rsidRPr="00993442">
        <w:rPr>
          <w:rFonts w:eastAsia="Times New Roman"/>
          <w:szCs w:val="18"/>
          <w:lang w:eastAsia="en-GB"/>
        </w:rPr>
        <w:t>Similarly</w:t>
      </w:r>
      <w:proofErr w:type="gramEnd"/>
      <w:r w:rsidRPr="00993442">
        <w:rPr>
          <w:rFonts w:eastAsia="Times New Roman"/>
          <w:szCs w:val="18"/>
          <w:lang w:eastAsia="en-GB"/>
        </w:rPr>
        <w:t xml:space="preserve"> for Model B (where NIHSS is only partially completed):</w:t>
      </w:r>
    </w:p>
    <w:p w14:paraId="0B4A7F72" w14:textId="77777777" w:rsidR="006B7F28" w:rsidRPr="00993442" w:rsidRDefault="006B7F28" w:rsidP="006B7F28">
      <w:pPr>
        <w:rPr>
          <w:rFonts w:eastAsia="Times New Roman"/>
          <w:szCs w:val="18"/>
          <w:lang w:eastAsia="en-GB"/>
        </w:rPr>
      </w:pPr>
    </w:p>
    <w:p w14:paraId="4407E080" w14:textId="77777777" w:rsidR="006B7F28" w:rsidRPr="00993442" w:rsidRDefault="006B7F28" w:rsidP="006B7F28">
      <w:pPr>
        <w:rPr>
          <w:rFonts w:eastAsia="Times New Roman"/>
          <w:szCs w:val="18"/>
          <w:lang w:eastAsia="en-GB"/>
        </w:rPr>
      </w:pPr>
      <w:r w:rsidRPr="00993442">
        <w:rPr>
          <w:rFonts w:eastAsia="Times New Roman"/>
          <w:szCs w:val="18"/>
          <w:lang w:eastAsia="en-GB"/>
        </w:rPr>
        <w:lastRenderedPageBreak/>
        <w:t>Age is in 5 bands:</w:t>
      </w:r>
    </w:p>
    <w:p w14:paraId="7D3C6F27" w14:textId="77777777" w:rsidR="006B7F28" w:rsidRPr="00993442" w:rsidRDefault="006B7F28" w:rsidP="006B7F28">
      <w:pPr>
        <w:rPr>
          <w:rFonts w:eastAsia="Times New Roman"/>
          <w:szCs w:val="18"/>
          <w:lang w:eastAsia="en-GB"/>
        </w:rPr>
      </w:pPr>
      <w:r w:rsidRPr="00993442">
        <w:rPr>
          <w:rFonts w:eastAsia="Times New Roman"/>
          <w:szCs w:val="18"/>
          <w:lang w:eastAsia="en-GB"/>
        </w:rPr>
        <w:t>Less than 60 (coefficient of 0)</w:t>
      </w:r>
    </w:p>
    <w:p w14:paraId="12813783" w14:textId="77777777" w:rsidR="006B7F28" w:rsidRPr="00993442" w:rsidRDefault="006B7F28" w:rsidP="006B7F28">
      <w:pPr>
        <w:rPr>
          <w:rFonts w:eastAsia="Times New Roman"/>
          <w:szCs w:val="18"/>
          <w:lang w:eastAsia="en-GB"/>
        </w:rPr>
      </w:pPr>
      <w:r w:rsidRPr="00993442">
        <w:rPr>
          <w:rFonts w:eastAsia="Times New Roman"/>
          <w:szCs w:val="18"/>
          <w:lang w:eastAsia="en-GB"/>
        </w:rPr>
        <w:t>60-69 (coefficient of 0.657)</w:t>
      </w:r>
    </w:p>
    <w:p w14:paraId="023B5850" w14:textId="77777777" w:rsidR="006B7F28" w:rsidRPr="00993442" w:rsidRDefault="006B7F28" w:rsidP="006B7F28">
      <w:pPr>
        <w:rPr>
          <w:rFonts w:eastAsia="Times New Roman"/>
          <w:szCs w:val="18"/>
          <w:lang w:eastAsia="en-GB"/>
        </w:rPr>
      </w:pPr>
      <w:r w:rsidRPr="00993442">
        <w:rPr>
          <w:rFonts w:eastAsia="Times New Roman"/>
          <w:szCs w:val="18"/>
          <w:lang w:eastAsia="en-GB"/>
        </w:rPr>
        <w:t>70-79 (coefficient of 1.252)</w:t>
      </w:r>
    </w:p>
    <w:p w14:paraId="39B79F9F" w14:textId="77777777" w:rsidR="006B7F28" w:rsidRPr="00993442" w:rsidRDefault="006B7F28" w:rsidP="006B7F28">
      <w:pPr>
        <w:rPr>
          <w:rFonts w:eastAsia="Times New Roman"/>
          <w:szCs w:val="18"/>
          <w:lang w:eastAsia="en-GB"/>
        </w:rPr>
      </w:pPr>
      <w:r w:rsidRPr="00993442">
        <w:rPr>
          <w:rFonts w:eastAsia="Times New Roman"/>
          <w:szCs w:val="18"/>
          <w:lang w:eastAsia="en-GB"/>
        </w:rPr>
        <w:t>80-89 (coefficient of 1.613)</w:t>
      </w:r>
    </w:p>
    <w:p w14:paraId="54737732" w14:textId="77777777" w:rsidR="006B7F28" w:rsidRPr="00993442" w:rsidRDefault="006B7F28" w:rsidP="006B7F28">
      <w:pPr>
        <w:rPr>
          <w:rFonts w:eastAsia="Times New Roman"/>
          <w:szCs w:val="18"/>
          <w:lang w:eastAsia="en-GB"/>
        </w:rPr>
      </w:pPr>
      <w:r w:rsidRPr="00993442">
        <w:rPr>
          <w:rFonts w:eastAsia="Times New Roman"/>
          <w:szCs w:val="18"/>
          <w:lang w:eastAsia="en-GB"/>
        </w:rPr>
        <w:t>90+ (coefficient of 2.127)</w:t>
      </w:r>
    </w:p>
    <w:p w14:paraId="6CB0A13D" w14:textId="77777777" w:rsidR="006B7F28" w:rsidRPr="00993442" w:rsidRDefault="006B7F28" w:rsidP="006B7F28">
      <w:pPr>
        <w:rPr>
          <w:rFonts w:eastAsia="Times New Roman"/>
          <w:szCs w:val="18"/>
          <w:lang w:eastAsia="en-GB"/>
        </w:rPr>
      </w:pPr>
    </w:p>
    <w:p w14:paraId="4F268676" w14:textId="77777777" w:rsidR="006B7F28" w:rsidRPr="00993442" w:rsidRDefault="006B7F28" w:rsidP="006B7F28">
      <w:pPr>
        <w:rPr>
          <w:rFonts w:eastAsia="Times New Roman"/>
          <w:szCs w:val="18"/>
          <w:lang w:eastAsia="en-GB"/>
        </w:rPr>
      </w:pPr>
      <w:r w:rsidRPr="00993442">
        <w:rPr>
          <w:rFonts w:eastAsia="Times New Roman"/>
          <w:szCs w:val="18"/>
          <w:lang w:eastAsia="en-GB"/>
        </w:rPr>
        <w:t>LOC categories:</w:t>
      </w:r>
    </w:p>
    <w:p w14:paraId="14014CE3" w14:textId="77777777" w:rsidR="006B7F28" w:rsidRPr="00993442" w:rsidRDefault="006B7F28" w:rsidP="006B7F28">
      <w:pPr>
        <w:rPr>
          <w:rFonts w:eastAsia="Times New Roman"/>
          <w:szCs w:val="18"/>
          <w:lang w:eastAsia="en-GB"/>
        </w:rPr>
      </w:pPr>
      <w:r w:rsidRPr="00993442">
        <w:rPr>
          <w:rFonts w:eastAsia="Times New Roman"/>
          <w:szCs w:val="18"/>
          <w:lang w:eastAsia="en-GB"/>
        </w:rPr>
        <w:t>LOC of 0 (coefficient is 0)</w:t>
      </w:r>
    </w:p>
    <w:p w14:paraId="10EF6926" w14:textId="77777777" w:rsidR="006B7F28" w:rsidRPr="00993442" w:rsidRDefault="006B7F28" w:rsidP="006B7F28">
      <w:pPr>
        <w:rPr>
          <w:rFonts w:eastAsia="Times New Roman"/>
          <w:szCs w:val="18"/>
          <w:lang w:eastAsia="en-GB"/>
        </w:rPr>
      </w:pPr>
      <w:r w:rsidRPr="00993442">
        <w:rPr>
          <w:rFonts w:eastAsia="Times New Roman"/>
          <w:szCs w:val="18"/>
          <w:lang w:eastAsia="en-GB"/>
        </w:rPr>
        <w:t>LOC of 1 (coefficient is 1.585)</w:t>
      </w:r>
    </w:p>
    <w:p w14:paraId="4BA1919F" w14:textId="77777777" w:rsidR="006B7F28" w:rsidRPr="00993442" w:rsidRDefault="006B7F28" w:rsidP="006B7F28">
      <w:pPr>
        <w:rPr>
          <w:rFonts w:eastAsia="Times New Roman"/>
          <w:szCs w:val="18"/>
          <w:lang w:eastAsia="en-GB"/>
        </w:rPr>
      </w:pPr>
      <w:r w:rsidRPr="00993442">
        <w:rPr>
          <w:rFonts w:eastAsia="Times New Roman"/>
          <w:szCs w:val="18"/>
          <w:lang w:eastAsia="en-GB"/>
        </w:rPr>
        <w:t>LOC of 2 (coefficient is 2.576)</w:t>
      </w:r>
    </w:p>
    <w:p w14:paraId="105C7128" w14:textId="77777777" w:rsidR="006B7F28" w:rsidRPr="00993442" w:rsidRDefault="006B7F28" w:rsidP="006B7F28">
      <w:pPr>
        <w:rPr>
          <w:rFonts w:eastAsia="Times New Roman"/>
          <w:szCs w:val="18"/>
          <w:lang w:eastAsia="en-GB"/>
        </w:rPr>
      </w:pPr>
      <w:r w:rsidRPr="00993442">
        <w:rPr>
          <w:rFonts w:eastAsia="Times New Roman"/>
          <w:szCs w:val="18"/>
          <w:lang w:eastAsia="en-GB"/>
        </w:rPr>
        <w:t>LOC of 3 (coefficient is 3.564)</w:t>
      </w:r>
    </w:p>
    <w:p w14:paraId="456DD0B1" w14:textId="77777777" w:rsidR="006B7F28" w:rsidRPr="00993442" w:rsidRDefault="006B7F28" w:rsidP="006B7F28">
      <w:pPr>
        <w:rPr>
          <w:rFonts w:eastAsia="Times New Roman"/>
          <w:szCs w:val="18"/>
          <w:lang w:eastAsia="en-GB"/>
        </w:rPr>
      </w:pPr>
    </w:p>
    <w:p w14:paraId="20EBE2E1" w14:textId="77777777" w:rsidR="006B7F28" w:rsidRPr="00993442" w:rsidRDefault="006B7F28" w:rsidP="006B7F28">
      <w:pPr>
        <w:rPr>
          <w:rFonts w:eastAsia="Times New Roman"/>
          <w:szCs w:val="18"/>
          <w:lang w:eastAsia="en-GB"/>
        </w:rPr>
      </w:pPr>
      <w:r w:rsidRPr="00993442">
        <w:rPr>
          <w:rFonts w:eastAsia="Times New Roman"/>
          <w:szCs w:val="18"/>
          <w:lang w:eastAsia="en-GB"/>
        </w:rPr>
        <w:t>If the patient was known to be in atrial fibrillation before stroke, the coefficient is 0.467 (otherwise 0)</w:t>
      </w:r>
    </w:p>
    <w:p w14:paraId="146B9DA5" w14:textId="77777777" w:rsidR="006B7F28" w:rsidRPr="00993442" w:rsidRDefault="006B7F28" w:rsidP="006B7F28">
      <w:pPr>
        <w:rPr>
          <w:rFonts w:eastAsia="Times New Roman"/>
          <w:szCs w:val="18"/>
          <w:lang w:eastAsia="en-GB"/>
        </w:rPr>
      </w:pPr>
    </w:p>
    <w:p w14:paraId="7F8B767D" w14:textId="77777777" w:rsidR="006B7F28" w:rsidRPr="00993442" w:rsidRDefault="006B7F28" w:rsidP="006B7F28">
      <w:pPr>
        <w:rPr>
          <w:rFonts w:eastAsia="Times New Roman"/>
          <w:szCs w:val="18"/>
          <w:lang w:eastAsia="en-GB"/>
        </w:rPr>
      </w:pPr>
      <w:r w:rsidRPr="00993442">
        <w:rPr>
          <w:rFonts w:eastAsia="Times New Roman"/>
          <w:szCs w:val="18"/>
          <w:lang w:eastAsia="en-GB"/>
        </w:rPr>
        <w:t>If the patient had a haemorrhagic stroke, the coefficient is 0.877 (otherwise 0)</w:t>
      </w:r>
    </w:p>
    <w:p w14:paraId="244D986A" w14:textId="77777777" w:rsidR="006B7F28" w:rsidRPr="00993442" w:rsidRDefault="006B7F28" w:rsidP="006B7F28">
      <w:pPr>
        <w:rPr>
          <w:rFonts w:eastAsia="Times New Roman"/>
          <w:szCs w:val="18"/>
          <w:lang w:eastAsia="en-GB"/>
        </w:rPr>
      </w:pPr>
    </w:p>
    <w:p w14:paraId="4FDCEFDA" w14:textId="77777777" w:rsidR="006B7F28" w:rsidRPr="00993442" w:rsidRDefault="006B7F28" w:rsidP="006B7F28">
      <w:pPr>
        <w:rPr>
          <w:rFonts w:eastAsia="Times New Roman"/>
          <w:szCs w:val="18"/>
          <w:lang w:eastAsia="en-GB"/>
        </w:rPr>
      </w:pPr>
      <w:r w:rsidRPr="00993442">
        <w:rPr>
          <w:rFonts w:eastAsia="Times New Roman"/>
          <w:szCs w:val="18"/>
          <w:lang w:eastAsia="en-GB"/>
        </w:rPr>
        <w:t>The sum for the individual is the sum of the above 4 coefficients minus 4.158</w:t>
      </w:r>
    </w:p>
    <w:p w14:paraId="69EA53C3" w14:textId="77777777" w:rsidR="006B7F28" w:rsidRPr="00993442" w:rsidRDefault="006B7F28" w:rsidP="006B7F28">
      <w:pPr>
        <w:rPr>
          <w:rFonts w:eastAsia="Times New Roman"/>
          <w:szCs w:val="18"/>
          <w:lang w:eastAsia="en-GB"/>
        </w:rPr>
      </w:pPr>
      <w:r w:rsidRPr="00993442">
        <w:rPr>
          <w:rFonts w:eastAsia="Times New Roman"/>
          <w:szCs w:val="18"/>
          <w:lang w:eastAsia="en-GB"/>
        </w:rPr>
        <w:t xml:space="preserve">The probability is then </w:t>
      </w:r>
      <w:proofErr w:type="gramStart"/>
      <w:r w:rsidRPr="00993442">
        <w:rPr>
          <w:rFonts w:eastAsia="Times New Roman"/>
          <w:szCs w:val="18"/>
          <w:lang w:eastAsia="en-GB"/>
        </w:rPr>
        <w:t>e(</w:t>
      </w:r>
      <w:proofErr w:type="gramEnd"/>
      <w:r w:rsidRPr="00993442">
        <w:rPr>
          <w:rFonts w:eastAsia="Times New Roman"/>
          <w:szCs w:val="18"/>
          <w:lang w:eastAsia="en-GB"/>
        </w:rPr>
        <w:t>Model B)/(1+e(Model B))</w:t>
      </w:r>
    </w:p>
    <w:p w14:paraId="5D9C4A50" w14:textId="77777777" w:rsidR="006B7F28" w:rsidRPr="00993442" w:rsidRDefault="006B7F28" w:rsidP="006B7F28">
      <w:pPr>
        <w:rPr>
          <w:rFonts w:eastAsia="Times New Roman"/>
          <w:szCs w:val="18"/>
          <w:lang w:eastAsia="en-GB"/>
        </w:rPr>
      </w:pPr>
    </w:p>
    <w:p w14:paraId="4FDBBD2C" w14:textId="77777777" w:rsidR="006B7F28" w:rsidRPr="00993442" w:rsidRDefault="006B7F28" w:rsidP="006B7F28">
      <w:pPr>
        <w:rPr>
          <w:rFonts w:eastAsia="Times New Roman"/>
          <w:szCs w:val="18"/>
          <w:lang w:eastAsia="en-GB"/>
        </w:rPr>
      </w:pPr>
      <w:r w:rsidRPr="00993442">
        <w:rPr>
          <w:rFonts w:eastAsia="Times New Roman"/>
          <w:szCs w:val="18"/>
          <w:lang w:eastAsia="en-GB"/>
        </w:rPr>
        <w:t>You then sum all the probabilities up (either Model A or Model B for each individual) and round to a whole number to get the expected number of deaths.</w:t>
      </w:r>
    </w:p>
    <w:p w14:paraId="3BF52038" w14:textId="77777777" w:rsidR="006B7F28" w:rsidRPr="00993442" w:rsidRDefault="006B7F28" w:rsidP="006B7F28">
      <w:pPr>
        <w:rPr>
          <w:rFonts w:eastAsia="Times New Roman"/>
          <w:szCs w:val="18"/>
          <w:lang w:eastAsia="en-GB"/>
        </w:rPr>
      </w:pPr>
    </w:p>
    <w:p w14:paraId="0814A3C6" w14:textId="45E1D903" w:rsidR="006B7F28" w:rsidRPr="00993442" w:rsidRDefault="006B7F28" w:rsidP="006B7F28">
      <w:r w:rsidRPr="00993442">
        <w:rPr>
          <w:rFonts w:eastAsia="Times New Roman"/>
          <w:szCs w:val="18"/>
          <w:lang w:eastAsia="en-GB"/>
        </w:rPr>
        <w:t>For the 2014/15 data, the logistic regression model will be re-run to obtain up-to-date coefficients for age, NIHSS, atrial fibrillation and stroke type for both Model A and Model B. The procedure for then calculating the expected number per team will be the same, except with the new coefficients.</w:t>
      </w:r>
    </w:p>
    <w:p w14:paraId="0557C4A9" w14:textId="13202F7C" w:rsidR="006B7F28" w:rsidRPr="00993442" w:rsidRDefault="006B7F28"/>
    <w:p w14:paraId="54CA6257" w14:textId="77777777" w:rsidR="006B7F28" w:rsidRPr="00993442" w:rsidRDefault="006B7F28"/>
    <w:tbl>
      <w:tblPr>
        <w:tblStyle w:val="TableGrid2"/>
        <w:tblW w:w="14794" w:type="dxa"/>
        <w:tblLayout w:type="fixed"/>
        <w:tblLook w:val="04A0" w:firstRow="1" w:lastRow="0" w:firstColumn="1" w:lastColumn="0" w:noHBand="0" w:noVBand="1"/>
      </w:tblPr>
      <w:tblGrid>
        <w:gridCol w:w="952"/>
        <w:gridCol w:w="4387"/>
        <w:gridCol w:w="1269"/>
        <w:gridCol w:w="4700"/>
        <w:gridCol w:w="1089"/>
        <w:gridCol w:w="1033"/>
        <w:gridCol w:w="1364"/>
      </w:tblGrid>
      <w:tr w:rsidR="00993442" w:rsidRPr="00993442" w14:paraId="2C849EBB" w14:textId="77777777" w:rsidTr="006B7F28">
        <w:tc>
          <w:tcPr>
            <w:tcW w:w="952" w:type="dxa"/>
          </w:tcPr>
          <w:p w14:paraId="60EDB354" w14:textId="77777777" w:rsidR="00CB2802" w:rsidRPr="00993442" w:rsidRDefault="00CB2802" w:rsidP="00B22F66">
            <w:pPr>
              <w:rPr>
                <w:rFonts w:eastAsia="Times New Roman"/>
                <w:sz w:val="24"/>
                <w:szCs w:val="20"/>
                <w:lang w:eastAsia="en-GB"/>
              </w:rPr>
            </w:pPr>
            <w:r w:rsidRPr="00993442">
              <w:rPr>
                <w:rFonts w:eastAsia="Times New Roman"/>
                <w:sz w:val="24"/>
                <w:szCs w:val="20"/>
                <w:lang w:eastAsia="en-GB"/>
              </w:rPr>
              <w:t>4d</w:t>
            </w:r>
          </w:p>
        </w:tc>
        <w:tc>
          <w:tcPr>
            <w:tcW w:w="4387" w:type="dxa"/>
          </w:tcPr>
          <w:p w14:paraId="1A0595B4"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The confidence interval methodology chosen is not standard. Currently, the confidence intervals are calculated around the observed figures, however what users will be wanting to determine is whether the indicator value is significantly higher or </w:t>
            </w:r>
            <w:r w:rsidRPr="00993442">
              <w:rPr>
                <w:rFonts w:eastAsia="Times New Roman"/>
                <w:szCs w:val="18"/>
                <w:lang w:eastAsia="en-GB"/>
              </w:rPr>
              <w:lastRenderedPageBreak/>
              <w:t xml:space="preserve">lower than the expected value.  MRG recommend </w:t>
            </w:r>
            <w:proofErr w:type="spellStart"/>
            <w:r w:rsidRPr="00993442">
              <w:rPr>
                <w:rFonts w:eastAsia="Times New Roman"/>
                <w:szCs w:val="18"/>
                <w:lang w:eastAsia="en-GB"/>
              </w:rPr>
              <w:t>Byar’s</w:t>
            </w:r>
            <w:proofErr w:type="spellEnd"/>
            <w:r w:rsidRPr="00993442">
              <w:rPr>
                <w:rFonts w:eastAsia="Times New Roman"/>
                <w:szCs w:val="18"/>
                <w:lang w:eastAsia="en-GB"/>
              </w:rPr>
              <w:t xml:space="preserve"> method. </w:t>
            </w:r>
          </w:p>
        </w:tc>
        <w:tc>
          <w:tcPr>
            <w:tcW w:w="1269" w:type="dxa"/>
          </w:tcPr>
          <w:p w14:paraId="634CDB5A" w14:textId="77777777" w:rsidR="00CB2802" w:rsidRPr="00993442" w:rsidRDefault="00CB2802" w:rsidP="00B22F66">
            <w:pPr>
              <w:rPr>
                <w:rFonts w:eastAsia="Times New Roman"/>
                <w:szCs w:val="18"/>
                <w:lang w:eastAsia="en-GB"/>
              </w:rPr>
            </w:pPr>
          </w:p>
        </w:tc>
        <w:tc>
          <w:tcPr>
            <w:tcW w:w="4700" w:type="dxa"/>
          </w:tcPr>
          <w:p w14:paraId="1687F80B"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The control limits currently given are calculated around the expected figures, not the observed figures. The equation below is the standard binomial approximation which is the methodology used for 2013/14 data. For </w:t>
            </w:r>
            <w:r w:rsidRPr="00993442">
              <w:rPr>
                <w:rFonts w:eastAsia="Times New Roman"/>
                <w:szCs w:val="18"/>
                <w:lang w:eastAsia="en-GB"/>
              </w:rPr>
              <w:lastRenderedPageBreak/>
              <w:t xml:space="preserve">2014/15, the RCP will update the methodology to use </w:t>
            </w:r>
            <w:proofErr w:type="spellStart"/>
            <w:r w:rsidRPr="00993442">
              <w:rPr>
                <w:rFonts w:eastAsia="Times New Roman"/>
                <w:szCs w:val="18"/>
                <w:lang w:eastAsia="en-GB"/>
              </w:rPr>
              <w:t>Byar’s</w:t>
            </w:r>
            <w:proofErr w:type="spellEnd"/>
            <w:r w:rsidRPr="00993442">
              <w:rPr>
                <w:rFonts w:eastAsia="Times New Roman"/>
                <w:szCs w:val="18"/>
                <w:lang w:eastAsia="en-GB"/>
              </w:rPr>
              <w:t xml:space="preserve"> approximation.</w:t>
            </w:r>
          </w:p>
          <w:p w14:paraId="79438A7F" w14:textId="77777777" w:rsidR="00CB2802" w:rsidRPr="00993442" w:rsidRDefault="00CB2802" w:rsidP="00B22F66">
            <w:pPr>
              <w:rPr>
                <w:rFonts w:eastAsia="Times New Roman"/>
                <w:szCs w:val="18"/>
                <w:lang w:eastAsia="en-GB"/>
              </w:rPr>
            </w:pPr>
            <m:oMathPara>
              <m:oMath>
                <m:r>
                  <w:rPr>
                    <w:rFonts w:ascii="Cambria Math" w:eastAsia="Times New Roman" w:hAnsi="Cambria Math"/>
                    <w:szCs w:val="18"/>
                    <w:lang w:eastAsia="en-GB"/>
                  </w:rPr>
                  <m:t xml:space="preserve">Control limits=mean SMR-z × </m:t>
                </m:r>
                <m:d>
                  <m:dPr>
                    <m:ctrlPr>
                      <w:rPr>
                        <w:rFonts w:ascii="Cambria Math" w:eastAsia="Times New Roman" w:hAnsi="Cambria Math"/>
                        <w:i/>
                        <w:szCs w:val="18"/>
                        <w:lang w:eastAsia="en-GB"/>
                      </w:rPr>
                    </m:ctrlPr>
                  </m:dPr>
                  <m:e>
                    <m:f>
                      <m:fPr>
                        <m:ctrlPr>
                          <w:rPr>
                            <w:rFonts w:ascii="Cambria Math" w:eastAsia="Times New Roman" w:hAnsi="Cambria Math"/>
                            <w:i/>
                            <w:szCs w:val="18"/>
                            <w:lang w:eastAsia="en-GB"/>
                          </w:rPr>
                        </m:ctrlPr>
                      </m:fPr>
                      <m:num>
                        <m:rad>
                          <m:radPr>
                            <m:degHide m:val="1"/>
                            <m:ctrlPr>
                              <w:rPr>
                                <w:rFonts w:ascii="Cambria Math" w:eastAsia="Times New Roman" w:hAnsi="Cambria Math"/>
                                <w:i/>
                                <w:szCs w:val="18"/>
                                <w:lang w:eastAsia="en-GB"/>
                              </w:rPr>
                            </m:ctrlPr>
                          </m:radPr>
                          <m:deg/>
                          <m:e>
                            <m:r>
                              <w:rPr>
                                <w:rFonts w:ascii="Cambria Math" w:eastAsia="Times New Roman" w:hAnsi="Cambria Math"/>
                                <w:szCs w:val="18"/>
                                <w:lang w:eastAsia="en-GB"/>
                              </w:rPr>
                              <m:t>expected</m:t>
                            </m:r>
                          </m:e>
                        </m:rad>
                      </m:num>
                      <m:den>
                        <m:r>
                          <w:rPr>
                            <w:rFonts w:ascii="Cambria Math" w:eastAsia="Times New Roman" w:hAnsi="Cambria Math"/>
                            <w:szCs w:val="18"/>
                            <w:lang w:eastAsia="en-GB"/>
                          </w:rPr>
                          <m:t>expected</m:t>
                        </m:r>
                      </m:den>
                    </m:f>
                  </m:e>
                </m:d>
              </m:oMath>
            </m:oMathPara>
          </w:p>
        </w:tc>
        <w:tc>
          <w:tcPr>
            <w:tcW w:w="1089" w:type="dxa"/>
          </w:tcPr>
          <w:p w14:paraId="2F25156F" w14:textId="77777777" w:rsidR="00CB2802" w:rsidRPr="00993442" w:rsidRDefault="00CB2802" w:rsidP="00B22F66">
            <w:pPr>
              <w:rPr>
                <w:rFonts w:eastAsia="Times New Roman"/>
                <w:szCs w:val="18"/>
                <w:lang w:eastAsia="en-GB"/>
              </w:rPr>
            </w:pPr>
            <w:r w:rsidRPr="00993442">
              <w:rPr>
                <w:rFonts w:eastAsia="Times New Roman"/>
                <w:szCs w:val="18"/>
                <w:lang w:eastAsia="en-GB"/>
              </w:rPr>
              <w:lastRenderedPageBreak/>
              <w:t>26/11/15</w:t>
            </w:r>
          </w:p>
        </w:tc>
        <w:sdt>
          <w:sdtPr>
            <w:rPr>
              <w:sz w:val="40"/>
              <w:szCs w:val="20"/>
            </w:rPr>
            <w:id w:val="2078775941"/>
            <w14:checkbox>
              <w14:checked w14:val="1"/>
              <w14:checkedState w14:val="00FE" w14:font="Wingdings"/>
              <w14:uncheckedState w14:val="006F" w14:font="Wingdings"/>
            </w14:checkbox>
          </w:sdtPr>
          <w:sdtEndPr/>
          <w:sdtContent>
            <w:tc>
              <w:tcPr>
                <w:tcW w:w="1033" w:type="dxa"/>
              </w:tcPr>
              <w:p w14:paraId="3CB4215C" w14:textId="77777777" w:rsidR="00CB2802" w:rsidRPr="00993442" w:rsidRDefault="00CB2802" w:rsidP="00B22F66">
                <w:pPr>
                  <w:jc w:val="center"/>
                  <w:rPr>
                    <w:sz w:val="40"/>
                    <w:szCs w:val="20"/>
                  </w:rPr>
                </w:pPr>
                <w:r w:rsidRPr="00993442">
                  <w:rPr>
                    <w:sz w:val="40"/>
                    <w:szCs w:val="20"/>
                  </w:rPr>
                  <w:sym w:font="Wingdings" w:char="F0FE"/>
                </w:r>
              </w:p>
            </w:tc>
          </w:sdtContent>
        </w:sdt>
        <w:tc>
          <w:tcPr>
            <w:tcW w:w="1364" w:type="dxa"/>
          </w:tcPr>
          <w:p w14:paraId="65709EAF" w14:textId="77777777" w:rsidR="00CB2802" w:rsidRPr="00993442" w:rsidRDefault="00CB2802" w:rsidP="00B22F66">
            <w:pPr>
              <w:rPr>
                <w:szCs w:val="20"/>
              </w:rPr>
            </w:pPr>
            <w:r w:rsidRPr="00993442">
              <w:rPr>
                <w:rFonts w:eastAsia="Times New Roman"/>
                <w:szCs w:val="20"/>
                <w:lang w:eastAsia="en-GB"/>
              </w:rPr>
              <w:t>MRG – 26/11/2015</w:t>
            </w:r>
          </w:p>
        </w:tc>
      </w:tr>
    </w:tbl>
    <w:p w14:paraId="76CA28C6" w14:textId="7B9B41D6" w:rsidR="00CB2802" w:rsidRPr="00993442" w:rsidRDefault="006B7F28" w:rsidP="00CB2802">
      <w:r w:rsidRPr="00993442">
        <w:rPr>
          <w:b/>
          <w:sz w:val="28"/>
          <w:szCs w:val="28"/>
        </w:rPr>
        <w:t>Presentation and Interpretation</w:t>
      </w:r>
    </w:p>
    <w:tbl>
      <w:tblPr>
        <w:tblStyle w:val="TableGrid2"/>
        <w:tblW w:w="5000" w:type="pct"/>
        <w:tblLook w:val="04A0" w:firstRow="1" w:lastRow="0" w:firstColumn="1" w:lastColumn="0" w:noHBand="0" w:noVBand="1"/>
      </w:tblPr>
      <w:tblGrid>
        <w:gridCol w:w="856"/>
        <w:gridCol w:w="4241"/>
        <w:gridCol w:w="1171"/>
        <w:gridCol w:w="4519"/>
        <w:gridCol w:w="1268"/>
        <w:gridCol w:w="1195"/>
        <w:gridCol w:w="1318"/>
      </w:tblGrid>
      <w:tr w:rsidR="00993442" w:rsidRPr="00993442" w14:paraId="2B887660" w14:textId="77777777" w:rsidTr="006B7F28">
        <w:tc>
          <w:tcPr>
            <w:tcW w:w="294" w:type="pct"/>
          </w:tcPr>
          <w:p w14:paraId="7C7AE9DD" w14:textId="77777777" w:rsidR="00CB2802" w:rsidRPr="00993442" w:rsidRDefault="00CB2802" w:rsidP="00B22F66">
            <w:pPr>
              <w:rPr>
                <w:b/>
                <w:i/>
              </w:rPr>
            </w:pPr>
            <w:r w:rsidRPr="00993442">
              <w:rPr>
                <w:b/>
                <w:i/>
              </w:rPr>
              <w:t>Rec. no</w:t>
            </w:r>
          </w:p>
        </w:tc>
        <w:tc>
          <w:tcPr>
            <w:tcW w:w="1456" w:type="pct"/>
          </w:tcPr>
          <w:p w14:paraId="126AC570" w14:textId="77777777" w:rsidR="00CB2802" w:rsidRPr="00993442" w:rsidRDefault="00CB2802" w:rsidP="00B22F66">
            <w:pPr>
              <w:rPr>
                <w:b/>
                <w:i/>
              </w:rPr>
            </w:pPr>
            <w:r w:rsidRPr="00993442">
              <w:rPr>
                <w:b/>
                <w:i/>
              </w:rPr>
              <w:t>Issue or recommendation</w:t>
            </w:r>
          </w:p>
        </w:tc>
        <w:tc>
          <w:tcPr>
            <w:tcW w:w="402" w:type="pct"/>
          </w:tcPr>
          <w:p w14:paraId="252520CC" w14:textId="77777777" w:rsidR="00CB2802" w:rsidRPr="00993442" w:rsidRDefault="00CB2802" w:rsidP="00B22F66">
            <w:pPr>
              <w:rPr>
                <w:b/>
                <w:i/>
              </w:rPr>
            </w:pPr>
            <w:r w:rsidRPr="00993442">
              <w:rPr>
                <w:b/>
                <w:i/>
              </w:rPr>
              <w:t>Raised by / Date</w:t>
            </w:r>
          </w:p>
        </w:tc>
        <w:tc>
          <w:tcPr>
            <w:tcW w:w="1551" w:type="pct"/>
          </w:tcPr>
          <w:p w14:paraId="1C67F40C" w14:textId="77777777" w:rsidR="00CB2802" w:rsidRPr="00993442" w:rsidRDefault="00CB2802" w:rsidP="00B22F66">
            <w:pPr>
              <w:rPr>
                <w:b/>
                <w:i/>
              </w:rPr>
            </w:pPr>
            <w:r w:rsidRPr="00993442">
              <w:rPr>
                <w:b/>
                <w:i/>
              </w:rPr>
              <w:t>Response or Action taken by applicant</w:t>
            </w:r>
          </w:p>
        </w:tc>
        <w:tc>
          <w:tcPr>
            <w:tcW w:w="435" w:type="pct"/>
          </w:tcPr>
          <w:p w14:paraId="5B0A4434" w14:textId="77777777" w:rsidR="00CB2802" w:rsidRPr="00993442" w:rsidRDefault="00CB2802" w:rsidP="00B22F66">
            <w:pPr>
              <w:rPr>
                <w:b/>
                <w:i/>
              </w:rPr>
            </w:pPr>
            <w:r w:rsidRPr="00993442">
              <w:rPr>
                <w:b/>
                <w:i/>
              </w:rPr>
              <w:t>Response date</w:t>
            </w:r>
          </w:p>
        </w:tc>
        <w:tc>
          <w:tcPr>
            <w:tcW w:w="410" w:type="pct"/>
          </w:tcPr>
          <w:p w14:paraId="33E7628C" w14:textId="77777777" w:rsidR="00CB2802" w:rsidRPr="00993442" w:rsidRDefault="00CB2802" w:rsidP="00B22F66">
            <w:pPr>
              <w:rPr>
                <w:b/>
                <w:i/>
              </w:rPr>
            </w:pPr>
            <w:r w:rsidRPr="00993442">
              <w:rPr>
                <w:b/>
                <w:i/>
              </w:rPr>
              <w:t>Resolved</w:t>
            </w:r>
          </w:p>
        </w:tc>
        <w:tc>
          <w:tcPr>
            <w:tcW w:w="452" w:type="pct"/>
          </w:tcPr>
          <w:p w14:paraId="4EBC5EAA" w14:textId="77777777" w:rsidR="00CB2802" w:rsidRPr="00993442" w:rsidRDefault="00CB2802" w:rsidP="00B22F66">
            <w:pPr>
              <w:rPr>
                <w:b/>
                <w:i/>
              </w:rPr>
            </w:pPr>
            <w:r w:rsidRPr="00993442">
              <w:rPr>
                <w:b/>
                <w:i/>
              </w:rPr>
              <w:t>Sign off by / Date</w:t>
            </w:r>
          </w:p>
        </w:tc>
      </w:tr>
      <w:tr w:rsidR="00993442" w:rsidRPr="00993442" w14:paraId="17DB75BF" w14:textId="77777777" w:rsidTr="006B7F28">
        <w:tc>
          <w:tcPr>
            <w:tcW w:w="294" w:type="pct"/>
          </w:tcPr>
          <w:p w14:paraId="2D3219D1" w14:textId="77777777" w:rsidR="00CB2802" w:rsidRPr="00993442" w:rsidRDefault="00CB2802" w:rsidP="00B22F66">
            <w:pPr>
              <w:rPr>
                <w:rFonts w:eastAsia="Times New Roman"/>
                <w:sz w:val="24"/>
                <w:szCs w:val="20"/>
                <w:lang w:eastAsia="en-GB"/>
              </w:rPr>
            </w:pPr>
            <w:r w:rsidRPr="00993442">
              <w:rPr>
                <w:rFonts w:eastAsia="Times New Roman"/>
                <w:sz w:val="24"/>
                <w:szCs w:val="20"/>
                <w:lang w:eastAsia="en-GB"/>
              </w:rPr>
              <w:t>5a</w:t>
            </w:r>
          </w:p>
        </w:tc>
        <w:tc>
          <w:tcPr>
            <w:tcW w:w="1456" w:type="pct"/>
          </w:tcPr>
          <w:p w14:paraId="761531B4"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There was a </w:t>
            </w:r>
            <w:proofErr w:type="spellStart"/>
            <w:r w:rsidRPr="00993442">
              <w:rPr>
                <w:rFonts w:eastAsia="Times New Roman"/>
                <w:szCs w:val="18"/>
                <w:lang w:eastAsia="en-GB"/>
              </w:rPr>
              <w:t>discrepany</w:t>
            </w:r>
            <w:proofErr w:type="spellEnd"/>
            <w:r w:rsidRPr="00993442">
              <w:rPr>
                <w:rFonts w:eastAsia="Times New Roman"/>
                <w:szCs w:val="18"/>
                <w:lang w:eastAsia="en-GB"/>
              </w:rPr>
              <w:t xml:space="preserve"> in the application form in section 5.9. For the 10 lowest CCGs, Confidence Limits were given, whereas for the highest 10 CCGs, confidence intervals were calculated. MRG would like clarity around which are to be presented.</w:t>
            </w:r>
          </w:p>
          <w:p w14:paraId="2620AADF" w14:textId="77777777" w:rsidR="00CB2802" w:rsidRPr="00993442" w:rsidRDefault="00CB2802" w:rsidP="00B22F66">
            <w:pPr>
              <w:rPr>
                <w:rFonts w:eastAsia="Times New Roman"/>
                <w:szCs w:val="18"/>
                <w:lang w:eastAsia="en-GB"/>
              </w:rPr>
            </w:pPr>
            <w:r w:rsidRPr="00993442">
              <w:rPr>
                <w:rFonts w:eastAsia="Times New Roman"/>
                <w:szCs w:val="18"/>
                <w:lang w:eastAsia="en-GB"/>
              </w:rPr>
              <w:t>Furthermore, the confidence limits presented did not use the methodology stated in the form.</w:t>
            </w:r>
          </w:p>
        </w:tc>
        <w:tc>
          <w:tcPr>
            <w:tcW w:w="402" w:type="pct"/>
          </w:tcPr>
          <w:p w14:paraId="4E47F6D1"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p>
          <w:p w14:paraId="39D4868B" w14:textId="77777777" w:rsidR="00CB2802" w:rsidRPr="00993442" w:rsidRDefault="00CB2802" w:rsidP="00B22F66">
            <w:pPr>
              <w:rPr>
                <w:rFonts w:eastAsia="Times New Roman"/>
                <w:szCs w:val="18"/>
                <w:lang w:eastAsia="en-GB"/>
              </w:rPr>
            </w:pPr>
          </w:p>
          <w:p w14:paraId="293A5B70" w14:textId="77777777" w:rsidR="00CB2802" w:rsidRPr="00993442" w:rsidRDefault="00CB2802" w:rsidP="00B22F66">
            <w:pPr>
              <w:rPr>
                <w:rFonts w:eastAsia="Times New Roman"/>
                <w:szCs w:val="18"/>
                <w:lang w:eastAsia="en-GB"/>
              </w:rPr>
            </w:pPr>
            <w:r w:rsidRPr="00993442">
              <w:rPr>
                <w:rFonts w:eastAsia="Times New Roman"/>
                <w:szCs w:val="18"/>
                <w:lang w:eastAsia="en-GB"/>
              </w:rPr>
              <w:t>10/09/15</w:t>
            </w:r>
          </w:p>
        </w:tc>
        <w:tc>
          <w:tcPr>
            <w:tcW w:w="1551" w:type="pct"/>
          </w:tcPr>
          <w:p w14:paraId="3ED2A277" w14:textId="77777777" w:rsidR="00CB2802" w:rsidRPr="00993442" w:rsidRDefault="00CB2802" w:rsidP="00B22F66">
            <w:pPr>
              <w:rPr>
                <w:rFonts w:eastAsia="Times New Roman"/>
                <w:szCs w:val="18"/>
                <w:lang w:eastAsia="en-GB"/>
              </w:rPr>
            </w:pPr>
            <w:r w:rsidRPr="00993442">
              <w:rPr>
                <w:rFonts w:eastAsia="Times New Roman"/>
                <w:szCs w:val="18"/>
                <w:lang w:eastAsia="en-GB"/>
              </w:rPr>
              <w:t>The discrepancy mentioned is simply a typographical error in the field names for the second table. The calculations do not differ in the application form between the bottom and top 10 CCG outputs.</w:t>
            </w:r>
          </w:p>
        </w:tc>
        <w:tc>
          <w:tcPr>
            <w:tcW w:w="435" w:type="pct"/>
          </w:tcPr>
          <w:p w14:paraId="31AF93B6" w14:textId="77777777" w:rsidR="00CB2802" w:rsidRPr="00993442" w:rsidRDefault="00CB2802" w:rsidP="00B22F66">
            <w:pPr>
              <w:rPr>
                <w:rFonts w:eastAsia="Times New Roman"/>
                <w:szCs w:val="18"/>
                <w:lang w:eastAsia="en-GB"/>
              </w:rPr>
            </w:pPr>
            <w:r w:rsidRPr="00993442">
              <w:rPr>
                <w:rFonts w:eastAsia="Times New Roman"/>
                <w:szCs w:val="18"/>
                <w:lang w:eastAsia="en-GB"/>
              </w:rPr>
              <w:t>26/11/15</w:t>
            </w:r>
          </w:p>
        </w:tc>
        <w:sdt>
          <w:sdtPr>
            <w:rPr>
              <w:sz w:val="40"/>
              <w:szCs w:val="20"/>
            </w:rPr>
            <w:id w:val="-1936041131"/>
            <w14:checkbox>
              <w14:checked w14:val="1"/>
              <w14:checkedState w14:val="00FE" w14:font="Wingdings"/>
              <w14:uncheckedState w14:val="006F" w14:font="Wingdings"/>
            </w14:checkbox>
          </w:sdtPr>
          <w:sdtEndPr/>
          <w:sdtContent>
            <w:tc>
              <w:tcPr>
                <w:tcW w:w="410" w:type="pct"/>
              </w:tcPr>
              <w:p w14:paraId="37C276D9" w14:textId="77777777" w:rsidR="00CB2802" w:rsidRPr="00993442" w:rsidRDefault="00CB2802" w:rsidP="00B22F66">
                <w:pPr>
                  <w:jc w:val="center"/>
                  <w:rPr>
                    <w:rFonts w:eastAsia="Times New Roman"/>
                    <w:sz w:val="24"/>
                    <w:szCs w:val="20"/>
                    <w:lang w:eastAsia="en-GB"/>
                  </w:rPr>
                </w:pPr>
                <w:r w:rsidRPr="00993442">
                  <w:rPr>
                    <w:sz w:val="40"/>
                    <w:szCs w:val="20"/>
                  </w:rPr>
                  <w:sym w:font="Wingdings" w:char="F0FE"/>
                </w:r>
              </w:p>
            </w:tc>
          </w:sdtContent>
        </w:sdt>
        <w:tc>
          <w:tcPr>
            <w:tcW w:w="452" w:type="pct"/>
          </w:tcPr>
          <w:p w14:paraId="3A56327B" w14:textId="77777777" w:rsidR="00CB2802" w:rsidRPr="00993442" w:rsidRDefault="00CB2802" w:rsidP="00B22F66">
            <w:pPr>
              <w:rPr>
                <w:rFonts w:eastAsia="Times New Roman"/>
                <w:sz w:val="24"/>
                <w:szCs w:val="20"/>
                <w:lang w:eastAsia="en-GB"/>
              </w:rPr>
            </w:pPr>
            <w:r w:rsidRPr="00993442">
              <w:rPr>
                <w:rFonts w:eastAsia="Times New Roman"/>
                <w:szCs w:val="20"/>
                <w:lang w:eastAsia="en-GB"/>
              </w:rPr>
              <w:t>MRG – 26/11/2015</w:t>
            </w:r>
          </w:p>
        </w:tc>
      </w:tr>
      <w:tr w:rsidR="00993442" w:rsidRPr="00993442" w14:paraId="062A2905" w14:textId="77777777" w:rsidTr="006B7F28">
        <w:tc>
          <w:tcPr>
            <w:tcW w:w="294" w:type="pct"/>
          </w:tcPr>
          <w:p w14:paraId="5940EACA" w14:textId="77777777" w:rsidR="00CB2802" w:rsidRPr="00993442" w:rsidRDefault="00CB2802" w:rsidP="00B22F66">
            <w:pPr>
              <w:rPr>
                <w:rFonts w:eastAsia="Times New Roman"/>
                <w:sz w:val="24"/>
                <w:szCs w:val="20"/>
                <w:lang w:eastAsia="en-GB"/>
              </w:rPr>
            </w:pPr>
            <w:r w:rsidRPr="00993442">
              <w:rPr>
                <w:rFonts w:eastAsia="Times New Roman"/>
                <w:sz w:val="24"/>
                <w:szCs w:val="20"/>
                <w:lang w:eastAsia="en-GB"/>
              </w:rPr>
              <w:t>5b</w:t>
            </w:r>
          </w:p>
        </w:tc>
        <w:tc>
          <w:tcPr>
            <w:tcW w:w="1456" w:type="pct"/>
          </w:tcPr>
          <w:p w14:paraId="2A7C2F63" w14:textId="77777777" w:rsidR="00CB2802" w:rsidRPr="00993442" w:rsidRDefault="00CB2802" w:rsidP="00B22F66">
            <w:r w:rsidRPr="00993442">
              <w:t>MRG members noted that aspects of the presentation of the indicator were unusual.</w:t>
            </w:r>
          </w:p>
          <w:p w14:paraId="7932A0EF" w14:textId="77777777" w:rsidR="00CB2802" w:rsidRPr="00993442" w:rsidRDefault="00CB2802" w:rsidP="00B22F66"/>
          <w:p w14:paraId="2654E4F7" w14:textId="77777777" w:rsidR="00CB2802" w:rsidRPr="00993442" w:rsidRDefault="00CB2802" w:rsidP="00B22F66">
            <w:r w:rsidRPr="00993442">
              <w:t xml:space="preserve">In this instance the control limits are not centred around 1 but are centred around the national average which is not 1.  Although this is not ideal it was accepted that the model is re-calibrated each year and it is </w:t>
            </w:r>
            <w:proofErr w:type="spellStart"/>
            <w:r w:rsidRPr="00993442">
              <w:t>anticpated</w:t>
            </w:r>
            <w:proofErr w:type="spellEnd"/>
            <w:r w:rsidRPr="00993442">
              <w:t xml:space="preserve"> that future </w:t>
            </w:r>
            <w:proofErr w:type="gramStart"/>
            <w:r w:rsidRPr="00993442">
              <w:t>results  will</w:t>
            </w:r>
            <w:proofErr w:type="gramEnd"/>
            <w:r w:rsidRPr="00993442">
              <w:t xml:space="preserve"> be centred around 1.</w:t>
            </w:r>
          </w:p>
          <w:p w14:paraId="21E0A030" w14:textId="77777777" w:rsidR="00CB2802" w:rsidRPr="00993442" w:rsidRDefault="00CB2802" w:rsidP="00B22F66"/>
          <w:p w14:paraId="416E1DB7" w14:textId="77777777" w:rsidR="00CB2802" w:rsidRPr="00993442" w:rsidRDefault="00CB2802" w:rsidP="00B22F66">
            <w:r w:rsidRPr="00993442">
              <w:t xml:space="preserve">MRG drew attention to the way the control limits were presented in the results table and suggested at present </w:t>
            </w:r>
            <w:r w:rsidRPr="00993442">
              <w:lastRenderedPageBreak/>
              <w:t xml:space="preserve">they may be open to confusion on the basis that it is more commonly understood  to present confidence intervals round the rate rather than slightly more “abstract” control limits that apply to the rate. </w:t>
            </w:r>
          </w:p>
          <w:p w14:paraId="3876CBE0" w14:textId="77777777" w:rsidR="00CB2802" w:rsidRPr="00993442" w:rsidRDefault="00CB2802" w:rsidP="00B22F66"/>
          <w:p w14:paraId="40781469" w14:textId="77777777" w:rsidR="00CB2802" w:rsidRPr="00993442" w:rsidRDefault="00CB2802" w:rsidP="00B22F66">
            <w:r w:rsidRPr="00993442">
              <w:t xml:space="preserve">Noting that this wasn’t necessarily wrong, MRG members feel the table needs to be clearly </w:t>
            </w:r>
            <w:proofErr w:type="spellStart"/>
            <w:proofErr w:type="gramStart"/>
            <w:r w:rsidRPr="00993442">
              <w:t>labeled</w:t>
            </w:r>
            <w:proofErr w:type="spellEnd"/>
            <w:r w:rsidRPr="00993442">
              <w:t xml:space="preserve">  (</w:t>
            </w:r>
            <w:proofErr w:type="gramEnd"/>
            <w:r w:rsidRPr="00993442">
              <w:t>including a description to help interpretation) to avoid confusion.</w:t>
            </w:r>
          </w:p>
          <w:p w14:paraId="59B3D749" w14:textId="77777777" w:rsidR="00CB2802" w:rsidRPr="00993442" w:rsidRDefault="00CB2802" w:rsidP="00B22F66">
            <w:pPr>
              <w:rPr>
                <w:rFonts w:eastAsia="Times New Roman"/>
                <w:szCs w:val="18"/>
                <w:lang w:eastAsia="en-GB"/>
              </w:rPr>
            </w:pPr>
          </w:p>
        </w:tc>
        <w:tc>
          <w:tcPr>
            <w:tcW w:w="402" w:type="pct"/>
          </w:tcPr>
          <w:p w14:paraId="6356EEDF" w14:textId="77777777" w:rsidR="00CB2802" w:rsidRPr="00993442" w:rsidRDefault="00CB2802" w:rsidP="00B22F66">
            <w:pPr>
              <w:rPr>
                <w:rFonts w:eastAsia="Times New Roman"/>
                <w:szCs w:val="18"/>
                <w:lang w:eastAsia="en-GB"/>
              </w:rPr>
            </w:pPr>
            <w:r w:rsidRPr="00993442">
              <w:rPr>
                <w:rFonts w:eastAsia="Times New Roman"/>
                <w:szCs w:val="18"/>
                <w:lang w:eastAsia="en-GB"/>
              </w:rPr>
              <w:lastRenderedPageBreak/>
              <w:t>MRG</w:t>
            </w:r>
          </w:p>
          <w:p w14:paraId="1916DBAC" w14:textId="77777777" w:rsidR="00CB2802" w:rsidRPr="00993442" w:rsidRDefault="00CB2802" w:rsidP="00B22F66">
            <w:pPr>
              <w:rPr>
                <w:rFonts w:eastAsia="Times New Roman"/>
                <w:szCs w:val="18"/>
                <w:lang w:eastAsia="en-GB"/>
              </w:rPr>
            </w:pPr>
            <w:r w:rsidRPr="00993442">
              <w:rPr>
                <w:rFonts w:eastAsia="Times New Roman"/>
                <w:szCs w:val="18"/>
                <w:lang w:eastAsia="en-GB"/>
              </w:rPr>
              <w:t>26/11/15</w:t>
            </w:r>
          </w:p>
        </w:tc>
        <w:tc>
          <w:tcPr>
            <w:tcW w:w="1551" w:type="pct"/>
          </w:tcPr>
          <w:p w14:paraId="1CF6163A" w14:textId="77777777" w:rsidR="00CB2802" w:rsidRPr="00993442" w:rsidRDefault="00CB2802" w:rsidP="00B22F66">
            <w:pPr>
              <w:spacing w:after="200" w:line="276" w:lineRule="auto"/>
              <w:rPr>
                <w:rFonts w:eastAsia="Times New Roman"/>
                <w:szCs w:val="18"/>
                <w:lang w:eastAsia="en-GB"/>
              </w:rPr>
            </w:pPr>
            <w:r w:rsidRPr="00993442">
              <w:rPr>
                <w:rFonts w:eastAsia="Times New Roman"/>
                <w:szCs w:val="18"/>
                <w:lang w:eastAsia="en-GB"/>
              </w:rPr>
              <w:t>An explanation is included in the Indicator Quality Statement and also the Excel data file to draw users’ attention to the presentation of control limits for this indicator.</w:t>
            </w:r>
          </w:p>
          <w:p w14:paraId="27BF6026" w14:textId="77777777" w:rsidR="00CB2802" w:rsidRPr="00993442" w:rsidRDefault="00CB2802" w:rsidP="00B22F66">
            <w:pPr>
              <w:spacing w:after="200" w:line="276" w:lineRule="auto"/>
              <w:rPr>
                <w:rFonts w:eastAsia="Times New Roman"/>
                <w:szCs w:val="18"/>
                <w:lang w:eastAsia="en-GB"/>
              </w:rPr>
            </w:pPr>
          </w:p>
          <w:p w14:paraId="73D86AAB" w14:textId="77777777" w:rsidR="00CB2802" w:rsidRPr="00993442" w:rsidRDefault="00CB2802" w:rsidP="00B22F66">
            <w:pPr>
              <w:spacing w:after="200" w:line="276" w:lineRule="auto"/>
              <w:rPr>
                <w:rFonts w:eastAsia="Times New Roman"/>
                <w:szCs w:val="18"/>
                <w:lang w:eastAsia="en-GB"/>
              </w:rPr>
            </w:pPr>
            <w:r w:rsidRPr="00993442">
              <w:rPr>
                <w:rFonts w:eastAsia="Times New Roman"/>
                <w:szCs w:val="18"/>
                <w:lang w:eastAsia="en-GB"/>
              </w:rPr>
              <w:t xml:space="preserve">This indicator is presented with 99.8% control limits, as opposed to the usual convention within CCG OIS of 95% confidence limits. This methodology aligns </w:t>
            </w:r>
            <w:r w:rsidRPr="00993442">
              <w:rPr>
                <w:rFonts w:eastAsia="Times New Roman"/>
                <w:szCs w:val="18"/>
                <w:lang w:eastAsia="en-GB"/>
              </w:rPr>
              <w:lastRenderedPageBreak/>
              <w:t xml:space="preserve">with the RCP output published on the SSNAP results portal. </w:t>
            </w:r>
          </w:p>
          <w:p w14:paraId="50810C4B" w14:textId="77777777" w:rsidR="00CB2802" w:rsidRPr="00993442" w:rsidRDefault="00CB2802" w:rsidP="00B22F66">
            <w:pPr>
              <w:spacing w:after="200" w:line="276" w:lineRule="auto"/>
              <w:rPr>
                <w:rFonts w:eastAsia="Times New Roman"/>
                <w:szCs w:val="18"/>
                <w:lang w:eastAsia="en-GB"/>
              </w:rPr>
            </w:pPr>
          </w:p>
          <w:p w14:paraId="01C181ED" w14:textId="77777777" w:rsidR="00CB2802" w:rsidRPr="00993442" w:rsidRDefault="00CB2802" w:rsidP="00B22F66">
            <w:pPr>
              <w:rPr>
                <w:rFonts w:eastAsia="Times New Roman"/>
                <w:szCs w:val="18"/>
                <w:lang w:eastAsia="en-GB"/>
              </w:rPr>
            </w:pPr>
            <w:r w:rsidRPr="00993442">
              <w:rPr>
                <w:rFonts w:eastAsia="Times New Roman"/>
                <w:szCs w:val="18"/>
                <w:lang w:eastAsia="en-GB"/>
              </w:rPr>
              <w:t xml:space="preserve">Control limits are used to indicate that a CCG is not operating predictably and therefore, when a CCG is identified as an outlier, their SMR will not fall within the lower and upper control limits.  </w:t>
            </w:r>
          </w:p>
        </w:tc>
        <w:tc>
          <w:tcPr>
            <w:tcW w:w="435" w:type="pct"/>
          </w:tcPr>
          <w:p w14:paraId="77A20B0E" w14:textId="77777777" w:rsidR="00CB2802" w:rsidRPr="00993442" w:rsidRDefault="00CB2802" w:rsidP="00B22F66">
            <w:pPr>
              <w:rPr>
                <w:rFonts w:eastAsia="Times New Roman"/>
                <w:szCs w:val="18"/>
                <w:lang w:eastAsia="en-GB"/>
              </w:rPr>
            </w:pPr>
          </w:p>
        </w:tc>
        <w:tc>
          <w:tcPr>
            <w:tcW w:w="410" w:type="pct"/>
          </w:tcPr>
          <w:p w14:paraId="1E8F0D81" w14:textId="77777777" w:rsidR="00CB2802" w:rsidRPr="00993442" w:rsidRDefault="00CB2802" w:rsidP="00B22F66">
            <w:pPr>
              <w:jc w:val="center"/>
              <w:rPr>
                <w:sz w:val="40"/>
                <w:szCs w:val="20"/>
              </w:rPr>
            </w:pPr>
          </w:p>
        </w:tc>
        <w:tc>
          <w:tcPr>
            <w:tcW w:w="452" w:type="pct"/>
          </w:tcPr>
          <w:p w14:paraId="7105CA2E" w14:textId="77777777" w:rsidR="00CB2802" w:rsidRPr="00993442" w:rsidRDefault="00CB2802" w:rsidP="00B22F66">
            <w:pPr>
              <w:rPr>
                <w:rFonts w:eastAsia="Times New Roman"/>
                <w:szCs w:val="20"/>
                <w:lang w:eastAsia="en-GB"/>
              </w:rPr>
            </w:pPr>
          </w:p>
        </w:tc>
      </w:tr>
    </w:tbl>
    <w:p w14:paraId="1A746449" w14:textId="06ECD177" w:rsidR="00CB2802" w:rsidRPr="00993442" w:rsidRDefault="006B7F28" w:rsidP="00CB2802">
      <w:r w:rsidRPr="00993442">
        <w:rPr>
          <w:b/>
          <w:sz w:val="28"/>
          <w:szCs w:val="28"/>
        </w:rPr>
        <w:t>Risks and Usefulness</w:t>
      </w:r>
    </w:p>
    <w:tbl>
      <w:tblPr>
        <w:tblStyle w:val="TableGrid2"/>
        <w:tblW w:w="5000" w:type="pct"/>
        <w:tblLook w:val="04A0" w:firstRow="1" w:lastRow="0" w:firstColumn="1" w:lastColumn="0" w:noHBand="0" w:noVBand="1"/>
      </w:tblPr>
      <w:tblGrid>
        <w:gridCol w:w="867"/>
        <w:gridCol w:w="4254"/>
        <w:gridCol w:w="1183"/>
        <w:gridCol w:w="4531"/>
        <w:gridCol w:w="1268"/>
        <w:gridCol w:w="1195"/>
        <w:gridCol w:w="1270"/>
      </w:tblGrid>
      <w:tr w:rsidR="00993442" w:rsidRPr="00993442" w14:paraId="7ADA0080" w14:textId="77777777" w:rsidTr="006B7F28">
        <w:tc>
          <w:tcPr>
            <w:tcW w:w="298" w:type="pct"/>
          </w:tcPr>
          <w:p w14:paraId="18F0AD96" w14:textId="77777777" w:rsidR="00CB2802" w:rsidRPr="00993442" w:rsidRDefault="00CB2802" w:rsidP="00B22F66">
            <w:pPr>
              <w:rPr>
                <w:b/>
                <w:i/>
              </w:rPr>
            </w:pPr>
            <w:r w:rsidRPr="00993442">
              <w:rPr>
                <w:b/>
                <w:i/>
              </w:rPr>
              <w:t>Rec. no</w:t>
            </w:r>
          </w:p>
        </w:tc>
        <w:tc>
          <w:tcPr>
            <w:tcW w:w="1460" w:type="pct"/>
          </w:tcPr>
          <w:p w14:paraId="64400BD6" w14:textId="77777777" w:rsidR="00CB2802" w:rsidRPr="00993442" w:rsidRDefault="00CB2802" w:rsidP="00B22F66">
            <w:pPr>
              <w:rPr>
                <w:b/>
                <w:i/>
              </w:rPr>
            </w:pPr>
            <w:r w:rsidRPr="00993442">
              <w:rPr>
                <w:b/>
                <w:i/>
              </w:rPr>
              <w:t>Issue or recommendation</w:t>
            </w:r>
          </w:p>
        </w:tc>
        <w:tc>
          <w:tcPr>
            <w:tcW w:w="406" w:type="pct"/>
          </w:tcPr>
          <w:p w14:paraId="0813015D" w14:textId="77777777" w:rsidR="00CB2802" w:rsidRPr="00993442" w:rsidRDefault="00CB2802" w:rsidP="00B22F66">
            <w:pPr>
              <w:rPr>
                <w:b/>
                <w:i/>
              </w:rPr>
            </w:pPr>
            <w:r w:rsidRPr="00993442">
              <w:rPr>
                <w:b/>
                <w:i/>
              </w:rPr>
              <w:t>Raised by / Date</w:t>
            </w:r>
          </w:p>
        </w:tc>
        <w:tc>
          <w:tcPr>
            <w:tcW w:w="1555" w:type="pct"/>
          </w:tcPr>
          <w:p w14:paraId="5C28007C" w14:textId="77777777" w:rsidR="00CB2802" w:rsidRPr="00993442" w:rsidRDefault="00CB2802" w:rsidP="00B22F66">
            <w:pPr>
              <w:rPr>
                <w:b/>
                <w:i/>
              </w:rPr>
            </w:pPr>
            <w:r w:rsidRPr="00993442">
              <w:rPr>
                <w:b/>
                <w:i/>
              </w:rPr>
              <w:t>Response or Action taken by applicant</w:t>
            </w:r>
          </w:p>
        </w:tc>
        <w:tc>
          <w:tcPr>
            <w:tcW w:w="435" w:type="pct"/>
          </w:tcPr>
          <w:p w14:paraId="05A77BA1" w14:textId="77777777" w:rsidR="00CB2802" w:rsidRPr="00993442" w:rsidRDefault="00CB2802" w:rsidP="00B22F66">
            <w:pPr>
              <w:rPr>
                <w:b/>
                <w:i/>
              </w:rPr>
            </w:pPr>
            <w:r w:rsidRPr="00993442">
              <w:rPr>
                <w:b/>
                <w:i/>
              </w:rPr>
              <w:t>Response date</w:t>
            </w:r>
          </w:p>
        </w:tc>
        <w:tc>
          <w:tcPr>
            <w:tcW w:w="410" w:type="pct"/>
          </w:tcPr>
          <w:p w14:paraId="053E7628" w14:textId="77777777" w:rsidR="00CB2802" w:rsidRPr="00993442" w:rsidRDefault="00CB2802" w:rsidP="00B22F66">
            <w:pPr>
              <w:rPr>
                <w:b/>
                <w:i/>
              </w:rPr>
            </w:pPr>
            <w:r w:rsidRPr="00993442">
              <w:rPr>
                <w:b/>
                <w:i/>
              </w:rPr>
              <w:t>Resolved</w:t>
            </w:r>
          </w:p>
        </w:tc>
        <w:tc>
          <w:tcPr>
            <w:tcW w:w="436" w:type="pct"/>
          </w:tcPr>
          <w:p w14:paraId="48478584" w14:textId="77777777" w:rsidR="00CB2802" w:rsidRPr="00993442" w:rsidRDefault="00CB2802" w:rsidP="00B22F66">
            <w:pPr>
              <w:rPr>
                <w:b/>
                <w:i/>
              </w:rPr>
            </w:pPr>
            <w:r w:rsidRPr="00993442">
              <w:rPr>
                <w:b/>
                <w:i/>
              </w:rPr>
              <w:t>Sign off by / Date</w:t>
            </w:r>
          </w:p>
        </w:tc>
      </w:tr>
      <w:tr w:rsidR="00993442" w:rsidRPr="00993442" w14:paraId="6D1E1BC5" w14:textId="77777777" w:rsidTr="006B7F28">
        <w:tc>
          <w:tcPr>
            <w:tcW w:w="298" w:type="pct"/>
          </w:tcPr>
          <w:p w14:paraId="18522FC1" w14:textId="77777777" w:rsidR="00CB2802" w:rsidRPr="00993442" w:rsidRDefault="00CB2802" w:rsidP="00B22F66">
            <w:pPr>
              <w:rPr>
                <w:rFonts w:eastAsia="Times New Roman"/>
                <w:sz w:val="24"/>
                <w:szCs w:val="20"/>
                <w:lang w:eastAsia="en-GB"/>
              </w:rPr>
            </w:pPr>
            <w:r w:rsidRPr="00993442">
              <w:rPr>
                <w:rFonts w:eastAsia="Times New Roman"/>
                <w:sz w:val="24"/>
                <w:szCs w:val="20"/>
                <w:lang w:eastAsia="en-GB"/>
              </w:rPr>
              <w:t>6a</w:t>
            </w:r>
          </w:p>
        </w:tc>
        <w:tc>
          <w:tcPr>
            <w:tcW w:w="1460" w:type="pct"/>
          </w:tcPr>
          <w:p w14:paraId="23FEBF54" w14:textId="77777777" w:rsidR="00CB2802" w:rsidRPr="00993442" w:rsidRDefault="00CB2802" w:rsidP="00B22F66">
            <w:pPr>
              <w:rPr>
                <w:rFonts w:eastAsia="Times New Roman"/>
                <w:szCs w:val="18"/>
                <w:lang w:eastAsia="en-GB"/>
              </w:rPr>
            </w:pPr>
            <w:r w:rsidRPr="00993442">
              <w:rPr>
                <w:rFonts w:eastAsia="Times New Roman"/>
                <w:szCs w:val="18"/>
                <w:lang w:eastAsia="en-GB"/>
              </w:rPr>
              <w:t>The indicator proposed is similar to an existing NCHOD indicator, based on HES.  Clarification was sought on why this indicator would be better than the HES indicator.</w:t>
            </w:r>
          </w:p>
        </w:tc>
        <w:tc>
          <w:tcPr>
            <w:tcW w:w="406" w:type="pct"/>
          </w:tcPr>
          <w:p w14:paraId="7EFEC68A" w14:textId="77777777" w:rsidR="00CB2802" w:rsidRPr="00993442" w:rsidRDefault="00CB2802" w:rsidP="00B22F66">
            <w:pPr>
              <w:rPr>
                <w:rFonts w:eastAsia="Times New Roman"/>
                <w:szCs w:val="18"/>
                <w:lang w:eastAsia="en-GB"/>
              </w:rPr>
            </w:pPr>
            <w:r w:rsidRPr="00993442">
              <w:rPr>
                <w:rFonts w:eastAsia="Times New Roman"/>
                <w:szCs w:val="18"/>
                <w:lang w:eastAsia="en-GB"/>
              </w:rPr>
              <w:t>MRG</w:t>
            </w:r>
            <w:r w:rsidRPr="00993442">
              <w:rPr>
                <w:rFonts w:eastAsia="Times New Roman"/>
                <w:szCs w:val="18"/>
                <w:lang w:eastAsia="en-GB"/>
              </w:rPr>
              <w:br/>
              <w:t>- During initial appraisal</w:t>
            </w:r>
          </w:p>
        </w:tc>
        <w:tc>
          <w:tcPr>
            <w:tcW w:w="1555" w:type="pct"/>
          </w:tcPr>
          <w:p w14:paraId="0F1391D9"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The Compendium of Population Health indicator (Deaths within 30 days of emergency admission to hospital: stroke, portal identifier: P00811 </w:t>
            </w:r>
            <w:hyperlink r:id="rId28" w:history="1">
              <w:r w:rsidRPr="00993442">
                <w:rPr>
                  <w:rStyle w:val="Hyperlink"/>
                  <w:color w:val="auto"/>
                </w:rPr>
                <w:t>http://indicators.ic.nhs.uk/webview/</w:t>
              </w:r>
            </w:hyperlink>
            <w:r w:rsidRPr="00993442">
              <w:rPr>
                <w:rFonts w:eastAsia="Times New Roman"/>
                <w:szCs w:val="18"/>
                <w:lang w:eastAsia="en-GB"/>
              </w:rPr>
              <w:t>) differs from this indicator in that it is sourced from HES and provides an indirectly age and sex standardised rate per 100,000 population at national, regional and local authority level (not CCG). Furthermore, as well as ICD-10 codes I61, I63 and I64, it also includes I62 which, as explained in section 3c, is not included in this indicator.</w:t>
            </w:r>
          </w:p>
          <w:p w14:paraId="7CCEF317"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HES was considered as a data source for this indicator, however, in the original MRG discussion, the RCP cited their view that there can be over-coding of stroke in HES </w:t>
            </w:r>
            <w:r w:rsidRPr="00993442">
              <w:rPr>
                <w:rFonts w:eastAsia="Times New Roman"/>
                <w:szCs w:val="18"/>
                <w:lang w:eastAsia="en-GB"/>
              </w:rPr>
              <w:lastRenderedPageBreak/>
              <w:t xml:space="preserve">compared to epidemiological studies and that clinicians have reported poor coding for stroke in some instances when they use HES as the sole means of identifying cases. </w:t>
            </w:r>
          </w:p>
          <w:p w14:paraId="2A50C194" w14:textId="77777777" w:rsidR="00CB2802" w:rsidRPr="00993442" w:rsidRDefault="00CB2802" w:rsidP="00B22F66">
            <w:pPr>
              <w:spacing w:before="120" w:after="120"/>
              <w:rPr>
                <w:rFonts w:eastAsia="Times New Roman"/>
                <w:szCs w:val="18"/>
                <w:lang w:eastAsia="en-GB"/>
              </w:rPr>
            </w:pPr>
            <w:r w:rsidRPr="00993442">
              <w:rPr>
                <w:rFonts w:eastAsia="Times New Roman"/>
                <w:szCs w:val="18"/>
                <w:lang w:eastAsia="en-GB"/>
              </w:rPr>
              <w:t xml:space="preserve">Using SSNAP data will also remain consistent with the five other CCG OIS stroke measures which use it as the data source. It is the single source of data on stroke services, processes of care and outcomes and provides the data for other statutory data collections in England. </w:t>
            </w:r>
          </w:p>
        </w:tc>
        <w:tc>
          <w:tcPr>
            <w:tcW w:w="435" w:type="pct"/>
          </w:tcPr>
          <w:p w14:paraId="771F06EE" w14:textId="77777777" w:rsidR="00CB2802" w:rsidRPr="00993442" w:rsidRDefault="00CB2802" w:rsidP="00B22F66">
            <w:pPr>
              <w:rPr>
                <w:rFonts w:eastAsia="Times New Roman"/>
                <w:szCs w:val="18"/>
                <w:lang w:eastAsia="en-GB"/>
              </w:rPr>
            </w:pPr>
            <w:r w:rsidRPr="00993442">
              <w:rPr>
                <w:rFonts w:eastAsia="Times New Roman"/>
                <w:szCs w:val="18"/>
                <w:lang w:eastAsia="en-GB"/>
              </w:rPr>
              <w:lastRenderedPageBreak/>
              <w:t>During initial appraisal</w:t>
            </w:r>
          </w:p>
        </w:tc>
        <w:sdt>
          <w:sdtPr>
            <w:rPr>
              <w:sz w:val="40"/>
              <w:szCs w:val="20"/>
            </w:rPr>
            <w:id w:val="1711609622"/>
            <w14:checkbox>
              <w14:checked w14:val="1"/>
              <w14:checkedState w14:val="00FE" w14:font="Wingdings"/>
              <w14:uncheckedState w14:val="006F" w14:font="Wingdings"/>
            </w14:checkbox>
          </w:sdtPr>
          <w:sdtEndPr/>
          <w:sdtContent>
            <w:tc>
              <w:tcPr>
                <w:tcW w:w="410" w:type="pct"/>
              </w:tcPr>
              <w:p w14:paraId="7C59D331" w14:textId="77777777" w:rsidR="00CB2802" w:rsidRPr="00993442" w:rsidRDefault="00CB2802" w:rsidP="00B22F66">
                <w:pPr>
                  <w:jc w:val="center"/>
                  <w:rPr>
                    <w:rFonts w:eastAsia="Times New Roman"/>
                    <w:sz w:val="24"/>
                    <w:szCs w:val="20"/>
                    <w:lang w:eastAsia="en-GB"/>
                  </w:rPr>
                </w:pPr>
                <w:r w:rsidRPr="00993442">
                  <w:rPr>
                    <w:sz w:val="40"/>
                    <w:szCs w:val="20"/>
                  </w:rPr>
                  <w:sym w:font="Wingdings" w:char="F0FE"/>
                </w:r>
              </w:p>
            </w:tc>
          </w:sdtContent>
        </w:sdt>
        <w:tc>
          <w:tcPr>
            <w:tcW w:w="436" w:type="pct"/>
          </w:tcPr>
          <w:p w14:paraId="1D07ED06" w14:textId="77777777" w:rsidR="00CB2802" w:rsidRPr="00993442" w:rsidRDefault="00CB2802" w:rsidP="00B22F66">
            <w:pPr>
              <w:rPr>
                <w:szCs w:val="20"/>
              </w:rPr>
            </w:pPr>
            <w:r w:rsidRPr="00993442">
              <w:rPr>
                <w:szCs w:val="20"/>
              </w:rPr>
              <w:t>MRG</w:t>
            </w:r>
          </w:p>
          <w:p w14:paraId="541CBA26" w14:textId="77777777" w:rsidR="00CB2802" w:rsidRPr="00993442" w:rsidRDefault="00CB2802" w:rsidP="00B22F66">
            <w:pPr>
              <w:rPr>
                <w:rFonts w:eastAsia="Times New Roman"/>
                <w:sz w:val="24"/>
                <w:szCs w:val="20"/>
                <w:lang w:eastAsia="en-GB"/>
              </w:rPr>
            </w:pPr>
            <w:r w:rsidRPr="00993442">
              <w:rPr>
                <w:szCs w:val="20"/>
              </w:rPr>
              <w:t>10/09/15</w:t>
            </w:r>
          </w:p>
        </w:tc>
      </w:tr>
    </w:tbl>
    <w:p w14:paraId="371C37D9" w14:textId="77777777" w:rsidR="00CB2802" w:rsidRPr="00993442" w:rsidRDefault="00CB2802" w:rsidP="00CB2802">
      <w:pPr>
        <w:rPr>
          <w:sz w:val="20"/>
          <w:szCs w:val="20"/>
        </w:rPr>
        <w:sectPr w:rsidR="00CB2802" w:rsidRPr="00993442" w:rsidSect="00B22F66">
          <w:pgSz w:w="16838" w:h="11906" w:orient="landscape"/>
          <w:pgMar w:top="851" w:right="820" w:bottom="426" w:left="1440" w:header="851" w:footer="709" w:gutter="0"/>
          <w:cols w:space="708"/>
          <w:docGrid w:linePitch="360"/>
        </w:sectPr>
      </w:pPr>
    </w:p>
    <w:p w14:paraId="50974D3B" w14:textId="77777777" w:rsidR="00CB2802" w:rsidRPr="00993442" w:rsidRDefault="00CB2802" w:rsidP="00CB2802">
      <w:pPr>
        <w:rPr>
          <w:b/>
        </w:rPr>
      </w:pPr>
    </w:p>
    <w:p w14:paraId="577AC2A0" w14:textId="77777777" w:rsidR="00CB2802" w:rsidRPr="00993442" w:rsidRDefault="00CB2802" w:rsidP="00CB2802">
      <w:pPr>
        <w:rPr>
          <w:b/>
        </w:rPr>
      </w:pPr>
      <w:r w:rsidRPr="00993442">
        <w:rPr>
          <w:b/>
          <w:noProof/>
          <w:lang w:eastAsia="en-GB"/>
        </w:rPr>
        <mc:AlternateContent>
          <mc:Choice Requires="wps">
            <w:drawing>
              <wp:inline distT="0" distB="0" distL="0" distR="0" wp14:anchorId="0DD57439" wp14:editId="50D86900">
                <wp:extent cx="6219825" cy="1403985"/>
                <wp:effectExtent l="0" t="0" r="9525"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03985"/>
                        </a:xfrm>
                        <a:prstGeom prst="rect">
                          <a:avLst/>
                        </a:prstGeom>
                        <a:solidFill>
                          <a:schemeClr val="accent1">
                            <a:lumMod val="20000"/>
                            <a:lumOff val="80000"/>
                          </a:schemeClr>
                        </a:solidFill>
                        <a:ln w="9525">
                          <a:noFill/>
                          <a:miter lim="800000"/>
                          <a:headEnd/>
                          <a:tailEnd/>
                        </a:ln>
                      </wps:spPr>
                      <wps:txbx>
                        <w:txbxContent>
                          <w:p w14:paraId="746E7575" w14:textId="77777777" w:rsidR="00B22F66" w:rsidRDefault="00B22F66" w:rsidP="00CB2802">
                            <w:pPr>
                              <w:rPr>
                                <w:rFonts w:cstheme="minorHAnsi"/>
                                <w:b/>
                                <w:color w:val="1F497D" w:themeColor="text2"/>
                              </w:rPr>
                            </w:pPr>
                            <w:r>
                              <w:rPr>
                                <w:rFonts w:cstheme="minorHAnsi"/>
                                <w:b/>
                                <w:color w:val="1F497D" w:themeColor="text2"/>
                              </w:rPr>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4C9CFD91" w14:textId="77777777" w:rsidR="00B22F66" w:rsidRDefault="00B22F66" w:rsidP="00CB2802">
                            <w:pPr>
                              <w:rPr>
                                <w:rFonts w:cstheme="minorHAnsi"/>
                                <w:b/>
                                <w:color w:val="1F497D" w:themeColor="text2"/>
                              </w:rPr>
                            </w:pPr>
                          </w:p>
                          <w:p w14:paraId="3DB88B74" w14:textId="77777777" w:rsidR="00B22F66" w:rsidRDefault="00B22F66" w:rsidP="00CB2802">
                            <w:pPr>
                              <w:rPr>
                                <w:rFonts w:cstheme="minorHAnsi"/>
                                <w:b/>
                                <w:color w:val="1F497D" w:themeColor="text2"/>
                              </w:rPr>
                            </w:pPr>
                            <w:r>
                              <w:rPr>
                                <w:rFonts w:cstheme="minorHAnsi"/>
                                <w:b/>
                                <w:color w:val="1F497D" w:themeColor="text2"/>
                              </w:rPr>
                              <w:t>Indicator and Methodology Assurance Service</w:t>
                            </w:r>
                          </w:p>
                          <w:p w14:paraId="6BCAAA91" w14:textId="77777777" w:rsidR="00B22F66" w:rsidRDefault="00B22F66" w:rsidP="00CB2802">
                            <w:pPr>
                              <w:rPr>
                                <w:rFonts w:cstheme="minorHAnsi"/>
                                <w:b/>
                                <w:color w:val="1F497D" w:themeColor="text2"/>
                              </w:rPr>
                            </w:pPr>
                            <w:r>
                              <w:rPr>
                                <w:rFonts w:cstheme="minorHAnsi"/>
                                <w:b/>
                                <w:color w:val="1F497D" w:themeColor="text2"/>
                              </w:rPr>
                              <w:t>Health and Social Care Information Centre</w:t>
                            </w:r>
                          </w:p>
                          <w:p w14:paraId="58FE7D2D" w14:textId="77777777" w:rsidR="00B22F66" w:rsidRDefault="00B22F66" w:rsidP="00CB2802">
                            <w:pPr>
                              <w:rPr>
                                <w:rFonts w:cstheme="minorHAnsi"/>
                                <w:b/>
                                <w:color w:val="1F497D" w:themeColor="text2"/>
                              </w:rPr>
                            </w:pPr>
                            <w:r>
                              <w:rPr>
                                <w:rFonts w:cstheme="minorHAnsi"/>
                                <w:b/>
                                <w:color w:val="1F497D" w:themeColor="text2"/>
                              </w:rPr>
                              <w:t>1 Trevelyan Square, Boar Lane,</w:t>
                            </w:r>
                          </w:p>
                          <w:p w14:paraId="361514F8" w14:textId="77777777" w:rsidR="00B22F66" w:rsidRDefault="00B22F66" w:rsidP="00CB2802">
                            <w:pPr>
                              <w:rPr>
                                <w:rFonts w:cstheme="minorHAnsi"/>
                                <w:b/>
                                <w:color w:val="1F497D" w:themeColor="text2"/>
                              </w:rPr>
                            </w:pPr>
                            <w:r>
                              <w:rPr>
                                <w:rFonts w:cstheme="minorHAnsi"/>
                                <w:b/>
                                <w:color w:val="1F497D" w:themeColor="text2"/>
                              </w:rPr>
                              <w:t xml:space="preserve">LEEDS </w:t>
                            </w:r>
                          </w:p>
                          <w:p w14:paraId="61D23DF7" w14:textId="77777777" w:rsidR="00B22F66" w:rsidRDefault="00B22F66" w:rsidP="00CB2802">
                            <w:pPr>
                              <w:rPr>
                                <w:rFonts w:cstheme="minorHAnsi"/>
                                <w:b/>
                                <w:color w:val="1F497D" w:themeColor="text2"/>
                              </w:rPr>
                            </w:pPr>
                            <w:r>
                              <w:rPr>
                                <w:rFonts w:cstheme="minorHAnsi"/>
                                <w:b/>
                                <w:color w:val="1F497D" w:themeColor="text2"/>
                              </w:rPr>
                              <w:t>LS1 6AE.</w:t>
                            </w:r>
                          </w:p>
                          <w:p w14:paraId="59A01EB2" w14:textId="77777777" w:rsidR="00B22F66" w:rsidRDefault="00B22F66" w:rsidP="00CB2802">
                            <w:pPr>
                              <w:rPr>
                                <w:rFonts w:cstheme="minorHAnsi"/>
                                <w:b/>
                                <w:color w:val="1F497D" w:themeColor="text2"/>
                              </w:rPr>
                            </w:pPr>
                          </w:p>
                          <w:p w14:paraId="6EC67711" w14:textId="77777777" w:rsidR="00B22F66" w:rsidRDefault="00B22F66" w:rsidP="00CB2802">
                            <w:pPr>
                              <w:rPr>
                                <w:rFonts w:cstheme="minorHAnsi"/>
                                <w:b/>
                                <w:color w:val="1F497D" w:themeColor="text2"/>
                              </w:rPr>
                            </w:pPr>
                            <w:r>
                              <w:rPr>
                                <w:rFonts w:cstheme="minorHAnsi"/>
                                <w:b/>
                                <w:color w:val="1F497D" w:themeColor="text2"/>
                              </w:rPr>
                              <w:t xml:space="preserve">Email: </w:t>
                            </w:r>
                            <w:hyperlink r:id="rId29" w:history="1">
                              <w:r w:rsidRPr="00195C54">
                                <w:rPr>
                                  <w:rStyle w:val="Hyperlink"/>
                                  <w:rFonts w:cstheme="minorHAnsi"/>
                                  <w:b/>
                                </w:rPr>
                                <w:t>indicator.assurance@hscic.gov.uk</w:t>
                              </w:r>
                            </w:hyperlink>
                          </w:p>
                          <w:p w14:paraId="4ED2B04D" w14:textId="77777777" w:rsidR="00B22F66" w:rsidRDefault="00B22F66" w:rsidP="00CB2802">
                            <w:pPr>
                              <w:rPr>
                                <w:rFonts w:cstheme="minorHAnsi"/>
                                <w:b/>
                                <w:color w:val="1F497D" w:themeColor="text2"/>
                              </w:rPr>
                            </w:pPr>
                            <w:r>
                              <w:rPr>
                                <w:rFonts w:cstheme="minorHAnsi"/>
                                <w:b/>
                                <w:color w:val="1F497D" w:themeColor="text2"/>
                              </w:rPr>
                              <w:t xml:space="preserve">Website: </w:t>
                            </w:r>
                            <w:hyperlink r:id="rId30" w:history="1">
                              <w:r w:rsidRPr="00195C54">
                                <w:rPr>
                                  <w:rStyle w:val="Hyperlink"/>
                                  <w:rFonts w:cstheme="minorHAnsi"/>
                                  <w:b/>
                                </w:rPr>
                                <w:t>http://www.hscic.gov.uk/article/1674/Indicator-Assurance-Service</w:t>
                              </w:r>
                            </w:hyperlink>
                          </w:p>
                        </w:txbxContent>
                      </wps:txbx>
                      <wps:bodyPr rot="0" vert="horz" wrap="square" lIns="91440" tIns="45720" rIns="91440" bIns="45720" anchor="t" anchorCtr="0">
                        <a:spAutoFit/>
                      </wps:bodyPr>
                    </wps:wsp>
                  </a:graphicData>
                </a:graphic>
              </wp:inline>
            </w:drawing>
          </mc:Choice>
          <mc:Fallback>
            <w:pict>
              <v:shape w14:anchorId="0DD57439" id="_x0000_s1027" type="#_x0000_t202" style="width:489.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" fillcolor="#dbe5f1 [660]" stroked="f">
                <v:textbox style="mso-fit-shape-to-text:t">
                  <w:txbxContent>
                    <w:p w14:paraId="746E7575" w14:textId="77777777" w:rsidR="00B22F66" w:rsidRDefault="00B22F66" w:rsidP="00CB2802">
                      <w:pPr>
                        <w:rPr>
                          <w:rFonts w:cstheme="minorHAnsi"/>
                          <w:b/>
                          <w:color w:val="1F497D" w:themeColor="text2"/>
                        </w:rPr>
                      </w:pPr>
                      <w:r>
                        <w:rPr>
                          <w:rFonts w:cstheme="minorHAnsi"/>
                          <w:b/>
                          <w:color w:val="1F497D" w:themeColor="text2"/>
                        </w:rPr>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4C9CFD91" w14:textId="77777777" w:rsidR="00B22F66" w:rsidRDefault="00B22F66" w:rsidP="00CB2802">
                      <w:pPr>
                        <w:rPr>
                          <w:rFonts w:cstheme="minorHAnsi"/>
                          <w:b/>
                          <w:color w:val="1F497D" w:themeColor="text2"/>
                        </w:rPr>
                      </w:pPr>
                    </w:p>
                    <w:p w14:paraId="3DB88B74" w14:textId="77777777" w:rsidR="00B22F66" w:rsidRDefault="00B22F66" w:rsidP="00CB2802">
                      <w:pPr>
                        <w:rPr>
                          <w:rFonts w:cstheme="minorHAnsi"/>
                          <w:b/>
                          <w:color w:val="1F497D" w:themeColor="text2"/>
                        </w:rPr>
                      </w:pPr>
                      <w:r>
                        <w:rPr>
                          <w:rFonts w:cstheme="minorHAnsi"/>
                          <w:b/>
                          <w:color w:val="1F497D" w:themeColor="text2"/>
                        </w:rPr>
                        <w:t>Indicator and Methodology Assurance Service</w:t>
                      </w:r>
                    </w:p>
                    <w:p w14:paraId="6BCAAA91" w14:textId="77777777" w:rsidR="00B22F66" w:rsidRDefault="00B22F66" w:rsidP="00CB2802">
                      <w:pPr>
                        <w:rPr>
                          <w:rFonts w:cstheme="minorHAnsi"/>
                          <w:b/>
                          <w:color w:val="1F497D" w:themeColor="text2"/>
                        </w:rPr>
                      </w:pPr>
                      <w:r>
                        <w:rPr>
                          <w:rFonts w:cstheme="minorHAnsi"/>
                          <w:b/>
                          <w:color w:val="1F497D" w:themeColor="text2"/>
                        </w:rPr>
                        <w:t>Health and Social Care Information Centre</w:t>
                      </w:r>
                    </w:p>
                    <w:p w14:paraId="58FE7D2D" w14:textId="77777777" w:rsidR="00B22F66" w:rsidRDefault="00B22F66" w:rsidP="00CB2802">
                      <w:pPr>
                        <w:rPr>
                          <w:rFonts w:cstheme="minorHAnsi"/>
                          <w:b/>
                          <w:color w:val="1F497D" w:themeColor="text2"/>
                        </w:rPr>
                      </w:pPr>
                      <w:r>
                        <w:rPr>
                          <w:rFonts w:cstheme="minorHAnsi"/>
                          <w:b/>
                          <w:color w:val="1F497D" w:themeColor="text2"/>
                        </w:rPr>
                        <w:t>1 Trevelyan Square, Boar Lane,</w:t>
                      </w:r>
                    </w:p>
                    <w:p w14:paraId="361514F8" w14:textId="77777777" w:rsidR="00B22F66" w:rsidRDefault="00B22F66" w:rsidP="00CB2802">
                      <w:pPr>
                        <w:rPr>
                          <w:rFonts w:cstheme="minorHAnsi"/>
                          <w:b/>
                          <w:color w:val="1F497D" w:themeColor="text2"/>
                        </w:rPr>
                      </w:pPr>
                      <w:r>
                        <w:rPr>
                          <w:rFonts w:cstheme="minorHAnsi"/>
                          <w:b/>
                          <w:color w:val="1F497D" w:themeColor="text2"/>
                        </w:rPr>
                        <w:t xml:space="preserve">LEEDS </w:t>
                      </w:r>
                    </w:p>
                    <w:p w14:paraId="61D23DF7" w14:textId="77777777" w:rsidR="00B22F66" w:rsidRDefault="00B22F66" w:rsidP="00CB2802">
                      <w:pPr>
                        <w:rPr>
                          <w:rFonts w:cstheme="minorHAnsi"/>
                          <w:b/>
                          <w:color w:val="1F497D" w:themeColor="text2"/>
                        </w:rPr>
                      </w:pPr>
                      <w:r>
                        <w:rPr>
                          <w:rFonts w:cstheme="minorHAnsi"/>
                          <w:b/>
                          <w:color w:val="1F497D" w:themeColor="text2"/>
                        </w:rPr>
                        <w:t>LS1 6AE.</w:t>
                      </w:r>
                    </w:p>
                    <w:p w14:paraId="59A01EB2" w14:textId="77777777" w:rsidR="00B22F66" w:rsidRDefault="00B22F66" w:rsidP="00CB2802">
                      <w:pPr>
                        <w:rPr>
                          <w:rFonts w:cstheme="minorHAnsi"/>
                          <w:b/>
                          <w:color w:val="1F497D" w:themeColor="text2"/>
                        </w:rPr>
                      </w:pPr>
                    </w:p>
                    <w:p w14:paraId="6EC67711" w14:textId="77777777" w:rsidR="00B22F66" w:rsidRDefault="00B22F66" w:rsidP="00CB2802">
                      <w:pPr>
                        <w:rPr>
                          <w:rFonts w:cstheme="minorHAnsi"/>
                          <w:b/>
                          <w:color w:val="1F497D" w:themeColor="text2"/>
                        </w:rPr>
                      </w:pPr>
                      <w:r>
                        <w:rPr>
                          <w:rFonts w:cstheme="minorHAnsi"/>
                          <w:b/>
                          <w:color w:val="1F497D" w:themeColor="text2"/>
                        </w:rPr>
                        <w:t xml:space="preserve">Email: </w:t>
                      </w:r>
                      <w:hyperlink r:id="rId31" w:history="1">
                        <w:r w:rsidRPr="00195C54">
                          <w:rPr>
                            <w:rStyle w:val="Hyperlink"/>
                            <w:rFonts w:cstheme="minorHAnsi"/>
                            <w:b/>
                          </w:rPr>
                          <w:t>indicator.assurance@hscic.gov.uk</w:t>
                        </w:r>
                      </w:hyperlink>
                    </w:p>
                    <w:p w14:paraId="4ED2B04D" w14:textId="77777777" w:rsidR="00B22F66" w:rsidRDefault="00B22F66" w:rsidP="00CB2802">
                      <w:pPr>
                        <w:rPr>
                          <w:rFonts w:cstheme="minorHAnsi"/>
                          <w:b/>
                          <w:color w:val="1F497D" w:themeColor="text2"/>
                        </w:rPr>
                      </w:pPr>
                      <w:r>
                        <w:rPr>
                          <w:rFonts w:cstheme="minorHAnsi"/>
                          <w:b/>
                          <w:color w:val="1F497D" w:themeColor="text2"/>
                        </w:rPr>
                        <w:t xml:space="preserve">Website: </w:t>
                      </w:r>
                      <w:hyperlink r:id="rId32" w:history="1">
                        <w:r w:rsidRPr="00195C54">
                          <w:rPr>
                            <w:rStyle w:val="Hyperlink"/>
                            <w:rFonts w:cstheme="minorHAnsi"/>
                            <w:b/>
                          </w:rPr>
                          <w:t>http://www.hscic.gov.uk/article/1674/Indicator-Assurance-Service</w:t>
                        </w:r>
                      </w:hyperlink>
                    </w:p>
                  </w:txbxContent>
                </v:textbox>
                <w10:anchorlock/>
              </v:shape>
            </w:pict>
          </mc:Fallback>
        </mc:AlternateContent>
      </w:r>
    </w:p>
    <w:p w14:paraId="1B894713" w14:textId="77777777" w:rsidR="00CB2802" w:rsidRPr="00993442" w:rsidRDefault="00CB2802" w:rsidP="00CB2802">
      <w:pPr>
        <w:rPr>
          <w:b/>
        </w:rPr>
      </w:pPr>
    </w:p>
    <w:p w14:paraId="7C785A4C" w14:textId="77777777" w:rsidR="00CB2802" w:rsidRPr="00993442" w:rsidRDefault="00CB2802" w:rsidP="00CB2802">
      <w:pPr>
        <w:rPr>
          <w:b/>
        </w:rPr>
      </w:pPr>
    </w:p>
    <w:p w14:paraId="10B3B59B" w14:textId="77777777" w:rsidR="00CB2802" w:rsidRPr="00993442" w:rsidRDefault="00CB2802" w:rsidP="00BD69FE">
      <w:pPr>
        <w:rPr>
          <w:b/>
          <w:sz w:val="24"/>
          <w:szCs w:val="24"/>
        </w:rPr>
      </w:pPr>
    </w:p>
    <w:sectPr w:rsidR="00CB2802" w:rsidRPr="00993442" w:rsidSect="00266A7E">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305F2" w14:textId="77777777" w:rsidR="00B22F66" w:rsidRDefault="00B22F66" w:rsidP="00316612">
      <w:r>
        <w:separator/>
      </w:r>
    </w:p>
  </w:endnote>
  <w:endnote w:type="continuationSeparator" w:id="0">
    <w:p w14:paraId="2E9D67A1" w14:textId="77777777" w:rsidR="00B22F66" w:rsidRDefault="00B22F66" w:rsidP="0031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61506761"/>
      <w:docPartObj>
        <w:docPartGallery w:val="Page Numbers (Bottom of Page)"/>
        <w:docPartUnique/>
      </w:docPartObj>
    </w:sdtPr>
    <w:sdtEndPr>
      <w:rPr>
        <w:noProof/>
      </w:rPr>
    </w:sdtEndPr>
    <w:sdtContent>
      <w:p w14:paraId="6F9809CD" w14:textId="4A7B3932" w:rsidR="00B22F66" w:rsidRPr="00B22F66" w:rsidRDefault="00B22F66" w:rsidP="00B22F66">
        <w:pPr>
          <w:tabs>
            <w:tab w:val="left" w:pos="426"/>
            <w:tab w:val="center" w:pos="4513"/>
            <w:tab w:val="right" w:pos="9026"/>
          </w:tabs>
          <w:rPr>
            <w:sz w:val="18"/>
            <w:szCs w:val="18"/>
          </w:rPr>
        </w:pPr>
        <w:r w:rsidRPr="00B22F66">
          <w:rPr>
            <w:sz w:val="18"/>
            <w:szCs w:val="18"/>
          </w:rPr>
          <w:t>IAP000</w:t>
        </w:r>
        <w:r>
          <w:rPr>
            <w:sz w:val="18"/>
            <w:szCs w:val="18"/>
          </w:rPr>
          <w:t>91</w:t>
        </w:r>
        <w:r w:rsidRPr="00B22F66">
          <w:rPr>
            <w:sz w:val="18"/>
            <w:szCs w:val="18"/>
          </w:rPr>
          <w:t xml:space="preserve"> Supporting documentation</w:t>
        </w:r>
      </w:p>
      <w:p w14:paraId="36BCF223" w14:textId="77777777" w:rsidR="00B22F66" w:rsidRPr="00B22F66" w:rsidRDefault="00B22F66" w:rsidP="00B22F66">
        <w:pPr>
          <w:tabs>
            <w:tab w:val="left" w:pos="426"/>
            <w:tab w:val="center" w:pos="4513"/>
            <w:tab w:val="right" w:pos="9026"/>
          </w:tabs>
          <w:rPr>
            <w:sz w:val="18"/>
            <w:szCs w:val="18"/>
          </w:rPr>
        </w:pPr>
        <w:r w:rsidRPr="00B22F66">
          <w:rPr>
            <w:sz w:val="18"/>
            <w:szCs w:val="18"/>
          </w:rPr>
          <w:t>Copyright © 2019 NHS Digital</w:t>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fldChar w:fldCharType="begin"/>
        </w:r>
        <w:r w:rsidRPr="00B22F66">
          <w:rPr>
            <w:sz w:val="18"/>
            <w:szCs w:val="18"/>
          </w:rPr>
          <w:instrText xml:space="preserve"> PAGE   \* MERGEFORMAT </w:instrText>
        </w:r>
        <w:r w:rsidRPr="00B22F66">
          <w:rPr>
            <w:sz w:val="18"/>
            <w:szCs w:val="18"/>
          </w:rPr>
          <w:fldChar w:fldCharType="separate"/>
        </w:r>
        <w:r w:rsidRPr="00B22F66">
          <w:rPr>
            <w:sz w:val="18"/>
            <w:szCs w:val="18"/>
          </w:rPr>
          <w:t>1</w:t>
        </w:r>
        <w:r w:rsidRPr="00B22F66">
          <w:rPr>
            <w:noProof/>
            <w:sz w:val="18"/>
            <w:szCs w:val="18"/>
          </w:rPr>
          <w:fldChar w:fldCharType="end"/>
        </w:r>
      </w:p>
    </w:sdtContent>
  </w:sdt>
  <w:p w14:paraId="6176D6D6" w14:textId="7D2AD771" w:rsidR="00B22F66" w:rsidRPr="00B22F66" w:rsidRDefault="00B22F66" w:rsidP="00B22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EAF2" w14:textId="77777777" w:rsidR="00B22F66" w:rsidRDefault="00B22F66" w:rsidP="00B22F66">
    <w:pPr>
      <w:tabs>
        <w:tab w:val="left" w:pos="426"/>
        <w:tab w:val="center" w:pos="4513"/>
        <w:tab w:val="right" w:pos="9026"/>
      </w:tabs>
    </w:pPr>
    <w:r>
      <w:tab/>
    </w:r>
  </w:p>
  <w:sdt>
    <w:sdtPr>
      <w:rPr>
        <w:sz w:val="18"/>
        <w:szCs w:val="18"/>
      </w:rPr>
      <w:id w:val="717472855"/>
      <w:docPartObj>
        <w:docPartGallery w:val="Page Numbers (Bottom of Page)"/>
        <w:docPartUnique/>
      </w:docPartObj>
    </w:sdtPr>
    <w:sdtEndPr>
      <w:rPr>
        <w:noProof/>
      </w:rPr>
    </w:sdtEndPr>
    <w:sdtContent>
      <w:p w14:paraId="5482846A" w14:textId="3C22EAE3" w:rsidR="00B22F66" w:rsidRPr="00B22F66" w:rsidRDefault="00B22F66" w:rsidP="00B22F66">
        <w:pPr>
          <w:tabs>
            <w:tab w:val="left" w:pos="426"/>
            <w:tab w:val="center" w:pos="4513"/>
            <w:tab w:val="right" w:pos="9026"/>
          </w:tabs>
          <w:rPr>
            <w:sz w:val="18"/>
            <w:szCs w:val="18"/>
          </w:rPr>
        </w:pPr>
        <w:r w:rsidRPr="00B22F66">
          <w:rPr>
            <w:sz w:val="18"/>
            <w:szCs w:val="18"/>
          </w:rPr>
          <w:t>IAP000</w:t>
        </w:r>
        <w:r>
          <w:rPr>
            <w:sz w:val="18"/>
            <w:szCs w:val="18"/>
          </w:rPr>
          <w:t>91</w:t>
        </w:r>
        <w:r w:rsidRPr="00B22F66">
          <w:rPr>
            <w:sz w:val="18"/>
            <w:szCs w:val="18"/>
          </w:rPr>
          <w:t xml:space="preserve"> Supporting documentation</w:t>
        </w:r>
      </w:p>
      <w:p w14:paraId="2E1EC421" w14:textId="77777777" w:rsidR="00B22F66" w:rsidRDefault="00B22F66" w:rsidP="00B22F66">
        <w:pPr>
          <w:tabs>
            <w:tab w:val="left" w:pos="426"/>
            <w:tab w:val="center" w:pos="4513"/>
            <w:tab w:val="right" w:pos="9026"/>
          </w:tabs>
          <w:rPr>
            <w:noProof/>
            <w:sz w:val="18"/>
            <w:szCs w:val="18"/>
          </w:rPr>
        </w:pPr>
        <w:r w:rsidRPr="00B22F66">
          <w:rPr>
            <w:sz w:val="18"/>
            <w:szCs w:val="18"/>
          </w:rPr>
          <w:t>Copyright © 2019 NHS Digital</w:t>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tab/>
        </w:r>
        <w:r w:rsidRPr="00B22F66">
          <w:rPr>
            <w:sz w:val="18"/>
            <w:szCs w:val="18"/>
          </w:rPr>
          <w:fldChar w:fldCharType="begin"/>
        </w:r>
        <w:r w:rsidRPr="00B22F66">
          <w:rPr>
            <w:sz w:val="18"/>
            <w:szCs w:val="18"/>
          </w:rPr>
          <w:instrText xml:space="preserve"> PAGE   \* MERGEFORMAT </w:instrText>
        </w:r>
        <w:r w:rsidRPr="00B22F66">
          <w:rPr>
            <w:sz w:val="18"/>
            <w:szCs w:val="18"/>
          </w:rPr>
          <w:fldChar w:fldCharType="separate"/>
        </w:r>
        <w:r>
          <w:rPr>
            <w:sz w:val="18"/>
            <w:szCs w:val="18"/>
          </w:rPr>
          <w:t>2</w:t>
        </w:r>
        <w:r w:rsidRPr="00B22F66">
          <w:rPr>
            <w:noProof/>
            <w:sz w:val="18"/>
            <w:szCs w:val="18"/>
          </w:rPr>
          <w:fldChar w:fldCharType="end"/>
        </w:r>
      </w:p>
    </w:sdtContent>
  </w:sdt>
  <w:p w14:paraId="48D9D789" w14:textId="6D56F5DC" w:rsidR="00B22F66" w:rsidRDefault="00B22F66" w:rsidP="00B22F66">
    <w:pPr>
      <w:pStyle w:val="Footer"/>
      <w:tabs>
        <w:tab w:val="clear" w:pos="9866"/>
        <w:tab w:val="left" w:pos="41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50CD" w14:textId="77777777" w:rsidR="00B22F66" w:rsidRDefault="00B22F66" w:rsidP="00316612">
      <w:r>
        <w:separator/>
      </w:r>
    </w:p>
  </w:footnote>
  <w:footnote w:type="continuationSeparator" w:id="0">
    <w:p w14:paraId="426C6983" w14:textId="77777777" w:rsidR="00B22F66" w:rsidRDefault="00B22F66" w:rsidP="00316612">
      <w:r>
        <w:continuationSeparator/>
      </w:r>
    </w:p>
  </w:footnote>
  <w:footnote w:id="1">
    <w:p w14:paraId="0F193E64" w14:textId="77777777" w:rsidR="000710BB" w:rsidRPr="002D5BC9" w:rsidRDefault="000710BB" w:rsidP="00CB2802">
      <w:pPr>
        <w:pStyle w:val="FootnoteText"/>
        <w:rPr>
          <w:u w:val="single"/>
        </w:rPr>
      </w:pPr>
      <w:r>
        <w:rPr>
          <w:rStyle w:val="FootnoteReference"/>
        </w:rPr>
        <w:footnoteRef/>
      </w:r>
      <w:r>
        <w:t xml:space="preserve"> </w:t>
      </w:r>
      <w:hyperlink r:id="rId1" w:history="1">
        <w:r w:rsidRPr="002D5BC9">
          <w:rPr>
            <w:rStyle w:val="Hyperlink"/>
          </w:rPr>
          <w:t>Quality Standard for Stroke (QS2), NICE, June 2010, Updated 2016</w:t>
        </w:r>
      </w:hyperlink>
    </w:p>
  </w:footnote>
  <w:footnote w:id="2">
    <w:p w14:paraId="567B2A90" w14:textId="77777777" w:rsidR="000710BB" w:rsidRDefault="000710BB" w:rsidP="00CB2802">
      <w:pPr>
        <w:pStyle w:val="FootnoteText"/>
      </w:pPr>
      <w:r>
        <w:rPr>
          <w:rStyle w:val="FootnoteReference"/>
        </w:rPr>
        <w:footnoteRef/>
      </w:r>
      <w:r>
        <w:t xml:space="preserve"> </w:t>
      </w:r>
      <w:hyperlink r:id="rId2" w:history="1">
        <w:r w:rsidRPr="002D5BC9">
          <w:rPr>
            <w:rStyle w:val="Hyperlink"/>
          </w:rPr>
          <w:t>Sun et al. (2013) A systematic review and meta-analysis of acute stroke unit care: What’s beyond the statistical significance?</w:t>
        </w:r>
      </w:hyperlink>
    </w:p>
  </w:footnote>
  <w:footnote w:id="3">
    <w:p w14:paraId="4E1CC4E8" w14:textId="77777777" w:rsidR="000710BB" w:rsidRDefault="000710BB" w:rsidP="00CB2802">
      <w:pPr>
        <w:pStyle w:val="FootnoteText"/>
      </w:pPr>
      <w:r>
        <w:rPr>
          <w:rStyle w:val="FootnoteReference"/>
        </w:rPr>
        <w:footnoteRef/>
      </w:r>
      <w:r>
        <w:t xml:space="preserve"> </w:t>
      </w:r>
      <w:hyperlink r:id="rId3" w:history="1">
        <w:r w:rsidRPr="002D5BC9">
          <w:rPr>
            <w:rStyle w:val="Hyperlink"/>
          </w:rPr>
          <w:t>American Heart Association, American Stroke Association, Long-Term Survival and Causes of Death After Stroke, May 2001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45E0" w14:textId="32404A5E" w:rsidR="00B22F66" w:rsidRPr="00B22F66" w:rsidRDefault="00B22F66" w:rsidP="00B22F66">
    <w:pPr>
      <w:pStyle w:val="Header"/>
      <w:jc w:val="center"/>
      <w:rPr>
        <w:bCs/>
        <w:color w:val="auto"/>
        <w:sz w:val="24"/>
      </w:rPr>
    </w:pPr>
    <w:r w:rsidRPr="00B22F66">
      <w:rPr>
        <w:b w:val="0"/>
        <w:bCs/>
        <w:color w:val="auto"/>
        <w:sz w:val="24"/>
      </w:rPr>
      <w:t xml:space="preserve"> </w:t>
    </w:r>
    <w:r w:rsidRPr="00B22F66">
      <w:rPr>
        <w:bCs/>
        <w:color w:val="auto"/>
        <w:sz w:val="24"/>
      </w:rPr>
      <w:t>NICE inherited this indicator and all its supporting documentation from NHS Digital on 1 April 2020</w:t>
    </w:r>
  </w:p>
  <w:p w14:paraId="40BAD604" w14:textId="7F66692E" w:rsidR="00B22F66" w:rsidRDefault="00B22F66" w:rsidP="00B22F66"/>
  <w:p w14:paraId="5AB13A35" w14:textId="77777777" w:rsidR="00B22F66" w:rsidRDefault="00B22F66" w:rsidP="00B22F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mn-ea" w:hAnsi="Times New Roman" w:cs="Arial"/>
        <w:b w:val="0"/>
        <w:color w:val="1F497D" w:themeColor="text2"/>
        <w:position w:val="1"/>
        <w:sz w:val="28"/>
        <w:szCs w:val="28"/>
        <w:lang w:eastAsia="en-GB"/>
      </w:rPr>
      <w:id w:val="1162819347"/>
      <w:docPartObj>
        <w:docPartGallery w:val="Watermarks"/>
        <w:docPartUnique/>
      </w:docPartObj>
    </w:sdtPr>
    <w:sdtEndPr>
      <w:rPr>
        <w:b/>
      </w:rPr>
    </w:sdtEndPr>
    <w:sdtContent>
      <w:p w14:paraId="4739780D" w14:textId="77777777" w:rsidR="00B22F66" w:rsidRPr="00B22F66" w:rsidRDefault="005340D1" w:rsidP="00B22F66">
        <w:pPr>
          <w:pStyle w:val="Header"/>
          <w:jc w:val="center"/>
          <w:rPr>
            <w:bCs/>
            <w:color w:val="auto"/>
            <w:sz w:val="24"/>
          </w:rPr>
        </w:pPr>
        <w:r>
          <w:rPr>
            <w:rFonts w:eastAsia="+mn-ea" w:cs="Arial"/>
            <w:b w:val="0"/>
            <w:noProof/>
            <w:color w:val="1F497D" w:themeColor="text2"/>
            <w:position w:val="1"/>
            <w:sz w:val="28"/>
            <w:szCs w:val="28"/>
            <w:lang w:val="en-US" w:eastAsia="zh-TW"/>
          </w:rPr>
          <w:pict w14:anchorId="19410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22F66" w:rsidRPr="00B22F66">
          <w:rPr>
            <w:b w:val="0"/>
            <w:bCs/>
            <w:color w:val="auto"/>
            <w:sz w:val="24"/>
          </w:rPr>
          <w:t xml:space="preserve"> </w:t>
        </w:r>
        <w:r w:rsidR="00B22F66" w:rsidRPr="00B22F66">
          <w:rPr>
            <w:bCs/>
            <w:color w:val="auto"/>
            <w:sz w:val="24"/>
          </w:rPr>
          <w:t>NICE inherited this indicator and all its supporting documentation from NHS Digital on 1 April 2020</w:t>
        </w:r>
      </w:p>
      <w:p w14:paraId="39D390D4" w14:textId="02BF670A" w:rsidR="00B22F66" w:rsidRPr="00574969" w:rsidRDefault="005340D1" w:rsidP="00B22F66">
        <w:pPr>
          <w:pStyle w:val="NormalWeb"/>
          <w:spacing w:before="0" w:beforeAutospacing="0" w:after="0" w:afterAutospacing="0"/>
          <w:rPr>
            <w:rFonts w:ascii="Arial" w:eastAsia="+mn-ea" w:hAnsi="Arial" w:cs="Arial"/>
            <w:b/>
            <w:color w:val="1F497D" w:themeColor="text2"/>
            <w:position w:val="1"/>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733F3"/>
    <w:multiLevelType w:val="hybridMultilevel"/>
    <w:tmpl w:val="DC104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80E77"/>
    <w:multiLevelType w:val="hybridMultilevel"/>
    <w:tmpl w:val="21CA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300C7"/>
    <w:multiLevelType w:val="hybridMultilevel"/>
    <w:tmpl w:val="F626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455A2"/>
    <w:multiLevelType w:val="hybridMultilevel"/>
    <w:tmpl w:val="A39AC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4C64AD"/>
    <w:multiLevelType w:val="hybridMultilevel"/>
    <w:tmpl w:val="17B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E4C1B"/>
    <w:multiLevelType w:val="hybridMultilevel"/>
    <w:tmpl w:val="04962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5C63D7"/>
    <w:multiLevelType w:val="hybridMultilevel"/>
    <w:tmpl w:val="57C0F17C"/>
    <w:lvl w:ilvl="0" w:tplc="B47C7CF0">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A5CBE"/>
    <w:multiLevelType w:val="hybridMultilevel"/>
    <w:tmpl w:val="799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A31755"/>
    <w:multiLevelType w:val="hybridMultilevel"/>
    <w:tmpl w:val="B09244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0"/>
  </w:num>
  <w:num w:numId="3">
    <w:abstractNumId w:val="6"/>
  </w:num>
  <w:num w:numId="4">
    <w:abstractNumId w:val="11"/>
  </w:num>
  <w:num w:numId="5">
    <w:abstractNumId w:val="5"/>
  </w:num>
  <w:num w:numId="6">
    <w:abstractNumId w:val="4"/>
  </w:num>
  <w:num w:numId="7">
    <w:abstractNumId w:val="1"/>
  </w:num>
  <w:num w:numId="8">
    <w:abstractNumId w:val="8"/>
  </w:num>
  <w:num w:numId="9">
    <w:abstractNumId w:val="13"/>
  </w:num>
  <w:num w:numId="10">
    <w:abstractNumId w:val="7"/>
  </w:num>
  <w:num w:numId="11">
    <w:abstractNumId w:val="3"/>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242E0"/>
    <w:rsid w:val="00051764"/>
    <w:rsid w:val="000710BB"/>
    <w:rsid w:val="00074EC7"/>
    <w:rsid w:val="00083F0D"/>
    <w:rsid w:val="00085056"/>
    <w:rsid w:val="00094CFD"/>
    <w:rsid w:val="000A08EE"/>
    <w:rsid w:val="00117176"/>
    <w:rsid w:val="001426AB"/>
    <w:rsid w:val="00161977"/>
    <w:rsid w:val="00173180"/>
    <w:rsid w:val="00196A84"/>
    <w:rsid w:val="001C4E48"/>
    <w:rsid w:val="001D0544"/>
    <w:rsid w:val="00211E7E"/>
    <w:rsid w:val="0021591E"/>
    <w:rsid w:val="00230D71"/>
    <w:rsid w:val="002330DA"/>
    <w:rsid w:val="00266A7E"/>
    <w:rsid w:val="002B3D79"/>
    <w:rsid w:val="002D369C"/>
    <w:rsid w:val="00300D5B"/>
    <w:rsid w:val="00316612"/>
    <w:rsid w:val="00327C29"/>
    <w:rsid w:val="003557C2"/>
    <w:rsid w:val="003964B8"/>
    <w:rsid w:val="003A5F69"/>
    <w:rsid w:val="003E3368"/>
    <w:rsid w:val="003E5D8E"/>
    <w:rsid w:val="003F156D"/>
    <w:rsid w:val="00421BEC"/>
    <w:rsid w:val="00424AEC"/>
    <w:rsid w:val="00425414"/>
    <w:rsid w:val="00430392"/>
    <w:rsid w:val="00441A0A"/>
    <w:rsid w:val="00450AC6"/>
    <w:rsid w:val="00455ABB"/>
    <w:rsid w:val="00457A3D"/>
    <w:rsid w:val="00474130"/>
    <w:rsid w:val="004A536F"/>
    <w:rsid w:val="004C64BB"/>
    <w:rsid w:val="00503EB2"/>
    <w:rsid w:val="00522B95"/>
    <w:rsid w:val="00527810"/>
    <w:rsid w:val="005340D1"/>
    <w:rsid w:val="0057455C"/>
    <w:rsid w:val="005A0891"/>
    <w:rsid w:val="005D7A9D"/>
    <w:rsid w:val="005E2311"/>
    <w:rsid w:val="005F36B2"/>
    <w:rsid w:val="00606204"/>
    <w:rsid w:val="00634715"/>
    <w:rsid w:val="006578F7"/>
    <w:rsid w:val="006645AD"/>
    <w:rsid w:val="006668FB"/>
    <w:rsid w:val="00692944"/>
    <w:rsid w:val="006A54FE"/>
    <w:rsid w:val="006B7F28"/>
    <w:rsid w:val="006E7857"/>
    <w:rsid w:val="006F0E9F"/>
    <w:rsid w:val="006F5172"/>
    <w:rsid w:val="00715102"/>
    <w:rsid w:val="007235D1"/>
    <w:rsid w:val="00724B3F"/>
    <w:rsid w:val="00763298"/>
    <w:rsid w:val="00765861"/>
    <w:rsid w:val="007763C6"/>
    <w:rsid w:val="00791F81"/>
    <w:rsid w:val="007D0CBE"/>
    <w:rsid w:val="007D537B"/>
    <w:rsid w:val="00840994"/>
    <w:rsid w:val="0088122B"/>
    <w:rsid w:val="008A2AC8"/>
    <w:rsid w:val="008D06F5"/>
    <w:rsid w:val="008D37A6"/>
    <w:rsid w:val="008E2BA6"/>
    <w:rsid w:val="008F61E8"/>
    <w:rsid w:val="009664C8"/>
    <w:rsid w:val="009752E7"/>
    <w:rsid w:val="00984012"/>
    <w:rsid w:val="009926C2"/>
    <w:rsid w:val="00993442"/>
    <w:rsid w:val="009A6A53"/>
    <w:rsid w:val="009C59E2"/>
    <w:rsid w:val="009E09DA"/>
    <w:rsid w:val="00A60CBB"/>
    <w:rsid w:val="00A62818"/>
    <w:rsid w:val="00A84449"/>
    <w:rsid w:val="00A8619F"/>
    <w:rsid w:val="00AB42E7"/>
    <w:rsid w:val="00AB5C38"/>
    <w:rsid w:val="00AE3DF6"/>
    <w:rsid w:val="00B22F66"/>
    <w:rsid w:val="00B24AA7"/>
    <w:rsid w:val="00B70B75"/>
    <w:rsid w:val="00B97BEB"/>
    <w:rsid w:val="00BC310E"/>
    <w:rsid w:val="00BD69FE"/>
    <w:rsid w:val="00BF483B"/>
    <w:rsid w:val="00C3717E"/>
    <w:rsid w:val="00C405E9"/>
    <w:rsid w:val="00C54BD2"/>
    <w:rsid w:val="00CB2802"/>
    <w:rsid w:val="00CB4062"/>
    <w:rsid w:val="00CD0F59"/>
    <w:rsid w:val="00CD39AF"/>
    <w:rsid w:val="00D54ADF"/>
    <w:rsid w:val="00D706AB"/>
    <w:rsid w:val="00D70D5E"/>
    <w:rsid w:val="00DA5852"/>
    <w:rsid w:val="00DC2B30"/>
    <w:rsid w:val="00DC46F5"/>
    <w:rsid w:val="00E16A0C"/>
    <w:rsid w:val="00E31A14"/>
    <w:rsid w:val="00E3411D"/>
    <w:rsid w:val="00E34DEE"/>
    <w:rsid w:val="00E3661A"/>
    <w:rsid w:val="00E47E82"/>
    <w:rsid w:val="00E55904"/>
    <w:rsid w:val="00E7285A"/>
    <w:rsid w:val="00E849F1"/>
    <w:rsid w:val="00E87435"/>
    <w:rsid w:val="00E97F15"/>
    <w:rsid w:val="00EB20CD"/>
    <w:rsid w:val="00EF17B6"/>
    <w:rsid w:val="00F01683"/>
    <w:rsid w:val="00F1531F"/>
    <w:rsid w:val="00F236E1"/>
    <w:rsid w:val="00F34EDF"/>
    <w:rsid w:val="00F842B8"/>
    <w:rsid w:val="00FA67EF"/>
    <w:rsid w:val="00FC7AD5"/>
    <w:rsid w:val="00FE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CB2802"/>
    <w:pPr>
      <w:keepNext/>
      <w:spacing w:before="140" w:after="280"/>
      <w:outlineLvl w:val="0"/>
    </w:pPr>
    <w:rPr>
      <w:rFonts w:eastAsia="Times New Roman"/>
      <w:b/>
      <w:bCs/>
      <w:color w:val="4F81BD" w:themeColor="accent1"/>
      <w:spacing w:val="-14"/>
      <w:kern w:val="28"/>
      <w:sz w:val="42"/>
      <w:szCs w:val="32"/>
      <w14:ligatures w14:val="standardContextual"/>
    </w:rPr>
  </w:style>
  <w:style w:type="paragraph" w:styleId="Heading2">
    <w:name w:val="heading 2"/>
    <w:next w:val="Normal"/>
    <w:link w:val="Heading2Char"/>
    <w:autoRedefine/>
    <w:qFormat/>
    <w:rsid w:val="00CB2802"/>
    <w:pPr>
      <w:keepNext/>
      <w:spacing w:before="70" w:after="140"/>
      <w:outlineLvl w:val="1"/>
    </w:pPr>
    <w:rPr>
      <w:rFonts w:eastAsia="MS Mincho" w:cs="Times New Roman"/>
      <w:b/>
      <w:color w:val="4F81BD" w:themeColor="accent1"/>
      <w:spacing w:val="-8"/>
      <w:kern w:val="28"/>
      <w:sz w:val="35"/>
      <w:szCs w:val="28"/>
      <w14:ligatures w14:val="standardContextual"/>
    </w:rPr>
  </w:style>
  <w:style w:type="paragraph" w:styleId="Heading3">
    <w:name w:val="heading 3"/>
    <w:basedOn w:val="Heading2"/>
    <w:next w:val="Normal"/>
    <w:link w:val="Heading3Char"/>
    <w:autoRedefine/>
    <w:qFormat/>
    <w:rsid w:val="00CB2802"/>
    <w:pPr>
      <w:outlineLvl w:val="2"/>
    </w:pPr>
    <w:rPr>
      <w:rFonts w:cs="Arial"/>
      <w:bCs/>
      <w:sz w:val="28"/>
      <w:szCs w:val="26"/>
    </w:rPr>
  </w:style>
  <w:style w:type="paragraph" w:styleId="Heading4">
    <w:name w:val="heading 4"/>
    <w:basedOn w:val="Normal"/>
    <w:next w:val="Normal"/>
    <w:link w:val="Heading4Char"/>
    <w:qFormat/>
    <w:rsid w:val="00CB2802"/>
    <w:pPr>
      <w:keepNext/>
      <w:spacing w:before="70" w:after="70"/>
      <w:textboxTightWrap w:val="lastLineOnly"/>
      <w:outlineLvl w:val="3"/>
    </w:pPr>
    <w:rPr>
      <w:rFonts w:eastAsia="Times New Roman"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character" w:styleId="FootnoteReference">
    <w:name w:val="footnote reference"/>
    <w:basedOn w:val="DefaultParagraphFont"/>
    <w:uiPriority w:val="99"/>
    <w:unhideWhenUsed/>
    <w:rsid w:val="00316612"/>
    <w:rPr>
      <w:vertAlign w:val="superscript"/>
    </w:rPr>
  </w:style>
  <w:style w:type="paragraph" w:styleId="FootnoteText">
    <w:name w:val="footnote text"/>
    <w:basedOn w:val="Normal"/>
    <w:link w:val="FootnoteTextChar"/>
    <w:uiPriority w:val="99"/>
    <w:unhideWhenUsed/>
    <w:rsid w:val="00316612"/>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uiPriority w:val="99"/>
    <w:rsid w:val="00316612"/>
    <w:rPr>
      <w:rFonts w:eastAsia="Times New Roman" w:cs="Times New Roman"/>
      <w:sz w:val="20"/>
      <w:szCs w:val="20"/>
    </w:rPr>
  </w:style>
  <w:style w:type="character" w:customStyle="1" w:styleId="Heading1Char">
    <w:name w:val="Heading 1 Char"/>
    <w:basedOn w:val="DefaultParagraphFont"/>
    <w:link w:val="Heading1"/>
    <w:rsid w:val="00CB2802"/>
    <w:rPr>
      <w:rFonts w:eastAsia="Times New Roman"/>
      <w:b/>
      <w:bCs/>
      <w:color w:val="4F81BD" w:themeColor="accent1"/>
      <w:spacing w:val="-14"/>
      <w:kern w:val="28"/>
      <w:sz w:val="42"/>
      <w:szCs w:val="32"/>
      <w14:ligatures w14:val="standardContextual"/>
    </w:rPr>
  </w:style>
  <w:style w:type="character" w:customStyle="1" w:styleId="Heading2Char">
    <w:name w:val="Heading 2 Char"/>
    <w:basedOn w:val="DefaultParagraphFont"/>
    <w:link w:val="Heading2"/>
    <w:rsid w:val="00CB2802"/>
    <w:rPr>
      <w:rFonts w:eastAsia="MS Mincho" w:cs="Times New Roman"/>
      <w:b/>
      <w:color w:val="4F81BD" w:themeColor="accent1"/>
      <w:spacing w:val="-8"/>
      <w:kern w:val="28"/>
      <w:sz w:val="35"/>
      <w:szCs w:val="28"/>
      <w14:ligatures w14:val="standardContextual"/>
    </w:rPr>
  </w:style>
  <w:style w:type="character" w:customStyle="1" w:styleId="Heading3Char">
    <w:name w:val="Heading 3 Char"/>
    <w:basedOn w:val="DefaultParagraphFont"/>
    <w:link w:val="Heading3"/>
    <w:rsid w:val="00CB2802"/>
    <w:rPr>
      <w:rFonts w:eastAsia="MS Mincho"/>
      <w:b/>
      <w:bCs/>
      <w:color w:val="4F81BD" w:themeColor="accent1"/>
      <w:spacing w:val="-8"/>
      <w:kern w:val="28"/>
      <w:sz w:val="28"/>
      <w:szCs w:val="26"/>
      <w14:ligatures w14:val="standardContextual"/>
    </w:rPr>
  </w:style>
  <w:style w:type="character" w:customStyle="1" w:styleId="Heading4Char">
    <w:name w:val="Heading 4 Char"/>
    <w:basedOn w:val="DefaultParagraphFont"/>
    <w:link w:val="Heading4"/>
    <w:rsid w:val="00CB2802"/>
    <w:rPr>
      <w:rFonts w:eastAsia="Times New Roman" w:cs="Times New Roman"/>
      <w:b/>
      <w:color w:val="4F81BD" w:themeColor="accent1"/>
      <w:sz w:val="24"/>
      <w:szCs w:val="20"/>
    </w:rPr>
  </w:style>
  <w:style w:type="paragraph" w:customStyle="1" w:styleId="Bulletlist">
    <w:name w:val="Bullet list"/>
    <w:basedOn w:val="ListParagraph"/>
    <w:link w:val="BulletlistChar"/>
    <w:autoRedefine/>
    <w:qFormat/>
    <w:rsid w:val="00CB2802"/>
    <w:pPr>
      <w:numPr>
        <w:numId w:val="7"/>
      </w:numPr>
      <w:autoSpaceDE w:val="0"/>
      <w:autoSpaceDN w:val="0"/>
      <w:adjustRightInd w:val="0"/>
      <w:spacing w:after="140" w:line="240" w:lineRule="auto"/>
      <w:ind w:left="510" w:hanging="510"/>
      <w:contextualSpacing w:val="0"/>
    </w:pPr>
    <w:rPr>
      <w:rFonts w:ascii="Arial" w:eastAsia="Times New Roman" w:hAnsi="Arial" w:cs="FrutigerLTStd-Light"/>
      <w:sz w:val="24"/>
    </w:rPr>
  </w:style>
  <w:style w:type="character" w:customStyle="1" w:styleId="BulletlistChar">
    <w:name w:val="Bullet list Char"/>
    <w:basedOn w:val="DefaultParagraphFont"/>
    <w:link w:val="Bulletlist"/>
    <w:rsid w:val="00CB2802"/>
    <w:rPr>
      <w:rFonts w:eastAsia="Times New Roman" w:cs="FrutigerLTStd-Light"/>
      <w:sz w:val="24"/>
    </w:rPr>
  </w:style>
  <w:style w:type="paragraph" w:customStyle="1" w:styleId="Footnote-hanging">
    <w:name w:val="Footnote - hanging"/>
    <w:basedOn w:val="Bulletlist"/>
    <w:link w:val="Footnote-hangingChar"/>
    <w:qFormat/>
    <w:rsid w:val="00CB2802"/>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CB2802"/>
    <w:rPr>
      <w:rFonts w:eastAsia="Times New Roman" w:cs="FrutigerLTStd-Light"/>
      <w:sz w:val="18"/>
      <w:szCs w:val="18"/>
    </w:rPr>
  </w:style>
  <w:style w:type="paragraph" w:customStyle="1" w:styleId="Standfirst">
    <w:name w:val="Standfirst"/>
    <w:basedOn w:val="Heading4"/>
    <w:link w:val="StandfirstChar"/>
    <w:autoRedefine/>
    <w:qFormat/>
    <w:rsid w:val="00CB2802"/>
    <w:pPr>
      <w:spacing w:before="0" w:after="140" w:line="420" w:lineRule="atLeast"/>
    </w:pPr>
    <w:rPr>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CB2802"/>
    <w:rPr>
      <w:rFonts w:eastAsia="Times New Roman" w:cs="Times New Roman"/>
      <w:b/>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CB2802"/>
    <w:pPr>
      <w:pBdr>
        <w:top w:val="single" w:sz="4" w:space="4" w:color="D6E3BC" w:themeColor="accent3" w:themeTint="66"/>
        <w:bottom w:val="single" w:sz="4" w:space="4" w:color="D6E3BC" w:themeColor="accent3" w:themeTint="66"/>
      </w:pBdr>
      <w:tabs>
        <w:tab w:val="right" w:pos="9854"/>
      </w:tabs>
      <w:spacing w:after="140"/>
      <w:textboxTightWrap w:val="lastLineOnly"/>
    </w:pPr>
    <w:rPr>
      <w:rFonts w:eastAsia="Times New Roman" w:cs="Times New Roman"/>
      <w:b/>
      <w:noProof/>
      <w:color w:val="4F81BD" w:themeColor="accent1"/>
      <w:sz w:val="28"/>
      <w:szCs w:val="24"/>
    </w:rPr>
  </w:style>
  <w:style w:type="paragraph" w:styleId="TOCHeading">
    <w:name w:val="TOC Heading"/>
    <w:basedOn w:val="Heading1"/>
    <w:next w:val="Normal"/>
    <w:uiPriority w:val="39"/>
    <w:unhideWhenUsed/>
    <w:qFormat/>
    <w:rsid w:val="00CB2802"/>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CB2802"/>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CB2802"/>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CB2802"/>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CB2802"/>
    <w:rPr>
      <w:rFonts w:eastAsia="Times New Roman" w:cs="Times New Roman"/>
      <w:b/>
      <w:color w:val="4F81BD" w:themeColor="accent1"/>
      <w:sz w:val="35"/>
      <w:szCs w:val="42"/>
    </w:rPr>
  </w:style>
  <w:style w:type="paragraph" w:customStyle="1" w:styleId="Footnoteseparator">
    <w:name w:val="Footnote_separator"/>
    <w:basedOn w:val="Heading3"/>
    <w:link w:val="FootnoteseparatorChar"/>
    <w:rsid w:val="00CB2802"/>
    <w:rPr>
      <w:noProof/>
      <w:w w:val="200"/>
      <w:sz w:val="16"/>
      <w:szCs w:val="16"/>
    </w:rPr>
  </w:style>
  <w:style w:type="character" w:customStyle="1" w:styleId="FootnoteseparatorChar">
    <w:name w:val="Footnote_separator Char"/>
    <w:basedOn w:val="Heading3Char"/>
    <w:link w:val="Footnoteseparator"/>
    <w:rsid w:val="00CB2802"/>
    <w:rPr>
      <w:rFonts w:eastAsia="MS Mincho"/>
      <w:b/>
      <w:bCs/>
      <w:noProof/>
      <w:color w:val="4F81BD"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CB2802"/>
    <w:pPr>
      <w:spacing w:after="140" w:line="240" w:lineRule="auto"/>
      <w:ind w:left="510" w:hanging="510"/>
      <w:contextualSpacing w:val="0"/>
      <w:textboxTightWrap w:val="lastLineOnly"/>
    </w:pPr>
    <w:rPr>
      <w:rFonts w:ascii="Arial" w:eastAsia="Times New Roman" w:hAnsi="Arial" w:cs="Times New Roman"/>
      <w:sz w:val="24"/>
      <w:szCs w:val="24"/>
    </w:rPr>
  </w:style>
  <w:style w:type="character" w:customStyle="1" w:styleId="NumberedlistChar">
    <w:name w:val="Numbered list Char"/>
    <w:basedOn w:val="DefaultParagraphFont"/>
    <w:link w:val="Numberedlist"/>
    <w:rsid w:val="00CB2802"/>
    <w:rPr>
      <w:rFonts w:eastAsia="Times New Roman" w:cs="Times New Roman"/>
      <w:sz w:val="24"/>
      <w:szCs w:val="24"/>
    </w:rPr>
  </w:style>
  <w:style w:type="paragraph" w:styleId="TOC2">
    <w:name w:val="toc 2"/>
    <w:basedOn w:val="Normal"/>
    <w:next w:val="Normal"/>
    <w:autoRedefine/>
    <w:uiPriority w:val="39"/>
    <w:unhideWhenUsed/>
    <w:qFormat/>
    <w:rsid w:val="00CB2802"/>
    <w:pPr>
      <w:spacing w:after="100"/>
      <w:ind w:left="220"/>
      <w:textboxTightWrap w:val="lastLineOnly"/>
    </w:pPr>
    <w:rPr>
      <w:rFonts w:eastAsia="Times New Roman" w:cs="Times New Roman"/>
      <w:sz w:val="24"/>
      <w:szCs w:val="24"/>
    </w:rPr>
  </w:style>
  <w:style w:type="paragraph" w:styleId="TOC3">
    <w:name w:val="toc 3"/>
    <w:basedOn w:val="Normal"/>
    <w:next w:val="Normal"/>
    <w:autoRedefine/>
    <w:uiPriority w:val="39"/>
    <w:semiHidden/>
    <w:unhideWhenUsed/>
    <w:qFormat/>
    <w:rsid w:val="00CB2802"/>
    <w:pPr>
      <w:spacing w:after="100" w:line="276" w:lineRule="auto"/>
      <w:ind w:left="440"/>
    </w:pPr>
    <w:rPr>
      <w:rFonts w:asciiTheme="minorHAnsi" w:eastAsiaTheme="minorEastAsia" w:hAnsiTheme="minorHAnsi" w:cstheme="minorBidi"/>
      <w:sz w:val="24"/>
      <w:lang w:val="en-US" w:eastAsia="ja-JP"/>
    </w:rPr>
  </w:style>
  <w:style w:type="paragraph" w:styleId="Header">
    <w:name w:val="header"/>
    <w:basedOn w:val="Normal"/>
    <w:link w:val="HeaderChar"/>
    <w:uiPriority w:val="99"/>
    <w:unhideWhenUsed/>
    <w:qFormat/>
    <w:rsid w:val="00CB2802"/>
    <w:pPr>
      <w:pBdr>
        <w:bottom w:val="single" w:sz="6" w:space="4" w:color="9BBB59" w:themeColor="accent3"/>
      </w:pBdr>
      <w:tabs>
        <w:tab w:val="left" w:pos="9639"/>
      </w:tabs>
      <w:textboxTightWrap w:val="lastLineOnly"/>
    </w:pPr>
    <w:rPr>
      <w:rFonts w:eastAsia="Times New Roman" w:cs="Times New Roman"/>
      <w:b/>
      <w:color w:val="9BBB59" w:themeColor="accent3"/>
      <w:sz w:val="20"/>
      <w:szCs w:val="24"/>
    </w:rPr>
  </w:style>
  <w:style w:type="character" w:customStyle="1" w:styleId="HeaderChar">
    <w:name w:val="Header Char"/>
    <w:basedOn w:val="DefaultParagraphFont"/>
    <w:link w:val="Header"/>
    <w:uiPriority w:val="99"/>
    <w:rsid w:val="00CB2802"/>
    <w:rPr>
      <w:rFonts w:eastAsia="Times New Roman" w:cs="Times New Roman"/>
      <w:b/>
      <w:color w:val="9BBB59" w:themeColor="accent3"/>
      <w:sz w:val="20"/>
      <w:szCs w:val="24"/>
    </w:rPr>
  </w:style>
  <w:style w:type="paragraph" w:styleId="Footer">
    <w:name w:val="footer"/>
    <w:basedOn w:val="Normal"/>
    <w:link w:val="FooterChar"/>
    <w:autoRedefine/>
    <w:uiPriority w:val="99"/>
    <w:unhideWhenUsed/>
    <w:qFormat/>
    <w:rsid w:val="00CB2802"/>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CB2802"/>
    <w:rPr>
      <w:rFonts w:eastAsia="Times New Roman" w:cs="Times New Roman"/>
      <w:color w:val="9BBB59" w:themeColor="accent3"/>
      <w:sz w:val="17"/>
      <w:szCs w:val="24"/>
    </w:rPr>
  </w:style>
  <w:style w:type="character" w:styleId="Strong">
    <w:name w:val="Strong"/>
    <w:aliases w:val="Bold"/>
    <w:qFormat/>
    <w:rsid w:val="00CB2802"/>
    <w:rPr>
      <w:rFonts w:asciiTheme="minorHAnsi" w:hAnsiTheme="minorHAnsi"/>
      <w:b/>
      <w:bCs/>
    </w:rPr>
  </w:style>
  <w:style w:type="paragraph" w:styleId="Quote">
    <w:name w:val="Quote"/>
    <w:basedOn w:val="Normal"/>
    <w:next w:val="Normal"/>
    <w:link w:val="QuoteChar"/>
    <w:uiPriority w:val="29"/>
    <w:qFormat/>
    <w:rsid w:val="00CB2802"/>
    <w:pPr>
      <w:spacing w:before="70" w:after="70"/>
      <w:textboxTightWrap w:val="lastLineOnly"/>
    </w:pPr>
    <w:rPr>
      <w:rFonts w:ascii="Goudy Old Style" w:eastAsia="Times New Roman" w:hAnsi="Goudy Old Style" w:cs="Times New Roman"/>
      <w:i/>
      <w:iCs/>
      <w:color w:val="4F81BD" w:themeColor="accent1"/>
      <w:sz w:val="35"/>
      <w:szCs w:val="24"/>
    </w:rPr>
  </w:style>
  <w:style w:type="character" w:customStyle="1" w:styleId="QuoteChar">
    <w:name w:val="Quote Char"/>
    <w:basedOn w:val="DefaultParagraphFont"/>
    <w:link w:val="Quote"/>
    <w:uiPriority w:val="29"/>
    <w:rsid w:val="00CB2802"/>
    <w:rPr>
      <w:rFonts w:ascii="Goudy Old Style" w:eastAsia="Times New Roman" w:hAnsi="Goudy Old Style" w:cs="Times New Roman"/>
      <w:i/>
      <w:iCs/>
      <w:color w:val="4F81BD" w:themeColor="accent1"/>
      <w:sz w:val="35"/>
      <w:szCs w:val="24"/>
    </w:rPr>
  </w:style>
  <w:style w:type="table" w:customStyle="1" w:styleId="TableGrid1">
    <w:name w:val="Table Grid1"/>
    <w:basedOn w:val="TableNormal"/>
    <w:next w:val="TableGrid"/>
    <w:uiPriority w:val="59"/>
    <w:rsid w:val="00CB28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2802"/>
    <w:rPr>
      <w:color w:val="808080"/>
    </w:rPr>
  </w:style>
  <w:style w:type="paragraph" w:styleId="NormalWeb">
    <w:name w:val="Normal (Web)"/>
    <w:basedOn w:val="Normal"/>
    <w:uiPriority w:val="99"/>
    <w:unhideWhenUsed/>
    <w:rsid w:val="00CB280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1"/>
    <w:basedOn w:val="DefaultParagraphFont"/>
    <w:uiPriority w:val="1"/>
    <w:rsid w:val="00CB2802"/>
    <w:rPr>
      <w:rFonts w:ascii="Arial" w:hAnsi="Arial"/>
      <w:b w:val="0"/>
      <w:color w:val="1F497D" w:themeColor="text2"/>
      <w:sz w:val="28"/>
    </w:rPr>
  </w:style>
  <w:style w:type="paragraph" w:styleId="NoSpacing">
    <w:name w:val="No Spacing"/>
    <w:link w:val="NoSpacingChar"/>
    <w:uiPriority w:val="1"/>
    <w:qFormat/>
    <w:rsid w:val="00CB2802"/>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CB2802"/>
    <w:rPr>
      <w:rFonts w:asciiTheme="minorHAnsi" w:eastAsiaTheme="minorEastAsia" w:hAnsiTheme="minorHAnsi" w:cstheme="minorBidi"/>
      <w:lang w:val="en-US" w:eastAsia="ja-JP"/>
    </w:rPr>
  </w:style>
  <w:style w:type="table" w:customStyle="1" w:styleId="TableGrid2">
    <w:name w:val="Table Grid2"/>
    <w:basedOn w:val="TableNormal"/>
    <w:next w:val="TableGrid"/>
    <w:rsid w:val="00B2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rokeaudit.org/Documents/National/Clinical/AugNov2016/AugNov2016-PublicReport.aspx" TargetMode="External"/><Relationship Id="rId18" Type="http://schemas.openxmlformats.org/officeDocument/2006/relationships/hyperlink" Target="mailto:enquiries@hscic.gov.uk" TargetMode="External"/><Relationship Id="rId26" Type="http://schemas.openxmlformats.org/officeDocument/2006/relationships/hyperlink" Target="https://www.strokeaudit.org/Documents/Results/National/OctDec2014/OctDec2014-PublicReport.aspx"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hyperlink" Target="https://www.strokeaudit.org/Documents/AnnualReport/2015-16-SSNAP-Annual-Report.aspx" TargetMode="External"/><Relationship Id="rId17" Type="http://schemas.openxmlformats.org/officeDocument/2006/relationships/hyperlink" Target="https://indicators.hscic.gov.uk/webview/" TargetMode="External"/><Relationship Id="rId25" Type="http://schemas.openxmlformats.org/officeDocument/2006/relationships/hyperlink" Target="https://www.strokeaudit.org/Documents/Newspress/SSNAP-Annual-Report-(April-2013-March-2014).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rokeaudit.org/results/Clinical-audit/National-Results.aspx" TargetMode="External"/><Relationship Id="rId20" Type="http://schemas.openxmlformats.org/officeDocument/2006/relationships/image" Target="media/image3.png"/><Relationship Id="rId29" Type="http://schemas.openxmlformats.org/officeDocument/2006/relationships/hyperlink" Target="mailto:indicator.assurance@hscic.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25293667" TargetMode="External"/><Relationship Id="rId24" Type="http://schemas.openxmlformats.org/officeDocument/2006/relationships/hyperlink" Target="http://www.ncbi.nlm.nih.gov/pubmed/25293667" TargetMode="External"/><Relationship Id="rId32" Type="http://schemas.openxmlformats.org/officeDocument/2006/relationships/hyperlink" Target="http://www.hscic.gov.uk/article/1674/Indicator-Assurance-Service"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indicators.ic.nhs.uk/webview/index.jsp?v=2&amp;submode=ddi&amp;study=http%3A%2F%2Fhg-l-app-472.ic.green.net%3A80%2Fobj%2FfStudy%2FP00811&amp;mode=documentation&amp;top=yes" TargetMode="External"/><Relationship Id="rId10" Type="http://schemas.openxmlformats.org/officeDocument/2006/relationships/image" Target="media/image1.png"/><Relationship Id="rId19" Type="http://schemas.openxmlformats.org/officeDocument/2006/relationships/hyperlink" Target="mailto:ccgois@hscic.gov.uk" TargetMode="External"/><Relationship Id="rId31" Type="http://schemas.openxmlformats.org/officeDocument/2006/relationships/hyperlink" Target="mailto:indicator.assurance@hscic.gov.uk" TargetMode="External"/><Relationship Id="rId4" Type="http://schemas.openxmlformats.org/officeDocument/2006/relationships/webSettings" Target="webSettings.xml"/><Relationship Id="rId9" Type="http://schemas.openxmlformats.org/officeDocument/2006/relationships/hyperlink" Target="http://www.rcplondon.ac.uk/projects/sentinel-stroke-national-audit-programme" TargetMode="External"/><Relationship Id="rId14" Type="http://schemas.openxmlformats.org/officeDocument/2006/relationships/hyperlink" Target="https://indicators.hscic.gov.uk/webview/" TargetMode="External"/><Relationship Id="rId22" Type="http://schemas.openxmlformats.org/officeDocument/2006/relationships/header" Target="header2.xml"/><Relationship Id="rId27" Type="http://schemas.openxmlformats.org/officeDocument/2006/relationships/hyperlink" Target="http://www.ncbi.nlm.nih.gov/pubmed/25293667" TargetMode="External"/><Relationship Id="rId30" Type="http://schemas.openxmlformats.org/officeDocument/2006/relationships/hyperlink" Target="http://www.hscic.gov.uk/article/1674/Indicator-Assurance-Servic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oke.ahajournals.org/content/32/9/2131.full" TargetMode="External"/><Relationship Id="rId2" Type="http://schemas.openxmlformats.org/officeDocument/2006/relationships/hyperlink" Target="http://bmcmedresmethodol.biomedcentral.com/articles/10.1186/1471-2288-13-132" TargetMode="External"/><Relationship Id="rId1" Type="http://schemas.openxmlformats.org/officeDocument/2006/relationships/hyperlink" Target="https://www.nice.org.uk/guidance/qs2/chapter/Introduc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9AD779B064898903B38A7C98930A4"/>
        <w:category>
          <w:name w:val="General"/>
          <w:gallery w:val="placeholder"/>
        </w:category>
        <w:types>
          <w:type w:val="bbPlcHdr"/>
        </w:types>
        <w:behaviors>
          <w:behavior w:val="content"/>
        </w:behaviors>
        <w:guid w:val="{B2F24780-7A5B-4BC3-A288-4ED8390EAC1E}"/>
      </w:docPartPr>
      <w:docPartBody>
        <w:p w:rsidR="00BF34AB" w:rsidRDefault="003745A1" w:rsidP="003745A1">
          <w:pPr>
            <w:pStyle w:val="2B09AD779B064898903B38A7C98930A4"/>
          </w:pPr>
          <w:r w:rsidRPr="00195C54">
            <w:rPr>
              <w:rStyle w:val="PlaceholderText"/>
            </w:rPr>
            <w:t>Choose an item.</w:t>
          </w:r>
        </w:p>
      </w:docPartBody>
    </w:docPart>
    <w:docPart>
      <w:docPartPr>
        <w:name w:val="ACB16FF446884810995C7BB5A986E4E8"/>
        <w:category>
          <w:name w:val="General"/>
          <w:gallery w:val="placeholder"/>
        </w:category>
        <w:types>
          <w:type w:val="bbPlcHdr"/>
        </w:types>
        <w:behaviors>
          <w:behavior w:val="content"/>
        </w:behaviors>
        <w:guid w:val="{8FD0CAB9-9D87-47B7-8417-B96226C68A71}"/>
      </w:docPartPr>
      <w:docPartBody>
        <w:p w:rsidR="00BF34AB" w:rsidRDefault="003745A1" w:rsidP="003745A1">
          <w:pPr>
            <w:pStyle w:val="ACB16FF446884810995C7BB5A986E4E8"/>
          </w:pPr>
          <w:r w:rsidRPr="00195C54">
            <w:rPr>
              <w:rStyle w:val="PlaceholderText"/>
            </w:rPr>
            <w:t>Click here to enter a date.</w:t>
          </w:r>
        </w:p>
      </w:docPartBody>
    </w:docPart>
    <w:docPart>
      <w:docPartPr>
        <w:name w:val="F8CB101A222C4ADD95CE8FEABD240841"/>
        <w:category>
          <w:name w:val="General"/>
          <w:gallery w:val="placeholder"/>
        </w:category>
        <w:types>
          <w:type w:val="bbPlcHdr"/>
        </w:types>
        <w:behaviors>
          <w:behavior w:val="content"/>
        </w:behaviors>
        <w:guid w:val="{AA4D92F2-293D-48DA-A1C8-841310969FB0}"/>
      </w:docPartPr>
      <w:docPartBody>
        <w:p w:rsidR="00BF34AB" w:rsidRDefault="003745A1" w:rsidP="003745A1">
          <w:pPr>
            <w:pStyle w:val="F8CB101A222C4ADD95CE8FEABD240841"/>
          </w:pPr>
          <w:r w:rsidRPr="00775F76">
            <w:rPr>
              <w:rStyle w:val="PlaceholderText"/>
            </w:rPr>
            <w:t>Click here to enter a date.</w:t>
          </w:r>
        </w:p>
      </w:docPartBody>
    </w:docPart>
    <w:docPart>
      <w:docPartPr>
        <w:name w:val="7A4564B78003449AB4635D48A6752EFE"/>
        <w:category>
          <w:name w:val="General"/>
          <w:gallery w:val="placeholder"/>
        </w:category>
        <w:types>
          <w:type w:val="bbPlcHdr"/>
        </w:types>
        <w:behaviors>
          <w:behavior w:val="content"/>
        </w:behaviors>
        <w:guid w:val="{D6204566-3085-46B7-8A35-00937FD58335}"/>
      </w:docPartPr>
      <w:docPartBody>
        <w:p w:rsidR="00BF34AB" w:rsidRDefault="003745A1" w:rsidP="003745A1">
          <w:pPr>
            <w:pStyle w:val="7A4564B78003449AB4635D48A6752EFE"/>
          </w:pPr>
          <w:r w:rsidRPr="00775F76">
            <w:rPr>
              <w:rStyle w:val="PlaceholderText"/>
            </w:rPr>
            <w:t>Choose an item.</w:t>
          </w:r>
        </w:p>
      </w:docPartBody>
    </w:docPart>
    <w:docPart>
      <w:docPartPr>
        <w:name w:val="228CF3B3C6AE451BA9BD056E1FE34263"/>
        <w:category>
          <w:name w:val="General"/>
          <w:gallery w:val="placeholder"/>
        </w:category>
        <w:types>
          <w:type w:val="bbPlcHdr"/>
        </w:types>
        <w:behaviors>
          <w:behavior w:val="content"/>
        </w:behaviors>
        <w:guid w:val="{08B90C84-DE32-4DD6-AB4C-38219FB2AF52}"/>
      </w:docPartPr>
      <w:docPartBody>
        <w:p w:rsidR="00BF34AB" w:rsidRDefault="003745A1" w:rsidP="003745A1">
          <w:pPr>
            <w:pStyle w:val="228CF3B3C6AE451BA9BD056E1FE34263"/>
          </w:pPr>
          <w:r w:rsidRPr="00775F76">
            <w:rPr>
              <w:rStyle w:val="PlaceholderText"/>
            </w:rPr>
            <w:t>Choose an item.</w:t>
          </w:r>
        </w:p>
      </w:docPartBody>
    </w:docPart>
    <w:docPart>
      <w:docPartPr>
        <w:name w:val="FFA2CAD1191A40BEAD32D5593C459F01"/>
        <w:category>
          <w:name w:val="General"/>
          <w:gallery w:val="placeholder"/>
        </w:category>
        <w:types>
          <w:type w:val="bbPlcHdr"/>
        </w:types>
        <w:behaviors>
          <w:behavior w:val="content"/>
        </w:behaviors>
        <w:guid w:val="{5BADC0FF-592E-400E-939F-9615A8A8B96C}"/>
      </w:docPartPr>
      <w:docPartBody>
        <w:p w:rsidR="00BF34AB" w:rsidRDefault="003745A1" w:rsidP="003745A1">
          <w:pPr>
            <w:pStyle w:val="FFA2CAD1191A40BEAD32D5593C459F01"/>
          </w:pPr>
          <w:r w:rsidRPr="00775F76">
            <w:rPr>
              <w:rStyle w:val="PlaceholderText"/>
            </w:rPr>
            <w:t>Click here to enter a date.</w:t>
          </w:r>
        </w:p>
      </w:docPartBody>
    </w:docPart>
    <w:docPart>
      <w:docPartPr>
        <w:name w:val="EA9A9B2C0AE748DC8826A4FDCFD4EDD9"/>
        <w:category>
          <w:name w:val="General"/>
          <w:gallery w:val="placeholder"/>
        </w:category>
        <w:types>
          <w:type w:val="bbPlcHdr"/>
        </w:types>
        <w:behaviors>
          <w:behavior w:val="content"/>
        </w:behaviors>
        <w:guid w:val="{FC1E17C1-5023-44A9-85C9-EF9B56075947}"/>
      </w:docPartPr>
      <w:docPartBody>
        <w:p w:rsidR="00BF34AB" w:rsidRDefault="003745A1" w:rsidP="003745A1">
          <w:pPr>
            <w:pStyle w:val="EA9A9B2C0AE748DC8826A4FDCFD4EDD9"/>
          </w:pPr>
          <w:r w:rsidRPr="00195C54">
            <w:rPr>
              <w:rStyle w:val="PlaceholderText"/>
            </w:rPr>
            <w:t>Choose an item.</w:t>
          </w:r>
        </w:p>
      </w:docPartBody>
    </w:docPart>
    <w:docPart>
      <w:docPartPr>
        <w:name w:val="377BDBCEE19F47AF8C34936FF140D11F"/>
        <w:category>
          <w:name w:val="General"/>
          <w:gallery w:val="placeholder"/>
        </w:category>
        <w:types>
          <w:type w:val="bbPlcHdr"/>
        </w:types>
        <w:behaviors>
          <w:behavior w:val="content"/>
        </w:behaviors>
        <w:guid w:val="{BDF1A7C9-553D-4AB9-88E3-F1F92982A0EC}"/>
      </w:docPartPr>
      <w:docPartBody>
        <w:p w:rsidR="00BF34AB" w:rsidRDefault="003745A1" w:rsidP="003745A1">
          <w:pPr>
            <w:pStyle w:val="377BDBCEE19F47AF8C34936FF140D11F"/>
          </w:pPr>
          <w:r w:rsidRPr="00775F76">
            <w:rPr>
              <w:rStyle w:val="PlaceholderText"/>
            </w:rPr>
            <w:t>Choose an item.</w:t>
          </w:r>
        </w:p>
      </w:docPartBody>
    </w:docPart>
    <w:docPart>
      <w:docPartPr>
        <w:name w:val="D22511886D5543A986EA254C373C5DBC"/>
        <w:category>
          <w:name w:val="General"/>
          <w:gallery w:val="placeholder"/>
        </w:category>
        <w:types>
          <w:type w:val="bbPlcHdr"/>
        </w:types>
        <w:behaviors>
          <w:behavior w:val="content"/>
        </w:behaviors>
        <w:guid w:val="{DFA04CCD-3BB2-4C3D-ADE2-29D498F297B1}"/>
      </w:docPartPr>
      <w:docPartBody>
        <w:p w:rsidR="003171BE" w:rsidRDefault="00BF34AB" w:rsidP="00BF34AB">
          <w:pPr>
            <w:pStyle w:val="D22511886D5543A986EA254C373C5DBC"/>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A1"/>
    <w:rsid w:val="003171BE"/>
    <w:rsid w:val="003745A1"/>
    <w:rsid w:val="00BF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4AB"/>
    <w:rPr>
      <w:color w:val="808080"/>
    </w:rPr>
  </w:style>
  <w:style w:type="paragraph" w:customStyle="1" w:styleId="ABD69ADCAB2B4908A11651FA5DF2519D">
    <w:name w:val="ABD69ADCAB2B4908A11651FA5DF2519D"/>
    <w:rsid w:val="003745A1"/>
  </w:style>
  <w:style w:type="paragraph" w:customStyle="1" w:styleId="6AAD5E0B3C6C4B49910265A449235D75">
    <w:name w:val="6AAD5E0B3C6C4B49910265A449235D75"/>
    <w:rsid w:val="003745A1"/>
  </w:style>
  <w:style w:type="paragraph" w:customStyle="1" w:styleId="D747684FB68A44FCA55E9546CFF3C864">
    <w:name w:val="D747684FB68A44FCA55E9546CFF3C864"/>
    <w:rsid w:val="003745A1"/>
  </w:style>
  <w:style w:type="paragraph" w:customStyle="1" w:styleId="2B09AD779B064898903B38A7C98930A4">
    <w:name w:val="2B09AD779B064898903B38A7C98930A4"/>
    <w:rsid w:val="003745A1"/>
  </w:style>
  <w:style w:type="paragraph" w:customStyle="1" w:styleId="ACB16FF446884810995C7BB5A986E4E8">
    <w:name w:val="ACB16FF446884810995C7BB5A986E4E8"/>
    <w:rsid w:val="003745A1"/>
  </w:style>
  <w:style w:type="paragraph" w:customStyle="1" w:styleId="F8CB101A222C4ADD95CE8FEABD240841">
    <w:name w:val="F8CB101A222C4ADD95CE8FEABD240841"/>
    <w:rsid w:val="003745A1"/>
  </w:style>
  <w:style w:type="paragraph" w:customStyle="1" w:styleId="7A4564B78003449AB4635D48A6752EFE">
    <w:name w:val="7A4564B78003449AB4635D48A6752EFE"/>
    <w:rsid w:val="003745A1"/>
  </w:style>
  <w:style w:type="paragraph" w:customStyle="1" w:styleId="228CF3B3C6AE451BA9BD056E1FE34263">
    <w:name w:val="228CF3B3C6AE451BA9BD056E1FE34263"/>
    <w:rsid w:val="003745A1"/>
  </w:style>
  <w:style w:type="paragraph" w:customStyle="1" w:styleId="FFA2CAD1191A40BEAD32D5593C459F01">
    <w:name w:val="FFA2CAD1191A40BEAD32D5593C459F01"/>
    <w:rsid w:val="003745A1"/>
  </w:style>
  <w:style w:type="paragraph" w:customStyle="1" w:styleId="EA9A9B2C0AE748DC8826A4FDCFD4EDD9">
    <w:name w:val="EA9A9B2C0AE748DC8826A4FDCFD4EDD9"/>
    <w:rsid w:val="003745A1"/>
  </w:style>
  <w:style w:type="paragraph" w:customStyle="1" w:styleId="377BDBCEE19F47AF8C34936FF140D11F">
    <w:name w:val="377BDBCEE19F47AF8C34936FF140D11F"/>
    <w:rsid w:val="003745A1"/>
  </w:style>
  <w:style w:type="paragraph" w:customStyle="1" w:styleId="5686D90A4A514EF596C74BC0F626B514">
    <w:name w:val="5686D90A4A514EF596C74BC0F626B514"/>
    <w:rsid w:val="00BF34AB"/>
  </w:style>
  <w:style w:type="paragraph" w:customStyle="1" w:styleId="D22511886D5543A986EA254C373C5DBC">
    <w:name w:val="D22511886D5543A986EA254C373C5DBC"/>
    <w:rsid w:val="00BF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9159</Words>
  <Characters>52212</Characters>
  <Application>Microsoft Office Word</Application>
  <DocSecurity>0</DocSecurity>
  <Lines>435</Lines>
  <Paragraphs>122</Paragraphs>
  <ScaleCrop>false</ScaleCrop>
  <Company/>
  <LinksUpToDate>false</LinksUpToDate>
  <CharactersWithSpaces>61249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2020-03-18T15:49:00Z</dcterms:created>
  <dcterms:modified xsi:type="dcterms:W3CDTF">2020-03-19T15:28:00Z</dcterms:modified>
</cp:coreProperties>
</file>