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91FEA" w14:textId="77777777" w:rsidR="002A7E9E" w:rsidRPr="00B10162" w:rsidRDefault="002A7E9E" w:rsidP="00B77C41">
      <w:pPr>
        <w:pStyle w:val="Frontpagesubhead"/>
        <w:rPr>
          <w:noProof/>
          <w:color w:val="auto"/>
          <w:lang w:eastAsia="en-GB"/>
        </w:rPr>
      </w:pPr>
      <w:bookmarkStart w:id="0" w:name="_GoBack"/>
      <w:bookmarkEnd w:id="0"/>
    </w:p>
    <w:p w14:paraId="4AA93A9E" w14:textId="1114920E" w:rsidR="00B10162" w:rsidRPr="005A0483" w:rsidRDefault="00B10162" w:rsidP="00B10162">
      <w:pPr>
        <w:spacing w:after="0"/>
        <w:jc w:val="center"/>
        <w:textboxTightWrap w:val="none"/>
        <w:rPr>
          <w:b/>
          <w:bCs/>
          <w:sz w:val="28"/>
          <w:szCs w:val="28"/>
        </w:rPr>
      </w:pPr>
      <w:r w:rsidRPr="005A0483">
        <w:rPr>
          <w:b/>
          <w:bCs/>
          <w:sz w:val="28"/>
          <w:szCs w:val="28"/>
        </w:rPr>
        <w:t>NHS Digital</w:t>
      </w:r>
    </w:p>
    <w:p w14:paraId="593AABE5" w14:textId="77777777" w:rsidR="00B10162" w:rsidRPr="005A0483" w:rsidRDefault="00B10162" w:rsidP="00B10162">
      <w:pPr>
        <w:jc w:val="center"/>
        <w:rPr>
          <w:b/>
          <w:bCs/>
          <w:sz w:val="28"/>
          <w:szCs w:val="28"/>
        </w:rPr>
      </w:pPr>
      <w:r w:rsidRPr="005A0483">
        <w:rPr>
          <w:b/>
          <w:bCs/>
          <w:sz w:val="28"/>
          <w:szCs w:val="28"/>
        </w:rPr>
        <w:t>Indicator Supporting Documentation</w:t>
      </w:r>
    </w:p>
    <w:p w14:paraId="50C257A5" w14:textId="05C045FF" w:rsidR="00B10162" w:rsidRPr="00B10162" w:rsidRDefault="00B10162" w:rsidP="00B10162">
      <w:pPr>
        <w:spacing w:after="0"/>
        <w:jc w:val="center"/>
        <w:textboxTightWrap w:val="none"/>
        <w:rPr>
          <w:sz w:val="70"/>
          <w:szCs w:val="84"/>
        </w:rPr>
      </w:pPr>
      <w:r w:rsidRPr="005A0483">
        <w:rPr>
          <w:b/>
          <w:bCs/>
          <w:sz w:val="28"/>
          <w:szCs w:val="28"/>
        </w:rPr>
        <w:t>IAP000</w:t>
      </w:r>
      <w:r>
        <w:rPr>
          <w:b/>
          <w:bCs/>
          <w:sz w:val="28"/>
          <w:szCs w:val="28"/>
        </w:rPr>
        <w:t>93</w:t>
      </w:r>
      <w:r w:rsidRPr="005A0483">
        <w:rPr>
          <w:b/>
          <w:bCs/>
          <w:sz w:val="28"/>
          <w:szCs w:val="28"/>
        </w:rPr>
        <w:t xml:space="preserve"> </w:t>
      </w:r>
      <w:r w:rsidRPr="00B10162">
        <w:rPr>
          <w:b/>
          <w:bCs/>
          <w:sz w:val="28"/>
          <w:szCs w:val="28"/>
        </w:rPr>
        <w:t>People who have had an acute stroke who receive thrombolysis</w:t>
      </w:r>
    </w:p>
    <w:p w14:paraId="0C29A18D" w14:textId="77777777" w:rsidR="00B10162" w:rsidRPr="00B10162" w:rsidRDefault="00B10162" w:rsidP="00B10162">
      <w:pPr>
        <w:pStyle w:val="FrontpageTitle"/>
      </w:pPr>
    </w:p>
    <w:p w14:paraId="4190B5EB" w14:textId="77777777" w:rsidR="00B10162" w:rsidRDefault="00B10162" w:rsidP="00B10162">
      <w:pPr>
        <w:pStyle w:val="FrontpageTitle"/>
      </w:pPr>
    </w:p>
    <w:p w14:paraId="7ABA62FE" w14:textId="77777777" w:rsidR="00B10162" w:rsidRDefault="00B10162" w:rsidP="00B10162">
      <w:pPr>
        <w:pStyle w:val="FrontpageTitle"/>
      </w:pPr>
    </w:p>
    <w:p w14:paraId="22980048" w14:textId="77777777" w:rsidR="00B10162" w:rsidRDefault="00B10162" w:rsidP="00B10162">
      <w:pPr>
        <w:pStyle w:val="FrontpageTitle"/>
      </w:pPr>
    </w:p>
    <w:p w14:paraId="07098FF9" w14:textId="77777777" w:rsidR="00B10162" w:rsidRPr="00B10162" w:rsidRDefault="00B10162" w:rsidP="00B10162"/>
    <w:p w14:paraId="14E4F48A" w14:textId="77777777" w:rsidR="00B10162" w:rsidRPr="00B10162" w:rsidRDefault="00B10162" w:rsidP="00B10162">
      <w:pPr>
        <w:pStyle w:val="Frontpagesubhead"/>
        <w:rPr>
          <w:color w:val="auto"/>
          <w:sz w:val="24"/>
          <w:szCs w:val="24"/>
        </w:rPr>
      </w:pPr>
      <w:r w:rsidRPr="00B10162">
        <w:rPr>
          <w:color w:val="auto"/>
          <w:sz w:val="24"/>
          <w:szCs w:val="24"/>
        </w:rPr>
        <w:t>Indicator Assurance Service</w:t>
      </w:r>
    </w:p>
    <w:p w14:paraId="37E12503" w14:textId="77777777" w:rsidR="00B10162" w:rsidRPr="00B10162" w:rsidRDefault="00B10162" w:rsidP="00B10162">
      <w:pPr>
        <w:textboxTightWrap w:val="allLines"/>
        <w:rPr>
          <w:b/>
        </w:rPr>
      </w:pPr>
      <w:r w:rsidRPr="00B10162">
        <w:rPr>
          <w:b/>
        </w:rPr>
        <w:t xml:space="preserve">Title: </w:t>
      </w:r>
      <w:r w:rsidRPr="00B10162">
        <w:t>People who have had an acute stroke who receive thrombolysis</w:t>
      </w:r>
    </w:p>
    <w:p w14:paraId="5355B756" w14:textId="77777777" w:rsidR="00B10162" w:rsidRPr="00B10162" w:rsidRDefault="00B10162" w:rsidP="00B10162">
      <w:pPr>
        <w:textboxTightWrap w:val="allLines"/>
        <w:rPr>
          <w:b/>
        </w:rPr>
      </w:pPr>
      <w:r w:rsidRPr="00B10162">
        <w:rPr>
          <w:b/>
        </w:rPr>
        <w:t xml:space="preserve">Set or domain: </w:t>
      </w:r>
      <w:r w:rsidRPr="00B10162">
        <w:t>CCG OIS 3.6</w:t>
      </w:r>
    </w:p>
    <w:p w14:paraId="1A673084" w14:textId="77777777" w:rsidR="00B10162" w:rsidRPr="00B10162" w:rsidRDefault="00B10162" w:rsidP="00B10162">
      <w:pPr>
        <w:textboxTightWrap w:val="allLines"/>
        <w:rPr>
          <w:b/>
        </w:rPr>
      </w:pPr>
      <w:r w:rsidRPr="00B10162">
        <w:rPr>
          <w:b/>
        </w:rPr>
        <w:t xml:space="preserve">IAS Reference Code: </w:t>
      </w:r>
      <w:r w:rsidRPr="00B10162">
        <w:t>IAP00093</w:t>
      </w:r>
    </w:p>
    <w:p w14:paraId="2CCA4C92" w14:textId="77777777" w:rsidR="002A7E9E" w:rsidRPr="00B10162" w:rsidRDefault="002A7E9E" w:rsidP="00B77C41">
      <w:pPr>
        <w:pStyle w:val="Frontpagesubhead"/>
        <w:rPr>
          <w:noProof/>
          <w:color w:val="auto"/>
          <w:lang w:eastAsia="en-GB"/>
        </w:rPr>
      </w:pPr>
    </w:p>
    <w:p w14:paraId="67E83A7A" w14:textId="7C5F0BA4" w:rsidR="001D243C" w:rsidRPr="00B10162" w:rsidRDefault="001D243C" w:rsidP="00B77C41">
      <w:pPr>
        <w:pStyle w:val="Frontpagesubhead"/>
        <w:rPr>
          <w:color w:val="auto"/>
        </w:rPr>
      </w:pPr>
    </w:p>
    <w:p w14:paraId="5318586C" w14:textId="77777777" w:rsidR="001D243C" w:rsidRPr="00B10162" w:rsidRDefault="001D243C" w:rsidP="00B77C41">
      <w:pPr>
        <w:pStyle w:val="Frontpagesubhead"/>
        <w:rPr>
          <w:color w:val="auto"/>
        </w:rPr>
        <w:sectPr w:rsidR="001D243C" w:rsidRPr="00B10162" w:rsidSect="000C24AF">
          <w:headerReference w:type="default" r:id="rId7"/>
          <w:footerReference w:type="default" r:id="rId8"/>
          <w:pgSz w:w="11906" w:h="16838"/>
          <w:pgMar w:top="1021" w:right="1021" w:bottom="1021" w:left="1021" w:header="454" w:footer="680" w:gutter="0"/>
          <w:cols w:space="708"/>
          <w:docGrid w:linePitch="360"/>
        </w:sectPr>
      </w:pPr>
    </w:p>
    <w:p w14:paraId="68051BF8" w14:textId="604E16E7" w:rsidR="00772A5C" w:rsidRDefault="00772A5C" w:rsidP="00772A5C">
      <w:pPr>
        <w:pStyle w:val="Heading1"/>
        <w:rPr>
          <w:rFonts w:eastAsia="MS Mincho"/>
          <w:color w:val="auto"/>
        </w:rPr>
      </w:pPr>
      <w:r w:rsidRPr="00B10162">
        <w:rPr>
          <w:rFonts w:eastAsia="MS Mincho"/>
          <w:color w:val="auto"/>
        </w:rPr>
        <w:lastRenderedPageBreak/>
        <w:t>Application Form</w:t>
      </w:r>
    </w:p>
    <w:tbl>
      <w:tblPr>
        <w:tblStyle w:val="TableGrid"/>
        <w:tblW w:w="0" w:type="auto"/>
        <w:tblLook w:val="04A0" w:firstRow="1" w:lastRow="0" w:firstColumn="1" w:lastColumn="0" w:noHBand="0" w:noVBand="1"/>
      </w:tblPr>
      <w:tblGrid>
        <w:gridCol w:w="1978"/>
        <w:gridCol w:w="7541"/>
      </w:tblGrid>
      <w:tr w:rsidR="00186164" w14:paraId="54093872" w14:textId="77777777" w:rsidTr="00186164">
        <w:tc>
          <w:tcPr>
            <w:tcW w:w="1978" w:type="dxa"/>
          </w:tcPr>
          <w:p w14:paraId="20B8B581" w14:textId="5BFDCAAB" w:rsidR="00186164" w:rsidRDefault="00186164" w:rsidP="00186164">
            <w:pPr>
              <w:rPr>
                <w:rFonts w:eastAsia="MS Mincho"/>
              </w:rPr>
            </w:pPr>
            <w:r w:rsidRPr="00B10162">
              <w:rPr>
                <w:b/>
                <w:sz w:val="22"/>
                <w:szCs w:val="22"/>
              </w:rPr>
              <w:t>Title</w:t>
            </w:r>
          </w:p>
        </w:tc>
        <w:tc>
          <w:tcPr>
            <w:tcW w:w="7541" w:type="dxa"/>
          </w:tcPr>
          <w:p w14:paraId="6917E06A" w14:textId="3254DDE9" w:rsidR="00186164" w:rsidRDefault="00186164" w:rsidP="00186164">
            <w:pPr>
              <w:rPr>
                <w:rFonts w:eastAsia="MS Mincho"/>
              </w:rPr>
            </w:pPr>
            <w:r w:rsidRPr="00B10162">
              <w:rPr>
                <w:sz w:val="22"/>
                <w:szCs w:val="22"/>
              </w:rPr>
              <w:t>People who have had an acute stroke who receive thrombolysis</w:t>
            </w:r>
          </w:p>
        </w:tc>
      </w:tr>
      <w:tr w:rsidR="00186164" w14:paraId="2B67C959" w14:textId="77777777" w:rsidTr="00186164">
        <w:tc>
          <w:tcPr>
            <w:tcW w:w="1978" w:type="dxa"/>
          </w:tcPr>
          <w:p w14:paraId="7775A0C0" w14:textId="7CD1FAAC" w:rsidR="00186164" w:rsidRDefault="00186164" w:rsidP="00186164">
            <w:pPr>
              <w:rPr>
                <w:rFonts w:eastAsia="MS Mincho"/>
              </w:rPr>
            </w:pPr>
            <w:r w:rsidRPr="00B10162">
              <w:rPr>
                <w:b/>
                <w:sz w:val="22"/>
                <w:szCs w:val="22"/>
              </w:rPr>
              <w:t>Set or domain</w:t>
            </w:r>
          </w:p>
        </w:tc>
        <w:tc>
          <w:tcPr>
            <w:tcW w:w="7541" w:type="dxa"/>
          </w:tcPr>
          <w:p w14:paraId="76A4CD60" w14:textId="1E8AA02F" w:rsidR="00186164" w:rsidRDefault="00186164" w:rsidP="00186164">
            <w:pPr>
              <w:rPr>
                <w:rFonts w:eastAsia="MS Mincho"/>
              </w:rPr>
            </w:pPr>
            <w:r w:rsidRPr="00B10162">
              <w:rPr>
                <w:sz w:val="22"/>
                <w:szCs w:val="22"/>
              </w:rPr>
              <w:t>CCG Outcomes Indicator Set (OIS) 3.6</w:t>
            </w:r>
          </w:p>
        </w:tc>
      </w:tr>
      <w:tr w:rsidR="00186164" w14:paraId="5065050E" w14:textId="77777777" w:rsidTr="00186164">
        <w:tc>
          <w:tcPr>
            <w:tcW w:w="1978" w:type="dxa"/>
          </w:tcPr>
          <w:p w14:paraId="7E0693C7" w14:textId="472FDCC0" w:rsidR="00186164" w:rsidRDefault="00186164" w:rsidP="00186164">
            <w:pPr>
              <w:rPr>
                <w:rFonts w:eastAsia="MS Mincho"/>
              </w:rPr>
            </w:pPr>
            <w:r w:rsidRPr="00B10162">
              <w:rPr>
                <w:b/>
                <w:sz w:val="22"/>
                <w:szCs w:val="22"/>
              </w:rPr>
              <w:t>Topic area</w:t>
            </w:r>
          </w:p>
        </w:tc>
        <w:tc>
          <w:tcPr>
            <w:tcW w:w="7541" w:type="dxa"/>
          </w:tcPr>
          <w:p w14:paraId="5D603F30" w14:textId="12349C00" w:rsidR="00186164" w:rsidRDefault="00186164" w:rsidP="00186164">
            <w:pPr>
              <w:rPr>
                <w:rFonts w:eastAsia="MS Mincho"/>
              </w:rPr>
            </w:pPr>
            <w:r w:rsidRPr="00B10162">
              <w:rPr>
                <w:sz w:val="22"/>
                <w:szCs w:val="22"/>
              </w:rPr>
              <w:t>Cardiovascular</w:t>
            </w:r>
          </w:p>
        </w:tc>
      </w:tr>
      <w:tr w:rsidR="00186164" w14:paraId="51F927D6" w14:textId="77777777" w:rsidTr="00186164">
        <w:tc>
          <w:tcPr>
            <w:tcW w:w="1978" w:type="dxa"/>
          </w:tcPr>
          <w:p w14:paraId="1694CC62" w14:textId="07517535" w:rsidR="00186164" w:rsidRDefault="00186164" w:rsidP="00186164">
            <w:pPr>
              <w:rPr>
                <w:rFonts w:eastAsia="MS Mincho"/>
              </w:rPr>
            </w:pPr>
            <w:r w:rsidRPr="00B10162">
              <w:rPr>
                <w:b/>
                <w:sz w:val="22"/>
                <w:szCs w:val="22"/>
              </w:rPr>
              <w:t>Definition</w:t>
            </w:r>
          </w:p>
        </w:tc>
        <w:tc>
          <w:tcPr>
            <w:tcW w:w="7541" w:type="dxa"/>
          </w:tcPr>
          <w:p w14:paraId="5B0A377C" w14:textId="77777777" w:rsidR="00186164" w:rsidRPr="00B10162" w:rsidRDefault="00186164" w:rsidP="00186164">
            <w:pPr>
              <w:spacing w:before="240"/>
              <w:rPr>
                <w:sz w:val="22"/>
                <w:szCs w:val="22"/>
              </w:rPr>
            </w:pPr>
            <w:r w:rsidRPr="00B10162">
              <w:rPr>
                <w:sz w:val="22"/>
                <w:szCs w:val="22"/>
              </w:rPr>
              <w:t>The percentage of people who have had an acute stroke that receive thrombolysis.</w:t>
            </w:r>
          </w:p>
          <w:p w14:paraId="31FF89F5" w14:textId="77777777" w:rsidR="00186164" w:rsidRPr="00B10162" w:rsidRDefault="00186164" w:rsidP="00186164">
            <w:pPr>
              <w:spacing w:before="240"/>
              <w:rPr>
                <w:sz w:val="22"/>
                <w:szCs w:val="22"/>
              </w:rPr>
            </w:pPr>
            <w:r w:rsidRPr="00B10162">
              <w:rPr>
                <w:sz w:val="22"/>
                <w:szCs w:val="22"/>
              </w:rPr>
              <w:t>Technical description: Of all acute stroke patients, including those who were already in hospital at the time of new stroke occurrence, the percentage who were given thrombolysis for stroke.</w:t>
            </w:r>
          </w:p>
          <w:p w14:paraId="335C43C9" w14:textId="77777777" w:rsidR="00186164" w:rsidRPr="00B10162" w:rsidRDefault="00186164" w:rsidP="00186164">
            <w:pPr>
              <w:spacing w:before="240"/>
              <w:rPr>
                <w:sz w:val="22"/>
                <w:szCs w:val="22"/>
              </w:rPr>
            </w:pPr>
            <w:r w:rsidRPr="00B10162">
              <w:rPr>
                <w:sz w:val="22"/>
                <w:szCs w:val="22"/>
              </w:rPr>
              <w:t>Stroke is defined within this indicator as intracerebral haemorrhage (ICD-10 code: I61), cerebral infarction (I62) and stroke, not specified as haemorrhage or infarction (I64).</w:t>
            </w:r>
          </w:p>
          <w:p w14:paraId="657198A0" w14:textId="75A1504E" w:rsidR="00186164" w:rsidRDefault="00186164" w:rsidP="00186164">
            <w:pPr>
              <w:rPr>
                <w:rFonts w:eastAsia="MS Mincho"/>
              </w:rPr>
            </w:pPr>
            <w:r w:rsidRPr="00B10162">
              <w:rPr>
                <w:sz w:val="22"/>
                <w:szCs w:val="22"/>
              </w:rPr>
              <w:t>The indicator is published annually in December for each CCG in England. It was published for the first time in December 2014 (2013/14 data).</w:t>
            </w:r>
          </w:p>
        </w:tc>
      </w:tr>
      <w:tr w:rsidR="00186164" w14:paraId="0490699F" w14:textId="77777777" w:rsidTr="00186164">
        <w:tc>
          <w:tcPr>
            <w:tcW w:w="1978" w:type="dxa"/>
          </w:tcPr>
          <w:p w14:paraId="0ECF2C23" w14:textId="2F15BC26" w:rsidR="00186164" w:rsidRDefault="00186164" w:rsidP="00186164">
            <w:pPr>
              <w:rPr>
                <w:rFonts w:eastAsia="MS Mincho"/>
              </w:rPr>
            </w:pPr>
            <w:r w:rsidRPr="00B10162">
              <w:rPr>
                <w:b/>
                <w:sz w:val="22"/>
                <w:szCs w:val="22"/>
              </w:rPr>
              <w:t>Indicator owner &amp; contact details</w:t>
            </w:r>
          </w:p>
        </w:tc>
        <w:tc>
          <w:tcPr>
            <w:tcW w:w="7541" w:type="dxa"/>
          </w:tcPr>
          <w:p w14:paraId="6FDFD3F8" w14:textId="77777777" w:rsidR="00186164" w:rsidRPr="00B10162" w:rsidRDefault="00186164" w:rsidP="00186164">
            <w:pPr>
              <w:spacing w:before="240"/>
              <w:rPr>
                <w:sz w:val="22"/>
                <w:szCs w:val="22"/>
              </w:rPr>
            </w:pPr>
            <w:r w:rsidRPr="00B10162">
              <w:rPr>
                <w:sz w:val="22"/>
                <w:szCs w:val="22"/>
              </w:rPr>
              <w:t>Alison Roe, Senior Service Delivery Manager, HSCIC</w:t>
            </w:r>
          </w:p>
          <w:p w14:paraId="3CDCFADB" w14:textId="78D3CCF2" w:rsidR="00186164" w:rsidRDefault="00C572D7" w:rsidP="00186164">
            <w:pPr>
              <w:rPr>
                <w:rFonts w:eastAsia="MS Mincho"/>
              </w:rPr>
            </w:pPr>
            <w:hyperlink r:id="rId9" w:history="1">
              <w:r w:rsidR="00186164" w:rsidRPr="00B10162">
                <w:rPr>
                  <w:rStyle w:val="Hyperlink"/>
                  <w:color w:val="auto"/>
                  <w:sz w:val="22"/>
                  <w:szCs w:val="22"/>
                </w:rPr>
                <w:t>ccgois@hscic.gov.uk</w:t>
              </w:r>
            </w:hyperlink>
          </w:p>
        </w:tc>
      </w:tr>
      <w:tr w:rsidR="00186164" w14:paraId="16A09F8F" w14:textId="77777777" w:rsidTr="00186164">
        <w:tc>
          <w:tcPr>
            <w:tcW w:w="1978" w:type="dxa"/>
          </w:tcPr>
          <w:p w14:paraId="6C581CD3" w14:textId="706A69DB" w:rsidR="00186164" w:rsidRDefault="00186164" w:rsidP="00186164">
            <w:pPr>
              <w:rPr>
                <w:rFonts w:eastAsia="MS Mincho"/>
              </w:rPr>
            </w:pPr>
            <w:r w:rsidRPr="00B10162">
              <w:rPr>
                <w:b/>
                <w:sz w:val="22"/>
                <w:szCs w:val="22"/>
              </w:rPr>
              <w:t>Publication status</w:t>
            </w:r>
          </w:p>
        </w:tc>
        <w:tc>
          <w:tcPr>
            <w:tcW w:w="7541" w:type="dxa"/>
          </w:tcPr>
          <w:p w14:paraId="0B56A911" w14:textId="3D6BDFD5" w:rsidR="00186164" w:rsidRDefault="00186164" w:rsidP="00186164">
            <w:pPr>
              <w:rPr>
                <w:rFonts w:eastAsia="MS Mincho"/>
              </w:rPr>
            </w:pPr>
            <w:r w:rsidRPr="00B10162">
              <w:rPr>
                <w:sz w:val="22"/>
                <w:szCs w:val="22"/>
              </w:rPr>
              <w:t>Currently in publication</w:t>
            </w:r>
          </w:p>
        </w:tc>
      </w:tr>
      <w:tr w:rsidR="00186164" w14:paraId="0960B6F3" w14:textId="77777777" w:rsidTr="00186164">
        <w:tc>
          <w:tcPr>
            <w:tcW w:w="1978" w:type="dxa"/>
          </w:tcPr>
          <w:p w14:paraId="0469FE6F" w14:textId="6E76D028" w:rsidR="00186164" w:rsidRDefault="00186164" w:rsidP="00186164">
            <w:pPr>
              <w:rPr>
                <w:rFonts w:eastAsia="MS Mincho"/>
              </w:rPr>
            </w:pPr>
            <w:r w:rsidRPr="00B10162">
              <w:rPr>
                <w:b/>
                <w:sz w:val="22"/>
                <w:szCs w:val="22"/>
              </w:rPr>
              <w:t>Purpose</w:t>
            </w:r>
          </w:p>
        </w:tc>
        <w:tc>
          <w:tcPr>
            <w:tcW w:w="7541" w:type="dxa"/>
          </w:tcPr>
          <w:p w14:paraId="71529D12" w14:textId="5F1C904E" w:rsidR="00186164" w:rsidRDefault="00186164" w:rsidP="00186164">
            <w:pPr>
              <w:rPr>
                <w:rFonts w:eastAsia="MS Mincho"/>
              </w:rPr>
            </w:pPr>
            <w:r w:rsidRPr="00B10162">
              <w:rPr>
                <w:sz w:val="22"/>
                <w:szCs w:val="22"/>
              </w:rPr>
              <w:t xml:space="preserve">Patients with suspected stroke are admitted directly to a specialist acute stroke unit and assessed for thrombolysis, receiving it if clinically indicated. This indicator provides CCGs with a tool to monitor thrombolysis levels, with the focus being to improve percentages to a more consistent level across CCGs. The percentage must be interpreted </w:t>
            </w:r>
            <w:proofErr w:type="gramStart"/>
            <w:r w:rsidRPr="00B10162">
              <w:rPr>
                <w:sz w:val="22"/>
                <w:szCs w:val="22"/>
              </w:rPr>
              <w:t>in light of</w:t>
            </w:r>
            <w:proofErr w:type="gramEnd"/>
            <w:r w:rsidRPr="00B10162">
              <w:rPr>
                <w:sz w:val="22"/>
                <w:szCs w:val="22"/>
              </w:rPr>
              <w:t xml:space="preserve"> other standards, as it is not appropriate to simply have a high percentage due to the procedure carrying significant risk and not being suitable for every patient.</w:t>
            </w:r>
          </w:p>
        </w:tc>
      </w:tr>
      <w:tr w:rsidR="00186164" w14:paraId="35AD7F67" w14:textId="77777777" w:rsidTr="00186164">
        <w:tc>
          <w:tcPr>
            <w:tcW w:w="1978" w:type="dxa"/>
          </w:tcPr>
          <w:p w14:paraId="548DA1EC" w14:textId="65D8F140" w:rsidR="00186164" w:rsidRDefault="00186164" w:rsidP="00186164">
            <w:pPr>
              <w:rPr>
                <w:rFonts w:eastAsia="MS Mincho"/>
              </w:rPr>
            </w:pPr>
            <w:r w:rsidRPr="00B10162">
              <w:rPr>
                <w:b/>
                <w:sz w:val="22"/>
                <w:szCs w:val="22"/>
              </w:rPr>
              <w:t>Sponsor</w:t>
            </w:r>
          </w:p>
        </w:tc>
        <w:tc>
          <w:tcPr>
            <w:tcW w:w="7541" w:type="dxa"/>
          </w:tcPr>
          <w:p w14:paraId="5889B339" w14:textId="4EAC1A30" w:rsidR="00186164" w:rsidRDefault="00186164" w:rsidP="00186164">
            <w:pPr>
              <w:rPr>
                <w:rFonts w:eastAsia="MS Mincho"/>
              </w:rPr>
            </w:pPr>
            <w:r w:rsidRPr="00B10162">
              <w:rPr>
                <w:sz w:val="22"/>
                <w:szCs w:val="22"/>
              </w:rPr>
              <w:t>Richard Owen, Outcomes Strategy Lead, NHS Medical Directorate, NHS England.</w:t>
            </w:r>
          </w:p>
        </w:tc>
      </w:tr>
      <w:tr w:rsidR="00186164" w14:paraId="0BE7BDF4" w14:textId="77777777" w:rsidTr="00186164">
        <w:tc>
          <w:tcPr>
            <w:tcW w:w="1978" w:type="dxa"/>
          </w:tcPr>
          <w:p w14:paraId="342EABFE" w14:textId="3B757988" w:rsidR="00186164" w:rsidRDefault="00186164" w:rsidP="00186164">
            <w:pPr>
              <w:rPr>
                <w:rFonts w:eastAsia="MS Mincho"/>
              </w:rPr>
            </w:pPr>
            <w:r w:rsidRPr="00B10162">
              <w:rPr>
                <w:b/>
                <w:sz w:val="22"/>
                <w:szCs w:val="22"/>
              </w:rPr>
              <w:t>Endorsement</w:t>
            </w:r>
          </w:p>
        </w:tc>
        <w:tc>
          <w:tcPr>
            <w:tcW w:w="7541" w:type="dxa"/>
          </w:tcPr>
          <w:p w14:paraId="24C424EF" w14:textId="77777777" w:rsidR="00186164" w:rsidRPr="00B10162" w:rsidRDefault="00186164" w:rsidP="00186164">
            <w:pPr>
              <w:spacing w:before="240"/>
              <w:rPr>
                <w:sz w:val="22"/>
                <w:szCs w:val="22"/>
              </w:rPr>
            </w:pPr>
            <w:r w:rsidRPr="00B10162">
              <w:rPr>
                <w:sz w:val="22"/>
                <w:szCs w:val="22"/>
              </w:rPr>
              <w:t xml:space="preserve">The indicator was constructed following consultation with the following clinical and stroke data experts: </w:t>
            </w:r>
          </w:p>
          <w:p w14:paraId="13C9A617" w14:textId="77777777" w:rsidR="00186164" w:rsidRPr="00B10162" w:rsidRDefault="00186164" w:rsidP="00186164">
            <w:pPr>
              <w:pStyle w:val="ListParagraph"/>
              <w:numPr>
                <w:ilvl w:val="0"/>
                <w:numId w:val="13"/>
              </w:numPr>
              <w:spacing w:before="240"/>
              <w:rPr>
                <w:sz w:val="22"/>
                <w:szCs w:val="22"/>
              </w:rPr>
            </w:pPr>
            <w:r w:rsidRPr="00B10162">
              <w:rPr>
                <w:sz w:val="22"/>
                <w:szCs w:val="22"/>
              </w:rPr>
              <w:t>Professor Anthony Rudd, Chair of the Intercollegiate Stroke Working Party, Associate Director for Stroke, Consultant Stroke Physician</w:t>
            </w:r>
          </w:p>
          <w:p w14:paraId="39F57BD9" w14:textId="77777777" w:rsidR="00186164" w:rsidRPr="00B10162" w:rsidRDefault="00186164" w:rsidP="00186164">
            <w:pPr>
              <w:pStyle w:val="ListParagraph"/>
              <w:numPr>
                <w:ilvl w:val="0"/>
                <w:numId w:val="13"/>
              </w:numPr>
              <w:spacing w:before="240"/>
              <w:rPr>
                <w:sz w:val="22"/>
                <w:szCs w:val="22"/>
              </w:rPr>
            </w:pPr>
            <w:r w:rsidRPr="00B10162">
              <w:rPr>
                <w:sz w:val="22"/>
                <w:szCs w:val="22"/>
              </w:rPr>
              <w:t xml:space="preserve">James </w:t>
            </w:r>
            <w:proofErr w:type="gramStart"/>
            <w:r w:rsidRPr="00B10162">
              <w:rPr>
                <w:sz w:val="22"/>
                <w:szCs w:val="22"/>
              </w:rPr>
              <w:t>Campbell,  Sentinel</w:t>
            </w:r>
            <w:proofErr w:type="gramEnd"/>
            <w:r w:rsidRPr="00B10162">
              <w:rPr>
                <w:sz w:val="22"/>
                <w:szCs w:val="22"/>
              </w:rPr>
              <w:t xml:space="preserve"> Stroke National Audit Programme (SSNAP) Intelligence Programme Manager, Royal College of Physicians (RCP) </w:t>
            </w:r>
          </w:p>
          <w:p w14:paraId="7D890091" w14:textId="199D1637" w:rsidR="00186164" w:rsidRDefault="00186164" w:rsidP="00186164">
            <w:pPr>
              <w:rPr>
                <w:rFonts w:eastAsia="MS Mincho"/>
              </w:rPr>
            </w:pPr>
            <w:proofErr w:type="spellStart"/>
            <w:r w:rsidRPr="00B10162">
              <w:rPr>
                <w:sz w:val="22"/>
                <w:szCs w:val="22"/>
              </w:rPr>
              <w:t>Lizz</w:t>
            </w:r>
            <w:proofErr w:type="spellEnd"/>
            <w:r w:rsidRPr="00B10162">
              <w:rPr>
                <w:sz w:val="22"/>
                <w:szCs w:val="22"/>
              </w:rPr>
              <w:t xml:space="preserve"> Paley, Acting Stroke Programme Intelligence Manager – Data, RCP</w:t>
            </w:r>
          </w:p>
        </w:tc>
      </w:tr>
      <w:tr w:rsidR="00186164" w14:paraId="55A0A2B6" w14:textId="77777777" w:rsidTr="00186164">
        <w:tc>
          <w:tcPr>
            <w:tcW w:w="1978" w:type="dxa"/>
          </w:tcPr>
          <w:p w14:paraId="3A6A026A" w14:textId="77777777" w:rsidR="00186164" w:rsidRPr="00B10162" w:rsidRDefault="00186164" w:rsidP="00186164">
            <w:pPr>
              <w:spacing w:before="240"/>
              <w:rPr>
                <w:b/>
                <w:sz w:val="22"/>
                <w:szCs w:val="22"/>
              </w:rPr>
            </w:pPr>
            <w:r w:rsidRPr="00B10162">
              <w:rPr>
                <w:b/>
                <w:sz w:val="22"/>
                <w:szCs w:val="22"/>
              </w:rPr>
              <w:t>Evidence and Policy base</w:t>
            </w:r>
          </w:p>
          <w:p w14:paraId="4E6FEA78" w14:textId="0FEB6C76" w:rsidR="00186164" w:rsidRDefault="00186164" w:rsidP="00186164">
            <w:pPr>
              <w:rPr>
                <w:rFonts w:eastAsia="MS Mincho"/>
              </w:rPr>
            </w:pPr>
            <w:r w:rsidRPr="00B10162">
              <w:rPr>
                <w:sz w:val="22"/>
                <w:szCs w:val="22"/>
              </w:rPr>
              <w:lastRenderedPageBreak/>
              <w:t>Including related national incentives, critical business question, NICE quality standard and set or domain rationale, if appropriate</w:t>
            </w:r>
          </w:p>
        </w:tc>
        <w:tc>
          <w:tcPr>
            <w:tcW w:w="7541" w:type="dxa"/>
          </w:tcPr>
          <w:p w14:paraId="55AC9713" w14:textId="77777777" w:rsidR="00186164" w:rsidRPr="00B10162" w:rsidRDefault="00186164" w:rsidP="00186164">
            <w:pPr>
              <w:spacing w:before="240"/>
              <w:rPr>
                <w:sz w:val="22"/>
                <w:szCs w:val="22"/>
              </w:rPr>
            </w:pPr>
            <w:r w:rsidRPr="00B10162">
              <w:rPr>
                <w:sz w:val="22"/>
                <w:szCs w:val="22"/>
              </w:rPr>
              <w:lastRenderedPageBreak/>
              <w:t>This indicator supports the NICE Quality Standard for stroke (QS</w:t>
            </w:r>
            <w:proofErr w:type="gramStart"/>
            <w:r w:rsidRPr="00B10162">
              <w:rPr>
                <w:sz w:val="22"/>
                <w:szCs w:val="22"/>
              </w:rPr>
              <w:t>2)¹</w:t>
            </w:r>
            <w:proofErr w:type="gramEnd"/>
            <w:r w:rsidRPr="00B10162">
              <w:rPr>
                <w:sz w:val="22"/>
                <w:szCs w:val="22"/>
              </w:rPr>
              <w:t xml:space="preserve"> which covers care provided to adult stroke patients by healthcare staff during diagnosis and initial management, acute-phase care, rehabilitation and long-term management. It directly supports Quality Statement 3 within the </w:t>
            </w:r>
            <w:r w:rsidRPr="00B10162">
              <w:rPr>
                <w:sz w:val="22"/>
                <w:szCs w:val="22"/>
              </w:rPr>
              <w:lastRenderedPageBreak/>
              <w:t>standard, which states: ‘Patients with suspected stoke are admitted directly to a specialist acute stroke unit and assessed for thrombolysis, receiving it if clinically indicated’.</w:t>
            </w:r>
          </w:p>
          <w:p w14:paraId="592C942F" w14:textId="77777777" w:rsidR="00186164" w:rsidRPr="00B10162" w:rsidRDefault="00186164" w:rsidP="00186164">
            <w:pPr>
              <w:spacing w:before="240"/>
              <w:rPr>
                <w:sz w:val="22"/>
                <w:szCs w:val="22"/>
              </w:rPr>
            </w:pPr>
            <w:r w:rsidRPr="00B10162">
              <w:rPr>
                <w:sz w:val="22"/>
                <w:szCs w:val="22"/>
              </w:rPr>
              <w:t>This indicator is aligned to the measure, Thrombolysis rates - England, included in the Department of Health’s Cardiovascular Disease Outcomes Strategy</w:t>
            </w:r>
            <w:r w:rsidRPr="00B10162">
              <w:rPr>
                <w:sz w:val="22"/>
                <w:szCs w:val="22"/>
                <w:vertAlign w:val="superscript"/>
              </w:rPr>
              <w:t>2</w:t>
            </w:r>
            <w:r w:rsidRPr="00B10162">
              <w:rPr>
                <w:sz w:val="22"/>
                <w:szCs w:val="22"/>
              </w:rPr>
              <w:t xml:space="preserve">. </w:t>
            </w:r>
          </w:p>
          <w:p w14:paraId="1E3DB893" w14:textId="77777777" w:rsidR="00186164" w:rsidRPr="00B10162" w:rsidRDefault="00186164" w:rsidP="00186164">
            <w:pPr>
              <w:spacing w:before="240"/>
              <w:rPr>
                <w:sz w:val="22"/>
                <w:szCs w:val="22"/>
              </w:rPr>
            </w:pPr>
            <w:proofErr w:type="gramStart"/>
            <w:r w:rsidRPr="00B10162">
              <w:rPr>
                <w:sz w:val="22"/>
                <w:szCs w:val="22"/>
              </w:rPr>
              <w:t>The majority of</w:t>
            </w:r>
            <w:proofErr w:type="gramEnd"/>
            <w:r w:rsidRPr="00B10162">
              <w:rPr>
                <w:sz w:val="22"/>
                <w:szCs w:val="22"/>
              </w:rPr>
              <w:t xml:space="preserve"> strokes are due to blockage of an artery in the brain by a blood clot. Prompt treatment with thrombolytic drugs can restore blood flow before major brain damage has occurred. Successful treatment could mean that the patient is more likely to make a good recovery from their stroke</w:t>
            </w:r>
            <w:r w:rsidRPr="00B10162">
              <w:rPr>
                <w:sz w:val="22"/>
                <w:szCs w:val="22"/>
                <w:vertAlign w:val="superscript"/>
              </w:rPr>
              <w:t>3</w:t>
            </w:r>
            <w:r w:rsidRPr="00B10162">
              <w:rPr>
                <w:sz w:val="22"/>
                <w:szCs w:val="22"/>
              </w:rPr>
              <w:t>.</w:t>
            </w:r>
          </w:p>
          <w:p w14:paraId="40DEAFA7" w14:textId="77777777" w:rsidR="00186164" w:rsidRPr="00B10162" w:rsidRDefault="00186164" w:rsidP="00186164">
            <w:pPr>
              <w:spacing w:before="240"/>
              <w:rPr>
                <w:sz w:val="22"/>
                <w:szCs w:val="22"/>
              </w:rPr>
            </w:pPr>
            <w:r w:rsidRPr="00B10162">
              <w:rPr>
                <w:sz w:val="22"/>
                <w:szCs w:val="22"/>
              </w:rPr>
              <w:t>Thrombolysis is a clot busting drug which can be a very effective way of treating ischaemic strokes (caused by blood clot). The eligibility criteria for thrombolysis are based on age, type of stroke and time lapse since stroke onset. Based on these criteria, it is expected that between 15 and 20% of patients would be eligible for thrombolysis</w:t>
            </w:r>
            <w:r w:rsidRPr="00B10162">
              <w:rPr>
                <w:sz w:val="22"/>
                <w:szCs w:val="22"/>
                <w:vertAlign w:val="superscript"/>
              </w:rPr>
              <w:t>4</w:t>
            </w:r>
            <w:r w:rsidRPr="00B10162">
              <w:rPr>
                <w:sz w:val="22"/>
                <w:szCs w:val="22"/>
              </w:rPr>
              <w:t>.</w:t>
            </w:r>
          </w:p>
          <w:p w14:paraId="3A0561C0" w14:textId="77777777" w:rsidR="00186164" w:rsidRPr="00B10162" w:rsidRDefault="00186164" w:rsidP="00186164">
            <w:pPr>
              <w:spacing w:before="240"/>
              <w:rPr>
                <w:sz w:val="18"/>
                <w:szCs w:val="18"/>
              </w:rPr>
            </w:pPr>
            <w:r w:rsidRPr="00B10162">
              <w:rPr>
                <w:sz w:val="18"/>
                <w:szCs w:val="18"/>
              </w:rPr>
              <w:t xml:space="preserve">1.Quality Standard for Stroke (QS2), NICE, June 2010 </w:t>
            </w:r>
            <w:hyperlink r:id="rId10" w:history="1">
              <w:r w:rsidRPr="00B10162">
                <w:rPr>
                  <w:rStyle w:val="Hyperlink"/>
                  <w:color w:val="auto"/>
                  <w:sz w:val="18"/>
                  <w:szCs w:val="18"/>
                </w:rPr>
                <w:t>https://www.nice.org.uk/guidance/qs2/chapter/Introduction-and-overview</w:t>
              </w:r>
            </w:hyperlink>
          </w:p>
          <w:p w14:paraId="7B83D28C" w14:textId="77777777" w:rsidR="00186164" w:rsidRPr="00B10162" w:rsidRDefault="00186164" w:rsidP="00186164">
            <w:pPr>
              <w:spacing w:before="240"/>
              <w:rPr>
                <w:sz w:val="18"/>
                <w:szCs w:val="18"/>
              </w:rPr>
            </w:pPr>
            <w:r w:rsidRPr="00B10162">
              <w:rPr>
                <w:sz w:val="18"/>
                <w:szCs w:val="18"/>
              </w:rPr>
              <w:t xml:space="preserve">2. Cardiovascular Disease Outcomes Strategy, Department of Health, Mar 2013 </w:t>
            </w:r>
            <w:hyperlink r:id="rId11" w:history="1">
              <w:r w:rsidRPr="00B10162">
                <w:rPr>
                  <w:rStyle w:val="Hyperlink"/>
                  <w:color w:val="auto"/>
                  <w:sz w:val="18"/>
                  <w:szCs w:val="18"/>
                </w:rPr>
                <w:t>https://www.gov.uk/government/uploads/system/uploads/attachment_data/file/214895/9387-2900853-CVD-Outcomes_web1.pdf</w:t>
              </w:r>
            </w:hyperlink>
            <w:r w:rsidRPr="00B10162">
              <w:rPr>
                <w:sz w:val="18"/>
                <w:szCs w:val="18"/>
              </w:rPr>
              <w:t xml:space="preserve"> </w:t>
            </w:r>
          </w:p>
          <w:p w14:paraId="0B312FDC" w14:textId="77777777" w:rsidR="00186164" w:rsidRPr="00B10162" w:rsidRDefault="00186164" w:rsidP="00186164">
            <w:pPr>
              <w:spacing w:before="240"/>
              <w:rPr>
                <w:rStyle w:val="Hyperlink"/>
                <w:color w:val="auto"/>
                <w:sz w:val="18"/>
                <w:szCs w:val="18"/>
              </w:rPr>
            </w:pPr>
            <w:r w:rsidRPr="00B10162">
              <w:rPr>
                <w:sz w:val="18"/>
                <w:szCs w:val="18"/>
              </w:rPr>
              <w:t xml:space="preserve">3. Wardlaw et al, Thrombolysis for acute ischaemic stroke, 2009 </w:t>
            </w:r>
            <w:hyperlink r:id="rId12" w:history="1">
              <w:r w:rsidRPr="00B10162">
                <w:rPr>
                  <w:rStyle w:val="Hyperlink"/>
                  <w:color w:val="auto"/>
                  <w:sz w:val="18"/>
                  <w:szCs w:val="18"/>
                </w:rPr>
                <w:t>http://www.ncbi.nlm.nih.gov/pubmed/12917889</w:t>
              </w:r>
            </w:hyperlink>
          </w:p>
          <w:p w14:paraId="3682DE8D" w14:textId="7905CD15" w:rsidR="00186164" w:rsidRDefault="00186164" w:rsidP="00186164">
            <w:pPr>
              <w:rPr>
                <w:rFonts w:eastAsia="MS Mincho"/>
              </w:rPr>
            </w:pPr>
            <w:r w:rsidRPr="00B10162">
              <w:rPr>
                <w:sz w:val="18"/>
                <w:szCs w:val="18"/>
              </w:rPr>
              <w:t>4. RCP SSNAP</w:t>
            </w:r>
            <w:r w:rsidRPr="00B10162">
              <w:t xml:space="preserve"> </w:t>
            </w:r>
            <w:r w:rsidRPr="00B10162">
              <w:rPr>
                <w:sz w:val="18"/>
                <w:szCs w:val="18"/>
              </w:rPr>
              <w:t xml:space="preserve">Clinical audit January-March 2015 public report, July 2015 </w:t>
            </w:r>
            <w:hyperlink r:id="rId13" w:history="1">
              <w:r w:rsidRPr="00B10162">
                <w:rPr>
                  <w:rStyle w:val="Hyperlink"/>
                  <w:color w:val="auto"/>
                  <w:sz w:val="18"/>
                  <w:szCs w:val="18"/>
                </w:rPr>
                <w:t>https://www.strokeaudit.org/Documents/Results/National/JanMar2015/JanMar2015-PublicReport.aspx</w:t>
              </w:r>
            </w:hyperlink>
          </w:p>
        </w:tc>
      </w:tr>
      <w:tr w:rsidR="00186164" w14:paraId="08CA43B6" w14:textId="77777777" w:rsidTr="00186164">
        <w:tc>
          <w:tcPr>
            <w:tcW w:w="1978" w:type="dxa"/>
          </w:tcPr>
          <w:p w14:paraId="72993266" w14:textId="6BCC00A8" w:rsidR="00186164" w:rsidRPr="00B10162" w:rsidRDefault="00186164" w:rsidP="00186164">
            <w:pPr>
              <w:spacing w:before="240"/>
              <w:rPr>
                <w:b/>
                <w:sz w:val="22"/>
                <w:szCs w:val="22"/>
              </w:rPr>
            </w:pPr>
            <w:r w:rsidRPr="00B10162">
              <w:rPr>
                <w:b/>
                <w:sz w:val="22"/>
                <w:szCs w:val="22"/>
              </w:rPr>
              <w:lastRenderedPageBreak/>
              <w:t>Data source</w:t>
            </w:r>
          </w:p>
        </w:tc>
        <w:tc>
          <w:tcPr>
            <w:tcW w:w="7541" w:type="dxa"/>
          </w:tcPr>
          <w:p w14:paraId="0C422BF7" w14:textId="77777777" w:rsidR="00186164" w:rsidRPr="00B10162" w:rsidRDefault="00186164" w:rsidP="00186164">
            <w:pPr>
              <w:spacing w:before="240"/>
              <w:rPr>
                <w:sz w:val="22"/>
                <w:szCs w:val="22"/>
              </w:rPr>
            </w:pPr>
            <w:r w:rsidRPr="00B10162">
              <w:rPr>
                <w:sz w:val="22"/>
                <w:szCs w:val="22"/>
              </w:rPr>
              <w:t>RCP SSNAP</w:t>
            </w:r>
          </w:p>
          <w:p w14:paraId="619D4AD1" w14:textId="77777777" w:rsidR="00186164" w:rsidRPr="00B10162" w:rsidRDefault="00186164" w:rsidP="00186164">
            <w:pPr>
              <w:spacing w:before="240"/>
              <w:rPr>
                <w:sz w:val="22"/>
                <w:szCs w:val="22"/>
              </w:rPr>
            </w:pPr>
            <w:r w:rsidRPr="00B10162">
              <w:rPr>
                <w:sz w:val="22"/>
                <w:szCs w:val="22"/>
              </w:rPr>
              <w:t>The SSNAP is guided by the Intercollegiate Stroke Working Party (ICSWP) and delivered by the Stroke Programme within the Clinical Effectiveness and Evaluation Unit in the RCP. It is centrally funded by the Healthcare Quality Improvement Partnership (HQIP) on behalf of NHS England as part of the National Clinical Audit and Patient Outcomes Programme (NCAPOP).</w:t>
            </w:r>
          </w:p>
          <w:p w14:paraId="7A2F6F35" w14:textId="6A4C1495" w:rsidR="00186164" w:rsidRPr="00B10162" w:rsidRDefault="00C572D7" w:rsidP="00186164">
            <w:pPr>
              <w:spacing w:before="240"/>
              <w:rPr>
                <w:sz w:val="22"/>
                <w:szCs w:val="22"/>
              </w:rPr>
            </w:pPr>
            <w:hyperlink r:id="rId14" w:history="1">
              <w:r w:rsidR="00186164" w:rsidRPr="00B10162">
                <w:rPr>
                  <w:rStyle w:val="Hyperlink"/>
                  <w:color w:val="auto"/>
                  <w:sz w:val="22"/>
                  <w:szCs w:val="22"/>
                </w:rPr>
                <w:t>http://www.rcplondon.ac.uk/projects/sentinel-stroke-national-audit-programme</w:t>
              </w:r>
            </w:hyperlink>
          </w:p>
        </w:tc>
      </w:tr>
      <w:tr w:rsidR="00186164" w14:paraId="7B726BF1" w14:textId="77777777" w:rsidTr="00186164">
        <w:tc>
          <w:tcPr>
            <w:tcW w:w="1978" w:type="dxa"/>
          </w:tcPr>
          <w:p w14:paraId="091722E2" w14:textId="6FA3EE70" w:rsidR="00186164" w:rsidRPr="00B10162" w:rsidRDefault="00186164" w:rsidP="00186164">
            <w:pPr>
              <w:spacing w:before="240"/>
              <w:rPr>
                <w:b/>
                <w:sz w:val="22"/>
                <w:szCs w:val="22"/>
              </w:rPr>
            </w:pPr>
            <w:r w:rsidRPr="00B10162">
              <w:rPr>
                <w:b/>
                <w:sz w:val="22"/>
                <w:szCs w:val="22"/>
              </w:rPr>
              <w:t>Justification of source and others considered</w:t>
            </w:r>
          </w:p>
        </w:tc>
        <w:tc>
          <w:tcPr>
            <w:tcW w:w="7541" w:type="dxa"/>
          </w:tcPr>
          <w:p w14:paraId="7EFF427C" w14:textId="77777777" w:rsidR="00186164" w:rsidRPr="00B10162" w:rsidRDefault="00186164" w:rsidP="00186164">
            <w:pPr>
              <w:spacing w:before="240"/>
              <w:rPr>
                <w:sz w:val="22"/>
                <w:szCs w:val="22"/>
              </w:rPr>
            </w:pPr>
            <w:r w:rsidRPr="00B10162">
              <w:rPr>
                <w:sz w:val="22"/>
                <w:szCs w:val="22"/>
              </w:rPr>
              <w:t xml:space="preserve">The SSNAP is the single source of data on stroke services, processes of care and outcomes. It provides the data for other statutory reporting mechanisms in England, including the NICE Quality Standard and the five other CCG OIS stroke measures; it is also due to be used for the NHS Outcomes Framework. SSNAP metrics are aligned with those in the Cardiovascular Disease Outcomes Strategy. </w:t>
            </w:r>
          </w:p>
          <w:p w14:paraId="57A1F64A" w14:textId="21A67C5F" w:rsidR="00186164" w:rsidRPr="00B10162" w:rsidRDefault="00186164" w:rsidP="00186164">
            <w:pPr>
              <w:spacing w:before="240"/>
              <w:rPr>
                <w:sz w:val="22"/>
                <w:szCs w:val="22"/>
              </w:rPr>
            </w:pPr>
            <w:r w:rsidRPr="00B10162">
              <w:rPr>
                <w:sz w:val="22"/>
                <w:szCs w:val="22"/>
              </w:rPr>
              <w:t xml:space="preserve">Hospital Episode Statistics (HES) was considered as a data source for this indicator; </w:t>
            </w:r>
            <w:proofErr w:type="gramStart"/>
            <w:r w:rsidRPr="00B10162">
              <w:rPr>
                <w:sz w:val="22"/>
                <w:szCs w:val="22"/>
              </w:rPr>
              <w:t>however</w:t>
            </w:r>
            <w:proofErr w:type="gramEnd"/>
            <w:r w:rsidRPr="00B10162">
              <w:rPr>
                <w:sz w:val="22"/>
                <w:szCs w:val="22"/>
              </w:rPr>
              <w:t xml:space="preserve"> it does not contain the necessary detail required for this indicator to measure levels of thrombolysis.</w:t>
            </w:r>
          </w:p>
        </w:tc>
      </w:tr>
      <w:tr w:rsidR="00186164" w14:paraId="35388E34" w14:textId="77777777" w:rsidTr="00186164">
        <w:tc>
          <w:tcPr>
            <w:tcW w:w="1978" w:type="dxa"/>
          </w:tcPr>
          <w:p w14:paraId="5F3F7EA4" w14:textId="55B4217A" w:rsidR="00186164" w:rsidRPr="00B10162" w:rsidRDefault="00186164" w:rsidP="00186164">
            <w:pPr>
              <w:spacing w:before="240"/>
              <w:rPr>
                <w:b/>
                <w:sz w:val="22"/>
                <w:szCs w:val="22"/>
              </w:rPr>
            </w:pPr>
            <w:r w:rsidRPr="00B10162">
              <w:rPr>
                <w:b/>
                <w:sz w:val="22"/>
                <w:szCs w:val="22"/>
              </w:rPr>
              <w:t>Data availability</w:t>
            </w:r>
          </w:p>
        </w:tc>
        <w:tc>
          <w:tcPr>
            <w:tcW w:w="7541" w:type="dxa"/>
          </w:tcPr>
          <w:p w14:paraId="7A75352F" w14:textId="77777777" w:rsidR="00186164" w:rsidRPr="00B10162" w:rsidRDefault="00186164" w:rsidP="00186164">
            <w:pPr>
              <w:spacing w:before="240"/>
              <w:rPr>
                <w:sz w:val="22"/>
                <w:szCs w:val="22"/>
              </w:rPr>
            </w:pPr>
            <w:r w:rsidRPr="00B10162">
              <w:rPr>
                <w:sz w:val="22"/>
                <w:szCs w:val="22"/>
              </w:rPr>
              <w:t xml:space="preserve">CCG OIS indicators are published annually. SSNAP data for the full financial year is available to produce the indicator approximately 8 months </w:t>
            </w:r>
            <w:r w:rsidRPr="00B10162">
              <w:rPr>
                <w:sz w:val="22"/>
                <w:szCs w:val="22"/>
              </w:rPr>
              <w:lastRenderedPageBreak/>
              <w:t xml:space="preserve">after the financial year end; </w:t>
            </w:r>
            <w:proofErr w:type="gramStart"/>
            <w:r w:rsidRPr="00B10162">
              <w:rPr>
                <w:sz w:val="22"/>
                <w:szCs w:val="22"/>
              </w:rPr>
              <w:t>therefore</w:t>
            </w:r>
            <w:proofErr w:type="gramEnd"/>
            <w:r w:rsidRPr="00B10162">
              <w:rPr>
                <w:sz w:val="22"/>
                <w:szCs w:val="22"/>
              </w:rPr>
              <w:t xml:space="preserve"> the indicator is published each year in December.</w:t>
            </w:r>
          </w:p>
          <w:p w14:paraId="7D86538B" w14:textId="77777777" w:rsidR="00186164" w:rsidRPr="00B10162" w:rsidRDefault="00186164" w:rsidP="00186164">
            <w:pPr>
              <w:spacing w:before="240"/>
              <w:rPr>
                <w:sz w:val="22"/>
                <w:szCs w:val="22"/>
              </w:rPr>
            </w:pPr>
            <w:r w:rsidRPr="00B10162">
              <w:rPr>
                <w:sz w:val="22"/>
                <w:szCs w:val="22"/>
              </w:rPr>
              <w:t>CCG OIS indicators are official statistics and the publication date is pre-announced. There is no gap between the planned and actual publication date.</w:t>
            </w:r>
          </w:p>
          <w:p w14:paraId="21EA512A" w14:textId="253FE4EC" w:rsidR="00186164" w:rsidRPr="00B10162" w:rsidRDefault="00186164" w:rsidP="00186164">
            <w:pPr>
              <w:spacing w:before="240"/>
              <w:rPr>
                <w:sz w:val="22"/>
                <w:szCs w:val="22"/>
              </w:rPr>
            </w:pPr>
            <w:r w:rsidRPr="00B10162">
              <w:rPr>
                <w:sz w:val="22"/>
                <w:szCs w:val="22"/>
              </w:rPr>
              <w:t xml:space="preserve">The RCP make this indicator, along with </w:t>
            </w:r>
            <w:proofErr w:type="gramStart"/>
            <w:r w:rsidRPr="00B10162">
              <w:rPr>
                <w:sz w:val="22"/>
                <w:szCs w:val="22"/>
              </w:rPr>
              <w:t>a number of</w:t>
            </w:r>
            <w:proofErr w:type="gramEnd"/>
            <w:r w:rsidRPr="00B10162">
              <w:rPr>
                <w:sz w:val="22"/>
                <w:szCs w:val="22"/>
              </w:rPr>
              <w:t xml:space="preserve"> others, accessible to the public via RCP reporting, including an Easy Access Version aimed at stroke survivors and carers. It is available via Excel spreadsheets and other formats including graphical representation.</w:t>
            </w:r>
          </w:p>
        </w:tc>
      </w:tr>
      <w:tr w:rsidR="00186164" w14:paraId="03D377A0" w14:textId="77777777" w:rsidTr="00186164">
        <w:tc>
          <w:tcPr>
            <w:tcW w:w="1978" w:type="dxa"/>
          </w:tcPr>
          <w:p w14:paraId="6A4AD187" w14:textId="5C3719CD" w:rsidR="00186164" w:rsidRPr="00B10162" w:rsidRDefault="00186164" w:rsidP="00186164">
            <w:pPr>
              <w:spacing w:before="240"/>
              <w:rPr>
                <w:b/>
                <w:sz w:val="22"/>
                <w:szCs w:val="22"/>
              </w:rPr>
            </w:pPr>
            <w:r w:rsidRPr="00B10162">
              <w:rPr>
                <w:b/>
                <w:sz w:val="22"/>
                <w:szCs w:val="22"/>
              </w:rPr>
              <w:lastRenderedPageBreak/>
              <w:t>Data quality</w:t>
            </w:r>
          </w:p>
        </w:tc>
        <w:tc>
          <w:tcPr>
            <w:tcW w:w="7541" w:type="dxa"/>
          </w:tcPr>
          <w:p w14:paraId="48E5AAC2" w14:textId="77777777" w:rsidR="00186164" w:rsidRPr="00B10162" w:rsidRDefault="00186164" w:rsidP="00186164">
            <w:pPr>
              <w:spacing w:before="240"/>
              <w:rPr>
                <w:sz w:val="22"/>
                <w:szCs w:val="22"/>
              </w:rPr>
            </w:pPr>
            <w:r w:rsidRPr="00B10162">
              <w:rPr>
                <w:sz w:val="22"/>
                <w:szCs w:val="22"/>
              </w:rPr>
              <w:t>The indicator is published in the context of case ascertainment between SSNAP and HES. This is the percentage of patients with primary ICD-10 codes I61, I63 and I64 in HES who are included in SSNAP for the same time period.</w:t>
            </w:r>
          </w:p>
          <w:p w14:paraId="2DD4B3C9" w14:textId="77777777" w:rsidR="00186164" w:rsidRPr="00B10162" w:rsidRDefault="00186164" w:rsidP="00186164">
            <w:pPr>
              <w:spacing w:before="240"/>
              <w:rPr>
                <w:sz w:val="22"/>
                <w:szCs w:val="22"/>
              </w:rPr>
            </w:pPr>
            <w:r w:rsidRPr="00B10162">
              <w:rPr>
                <w:sz w:val="22"/>
                <w:szCs w:val="22"/>
              </w:rPr>
              <w:t>The SSNAP is a mandatory collection and overall case ascertainment increased from 72% in Quarter 1 to 95% in Quarter 4, 2013/14 (Quarter 2: 83%, Quarter 3: 90%). It has further improved to 97% by Quarter 4, 2014/15. Case ascertainment is reported alongside the indicator for all CCGs in the published CCG OIS data files. Only five CCGs (2.4%) had their percentages suppressed in the published 2013/14 data due to less than 50% case ascertainment with HES.</w:t>
            </w:r>
          </w:p>
          <w:p w14:paraId="540201A8" w14:textId="77777777" w:rsidR="00186164" w:rsidRPr="00B10162" w:rsidRDefault="00186164" w:rsidP="00186164">
            <w:pPr>
              <w:spacing w:before="240"/>
              <w:rPr>
                <w:sz w:val="22"/>
                <w:szCs w:val="22"/>
              </w:rPr>
            </w:pPr>
            <w:r w:rsidRPr="00B10162">
              <w:rPr>
                <w:sz w:val="22"/>
                <w:szCs w:val="22"/>
              </w:rPr>
              <w:t xml:space="preserve">Patient records are only included in audit analyses if they include the minimum requirements of completion of mandatory fields. The minimum includes </w:t>
            </w:r>
            <w:proofErr w:type="gramStart"/>
            <w:r w:rsidRPr="00B10162">
              <w:rPr>
                <w:sz w:val="22"/>
                <w:szCs w:val="22"/>
              </w:rPr>
              <w:t>all of</w:t>
            </w:r>
            <w:proofErr w:type="gramEnd"/>
            <w:r w:rsidRPr="00B10162">
              <w:rPr>
                <w:sz w:val="22"/>
                <w:szCs w:val="22"/>
              </w:rPr>
              <w:t xml:space="preserve"> the fields required to calculate this indicator. Case ascertainment is reported publicly at hospital level and therefore there is a strong incentive for hospitals to ensure they have submitted </w:t>
            </w:r>
            <w:proofErr w:type="gramStart"/>
            <w:r w:rsidRPr="00B10162">
              <w:rPr>
                <w:sz w:val="22"/>
                <w:szCs w:val="22"/>
              </w:rPr>
              <w:t>all of</w:t>
            </w:r>
            <w:proofErr w:type="gramEnd"/>
            <w:r w:rsidRPr="00B10162">
              <w:rPr>
                <w:sz w:val="22"/>
                <w:szCs w:val="22"/>
              </w:rPr>
              <w:t xml:space="preserve"> their patients to the audit and completed the mandatory fields. The data is received via a secure web tool which has strong built-in validation meaning that data is fully complete.</w:t>
            </w:r>
          </w:p>
          <w:p w14:paraId="535520AD" w14:textId="6C06697D" w:rsidR="00186164" w:rsidRPr="00B10162" w:rsidRDefault="00186164" w:rsidP="00186164">
            <w:pPr>
              <w:spacing w:before="240"/>
              <w:rPr>
                <w:sz w:val="22"/>
                <w:szCs w:val="22"/>
              </w:rPr>
            </w:pPr>
            <w:r w:rsidRPr="00B10162">
              <w:rPr>
                <w:sz w:val="22"/>
                <w:szCs w:val="22"/>
              </w:rPr>
              <w:t>Patients are mapped to a CCG using patient postcode. National level figures are published including patients that could not be mapped to a CCG and therefore the total of the individual CCGs does not match the national level figure. Over 99% of patients are matched to a CCG across each of the CCG OIS stroke indicators.</w:t>
            </w:r>
          </w:p>
        </w:tc>
      </w:tr>
      <w:tr w:rsidR="00186164" w14:paraId="4A7218A4" w14:textId="77777777" w:rsidTr="00186164">
        <w:tc>
          <w:tcPr>
            <w:tcW w:w="1978" w:type="dxa"/>
          </w:tcPr>
          <w:p w14:paraId="2C7EC609" w14:textId="16281BFB" w:rsidR="00186164" w:rsidRPr="00B10162" w:rsidRDefault="00186164" w:rsidP="00186164">
            <w:pPr>
              <w:spacing w:before="240"/>
              <w:rPr>
                <w:b/>
                <w:sz w:val="22"/>
                <w:szCs w:val="22"/>
              </w:rPr>
            </w:pPr>
            <w:r w:rsidRPr="00B10162">
              <w:rPr>
                <w:b/>
                <w:sz w:val="22"/>
                <w:szCs w:val="22"/>
              </w:rPr>
              <w:t>Quality assurance</w:t>
            </w:r>
          </w:p>
        </w:tc>
        <w:tc>
          <w:tcPr>
            <w:tcW w:w="7541" w:type="dxa"/>
          </w:tcPr>
          <w:p w14:paraId="1BC61BD7" w14:textId="77777777" w:rsidR="00186164" w:rsidRPr="00B10162" w:rsidRDefault="00186164" w:rsidP="00186164">
            <w:pPr>
              <w:spacing w:before="240"/>
              <w:rPr>
                <w:sz w:val="22"/>
                <w:szCs w:val="22"/>
              </w:rPr>
            </w:pPr>
            <w:r w:rsidRPr="00B10162">
              <w:rPr>
                <w:sz w:val="22"/>
                <w:szCs w:val="22"/>
              </w:rPr>
              <w:t>As SSNAP data is subject to strong built-in validation via the secure web tool, it means that it is not possible for providers to enter illogical timings; however, this is double checked during analysis and therefore the accuracy of the indicator is very high. No assumptions are made regarding the arrival and discharge times, apart from when a patient died in hospital.</w:t>
            </w:r>
          </w:p>
          <w:p w14:paraId="1A26CEAA" w14:textId="77777777" w:rsidR="00186164" w:rsidRPr="00B10162" w:rsidRDefault="00186164" w:rsidP="00186164">
            <w:pPr>
              <w:spacing w:before="240"/>
              <w:rPr>
                <w:sz w:val="22"/>
                <w:szCs w:val="22"/>
              </w:rPr>
            </w:pPr>
            <w:r w:rsidRPr="00B10162">
              <w:rPr>
                <w:sz w:val="22"/>
                <w:szCs w:val="22"/>
              </w:rPr>
              <w:t xml:space="preserve">When submitting SSNAP data, security and confidentiality are maintained </w:t>
            </w:r>
            <w:proofErr w:type="gramStart"/>
            <w:r w:rsidRPr="00B10162">
              <w:rPr>
                <w:sz w:val="22"/>
                <w:szCs w:val="22"/>
              </w:rPr>
              <w:t>through the use of</w:t>
            </w:r>
            <w:proofErr w:type="gramEnd"/>
            <w:r w:rsidRPr="00B10162">
              <w:rPr>
                <w:sz w:val="22"/>
                <w:szCs w:val="22"/>
              </w:rPr>
              <w:t xml:space="preserve"> passwords and a person specific registration process. A dedicated helpdesk is in place to answer queries from SSNAP participants, helping to ensure questions are interpreted consistently (which informs updates to FAQs and data set help notes). Users can register for their team on the SSNAP web tool and input data for their team. Once records are complete and </w:t>
            </w:r>
            <w:proofErr w:type="gramStart"/>
            <w:r w:rsidRPr="00B10162">
              <w:rPr>
                <w:sz w:val="22"/>
                <w:szCs w:val="22"/>
              </w:rPr>
              <w:t>correct</w:t>
            </w:r>
            <w:proofErr w:type="gramEnd"/>
            <w:r w:rsidRPr="00B10162">
              <w:rPr>
                <w:sz w:val="22"/>
                <w:szCs w:val="22"/>
              </w:rPr>
              <w:t xml:space="preserve"> they can be ‘locked’ at different levels. Records can be ‘locked’ to 72 hours once this information is completed, they can then be locked to discharge once this is applicable. Locking confirms that all data have been clinically signed off and are ready for central analysis. The ‘Lead clinical contact’ role is responsible for ensuring that the overall </w:t>
            </w:r>
            <w:r w:rsidRPr="00B10162">
              <w:rPr>
                <w:sz w:val="22"/>
                <w:szCs w:val="22"/>
              </w:rPr>
              <w:lastRenderedPageBreak/>
              <w:t xml:space="preserve">system of data collection and entry onto the web tool is accurate, robust and functioning. The SSNAP encourage the lead to routinely check data. Only complete and locked to 72 hours records go into data analysis for the </w:t>
            </w:r>
            <w:proofErr w:type="gramStart"/>
            <w:r w:rsidRPr="00B10162">
              <w:rPr>
                <w:sz w:val="22"/>
                <w:szCs w:val="22"/>
              </w:rPr>
              <w:t>72 hour</w:t>
            </w:r>
            <w:proofErr w:type="gramEnd"/>
            <w:r w:rsidRPr="00B10162">
              <w:rPr>
                <w:sz w:val="22"/>
                <w:szCs w:val="22"/>
              </w:rPr>
              <w:t xml:space="preserve"> section and complete and locked to discharge records go into data analysis for the post-72h section.</w:t>
            </w:r>
          </w:p>
          <w:p w14:paraId="16801353" w14:textId="5DD31524" w:rsidR="00186164" w:rsidRPr="00B10162" w:rsidRDefault="00186164" w:rsidP="00186164">
            <w:pPr>
              <w:spacing w:before="240"/>
              <w:rPr>
                <w:sz w:val="22"/>
                <w:szCs w:val="22"/>
              </w:rPr>
            </w:pPr>
            <w:r w:rsidRPr="00B10162">
              <w:rPr>
                <w:sz w:val="22"/>
                <w:szCs w:val="22"/>
              </w:rPr>
              <w:t>Eligibility criteria are applied to determine which records can be included in the audit. The criteria are: ICD-10 codes I61, I63, I64, but hospitals have means of checking for eligible patients other than their coding system and participants are encouraged to enter cases prospectively meaning the stroke team have more control over selecting records to be included and can also refer to their stroke register, should they have one.</w:t>
            </w:r>
          </w:p>
        </w:tc>
      </w:tr>
      <w:tr w:rsidR="00186164" w14:paraId="36567A31" w14:textId="77777777" w:rsidTr="00186164">
        <w:tc>
          <w:tcPr>
            <w:tcW w:w="1978" w:type="dxa"/>
          </w:tcPr>
          <w:p w14:paraId="2E9A7E19" w14:textId="77777777" w:rsidR="00186164" w:rsidRPr="00B10162" w:rsidRDefault="00186164" w:rsidP="00186164">
            <w:pPr>
              <w:spacing w:before="240"/>
              <w:ind w:left="34"/>
              <w:rPr>
                <w:b/>
                <w:sz w:val="22"/>
                <w:szCs w:val="22"/>
              </w:rPr>
            </w:pPr>
            <w:r w:rsidRPr="00B10162">
              <w:rPr>
                <w:b/>
                <w:sz w:val="22"/>
                <w:szCs w:val="22"/>
              </w:rPr>
              <w:lastRenderedPageBreak/>
              <w:t xml:space="preserve">Quality improvement plan </w:t>
            </w:r>
          </w:p>
          <w:p w14:paraId="14860C3C" w14:textId="77E445D1" w:rsidR="00186164" w:rsidRPr="00B10162" w:rsidRDefault="00186164" w:rsidP="00186164">
            <w:pPr>
              <w:spacing w:before="240"/>
              <w:rPr>
                <w:b/>
                <w:sz w:val="22"/>
                <w:szCs w:val="22"/>
              </w:rPr>
            </w:pPr>
            <w:r w:rsidRPr="00B10162">
              <w:rPr>
                <w:sz w:val="22"/>
                <w:szCs w:val="22"/>
              </w:rPr>
              <w:t>If appropriate</w:t>
            </w:r>
          </w:p>
        </w:tc>
        <w:tc>
          <w:tcPr>
            <w:tcW w:w="7541" w:type="dxa"/>
          </w:tcPr>
          <w:p w14:paraId="759027DF" w14:textId="0B5760BC" w:rsidR="00186164" w:rsidRPr="00B10162" w:rsidRDefault="00186164" w:rsidP="00186164">
            <w:pPr>
              <w:spacing w:before="240"/>
              <w:rPr>
                <w:sz w:val="22"/>
                <w:szCs w:val="22"/>
              </w:rPr>
            </w:pPr>
            <w:r w:rsidRPr="00B10162">
              <w:rPr>
                <w:sz w:val="22"/>
                <w:szCs w:val="22"/>
              </w:rPr>
              <w:t>N/A</w:t>
            </w:r>
          </w:p>
        </w:tc>
      </w:tr>
      <w:tr w:rsidR="00186164" w14:paraId="455570EB" w14:textId="77777777" w:rsidTr="00186164">
        <w:tc>
          <w:tcPr>
            <w:tcW w:w="1978" w:type="dxa"/>
          </w:tcPr>
          <w:p w14:paraId="194356A6" w14:textId="79D9C46E" w:rsidR="00186164" w:rsidRPr="00B10162" w:rsidRDefault="00186164" w:rsidP="00186164">
            <w:pPr>
              <w:spacing w:before="240"/>
              <w:ind w:left="34"/>
              <w:rPr>
                <w:b/>
                <w:sz w:val="22"/>
                <w:szCs w:val="22"/>
              </w:rPr>
            </w:pPr>
            <w:r w:rsidRPr="00B10162">
              <w:rPr>
                <w:b/>
                <w:sz w:val="22"/>
                <w:szCs w:val="22"/>
              </w:rPr>
              <w:t>Data linkage</w:t>
            </w:r>
          </w:p>
        </w:tc>
        <w:tc>
          <w:tcPr>
            <w:tcW w:w="7541" w:type="dxa"/>
          </w:tcPr>
          <w:p w14:paraId="475FE809" w14:textId="3251A0BB" w:rsidR="00186164" w:rsidRPr="00B10162" w:rsidRDefault="00186164" w:rsidP="00186164">
            <w:pPr>
              <w:spacing w:before="240"/>
              <w:rPr>
                <w:sz w:val="22"/>
                <w:szCs w:val="22"/>
              </w:rPr>
            </w:pPr>
            <w:r w:rsidRPr="00B10162">
              <w:rPr>
                <w:sz w:val="22"/>
                <w:szCs w:val="22"/>
              </w:rPr>
              <w:t>None.</w:t>
            </w:r>
          </w:p>
        </w:tc>
      </w:tr>
      <w:tr w:rsidR="00186164" w14:paraId="1CF720AE" w14:textId="77777777" w:rsidTr="00186164">
        <w:tc>
          <w:tcPr>
            <w:tcW w:w="1978" w:type="dxa"/>
          </w:tcPr>
          <w:p w14:paraId="14E25C8C" w14:textId="4FAD7DB0" w:rsidR="00186164" w:rsidRPr="00B10162" w:rsidRDefault="00186164" w:rsidP="00186164">
            <w:pPr>
              <w:spacing w:before="240"/>
              <w:ind w:left="34"/>
              <w:rPr>
                <w:b/>
                <w:sz w:val="22"/>
                <w:szCs w:val="22"/>
              </w:rPr>
            </w:pPr>
            <w:r w:rsidRPr="00B10162">
              <w:rPr>
                <w:b/>
                <w:sz w:val="22"/>
                <w:szCs w:val="22"/>
              </w:rPr>
              <w:t>Quality of data linkage</w:t>
            </w:r>
          </w:p>
        </w:tc>
        <w:tc>
          <w:tcPr>
            <w:tcW w:w="7541" w:type="dxa"/>
          </w:tcPr>
          <w:p w14:paraId="4B0514AD" w14:textId="4DBBB7E8" w:rsidR="00186164" w:rsidRPr="00B10162" w:rsidRDefault="00186164" w:rsidP="00186164">
            <w:pPr>
              <w:spacing w:before="240"/>
              <w:rPr>
                <w:sz w:val="22"/>
                <w:szCs w:val="22"/>
              </w:rPr>
            </w:pPr>
            <w:r w:rsidRPr="00B10162">
              <w:rPr>
                <w:sz w:val="22"/>
                <w:szCs w:val="22"/>
              </w:rPr>
              <w:t>N/A</w:t>
            </w:r>
          </w:p>
        </w:tc>
      </w:tr>
      <w:tr w:rsidR="00186164" w14:paraId="0A837EDB" w14:textId="77777777" w:rsidTr="00186164">
        <w:tc>
          <w:tcPr>
            <w:tcW w:w="1978" w:type="dxa"/>
          </w:tcPr>
          <w:p w14:paraId="12183AAC" w14:textId="71A6493C" w:rsidR="00186164" w:rsidRPr="00B10162" w:rsidRDefault="00186164" w:rsidP="00186164">
            <w:pPr>
              <w:spacing w:before="240"/>
              <w:ind w:left="34"/>
              <w:rPr>
                <w:b/>
                <w:sz w:val="22"/>
                <w:szCs w:val="22"/>
              </w:rPr>
            </w:pPr>
            <w:r w:rsidRPr="00B10162">
              <w:rPr>
                <w:b/>
                <w:sz w:val="22"/>
                <w:szCs w:val="22"/>
              </w:rPr>
              <w:t>Data fields</w:t>
            </w:r>
          </w:p>
        </w:tc>
        <w:tc>
          <w:tcPr>
            <w:tcW w:w="7541" w:type="dxa"/>
          </w:tcPr>
          <w:p w14:paraId="13546D0C" w14:textId="77777777" w:rsidR="00186164" w:rsidRPr="00B10162" w:rsidRDefault="00186164" w:rsidP="00186164">
            <w:pPr>
              <w:spacing w:before="240"/>
              <w:rPr>
                <w:sz w:val="22"/>
                <w:szCs w:val="22"/>
              </w:rPr>
            </w:pPr>
            <w:r w:rsidRPr="00B10162">
              <w:rPr>
                <w:sz w:val="22"/>
                <w:szCs w:val="22"/>
              </w:rPr>
              <w:t xml:space="preserve">The data fields supplied by the RCP are as follows: </w:t>
            </w:r>
          </w:p>
          <w:p w14:paraId="28E82EB7" w14:textId="77777777" w:rsidR="00186164" w:rsidRPr="00B10162" w:rsidRDefault="00186164" w:rsidP="00186164">
            <w:pPr>
              <w:spacing w:before="240"/>
              <w:rPr>
                <w:sz w:val="22"/>
                <w:szCs w:val="22"/>
              </w:rPr>
            </w:pPr>
            <w:r w:rsidRPr="00B10162">
              <w:rPr>
                <w:sz w:val="22"/>
                <w:szCs w:val="22"/>
              </w:rPr>
              <w:t>1. Number of records in SSNAP attributed to this CCG according to patient postcode</w:t>
            </w:r>
          </w:p>
          <w:p w14:paraId="6E54F5A6" w14:textId="77777777" w:rsidR="00186164" w:rsidRPr="00B10162" w:rsidRDefault="00186164" w:rsidP="00186164">
            <w:pPr>
              <w:spacing w:before="240"/>
              <w:rPr>
                <w:sz w:val="22"/>
                <w:szCs w:val="22"/>
              </w:rPr>
            </w:pPr>
            <w:r w:rsidRPr="00B10162">
              <w:rPr>
                <w:sz w:val="22"/>
                <w:szCs w:val="22"/>
              </w:rPr>
              <w:t>2. Estimated expected number of patients (from HES)</w:t>
            </w:r>
          </w:p>
          <w:p w14:paraId="4C60D2F8" w14:textId="77777777" w:rsidR="00186164" w:rsidRPr="00B10162" w:rsidRDefault="00186164" w:rsidP="00186164">
            <w:pPr>
              <w:spacing w:before="240"/>
              <w:rPr>
                <w:sz w:val="22"/>
                <w:szCs w:val="22"/>
              </w:rPr>
            </w:pPr>
            <w:r w:rsidRPr="00B10162">
              <w:rPr>
                <w:sz w:val="22"/>
                <w:szCs w:val="22"/>
              </w:rPr>
              <w:t>3. Case ascertainment band</w:t>
            </w:r>
          </w:p>
          <w:p w14:paraId="398A6310" w14:textId="77777777" w:rsidR="00186164" w:rsidRPr="00B10162" w:rsidRDefault="00186164" w:rsidP="00186164">
            <w:pPr>
              <w:spacing w:before="240"/>
              <w:rPr>
                <w:sz w:val="22"/>
                <w:szCs w:val="22"/>
              </w:rPr>
            </w:pPr>
            <w:r w:rsidRPr="00B10162">
              <w:rPr>
                <w:sz w:val="22"/>
                <w:szCs w:val="22"/>
              </w:rPr>
              <w:t>4. Numerator</w:t>
            </w:r>
          </w:p>
          <w:p w14:paraId="0D073708" w14:textId="77777777" w:rsidR="00186164" w:rsidRPr="00B10162" w:rsidRDefault="00186164" w:rsidP="00186164">
            <w:pPr>
              <w:spacing w:before="240"/>
              <w:rPr>
                <w:sz w:val="22"/>
                <w:szCs w:val="22"/>
              </w:rPr>
            </w:pPr>
            <w:r w:rsidRPr="00B10162">
              <w:rPr>
                <w:sz w:val="22"/>
                <w:szCs w:val="22"/>
              </w:rPr>
              <w:t>5. Denominator</w:t>
            </w:r>
          </w:p>
          <w:p w14:paraId="468F8238" w14:textId="68D6D5B1" w:rsidR="00186164" w:rsidRPr="00B10162" w:rsidRDefault="00186164" w:rsidP="00186164">
            <w:pPr>
              <w:spacing w:before="240"/>
              <w:rPr>
                <w:sz w:val="22"/>
                <w:szCs w:val="22"/>
              </w:rPr>
            </w:pPr>
            <w:r w:rsidRPr="00B10162">
              <w:rPr>
                <w:sz w:val="22"/>
                <w:szCs w:val="22"/>
              </w:rPr>
              <w:t>6. Percentage of all stroke patients who receive thrombolysis</w:t>
            </w:r>
          </w:p>
        </w:tc>
      </w:tr>
      <w:tr w:rsidR="00186164" w14:paraId="2E19CF54" w14:textId="77777777" w:rsidTr="00186164">
        <w:tc>
          <w:tcPr>
            <w:tcW w:w="1978" w:type="dxa"/>
          </w:tcPr>
          <w:p w14:paraId="1BB952E3" w14:textId="2F3392B9" w:rsidR="00186164" w:rsidRPr="00B10162" w:rsidRDefault="00186164" w:rsidP="00186164">
            <w:pPr>
              <w:spacing w:before="240"/>
              <w:ind w:left="34"/>
              <w:rPr>
                <w:b/>
                <w:sz w:val="22"/>
                <w:szCs w:val="22"/>
              </w:rPr>
            </w:pPr>
            <w:r w:rsidRPr="00B10162">
              <w:rPr>
                <w:b/>
                <w:sz w:val="22"/>
                <w:szCs w:val="22"/>
              </w:rPr>
              <w:t>Data filters</w:t>
            </w:r>
          </w:p>
        </w:tc>
        <w:tc>
          <w:tcPr>
            <w:tcW w:w="7541" w:type="dxa"/>
          </w:tcPr>
          <w:p w14:paraId="68908870" w14:textId="77777777" w:rsidR="00186164" w:rsidRPr="00B10162" w:rsidRDefault="00186164" w:rsidP="00186164">
            <w:pPr>
              <w:spacing w:before="240"/>
              <w:rPr>
                <w:sz w:val="22"/>
                <w:szCs w:val="22"/>
              </w:rPr>
            </w:pPr>
            <w:r w:rsidRPr="00B10162">
              <w:rPr>
                <w:sz w:val="22"/>
                <w:szCs w:val="22"/>
              </w:rPr>
              <w:t xml:space="preserve">SSNAP-derived records meeting </w:t>
            </w:r>
            <w:proofErr w:type="gramStart"/>
            <w:r w:rsidRPr="00B10162">
              <w:rPr>
                <w:sz w:val="22"/>
                <w:szCs w:val="22"/>
              </w:rPr>
              <w:t>all of</w:t>
            </w:r>
            <w:proofErr w:type="gramEnd"/>
            <w:r w:rsidRPr="00B10162">
              <w:rPr>
                <w:sz w:val="22"/>
                <w:szCs w:val="22"/>
              </w:rPr>
              <w:t xml:space="preserve"> the following requirements are valid for the denominator in this indicator:</w:t>
            </w:r>
          </w:p>
          <w:p w14:paraId="0BCF2A99" w14:textId="77777777" w:rsidR="00186164" w:rsidRPr="00B10162" w:rsidRDefault="00186164" w:rsidP="00186164">
            <w:pPr>
              <w:pStyle w:val="ListParagraph"/>
              <w:numPr>
                <w:ilvl w:val="0"/>
                <w:numId w:val="16"/>
              </w:numPr>
              <w:spacing w:before="240"/>
              <w:rPr>
                <w:sz w:val="22"/>
                <w:szCs w:val="22"/>
              </w:rPr>
            </w:pPr>
            <w:r w:rsidRPr="00B10162">
              <w:rPr>
                <w:sz w:val="22"/>
                <w:szCs w:val="22"/>
              </w:rPr>
              <w:t>None, all SSNAP stroke patients are included in this indicator.</w:t>
            </w:r>
          </w:p>
          <w:p w14:paraId="25A1F75E" w14:textId="77777777" w:rsidR="00186164" w:rsidRPr="00B10162" w:rsidRDefault="00186164" w:rsidP="00186164">
            <w:pPr>
              <w:spacing w:before="240"/>
              <w:rPr>
                <w:sz w:val="22"/>
                <w:szCs w:val="22"/>
              </w:rPr>
            </w:pPr>
            <w:r w:rsidRPr="00B10162">
              <w:rPr>
                <w:sz w:val="22"/>
                <w:szCs w:val="22"/>
              </w:rPr>
              <w:t xml:space="preserve">SSNAP-derived records meeting </w:t>
            </w:r>
            <w:proofErr w:type="gramStart"/>
            <w:r w:rsidRPr="00B10162">
              <w:rPr>
                <w:sz w:val="22"/>
                <w:szCs w:val="22"/>
              </w:rPr>
              <w:t>all of</w:t>
            </w:r>
            <w:proofErr w:type="gramEnd"/>
            <w:r w:rsidRPr="00B10162">
              <w:rPr>
                <w:sz w:val="22"/>
                <w:szCs w:val="22"/>
              </w:rPr>
              <w:t xml:space="preserve"> the following requirements are valid for the numerator in this indicator:</w:t>
            </w:r>
          </w:p>
          <w:p w14:paraId="2FAD8025" w14:textId="519B8513" w:rsidR="00186164" w:rsidRPr="00B10162" w:rsidRDefault="00186164" w:rsidP="00186164">
            <w:pPr>
              <w:spacing w:before="240"/>
              <w:rPr>
                <w:sz w:val="22"/>
                <w:szCs w:val="22"/>
              </w:rPr>
            </w:pPr>
            <w:r w:rsidRPr="00B10162">
              <w:rPr>
                <w:sz w:val="22"/>
                <w:szCs w:val="22"/>
              </w:rPr>
              <w:t>Audit Question 2.6 – ‘Was the patient given thrombolysis? (Yes/No/No but)’ is equal to ‘Yes’</w:t>
            </w:r>
          </w:p>
        </w:tc>
      </w:tr>
      <w:tr w:rsidR="00186164" w14:paraId="16E0CE92" w14:textId="77777777" w:rsidTr="00186164">
        <w:tc>
          <w:tcPr>
            <w:tcW w:w="1978" w:type="dxa"/>
          </w:tcPr>
          <w:p w14:paraId="49617CCC" w14:textId="77777777" w:rsidR="00186164" w:rsidRPr="00B10162" w:rsidRDefault="00186164" w:rsidP="00186164">
            <w:pPr>
              <w:spacing w:before="240"/>
              <w:ind w:left="34"/>
              <w:rPr>
                <w:b/>
                <w:sz w:val="22"/>
                <w:szCs w:val="22"/>
              </w:rPr>
            </w:pPr>
            <w:r w:rsidRPr="00B10162">
              <w:rPr>
                <w:b/>
                <w:sz w:val="22"/>
                <w:szCs w:val="22"/>
              </w:rPr>
              <w:t xml:space="preserve">Justifications of inclusions and exclusions </w:t>
            </w:r>
          </w:p>
          <w:p w14:paraId="517DB3F1" w14:textId="3BFD7C12" w:rsidR="00186164" w:rsidRPr="00B10162" w:rsidRDefault="00186164" w:rsidP="00186164">
            <w:pPr>
              <w:spacing w:before="240"/>
              <w:ind w:left="34"/>
              <w:rPr>
                <w:b/>
                <w:sz w:val="22"/>
                <w:szCs w:val="22"/>
              </w:rPr>
            </w:pPr>
            <w:r w:rsidRPr="00B10162">
              <w:rPr>
                <w:sz w:val="22"/>
                <w:szCs w:val="22"/>
              </w:rPr>
              <w:lastRenderedPageBreak/>
              <w:t>and how these adhere to standard definitions</w:t>
            </w:r>
          </w:p>
        </w:tc>
        <w:tc>
          <w:tcPr>
            <w:tcW w:w="7541" w:type="dxa"/>
          </w:tcPr>
          <w:p w14:paraId="068D8FD7" w14:textId="77777777" w:rsidR="00186164" w:rsidRPr="00B10162" w:rsidRDefault="00186164" w:rsidP="00186164">
            <w:pPr>
              <w:spacing w:before="240"/>
              <w:rPr>
                <w:sz w:val="22"/>
                <w:szCs w:val="22"/>
              </w:rPr>
            </w:pPr>
            <w:r w:rsidRPr="00B10162">
              <w:rPr>
                <w:sz w:val="22"/>
                <w:szCs w:val="22"/>
              </w:rPr>
              <w:lastRenderedPageBreak/>
              <w:t>Audit Question 2.6 is equal to ‘Yes’ - Identifies whether the patient has been given thrombolysis.</w:t>
            </w:r>
          </w:p>
          <w:p w14:paraId="7FD3E1A6" w14:textId="77777777" w:rsidR="00186164" w:rsidRPr="00B10162" w:rsidRDefault="00186164" w:rsidP="00186164">
            <w:pPr>
              <w:spacing w:before="240"/>
              <w:rPr>
                <w:sz w:val="22"/>
                <w:szCs w:val="22"/>
              </w:rPr>
            </w:pPr>
            <w:r w:rsidRPr="00B10162">
              <w:rPr>
                <w:sz w:val="22"/>
                <w:szCs w:val="22"/>
              </w:rPr>
              <w:lastRenderedPageBreak/>
              <w:t>The SSNAP uses the following ICD-10 diagnosis codes to identify stroke patients:</w:t>
            </w:r>
          </w:p>
          <w:p w14:paraId="7E84A67F" w14:textId="77777777" w:rsidR="00186164" w:rsidRPr="00B10162" w:rsidRDefault="00186164" w:rsidP="00186164">
            <w:pPr>
              <w:pStyle w:val="ListParagraph"/>
              <w:numPr>
                <w:ilvl w:val="0"/>
                <w:numId w:val="5"/>
              </w:numPr>
              <w:spacing w:before="240"/>
              <w:rPr>
                <w:sz w:val="22"/>
                <w:szCs w:val="22"/>
              </w:rPr>
            </w:pPr>
            <w:r w:rsidRPr="00B10162">
              <w:rPr>
                <w:sz w:val="22"/>
                <w:szCs w:val="22"/>
              </w:rPr>
              <w:t>I61 - Intracerebral haemorrhage</w:t>
            </w:r>
          </w:p>
          <w:p w14:paraId="41F44674" w14:textId="77777777" w:rsidR="00186164" w:rsidRPr="00B10162" w:rsidRDefault="00186164" w:rsidP="00186164">
            <w:pPr>
              <w:pStyle w:val="ListParagraph"/>
              <w:numPr>
                <w:ilvl w:val="0"/>
                <w:numId w:val="5"/>
              </w:numPr>
              <w:spacing w:before="240"/>
              <w:rPr>
                <w:sz w:val="22"/>
                <w:szCs w:val="22"/>
              </w:rPr>
            </w:pPr>
            <w:r w:rsidRPr="00B10162">
              <w:rPr>
                <w:sz w:val="22"/>
                <w:szCs w:val="22"/>
              </w:rPr>
              <w:t>I63 - Cerebral infarction</w:t>
            </w:r>
          </w:p>
          <w:p w14:paraId="533FB4C5" w14:textId="77777777" w:rsidR="00186164" w:rsidRPr="00B10162" w:rsidRDefault="00186164" w:rsidP="00186164">
            <w:pPr>
              <w:pStyle w:val="ListParagraph"/>
              <w:numPr>
                <w:ilvl w:val="0"/>
                <w:numId w:val="5"/>
              </w:numPr>
              <w:spacing w:before="240"/>
              <w:rPr>
                <w:sz w:val="22"/>
                <w:szCs w:val="22"/>
              </w:rPr>
            </w:pPr>
            <w:r w:rsidRPr="00B10162">
              <w:rPr>
                <w:sz w:val="22"/>
                <w:szCs w:val="22"/>
              </w:rPr>
              <w:t>I64 - Stroke, not specified as haemorrhage or infarction</w:t>
            </w:r>
          </w:p>
          <w:p w14:paraId="4E06C13B" w14:textId="77777777" w:rsidR="00186164" w:rsidRPr="00B10162" w:rsidRDefault="00186164" w:rsidP="00186164">
            <w:pPr>
              <w:spacing w:before="240"/>
              <w:rPr>
                <w:sz w:val="22"/>
                <w:szCs w:val="22"/>
              </w:rPr>
            </w:pPr>
            <w:r w:rsidRPr="00B10162">
              <w:rPr>
                <w:sz w:val="22"/>
                <w:szCs w:val="22"/>
              </w:rPr>
              <w:t xml:space="preserve">The coding advice from the Clinical Classifications Service also includes I60 (Subarachnoid haemorrhage) and I62 (Other nontraumatic intracranial haemorrhage), however this advice would not be endorsed by the RCP as subarachnoid haemorrhage and other non-traumatic intracranial haemorrhage have a different care pathway and outcome. </w:t>
            </w:r>
          </w:p>
          <w:p w14:paraId="5E6D0189" w14:textId="742FE233" w:rsidR="00186164" w:rsidRPr="00B10162" w:rsidRDefault="00186164" w:rsidP="00186164">
            <w:pPr>
              <w:spacing w:before="240"/>
              <w:rPr>
                <w:sz w:val="22"/>
                <w:szCs w:val="22"/>
              </w:rPr>
            </w:pPr>
            <w:r w:rsidRPr="00B10162">
              <w:rPr>
                <w:sz w:val="22"/>
                <w:szCs w:val="22"/>
              </w:rPr>
              <w:t>Subarachnoid haemorrhages and other non-traumatic intracranial haemorrhages are routinely and nearly always managed entirely outside of the stroke unit by neurosurgeons or by interventional neuroradiologists, which is what is recommended in national guidelines for these cases. The indicators need to reflect the care given on appropriate clinical pathways, not arbitrary groupings.</w:t>
            </w:r>
          </w:p>
        </w:tc>
      </w:tr>
      <w:tr w:rsidR="00186164" w14:paraId="2B3542D1" w14:textId="77777777" w:rsidTr="00186164">
        <w:tc>
          <w:tcPr>
            <w:tcW w:w="1978" w:type="dxa"/>
          </w:tcPr>
          <w:p w14:paraId="2D4048FB" w14:textId="3551065F" w:rsidR="00186164" w:rsidRPr="00B10162" w:rsidRDefault="00186164" w:rsidP="00186164">
            <w:pPr>
              <w:spacing w:before="240"/>
              <w:ind w:left="34"/>
              <w:rPr>
                <w:b/>
                <w:sz w:val="22"/>
                <w:szCs w:val="22"/>
              </w:rPr>
            </w:pPr>
            <w:r w:rsidRPr="00B10162">
              <w:rPr>
                <w:b/>
                <w:sz w:val="22"/>
                <w:szCs w:val="22"/>
              </w:rPr>
              <w:lastRenderedPageBreak/>
              <w:t>Data processing</w:t>
            </w:r>
          </w:p>
        </w:tc>
        <w:tc>
          <w:tcPr>
            <w:tcW w:w="7541" w:type="dxa"/>
          </w:tcPr>
          <w:p w14:paraId="006E3811" w14:textId="77777777" w:rsidR="00186164" w:rsidRPr="00B10162" w:rsidRDefault="00186164" w:rsidP="00186164">
            <w:pPr>
              <w:spacing w:before="240"/>
              <w:rPr>
                <w:sz w:val="22"/>
                <w:szCs w:val="22"/>
              </w:rPr>
            </w:pPr>
            <w:r w:rsidRPr="00B10162">
              <w:rPr>
                <w:sz w:val="22"/>
                <w:szCs w:val="22"/>
              </w:rPr>
              <w:t>The calculated CCG level indicator is provided by the RCP and includes the percentage, numerator, denominator and contextual information. It is provided with any necessary data suppression.</w:t>
            </w:r>
          </w:p>
          <w:p w14:paraId="163C87DF" w14:textId="1F699794" w:rsidR="00186164" w:rsidRPr="00B10162" w:rsidRDefault="00186164" w:rsidP="00186164">
            <w:pPr>
              <w:spacing w:before="240"/>
              <w:rPr>
                <w:sz w:val="22"/>
                <w:szCs w:val="22"/>
              </w:rPr>
            </w:pPr>
            <w:r w:rsidRPr="00B10162">
              <w:rPr>
                <w:sz w:val="22"/>
                <w:szCs w:val="22"/>
              </w:rPr>
              <w:t>A 95% confidence interval is calculated by Clinical Indicators for each CCG prior to publication.</w:t>
            </w:r>
          </w:p>
        </w:tc>
      </w:tr>
      <w:tr w:rsidR="00186164" w14:paraId="69DE22A2" w14:textId="77777777" w:rsidTr="00186164">
        <w:tc>
          <w:tcPr>
            <w:tcW w:w="1978" w:type="dxa"/>
          </w:tcPr>
          <w:p w14:paraId="42C995CF" w14:textId="30E2684D" w:rsidR="00186164" w:rsidRPr="00B10162" w:rsidRDefault="00186164" w:rsidP="00186164">
            <w:pPr>
              <w:spacing w:before="240"/>
              <w:ind w:left="34"/>
              <w:rPr>
                <w:b/>
                <w:sz w:val="22"/>
                <w:szCs w:val="22"/>
              </w:rPr>
            </w:pPr>
            <w:r w:rsidRPr="00B10162">
              <w:rPr>
                <w:b/>
                <w:sz w:val="22"/>
                <w:szCs w:val="22"/>
              </w:rPr>
              <w:t>Numerator</w:t>
            </w:r>
          </w:p>
        </w:tc>
        <w:tc>
          <w:tcPr>
            <w:tcW w:w="7541" w:type="dxa"/>
          </w:tcPr>
          <w:p w14:paraId="4A84F5FF" w14:textId="78C82417" w:rsidR="00186164" w:rsidRPr="00B10162" w:rsidRDefault="00186164" w:rsidP="00186164">
            <w:pPr>
              <w:spacing w:before="240"/>
              <w:rPr>
                <w:sz w:val="22"/>
                <w:szCs w:val="22"/>
              </w:rPr>
            </w:pPr>
            <w:r w:rsidRPr="00B10162">
              <w:rPr>
                <w:sz w:val="22"/>
                <w:szCs w:val="22"/>
              </w:rPr>
              <w:t>The number of acute stroke patients who were given thrombolysis for stroke.</w:t>
            </w:r>
          </w:p>
        </w:tc>
      </w:tr>
      <w:tr w:rsidR="00186164" w14:paraId="2860A969" w14:textId="77777777" w:rsidTr="00186164">
        <w:tc>
          <w:tcPr>
            <w:tcW w:w="1978" w:type="dxa"/>
          </w:tcPr>
          <w:p w14:paraId="1D0F31A7" w14:textId="1F4FD705" w:rsidR="00186164" w:rsidRPr="00B10162" w:rsidRDefault="00186164" w:rsidP="00186164">
            <w:pPr>
              <w:spacing w:before="240"/>
              <w:ind w:left="34"/>
              <w:rPr>
                <w:b/>
                <w:sz w:val="22"/>
                <w:szCs w:val="22"/>
              </w:rPr>
            </w:pPr>
            <w:r w:rsidRPr="00B10162">
              <w:rPr>
                <w:b/>
                <w:sz w:val="22"/>
                <w:szCs w:val="22"/>
              </w:rPr>
              <w:t>Denominator</w:t>
            </w:r>
          </w:p>
        </w:tc>
        <w:tc>
          <w:tcPr>
            <w:tcW w:w="7541" w:type="dxa"/>
          </w:tcPr>
          <w:p w14:paraId="6AF08664" w14:textId="54F8A54B" w:rsidR="00186164" w:rsidRPr="00B10162" w:rsidRDefault="00186164" w:rsidP="00186164">
            <w:pPr>
              <w:spacing w:before="240"/>
              <w:rPr>
                <w:sz w:val="22"/>
                <w:szCs w:val="22"/>
              </w:rPr>
            </w:pPr>
            <w:r w:rsidRPr="00B10162">
              <w:rPr>
                <w:sz w:val="22"/>
                <w:szCs w:val="22"/>
              </w:rPr>
              <w:t>All acute stroke patients, including those who were already in hospital at the time of new stroke occurrence.</w:t>
            </w:r>
          </w:p>
        </w:tc>
      </w:tr>
      <w:tr w:rsidR="00186164" w14:paraId="2495E0AA" w14:textId="77777777" w:rsidTr="00186164">
        <w:tc>
          <w:tcPr>
            <w:tcW w:w="1978" w:type="dxa"/>
          </w:tcPr>
          <w:p w14:paraId="6E87C950" w14:textId="24D896C0" w:rsidR="00186164" w:rsidRPr="00B10162" w:rsidRDefault="00186164" w:rsidP="00186164">
            <w:pPr>
              <w:spacing w:before="240"/>
              <w:ind w:left="34"/>
              <w:rPr>
                <w:b/>
                <w:sz w:val="22"/>
                <w:szCs w:val="22"/>
              </w:rPr>
            </w:pPr>
            <w:r w:rsidRPr="00B10162">
              <w:rPr>
                <w:b/>
                <w:sz w:val="22"/>
                <w:szCs w:val="22"/>
              </w:rPr>
              <w:t>Computation</w:t>
            </w:r>
          </w:p>
        </w:tc>
        <w:tc>
          <w:tcPr>
            <w:tcW w:w="7541" w:type="dxa"/>
          </w:tcPr>
          <w:p w14:paraId="241C180C" w14:textId="77777777" w:rsidR="00186164" w:rsidRPr="00B10162" w:rsidRDefault="00186164" w:rsidP="00186164">
            <w:pPr>
              <w:spacing w:before="240"/>
              <w:rPr>
                <w:sz w:val="22"/>
                <w:szCs w:val="22"/>
              </w:rPr>
            </w:pPr>
            <w:r w:rsidRPr="00B10162">
              <w:rPr>
                <w:sz w:val="22"/>
                <w:szCs w:val="22"/>
              </w:rPr>
              <w:t xml:space="preserve">The percentage </w:t>
            </w:r>
            <w:r w:rsidRPr="00B10162">
              <w:rPr>
                <w:rFonts w:ascii="Times New Roman" w:hAnsi="Times New Roman"/>
                <w:i/>
                <w:sz w:val="22"/>
                <w:szCs w:val="22"/>
              </w:rPr>
              <w:t>p</w:t>
            </w:r>
            <w:r w:rsidRPr="00B10162">
              <w:rPr>
                <w:sz w:val="22"/>
                <w:szCs w:val="22"/>
              </w:rPr>
              <w:t xml:space="preserve"> is given by:</w:t>
            </w:r>
            <w:r w:rsidRPr="00B10162">
              <w:rPr>
                <w:sz w:val="22"/>
                <w:szCs w:val="22"/>
              </w:rPr>
              <w:tab/>
            </w:r>
            <w:r w:rsidRPr="00B10162">
              <w:rPr>
                <w:sz w:val="22"/>
                <w:szCs w:val="22"/>
              </w:rPr>
              <w:tab/>
            </w:r>
            <w:r w:rsidRPr="00B10162">
              <w:rPr>
                <w:sz w:val="22"/>
                <w:szCs w:val="22"/>
              </w:rPr>
              <w:tab/>
            </w:r>
          </w:p>
          <w:p w14:paraId="64D34518" w14:textId="77777777" w:rsidR="00186164" w:rsidRPr="00B10162" w:rsidRDefault="00186164" w:rsidP="00186164">
            <w:pPr>
              <w:rPr>
                <w:i/>
                <w:sz w:val="22"/>
                <w:szCs w:val="22"/>
              </w:rPr>
            </w:pPr>
            <m:oMathPara>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O</m:t>
                    </m:r>
                  </m:num>
                  <m:den>
                    <m:r>
                      <w:rPr>
                        <w:rFonts w:ascii="Cambria Math" w:hAnsi="Cambria Math"/>
                        <w:sz w:val="22"/>
                        <w:szCs w:val="22"/>
                      </w:rPr>
                      <m:t>n</m:t>
                    </m:r>
                  </m:den>
                </m:f>
                <m:r>
                  <w:rPr>
                    <w:rFonts w:ascii="Cambria Math" w:hAnsi="Cambria Math"/>
                    <w:sz w:val="22"/>
                    <w:szCs w:val="22"/>
                  </w:rPr>
                  <m:t>×100</m:t>
                </m:r>
              </m:oMath>
            </m:oMathPara>
          </w:p>
          <w:p w14:paraId="180EA787" w14:textId="77777777" w:rsidR="00186164" w:rsidRPr="00B10162" w:rsidRDefault="00186164" w:rsidP="00186164">
            <w:pPr>
              <w:rPr>
                <w:sz w:val="22"/>
                <w:szCs w:val="22"/>
              </w:rPr>
            </w:pPr>
            <w:r w:rsidRPr="00B10162">
              <w:rPr>
                <w:sz w:val="22"/>
                <w:szCs w:val="22"/>
              </w:rPr>
              <w:t>where:</w:t>
            </w:r>
            <w:r w:rsidRPr="00B10162">
              <w:rPr>
                <w:sz w:val="22"/>
                <w:szCs w:val="22"/>
              </w:rPr>
              <w:tab/>
            </w:r>
            <w:r w:rsidRPr="00B10162">
              <w:rPr>
                <w:sz w:val="22"/>
                <w:szCs w:val="22"/>
              </w:rPr>
              <w:tab/>
            </w:r>
            <w:r w:rsidRPr="00B10162">
              <w:rPr>
                <w:sz w:val="22"/>
                <w:szCs w:val="22"/>
              </w:rPr>
              <w:tab/>
            </w:r>
          </w:p>
          <w:p w14:paraId="6A42ED48" w14:textId="053D988C" w:rsidR="00186164" w:rsidRPr="00B10162" w:rsidRDefault="00186164" w:rsidP="00186164">
            <w:pPr>
              <w:spacing w:before="240"/>
              <w:rPr>
                <w:sz w:val="22"/>
                <w:szCs w:val="22"/>
              </w:rPr>
            </w:pPr>
            <w:r w:rsidRPr="00B10162">
              <w:rPr>
                <w:rFonts w:ascii="Times New Roman" w:hAnsi="Times New Roman"/>
                <w:i/>
                <w:sz w:val="22"/>
                <w:szCs w:val="22"/>
              </w:rPr>
              <w:t>O</w:t>
            </w:r>
            <w:r w:rsidRPr="00B10162">
              <w:rPr>
                <w:sz w:val="22"/>
                <w:szCs w:val="22"/>
              </w:rPr>
              <w:t xml:space="preserve"> is the numerator and </w:t>
            </w:r>
            <w:r w:rsidRPr="00B10162">
              <w:rPr>
                <w:rFonts w:ascii="Times New Roman" w:hAnsi="Times New Roman"/>
                <w:i/>
                <w:sz w:val="22"/>
                <w:szCs w:val="22"/>
              </w:rPr>
              <w:t>n</w:t>
            </w:r>
            <w:r w:rsidRPr="00B10162">
              <w:rPr>
                <w:sz w:val="22"/>
                <w:szCs w:val="22"/>
              </w:rPr>
              <w:t xml:space="preserve"> </w:t>
            </w:r>
            <w:proofErr w:type="gramStart"/>
            <w:r w:rsidRPr="00B10162">
              <w:rPr>
                <w:sz w:val="22"/>
                <w:szCs w:val="22"/>
              </w:rPr>
              <w:t>is</w:t>
            </w:r>
            <w:proofErr w:type="gramEnd"/>
            <w:r w:rsidRPr="00B10162">
              <w:rPr>
                <w:sz w:val="22"/>
                <w:szCs w:val="22"/>
              </w:rPr>
              <w:t xml:space="preserve"> the denominator.</w:t>
            </w:r>
          </w:p>
        </w:tc>
      </w:tr>
      <w:tr w:rsidR="00186164" w14:paraId="64583B38" w14:textId="77777777" w:rsidTr="00186164">
        <w:tc>
          <w:tcPr>
            <w:tcW w:w="1978" w:type="dxa"/>
          </w:tcPr>
          <w:p w14:paraId="2A101090" w14:textId="27E4BE1E" w:rsidR="00186164" w:rsidRPr="00B10162" w:rsidRDefault="00186164" w:rsidP="00186164">
            <w:pPr>
              <w:spacing w:before="240"/>
              <w:ind w:left="34"/>
              <w:rPr>
                <w:b/>
                <w:sz w:val="22"/>
                <w:szCs w:val="22"/>
              </w:rPr>
            </w:pPr>
            <w:r w:rsidRPr="00B10162">
              <w:rPr>
                <w:b/>
                <w:sz w:val="22"/>
                <w:szCs w:val="22"/>
              </w:rPr>
              <w:t>Risk adjustment or standardisation type and methodology</w:t>
            </w:r>
          </w:p>
        </w:tc>
        <w:tc>
          <w:tcPr>
            <w:tcW w:w="7541" w:type="dxa"/>
          </w:tcPr>
          <w:p w14:paraId="4558378F" w14:textId="0D5E5886" w:rsidR="00186164" w:rsidRPr="00B10162" w:rsidRDefault="00186164" w:rsidP="00186164">
            <w:pPr>
              <w:spacing w:before="240"/>
              <w:rPr>
                <w:sz w:val="22"/>
                <w:szCs w:val="22"/>
              </w:rPr>
            </w:pPr>
            <w:r w:rsidRPr="00B10162">
              <w:rPr>
                <w:sz w:val="22"/>
                <w:szCs w:val="22"/>
              </w:rPr>
              <w:t xml:space="preserve">The indicator is not </w:t>
            </w:r>
            <w:proofErr w:type="gramStart"/>
            <w:r w:rsidRPr="00B10162">
              <w:rPr>
                <w:sz w:val="22"/>
                <w:szCs w:val="22"/>
              </w:rPr>
              <w:t>standardised</w:t>
            </w:r>
            <w:proofErr w:type="gramEnd"/>
            <w:r w:rsidRPr="00B10162">
              <w:rPr>
                <w:sz w:val="22"/>
                <w:szCs w:val="22"/>
              </w:rPr>
              <w:t xml:space="preserve"> or risk adjusted.</w:t>
            </w:r>
          </w:p>
        </w:tc>
      </w:tr>
      <w:tr w:rsidR="00186164" w14:paraId="50279886" w14:textId="77777777" w:rsidTr="00186164">
        <w:tc>
          <w:tcPr>
            <w:tcW w:w="1978" w:type="dxa"/>
          </w:tcPr>
          <w:p w14:paraId="1A132C4A" w14:textId="77777777" w:rsidR="00186164" w:rsidRPr="00B10162" w:rsidRDefault="00186164" w:rsidP="00186164">
            <w:pPr>
              <w:spacing w:before="240"/>
              <w:ind w:left="34"/>
              <w:rPr>
                <w:b/>
                <w:sz w:val="22"/>
                <w:szCs w:val="22"/>
              </w:rPr>
            </w:pPr>
            <w:r w:rsidRPr="00B10162">
              <w:rPr>
                <w:b/>
                <w:sz w:val="22"/>
                <w:szCs w:val="22"/>
              </w:rPr>
              <w:t>Justification of risk adjustment type and variables</w:t>
            </w:r>
          </w:p>
          <w:p w14:paraId="3311BC9D" w14:textId="6C96E407" w:rsidR="00186164" w:rsidRPr="00B10162" w:rsidRDefault="00186164" w:rsidP="00186164">
            <w:pPr>
              <w:spacing w:before="240"/>
              <w:ind w:left="34"/>
              <w:rPr>
                <w:b/>
                <w:sz w:val="22"/>
                <w:szCs w:val="22"/>
              </w:rPr>
            </w:pPr>
            <w:r w:rsidRPr="00B10162">
              <w:rPr>
                <w:sz w:val="22"/>
                <w:szCs w:val="22"/>
              </w:rPr>
              <w:lastRenderedPageBreak/>
              <w:t>or why risk adjustment is not used</w:t>
            </w:r>
          </w:p>
        </w:tc>
        <w:tc>
          <w:tcPr>
            <w:tcW w:w="7541" w:type="dxa"/>
          </w:tcPr>
          <w:p w14:paraId="4A7D9E1D" w14:textId="73B6D5E1" w:rsidR="00186164" w:rsidRPr="00B10162" w:rsidRDefault="00186164" w:rsidP="00186164">
            <w:pPr>
              <w:spacing w:before="240"/>
              <w:rPr>
                <w:sz w:val="22"/>
                <w:szCs w:val="22"/>
              </w:rPr>
            </w:pPr>
            <w:r w:rsidRPr="00B10162">
              <w:rPr>
                <w:sz w:val="22"/>
                <w:szCs w:val="22"/>
              </w:rPr>
              <w:lastRenderedPageBreak/>
              <w:t xml:space="preserve">The indicator can be contextualised using the percentage of eligible patients (according to the RCP guideline minimum threshold) </w:t>
            </w:r>
            <w:proofErr w:type="spellStart"/>
            <w:r w:rsidRPr="00B10162">
              <w:rPr>
                <w:sz w:val="22"/>
                <w:szCs w:val="22"/>
              </w:rPr>
              <w:t>thrombolysed</w:t>
            </w:r>
            <w:proofErr w:type="spellEnd"/>
            <w:r w:rsidRPr="00B10162">
              <w:rPr>
                <w:sz w:val="22"/>
                <w:szCs w:val="22"/>
              </w:rPr>
              <w:t xml:space="preserve">, which is a key CCG level indicator in the SSNAP results portal. In addition, the SSNAP reports on several factors which could affect </w:t>
            </w:r>
            <w:r w:rsidRPr="00B10162">
              <w:rPr>
                <w:sz w:val="22"/>
                <w:szCs w:val="22"/>
              </w:rPr>
              <w:lastRenderedPageBreak/>
              <w:t>thrombolysis rates such as the haemorrhage rate and onset-to-arrival timings.</w:t>
            </w:r>
          </w:p>
        </w:tc>
      </w:tr>
      <w:tr w:rsidR="00186164" w14:paraId="1A2A6357" w14:textId="77777777" w:rsidTr="00186164">
        <w:tc>
          <w:tcPr>
            <w:tcW w:w="1978" w:type="dxa"/>
          </w:tcPr>
          <w:p w14:paraId="28181D95" w14:textId="6731B1AE" w:rsidR="00186164" w:rsidRPr="00B10162" w:rsidRDefault="00186164" w:rsidP="00186164">
            <w:pPr>
              <w:spacing w:before="240"/>
              <w:ind w:left="34"/>
              <w:rPr>
                <w:b/>
                <w:sz w:val="22"/>
                <w:szCs w:val="22"/>
              </w:rPr>
            </w:pPr>
            <w:r w:rsidRPr="00B10162">
              <w:rPr>
                <w:b/>
                <w:sz w:val="22"/>
                <w:szCs w:val="22"/>
              </w:rPr>
              <w:lastRenderedPageBreak/>
              <w:t>Confidence interval / control limit use and methodology</w:t>
            </w:r>
          </w:p>
        </w:tc>
        <w:tc>
          <w:tcPr>
            <w:tcW w:w="7541" w:type="dxa"/>
          </w:tcPr>
          <w:p w14:paraId="787A5F70" w14:textId="77777777" w:rsidR="00186164" w:rsidRPr="00B10162" w:rsidRDefault="00186164" w:rsidP="00186164">
            <w:pPr>
              <w:spacing w:before="240"/>
              <w:rPr>
                <w:sz w:val="22"/>
                <w:szCs w:val="22"/>
              </w:rPr>
            </w:pPr>
            <w:r w:rsidRPr="00B10162">
              <w:rPr>
                <w:sz w:val="22"/>
                <w:szCs w:val="22"/>
              </w:rPr>
              <w:t>Confidence Intervals</w:t>
            </w:r>
          </w:p>
          <w:p w14:paraId="09AC35DD" w14:textId="77777777" w:rsidR="00186164" w:rsidRPr="00B10162" w:rsidRDefault="00186164" w:rsidP="00186164">
            <w:pPr>
              <w:spacing w:before="240"/>
              <w:rPr>
                <w:sz w:val="22"/>
                <w:szCs w:val="22"/>
              </w:rPr>
            </w:pPr>
            <w:r w:rsidRPr="00B10162">
              <w:rPr>
                <w:sz w:val="22"/>
                <w:szCs w:val="22"/>
              </w:rPr>
              <w:t xml:space="preserve">Confidence intervals are calculated using the Wilson Score method, as specified in “Commonly used public health statistics and their confidence intervals” (Public Health England (PHE), March 2008 </w:t>
            </w:r>
            <w:hyperlink r:id="rId15" w:history="1">
              <w:r w:rsidRPr="00B10162">
                <w:rPr>
                  <w:rStyle w:val="Hyperlink"/>
                  <w:color w:val="auto"/>
                  <w:sz w:val="22"/>
                  <w:szCs w:val="22"/>
                </w:rPr>
                <w:t>http://www.apho.org.uk/resource/view.aspx?RID=48617</w:t>
              </w:r>
            </w:hyperlink>
            <w:r w:rsidRPr="00B10162">
              <w:rPr>
                <w:sz w:val="22"/>
                <w:szCs w:val="22"/>
              </w:rPr>
              <w:t>).</w:t>
            </w:r>
          </w:p>
          <w:p w14:paraId="2E9B2199" w14:textId="77777777" w:rsidR="00186164" w:rsidRPr="00B10162" w:rsidRDefault="00186164" w:rsidP="00186164">
            <w:pPr>
              <w:spacing w:before="240"/>
              <w:rPr>
                <w:sz w:val="22"/>
                <w:szCs w:val="22"/>
              </w:rPr>
            </w:pPr>
            <w:r w:rsidRPr="00B10162">
              <w:rPr>
                <w:sz w:val="22"/>
                <w:szCs w:val="22"/>
              </w:rPr>
              <w:t xml:space="preserve">The formulae for the 100(1 – </w:t>
            </w:r>
            <w:proofErr w:type="gramStart"/>
            <w:r w:rsidRPr="00B10162">
              <w:rPr>
                <w:sz w:val="22"/>
                <w:szCs w:val="22"/>
              </w:rPr>
              <w:t>α)%</w:t>
            </w:r>
            <w:proofErr w:type="gramEnd"/>
            <w:r w:rsidRPr="00B10162">
              <w:rPr>
                <w:sz w:val="22"/>
                <w:szCs w:val="22"/>
              </w:rPr>
              <w:t xml:space="preserve"> confidence interval limits for the proportion p are:</w:t>
            </w:r>
          </w:p>
          <w:p w14:paraId="1064BAE9" w14:textId="77777777" w:rsidR="00186164" w:rsidRPr="00B10162" w:rsidRDefault="00C572D7" w:rsidP="00186164">
            <w:pPr>
              <w:spacing w:before="240"/>
              <w:rPr>
                <w:sz w:val="22"/>
                <w:szCs w:val="22"/>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lower</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2O+</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-z</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+4</m:t>
                        </m:r>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q</m:t>
                            </m:r>
                          </m:sub>
                        </m:sSub>
                      </m:e>
                    </m:rad>
                  </m:num>
                  <m:den>
                    <m:r>
                      <w:rPr>
                        <w:rFonts w:ascii="Cambria Math" w:hAnsi="Cambria Math"/>
                        <w:sz w:val="22"/>
                        <w:szCs w:val="22"/>
                      </w:rPr>
                      <m:t>2</m:t>
                    </m:r>
                    <m:d>
                      <m:dPr>
                        <m:ctrlPr>
                          <w:rPr>
                            <w:rFonts w:ascii="Cambria Math" w:hAnsi="Cambria Math"/>
                            <w:i/>
                            <w:sz w:val="22"/>
                            <w:szCs w:val="22"/>
                          </w:rPr>
                        </m:ctrlPr>
                      </m:dPr>
                      <m:e>
                        <m:r>
                          <w:rPr>
                            <w:rFonts w:ascii="Cambria Math" w:hAnsi="Cambria Math"/>
                            <w:sz w:val="22"/>
                            <w:szCs w:val="22"/>
                          </w:rPr>
                          <m:t>n+</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e>
                    </m:d>
                  </m:den>
                </m:f>
              </m:oMath>
            </m:oMathPara>
          </w:p>
          <w:p w14:paraId="03632556" w14:textId="77777777" w:rsidR="00186164" w:rsidRPr="00B10162" w:rsidRDefault="00C572D7" w:rsidP="00186164">
            <w:pPr>
              <w:spacing w:before="240"/>
              <w:rPr>
                <w:sz w:val="22"/>
                <w:szCs w:val="22"/>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upper</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2O+</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+z</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+4</m:t>
                        </m:r>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q</m:t>
                            </m:r>
                          </m:sub>
                        </m:sSub>
                      </m:e>
                    </m:rad>
                  </m:num>
                  <m:den>
                    <m:r>
                      <w:rPr>
                        <w:rFonts w:ascii="Cambria Math" w:hAnsi="Cambria Math"/>
                        <w:sz w:val="22"/>
                        <w:szCs w:val="22"/>
                      </w:rPr>
                      <m:t>2</m:t>
                    </m:r>
                    <m:d>
                      <m:dPr>
                        <m:ctrlPr>
                          <w:rPr>
                            <w:rFonts w:ascii="Cambria Math" w:hAnsi="Cambria Math"/>
                            <w:i/>
                            <w:sz w:val="22"/>
                            <w:szCs w:val="22"/>
                          </w:rPr>
                        </m:ctrlPr>
                      </m:dPr>
                      <m:e>
                        <m:r>
                          <w:rPr>
                            <w:rFonts w:ascii="Cambria Math" w:hAnsi="Cambria Math"/>
                            <w:sz w:val="22"/>
                            <w:szCs w:val="22"/>
                          </w:rPr>
                          <m:t>n+</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e>
                    </m:d>
                  </m:den>
                </m:f>
              </m:oMath>
            </m:oMathPara>
          </w:p>
          <w:p w14:paraId="0D9BF98F" w14:textId="77777777" w:rsidR="00186164" w:rsidRPr="00B10162" w:rsidRDefault="00186164" w:rsidP="00186164">
            <w:pPr>
              <w:spacing w:before="240"/>
              <w:rPr>
                <w:sz w:val="22"/>
                <w:szCs w:val="22"/>
              </w:rPr>
            </w:pPr>
            <w:r w:rsidRPr="00B10162">
              <w:rPr>
                <w:sz w:val="22"/>
                <w:szCs w:val="22"/>
              </w:rPr>
              <w:t>where:</w:t>
            </w:r>
          </w:p>
          <w:p w14:paraId="33C1A7F6" w14:textId="77777777" w:rsidR="00186164" w:rsidRPr="00B10162" w:rsidRDefault="00186164" w:rsidP="00186164">
            <w:pPr>
              <w:spacing w:before="240"/>
              <w:rPr>
                <w:sz w:val="22"/>
                <w:szCs w:val="22"/>
              </w:rPr>
            </w:pPr>
            <w:r w:rsidRPr="00B10162">
              <w:rPr>
                <w:i/>
                <w:sz w:val="22"/>
                <w:szCs w:val="22"/>
              </w:rPr>
              <w:t>O</w:t>
            </w:r>
            <w:r w:rsidRPr="00B10162">
              <w:rPr>
                <w:sz w:val="22"/>
                <w:szCs w:val="22"/>
              </w:rPr>
              <w:t xml:space="preserve"> is the observed number of individuals in the sample/population having the specified characteristic (i.e., the numerator</w:t>
            </w:r>
            <w:proofErr w:type="gramStart"/>
            <w:r w:rsidRPr="00B10162">
              <w:rPr>
                <w:sz w:val="22"/>
                <w:szCs w:val="22"/>
              </w:rPr>
              <w:t>);</w:t>
            </w:r>
            <w:proofErr w:type="gramEnd"/>
          </w:p>
          <w:p w14:paraId="27554702" w14:textId="77777777" w:rsidR="00186164" w:rsidRPr="00B10162" w:rsidRDefault="00186164" w:rsidP="00186164">
            <w:pPr>
              <w:spacing w:before="240"/>
              <w:rPr>
                <w:sz w:val="22"/>
                <w:szCs w:val="22"/>
              </w:rPr>
            </w:pPr>
            <w:r w:rsidRPr="00B10162">
              <w:rPr>
                <w:i/>
                <w:sz w:val="22"/>
                <w:szCs w:val="22"/>
              </w:rPr>
              <w:t>n</w:t>
            </w:r>
            <w:r w:rsidRPr="00B10162">
              <w:rPr>
                <w:sz w:val="22"/>
                <w:szCs w:val="22"/>
              </w:rPr>
              <w:t xml:space="preserve"> is the total number of individuals in the sample/population (i.e., the denominator</w:t>
            </w:r>
            <w:proofErr w:type="gramStart"/>
            <w:r w:rsidRPr="00B10162">
              <w:rPr>
                <w:sz w:val="22"/>
                <w:szCs w:val="22"/>
              </w:rPr>
              <w:t>);</w:t>
            </w:r>
            <w:proofErr w:type="gramEnd"/>
          </w:p>
          <w:p w14:paraId="0D91EBE0" w14:textId="77777777" w:rsidR="00186164" w:rsidRPr="00B10162" w:rsidRDefault="00186164" w:rsidP="00186164">
            <w:pPr>
              <w:spacing w:before="240"/>
              <w:rPr>
                <w:sz w:val="22"/>
                <w:szCs w:val="22"/>
              </w:rPr>
            </w:pPr>
            <w:r w:rsidRPr="00B10162">
              <w:rPr>
                <w:i/>
                <w:sz w:val="22"/>
                <w:szCs w:val="22"/>
              </w:rPr>
              <w:t>q</w:t>
            </w:r>
            <w:r w:rsidRPr="00B10162">
              <w:rPr>
                <w:sz w:val="22"/>
                <w:szCs w:val="22"/>
              </w:rPr>
              <w:t xml:space="preserve"> = (1 – </w:t>
            </w:r>
            <w:r w:rsidRPr="00B10162">
              <w:rPr>
                <w:i/>
                <w:sz w:val="22"/>
                <w:szCs w:val="22"/>
              </w:rPr>
              <w:t>p</w:t>
            </w:r>
            <w:r w:rsidRPr="00B10162">
              <w:rPr>
                <w:sz w:val="22"/>
                <w:szCs w:val="22"/>
              </w:rPr>
              <w:t xml:space="preserve">) is the proportion without the specified </w:t>
            </w:r>
            <w:proofErr w:type="gramStart"/>
            <w:r w:rsidRPr="00B10162">
              <w:rPr>
                <w:sz w:val="22"/>
                <w:szCs w:val="22"/>
              </w:rPr>
              <w:t>characteristic;</w:t>
            </w:r>
            <w:proofErr w:type="gramEnd"/>
          </w:p>
          <w:p w14:paraId="4033B16C" w14:textId="3212A32D" w:rsidR="00186164" w:rsidRPr="00B10162" w:rsidRDefault="00186164" w:rsidP="00186164">
            <w:pPr>
              <w:spacing w:before="240"/>
              <w:rPr>
                <w:sz w:val="22"/>
                <w:szCs w:val="22"/>
              </w:rPr>
            </w:pPr>
            <w:r w:rsidRPr="00B10162">
              <w:rPr>
                <w:i/>
                <w:sz w:val="22"/>
                <w:szCs w:val="22"/>
              </w:rPr>
              <w:t>z</w:t>
            </w:r>
            <w:r w:rsidRPr="00B10162">
              <w:rPr>
                <w:sz w:val="22"/>
                <w:szCs w:val="22"/>
              </w:rPr>
              <w:t xml:space="preserve"> is the 100(1 – </w:t>
            </w:r>
            <w:r w:rsidRPr="00B10162">
              <w:rPr>
                <w:i/>
                <w:sz w:val="22"/>
                <w:szCs w:val="22"/>
              </w:rPr>
              <w:t>α</w:t>
            </w:r>
            <w:r w:rsidRPr="00B10162">
              <w:rPr>
                <w:sz w:val="22"/>
                <w:szCs w:val="22"/>
              </w:rPr>
              <w:t>/</w:t>
            </w:r>
            <w:proofErr w:type="gramStart"/>
            <w:r w:rsidRPr="00B10162">
              <w:rPr>
                <w:sz w:val="22"/>
                <w:szCs w:val="22"/>
              </w:rPr>
              <w:t>2)</w:t>
            </w:r>
            <w:proofErr w:type="spellStart"/>
            <w:r w:rsidRPr="00B10162">
              <w:rPr>
                <w:sz w:val="22"/>
                <w:szCs w:val="22"/>
                <w:vertAlign w:val="superscript"/>
              </w:rPr>
              <w:t>th</w:t>
            </w:r>
            <w:proofErr w:type="spellEnd"/>
            <w:proofErr w:type="gramEnd"/>
            <w:r w:rsidRPr="00B10162">
              <w:rPr>
                <w:sz w:val="22"/>
                <w:szCs w:val="22"/>
              </w:rPr>
              <w:t xml:space="preserve"> percentile value from the Standard Normal distribution. For </w:t>
            </w:r>
            <w:proofErr w:type="gramStart"/>
            <w:r w:rsidRPr="00B10162">
              <w:rPr>
                <w:sz w:val="22"/>
                <w:szCs w:val="22"/>
              </w:rPr>
              <w:t>example</w:t>
            </w:r>
            <w:proofErr w:type="gramEnd"/>
            <w:r w:rsidRPr="00B10162">
              <w:rPr>
                <w:sz w:val="22"/>
                <w:szCs w:val="22"/>
              </w:rPr>
              <w:t xml:space="preserve"> for a 95% confidence interval, </w:t>
            </w:r>
            <w:r w:rsidRPr="00B10162">
              <w:rPr>
                <w:i/>
                <w:sz w:val="22"/>
                <w:szCs w:val="22"/>
              </w:rPr>
              <w:t>α</w:t>
            </w:r>
            <w:r w:rsidRPr="00B10162">
              <w:rPr>
                <w:sz w:val="22"/>
                <w:szCs w:val="22"/>
              </w:rPr>
              <w:t xml:space="preserve"> = 0.05, and </w:t>
            </w:r>
            <w:r w:rsidRPr="00B10162">
              <w:rPr>
                <w:i/>
                <w:sz w:val="22"/>
                <w:szCs w:val="22"/>
              </w:rPr>
              <w:t>z</w:t>
            </w:r>
            <w:r w:rsidRPr="00B10162">
              <w:rPr>
                <w:sz w:val="22"/>
                <w:szCs w:val="22"/>
              </w:rPr>
              <w:t xml:space="preserve"> = 1.96 (i.e. the 97.5th percentile value from the Standard Normal distribution).</w:t>
            </w:r>
          </w:p>
        </w:tc>
      </w:tr>
      <w:tr w:rsidR="00186164" w14:paraId="158563AB" w14:textId="77777777" w:rsidTr="00186164">
        <w:tc>
          <w:tcPr>
            <w:tcW w:w="1978" w:type="dxa"/>
          </w:tcPr>
          <w:p w14:paraId="078BED09" w14:textId="394D6725" w:rsidR="00186164" w:rsidRPr="00B10162" w:rsidRDefault="00186164" w:rsidP="00186164">
            <w:pPr>
              <w:spacing w:before="240"/>
              <w:ind w:left="34"/>
              <w:rPr>
                <w:b/>
                <w:sz w:val="22"/>
                <w:szCs w:val="22"/>
              </w:rPr>
            </w:pPr>
            <w:r w:rsidRPr="00B10162">
              <w:rPr>
                <w:b/>
                <w:sz w:val="22"/>
                <w:szCs w:val="22"/>
              </w:rPr>
              <w:t>Justification of confidence intervals / control limits used</w:t>
            </w:r>
          </w:p>
        </w:tc>
        <w:tc>
          <w:tcPr>
            <w:tcW w:w="7541" w:type="dxa"/>
          </w:tcPr>
          <w:p w14:paraId="697ACFFA" w14:textId="77777777" w:rsidR="00186164" w:rsidRPr="00B10162" w:rsidRDefault="00186164" w:rsidP="00186164">
            <w:pPr>
              <w:spacing w:before="240"/>
              <w:rPr>
                <w:sz w:val="22"/>
                <w:szCs w:val="22"/>
              </w:rPr>
            </w:pPr>
            <w:r w:rsidRPr="00B10162">
              <w:rPr>
                <w:sz w:val="22"/>
                <w:szCs w:val="22"/>
              </w:rPr>
              <w:t>The preferred PHE confidence interval method for proportions is the Wilson Score method</w:t>
            </w:r>
            <w:r w:rsidRPr="00B10162">
              <w:rPr>
                <w:sz w:val="22"/>
                <w:szCs w:val="22"/>
                <w:vertAlign w:val="superscript"/>
              </w:rPr>
              <w:t>5</w:t>
            </w:r>
            <w:r w:rsidRPr="00B10162">
              <w:rPr>
                <w:sz w:val="22"/>
                <w:szCs w:val="22"/>
              </w:rPr>
              <w:t xml:space="preserve"> which has been evaluated and recommended by Newcombe and Altman</w:t>
            </w:r>
            <w:r w:rsidRPr="00B10162">
              <w:rPr>
                <w:sz w:val="22"/>
                <w:szCs w:val="22"/>
                <w:vertAlign w:val="superscript"/>
              </w:rPr>
              <w:t>6;7</w:t>
            </w:r>
            <w:r w:rsidRPr="00B10162">
              <w:rPr>
                <w:sz w:val="22"/>
                <w:szCs w:val="22"/>
              </w:rPr>
              <w:t>. It can be used with any data values and, unlike some methods, it does not fail to give an interval when the numerator count, and therefore the proportion, is zero</w:t>
            </w:r>
            <w:r w:rsidRPr="00B10162">
              <w:rPr>
                <w:sz w:val="22"/>
                <w:szCs w:val="22"/>
                <w:vertAlign w:val="superscript"/>
              </w:rPr>
              <w:t>8</w:t>
            </w:r>
            <w:r w:rsidRPr="00B10162">
              <w:rPr>
                <w:sz w:val="22"/>
                <w:szCs w:val="22"/>
              </w:rPr>
              <w:t>.</w:t>
            </w:r>
          </w:p>
          <w:p w14:paraId="2789AC59" w14:textId="77777777" w:rsidR="00186164" w:rsidRPr="00B10162" w:rsidRDefault="00186164" w:rsidP="00186164">
            <w:pPr>
              <w:spacing w:before="240"/>
              <w:rPr>
                <w:sz w:val="18"/>
                <w:szCs w:val="18"/>
              </w:rPr>
            </w:pPr>
            <w:r w:rsidRPr="00B10162">
              <w:rPr>
                <w:sz w:val="18"/>
                <w:szCs w:val="18"/>
              </w:rPr>
              <w:t>5. Wilson EB. Probable inference, the law of succession, and statistical inference. J Am Stat Assoc 1927.</w:t>
            </w:r>
          </w:p>
          <w:p w14:paraId="67A595D7" w14:textId="77777777" w:rsidR="00186164" w:rsidRPr="00B10162" w:rsidRDefault="00186164" w:rsidP="00186164">
            <w:pPr>
              <w:spacing w:before="240"/>
              <w:rPr>
                <w:sz w:val="18"/>
                <w:szCs w:val="18"/>
              </w:rPr>
            </w:pPr>
            <w:r w:rsidRPr="00B10162">
              <w:rPr>
                <w:sz w:val="18"/>
                <w:szCs w:val="18"/>
              </w:rPr>
              <w:t>6. Newcombe RG. Two-sided confidence intervals for the single proportion: comparison of seven methods. Stat Med 1998.</w:t>
            </w:r>
          </w:p>
          <w:p w14:paraId="56724C32" w14:textId="77777777" w:rsidR="00186164" w:rsidRPr="00B10162" w:rsidRDefault="00186164" w:rsidP="00186164">
            <w:pPr>
              <w:spacing w:before="240"/>
              <w:rPr>
                <w:sz w:val="18"/>
                <w:szCs w:val="18"/>
              </w:rPr>
            </w:pPr>
            <w:r w:rsidRPr="00B10162">
              <w:rPr>
                <w:sz w:val="18"/>
                <w:szCs w:val="18"/>
              </w:rPr>
              <w:t xml:space="preserve">7. Newcombe RG, Altman DG. Proportions and their differences. In Altman DG et al. (eds). Statistics with confidence (2nd </w:t>
            </w:r>
            <w:proofErr w:type="spellStart"/>
            <w:r w:rsidRPr="00B10162">
              <w:rPr>
                <w:sz w:val="18"/>
                <w:szCs w:val="18"/>
              </w:rPr>
              <w:t>edn</w:t>
            </w:r>
            <w:proofErr w:type="spellEnd"/>
            <w:r w:rsidRPr="00B10162">
              <w:rPr>
                <w:sz w:val="18"/>
                <w:szCs w:val="18"/>
              </w:rPr>
              <w:t>). London: BMJ Books; 2000.</w:t>
            </w:r>
          </w:p>
          <w:p w14:paraId="1E11375B" w14:textId="79E1F400" w:rsidR="00186164" w:rsidRPr="00B10162" w:rsidRDefault="00186164" w:rsidP="00186164">
            <w:pPr>
              <w:spacing w:before="240"/>
              <w:rPr>
                <w:sz w:val="22"/>
                <w:szCs w:val="22"/>
              </w:rPr>
            </w:pPr>
            <w:r w:rsidRPr="00B10162">
              <w:rPr>
                <w:sz w:val="18"/>
                <w:szCs w:val="18"/>
              </w:rPr>
              <w:t xml:space="preserve">8. </w:t>
            </w:r>
            <w:proofErr w:type="spellStart"/>
            <w:r w:rsidRPr="00B10162">
              <w:rPr>
                <w:sz w:val="18"/>
                <w:szCs w:val="18"/>
              </w:rPr>
              <w:t>Agresti</w:t>
            </w:r>
            <w:proofErr w:type="spellEnd"/>
            <w:r w:rsidRPr="00B10162">
              <w:rPr>
                <w:sz w:val="18"/>
                <w:szCs w:val="18"/>
              </w:rPr>
              <w:t xml:space="preserve"> A, </w:t>
            </w:r>
            <w:proofErr w:type="spellStart"/>
            <w:r w:rsidRPr="00B10162">
              <w:rPr>
                <w:sz w:val="18"/>
                <w:szCs w:val="18"/>
              </w:rPr>
              <w:t>Coull</w:t>
            </w:r>
            <w:proofErr w:type="spellEnd"/>
            <w:r w:rsidRPr="00B10162">
              <w:rPr>
                <w:sz w:val="18"/>
                <w:szCs w:val="18"/>
              </w:rPr>
              <w:t xml:space="preserve"> BA. Approximate is better than ‘exact’ for interval estimation of binomial proportions. Am Stat 1998</w:t>
            </w:r>
          </w:p>
        </w:tc>
      </w:tr>
      <w:tr w:rsidR="00186164" w14:paraId="314B8019" w14:textId="77777777" w:rsidTr="00186164">
        <w:tc>
          <w:tcPr>
            <w:tcW w:w="1978" w:type="dxa"/>
          </w:tcPr>
          <w:p w14:paraId="6710876F" w14:textId="0D9C889C" w:rsidR="00186164" w:rsidRPr="00B10162" w:rsidRDefault="00186164" w:rsidP="00186164">
            <w:pPr>
              <w:spacing w:before="240"/>
              <w:ind w:left="34"/>
              <w:rPr>
                <w:b/>
                <w:sz w:val="22"/>
                <w:szCs w:val="22"/>
              </w:rPr>
            </w:pPr>
            <w:r w:rsidRPr="00B10162">
              <w:rPr>
                <w:b/>
                <w:sz w:val="22"/>
                <w:szCs w:val="22"/>
              </w:rPr>
              <w:t>Presentation of indicator</w:t>
            </w:r>
          </w:p>
        </w:tc>
        <w:tc>
          <w:tcPr>
            <w:tcW w:w="7541" w:type="dxa"/>
          </w:tcPr>
          <w:p w14:paraId="4931800B" w14:textId="77777777" w:rsidR="00186164" w:rsidRPr="00B10162" w:rsidRDefault="00186164" w:rsidP="00186164">
            <w:pPr>
              <w:spacing w:before="240"/>
              <w:rPr>
                <w:sz w:val="22"/>
                <w:szCs w:val="22"/>
              </w:rPr>
            </w:pPr>
            <w:r w:rsidRPr="00B10162">
              <w:rPr>
                <w:sz w:val="22"/>
                <w:szCs w:val="22"/>
              </w:rPr>
              <w:t xml:space="preserve">The indicator is presented on the HSCIC Indicator Portal in a consistent format to other CCG OIS indicators. It is accompanied by indicator </w:t>
            </w:r>
            <w:r w:rsidRPr="00B10162">
              <w:rPr>
                <w:sz w:val="22"/>
                <w:szCs w:val="22"/>
              </w:rPr>
              <w:lastRenderedPageBreak/>
              <w:t>specification and quality statement documents, which</w:t>
            </w:r>
            <w:r w:rsidRPr="00B10162">
              <w:t xml:space="preserve"> </w:t>
            </w:r>
            <w:r w:rsidRPr="00B10162">
              <w:rPr>
                <w:sz w:val="22"/>
                <w:szCs w:val="22"/>
              </w:rPr>
              <w:t xml:space="preserve">provide details of indicator construction, data quality, statistical methods and interpretation considerations </w:t>
            </w:r>
            <w:hyperlink r:id="rId16" w:history="1">
              <w:r w:rsidRPr="00B10162">
                <w:rPr>
                  <w:rStyle w:val="Hyperlink"/>
                  <w:color w:val="auto"/>
                  <w:sz w:val="22"/>
                  <w:szCs w:val="22"/>
                </w:rPr>
                <w:t>http://indicators.ic.nhs.uk/webview</w:t>
              </w:r>
            </w:hyperlink>
          </w:p>
          <w:p w14:paraId="00289E3F" w14:textId="1AFE9707" w:rsidR="00186164" w:rsidRPr="00B10162" w:rsidRDefault="00186164" w:rsidP="00186164">
            <w:pPr>
              <w:spacing w:before="240"/>
              <w:rPr>
                <w:sz w:val="22"/>
                <w:szCs w:val="22"/>
              </w:rPr>
            </w:pPr>
            <w:r w:rsidRPr="00B10162">
              <w:rPr>
                <w:sz w:val="22"/>
                <w:szCs w:val="22"/>
              </w:rPr>
              <w:t>The data is presented with a detailed header including information on the statistic presented, the reporting period, level of coverage, publication date, data source, and any further notes to be aware of. The customer is also able to make use of drop-down filtering.</w:t>
            </w:r>
          </w:p>
        </w:tc>
      </w:tr>
    </w:tbl>
    <w:p w14:paraId="2ED1754F" w14:textId="348E25ED" w:rsidR="00186164" w:rsidRDefault="00186164" w:rsidP="00186164">
      <w:pPr>
        <w:rPr>
          <w:rFonts w:eastAsia="MS Mincho"/>
        </w:rPr>
      </w:pPr>
    </w:p>
    <w:p w14:paraId="7DC60BF3" w14:textId="77777777" w:rsidR="00186164" w:rsidRDefault="00186164">
      <w:permStart w:id="662972152" w:edGrp="everyone" w:colFirst="2" w:colLast="2"/>
    </w:p>
    <w:tbl>
      <w:tblPr>
        <w:tblStyle w:val="TableGrid1"/>
        <w:tblW w:w="0" w:type="auto"/>
        <w:tblLayout w:type="fixed"/>
        <w:tblLook w:val="0020" w:firstRow="1" w:lastRow="0" w:firstColumn="0" w:lastColumn="0" w:noHBand="0" w:noVBand="0"/>
      </w:tblPr>
      <w:tblGrid>
        <w:gridCol w:w="3005"/>
        <w:gridCol w:w="6488"/>
      </w:tblGrid>
      <w:tr w:rsidR="00B10162" w:rsidRPr="00B10162" w14:paraId="620060E9" w14:textId="77777777" w:rsidTr="00186164">
        <w:trPr>
          <w:trHeight w:val="103"/>
        </w:trPr>
        <w:tc>
          <w:tcPr>
            <w:tcW w:w="3005" w:type="dxa"/>
          </w:tcPr>
          <w:p w14:paraId="37D1CBEF" w14:textId="77777777" w:rsidR="00B10162" w:rsidRPr="00B10162" w:rsidRDefault="00B10162" w:rsidP="00B10162">
            <w:pPr>
              <w:spacing w:before="240"/>
              <w:rPr>
                <w:sz w:val="22"/>
                <w:szCs w:val="22"/>
              </w:rPr>
            </w:pPr>
            <w:r w:rsidRPr="00B10162">
              <w:rPr>
                <w:b/>
                <w:bCs/>
                <w:sz w:val="22"/>
                <w:szCs w:val="22"/>
              </w:rPr>
              <w:t xml:space="preserve">Column name </w:t>
            </w:r>
          </w:p>
        </w:tc>
        <w:tc>
          <w:tcPr>
            <w:tcW w:w="6488" w:type="dxa"/>
          </w:tcPr>
          <w:p w14:paraId="068972A9" w14:textId="77777777" w:rsidR="00B10162" w:rsidRPr="00B10162" w:rsidRDefault="00B10162" w:rsidP="00B10162">
            <w:pPr>
              <w:spacing w:before="240"/>
              <w:rPr>
                <w:sz w:val="22"/>
                <w:szCs w:val="22"/>
              </w:rPr>
            </w:pPr>
            <w:r w:rsidRPr="00B10162">
              <w:rPr>
                <w:b/>
                <w:bCs/>
                <w:sz w:val="22"/>
                <w:szCs w:val="22"/>
              </w:rPr>
              <w:t xml:space="preserve">Output </w:t>
            </w:r>
          </w:p>
        </w:tc>
      </w:tr>
      <w:tr w:rsidR="00B10162" w:rsidRPr="00B10162" w14:paraId="55ABECC4" w14:textId="77777777" w:rsidTr="00186164">
        <w:trPr>
          <w:trHeight w:val="103"/>
        </w:trPr>
        <w:tc>
          <w:tcPr>
            <w:tcW w:w="3005" w:type="dxa"/>
          </w:tcPr>
          <w:p w14:paraId="4392A83B" w14:textId="77777777" w:rsidR="00B10162" w:rsidRPr="00B10162" w:rsidRDefault="00B10162" w:rsidP="00B10162">
            <w:pPr>
              <w:spacing w:before="240"/>
              <w:rPr>
                <w:sz w:val="22"/>
                <w:szCs w:val="22"/>
              </w:rPr>
            </w:pPr>
            <w:r w:rsidRPr="00B10162">
              <w:rPr>
                <w:sz w:val="22"/>
                <w:szCs w:val="22"/>
              </w:rPr>
              <w:t xml:space="preserve">Reporting period </w:t>
            </w:r>
          </w:p>
        </w:tc>
        <w:tc>
          <w:tcPr>
            <w:tcW w:w="6488" w:type="dxa"/>
          </w:tcPr>
          <w:p w14:paraId="6C4CB440" w14:textId="77777777" w:rsidR="00B10162" w:rsidRPr="00B10162" w:rsidRDefault="00B10162" w:rsidP="00B10162">
            <w:pPr>
              <w:spacing w:before="240"/>
              <w:rPr>
                <w:sz w:val="22"/>
                <w:szCs w:val="22"/>
              </w:rPr>
            </w:pPr>
            <w:r w:rsidRPr="00B10162">
              <w:rPr>
                <w:sz w:val="22"/>
                <w:szCs w:val="22"/>
              </w:rPr>
              <w:t xml:space="preserve">Financial year </w:t>
            </w:r>
          </w:p>
        </w:tc>
      </w:tr>
      <w:tr w:rsidR="00B10162" w:rsidRPr="00B10162" w14:paraId="7770C703" w14:textId="77777777" w:rsidTr="00186164">
        <w:trPr>
          <w:trHeight w:val="103"/>
        </w:trPr>
        <w:tc>
          <w:tcPr>
            <w:tcW w:w="3005" w:type="dxa"/>
          </w:tcPr>
          <w:p w14:paraId="3FA6FC3C" w14:textId="77777777" w:rsidR="00B10162" w:rsidRPr="00B10162" w:rsidRDefault="00B10162" w:rsidP="00B10162">
            <w:pPr>
              <w:spacing w:before="240"/>
              <w:rPr>
                <w:sz w:val="22"/>
                <w:szCs w:val="22"/>
              </w:rPr>
            </w:pPr>
            <w:r w:rsidRPr="00B10162">
              <w:rPr>
                <w:sz w:val="22"/>
                <w:szCs w:val="22"/>
              </w:rPr>
              <w:t xml:space="preserve">Breakdown </w:t>
            </w:r>
          </w:p>
        </w:tc>
        <w:tc>
          <w:tcPr>
            <w:tcW w:w="6488" w:type="dxa"/>
          </w:tcPr>
          <w:p w14:paraId="04276C42" w14:textId="77777777" w:rsidR="00B10162" w:rsidRPr="00B10162" w:rsidRDefault="00B10162" w:rsidP="00B10162">
            <w:pPr>
              <w:spacing w:before="240"/>
              <w:rPr>
                <w:sz w:val="22"/>
                <w:szCs w:val="22"/>
              </w:rPr>
            </w:pPr>
            <w:r w:rsidRPr="00B10162">
              <w:rPr>
                <w:sz w:val="22"/>
                <w:szCs w:val="22"/>
              </w:rPr>
              <w:t xml:space="preserve">England, CCG </w:t>
            </w:r>
          </w:p>
        </w:tc>
      </w:tr>
      <w:tr w:rsidR="00B10162" w:rsidRPr="00B10162" w14:paraId="65B3FB34" w14:textId="77777777" w:rsidTr="00186164">
        <w:trPr>
          <w:trHeight w:val="103"/>
        </w:trPr>
        <w:tc>
          <w:tcPr>
            <w:tcW w:w="3005" w:type="dxa"/>
          </w:tcPr>
          <w:p w14:paraId="3C8FB048" w14:textId="77777777" w:rsidR="00B10162" w:rsidRPr="00B10162" w:rsidRDefault="00B10162" w:rsidP="00B10162">
            <w:pPr>
              <w:spacing w:before="240"/>
              <w:rPr>
                <w:sz w:val="22"/>
                <w:szCs w:val="22"/>
              </w:rPr>
            </w:pPr>
            <w:r w:rsidRPr="00B10162">
              <w:rPr>
                <w:sz w:val="22"/>
                <w:szCs w:val="22"/>
              </w:rPr>
              <w:t xml:space="preserve">Level </w:t>
            </w:r>
          </w:p>
        </w:tc>
        <w:tc>
          <w:tcPr>
            <w:tcW w:w="6488" w:type="dxa"/>
          </w:tcPr>
          <w:p w14:paraId="6F6A8D19" w14:textId="77777777" w:rsidR="00B10162" w:rsidRPr="00B10162" w:rsidRDefault="00B10162" w:rsidP="00B10162">
            <w:pPr>
              <w:spacing w:before="240"/>
              <w:rPr>
                <w:sz w:val="22"/>
                <w:szCs w:val="22"/>
              </w:rPr>
            </w:pPr>
            <w:r w:rsidRPr="00B10162">
              <w:rPr>
                <w:sz w:val="22"/>
                <w:szCs w:val="22"/>
              </w:rPr>
              <w:t xml:space="preserve">CCG Code </w:t>
            </w:r>
          </w:p>
        </w:tc>
      </w:tr>
      <w:tr w:rsidR="00B10162" w:rsidRPr="00B10162" w14:paraId="5A0228B7" w14:textId="77777777" w:rsidTr="00186164">
        <w:trPr>
          <w:trHeight w:val="103"/>
        </w:trPr>
        <w:tc>
          <w:tcPr>
            <w:tcW w:w="3005" w:type="dxa"/>
          </w:tcPr>
          <w:p w14:paraId="44B8F54C" w14:textId="77777777" w:rsidR="00B10162" w:rsidRPr="00B10162" w:rsidRDefault="00B10162" w:rsidP="00B10162">
            <w:pPr>
              <w:spacing w:before="240"/>
              <w:rPr>
                <w:sz w:val="22"/>
                <w:szCs w:val="22"/>
              </w:rPr>
            </w:pPr>
            <w:r w:rsidRPr="00B10162">
              <w:rPr>
                <w:sz w:val="22"/>
                <w:szCs w:val="22"/>
              </w:rPr>
              <w:t xml:space="preserve">Level description </w:t>
            </w:r>
          </w:p>
        </w:tc>
        <w:tc>
          <w:tcPr>
            <w:tcW w:w="6488" w:type="dxa"/>
          </w:tcPr>
          <w:p w14:paraId="06A744AC" w14:textId="77777777" w:rsidR="00B10162" w:rsidRPr="00B10162" w:rsidRDefault="00B10162" w:rsidP="00B10162">
            <w:pPr>
              <w:spacing w:before="240"/>
              <w:rPr>
                <w:sz w:val="22"/>
                <w:szCs w:val="22"/>
              </w:rPr>
            </w:pPr>
            <w:r w:rsidRPr="00B10162">
              <w:rPr>
                <w:sz w:val="22"/>
                <w:szCs w:val="22"/>
              </w:rPr>
              <w:t xml:space="preserve">CCG Name </w:t>
            </w:r>
          </w:p>
        </w:tc>
      </w:tr>
      <w:tr w:rsidR="00B10162" w:rsidRPr="00B10162" w14:paraId="4F046336" w14:textId="77777777" w:rsidTr="00186164">
        <w:trPr>
          <w:trHeight w:val="103"/>
        </w:trPr>
        <w:tc>
          <w:tcPr>
            <w:tcW w:w="3005" w:type="dxa"/>
          </w:tcPr>
          <w:p w14:paraId="1FE0D118" w14:textId="77777777" w:rsidR="00B10162" w:rsidRPr="00B10162" w:rsidRDefault="00B10162" w:rsidP="00B10162">
            <w:pPr>
              <w:spacing w:before="240"/>
              <w:rPr>
                <w:sz w:val="22"/>
                <w:szCs w:val="22"/>
              </w:rPr>
            </w:pPr>
            <w:r w:rsidRPr="00B10162">
              <w:rPr>
                <w:sz w:val="22"/>
                <w:szCs w:val="22"/>
              </w:rPr>
              <w:t>Percentage</w:t>
            </w:r>
          </w:p>
        </w:tc>
        <w:tc>
          <w:tcPr>
            <w:tcW w:w="6488" w:type="dxa"/>
          </w:tcPr>
          <w:p w14:paraId="0EC24CAE" w14:textId="77777777" w:rsidR="00B10162" w:rsidRPr="00B10162" w:rsidRDefault="00B10162" w:rsidP="00B10162">
            <w:pPr>
              <w:spacing w:before="240"/>
              <w:rPr>
                <w:sz w:val="22"/>
                <w:szCs w:val="22"/>
              </w:rPr>
            </w:pPr>
            <w:r w:rsidRPr="00B10162">
              <w:rPr>
                <w:sz w:val="22"/>
                <w:szCs w:val="22"/>
              </w:rPr>
              <w:t>The indicator percentage calculation</w:t>
            </w:r>
          </w:p>
        </w:tc>
      </w:tr>
      <w:tr w:rsidR="00B10162" w:rsidRPr="00B10162" w14:paraId="7C82DA74" w14:textId="77777777" w:rsidTr="00186164">
        <w:trPr>
          <w:trHeight w:val="103"/>
        </w:trPr>
        <w:tc>
          <w:tcPr>
            <w:tcW w:w="3005" w:type="dxa"/>
          </w:tcPr>
          <w:p w14:paraId="765EEAB3" w14:textId="77777777" w:rsidR="00B10162" w:rsidRPr="00B10162" w:rsidRDefault="00B10162" w:rsidP="00B10162">
            <w:pPr>
              <w:spacing w:before="240"/>
              <w:rPr>
                <w:sz w:val="22"/>
                <w:szCs w:val="22"/>
              </w:rPr>
            </w:pPr>
            <w:r w:rsidRPr="00B10162">
              <w:rPr>
                <w:sz w:val="22"/>
                <w:szCs w:val="22"/>
              </w:rPr>
              <w:t xml:space="preserve">CI lower </w:t>
            </w:r>
          </w:p>
        </w:tc>
        <w:tc>
          <w:tcPr>
            <w:tcW w:w="6488" w:type="dxa"/>
          </w:tcPr>
          <w:p w14:paraId="325EDE4C" w14:textId="77777777" w:rsidR="00B10162" w:rsidRPr="00B10162" w:rsidRDefault="00B10162" w:rsidP="00B10162">
            <w:pPr>
              <w:spacing w:before="240"/>
              <w:rPr>
                <w:sz w:val="22"/>
                <w:szCs w:val="22"/>
              </w:rPr>
            </w:pPr>
            <w:r w:rsidRPr="00B10162">
              <w:rPr>
                <w:sz w:val="22"/>
                <w:szCs w:val="22"/>
              </w:rPr>
              <w:t xml:space="preserve">Lower 95% confidence interval </w:t>
            </w:r>
          </w:p>
        </w:tc>
      </w:tr>
      <w:tr w:rsidR="00B10162" w:rsidRPr="00B10162" w14:paraId="5676AC41" w14:textId="77777777" w:rsidTr="00186164">
        <w:trPr>
          <w:trHeight w:val="103"/>
        </w:trPr>
        <w:tc>
          <w:tcPr>
            <w:tcW w:w="3005" w:type="dxa"/>
          </w:tcPr>
          <w:p w14:paraId="430393F8" w14:textId="77777777" w:rsidR="00B10162" w:rsidRPr="00B10162" w:rsidRDefault="00B10162" w:rsidP="00B10162">
            <w:pPr>
              <w:spacing w:before="240"/>
              <w:rPr>
                <w:sz w:val="22"/>
                <w:szCs w:val="22"/>
              </w:rPr>
            </w:pPr>
            <w:r w:rsidRPr="00B10162">
              <w:rPr>
                <w:sz w:val="22"/>
                <w:szCs w:val="22"/>
              </w:rPr>
              <w:t xml:space="preserve">CI upper </w:t>
            </w:r>
          </w:p>
        </w:tc>
        <w:tc>
          <w:tcPr>
            <w:tcW w:w="6488" w:type="dxa"/>
          </w:tcPr>
          <w:p w14:paraId="7B50666F" w14:textId="77777777" w:rsidR="00B10162" w:rsidRPr="00B10162" w:rsidRDefault="00B10162" w:rsidP="00B10162">
            <w:pPr>
              <w:spacing w:before="240"/>
              <w:rPr>
                <w:sz w:val="22"/>
                <w:szCs w:val="22"/>
              </w:rPr>
            </w:pPr>
            <w:r w:rsidRPr="00B10162">
              <w:rPr>
                <w:sz w:val="22"/>
                <w:szCs w:val="22"/>
              </w:rPr>
              <w:t xml:space="preserve">Upper 95% confidence interval </w:t>
            </w:r>
          </w:p>
        </w:tc>
      </w:tr>
      <w:tr w:rsidR="00B10162" w:rsidRPr="00B10162" w14:paraId="343C1E76" w14:textId="77777777" w:rsidTr="00186164">
        <w:trPr>
          <w:trHeight w:val="229"/>
        </w:trPr>
        <w:tc>
          <w:tcPr>
            <w:tcW w:w="3005" w:type="dxa"/>
          </w:tcPr>
          <w:p w14:paraId="21BB243D" w14:textId="77777777" w:rsidR="00B10162" w:rsidRPr="00B10162" w:rsidRDefault="00B10162" w:rsidP="00B10162">
            <w:pPr>
              <w:spacing w:before="240"/>
              <w:rPr>
                <w:sz w:val="22"/>
                <w:szCs w:val="22"/>
              </w:rPr>
            </w:pPr>
            <w:r w:rsidRPr="00B10162">
              <w:rPr>
                <w:sz w:val="22"/>
                <w:szCs w:val="22"/>
              </w:rPr>
              <w:t>Denominator</w:t>
            </w:r>
          </w:p>
        </w:tc>
        <w:tc>
          <w:tcPr>
            <w:tcW w:w="6488" w:type="dxa"/>
          </w:tcPr>
          <w:p w14:paraId="2369FDD8" w14:textId="77777777" w:rsidR="00B10162" w:rsidRPr="00B10162" w:rsidRDefault="00B10162" w:rsidP="00B10162">
            <w:pPr>
              <w:spacing w:before="240"/>
              <w:rPr>
                <w:sz w:val="22"/>
                <w:szCs w:val="22"/>
              </w:rPr>
            </w:pPr>
            <w:r w:rsidRPr="00B10162">
              <w:rPr>
                <w:sz w:val="22"/>
                <w:szCs w:val="22"/>
              </w:rPr>
              <w:t>All acute stroke patients, including those who were already in hospital at the time of new stroke occurrence.</w:t>
            </w:r>
          </w:p>
        </w:tc>
      </w:tr>
      <w:tr w:rsidR="00B10162" w:rsidRPr="00B10162" w14:paraId="0028B272" w14:textId="77777777" w:rsidTr="00186164">
        <w:trPr>
          <w:trHeight w:val="229"/>
        </w:trPr>
        <w:tc>
          <w:tcPr>
            <w:tcW w:w="3005" w:type="dxa"/>
          </w:tcPr>
          <w:p w14:paraId="01696A4A" w14:textId="77777777" w:rsidR="00B10162" w:rsidRPr="00B10162" w:rsidRDefault="00B10162" w:rsidP="00B10162">
            <w:pPr>
              <w:spacing w:before="240"/>
              <w:rPr>
                <w:sz w:val="22"/>
                <w:szCs w:val="22"/>
              </w:rPr>
            </w:pPr>
            <w:r w:rsidRPr="00B10162">
              <w:rPr>
                <w:sz w:val="22"/>
                <w:szCs w:val="22"/>
              </w:rPr>
              <w:t xml:space="preserve">Numerator </w:t>
            </w:r>
          </w:p>
        </w:tc>
        <w:tc>
          <w:tcPr>
            <w:tcW w:w="6488" w:type="dxa"/>
          </w:tcPr>
          <w:p w14:paraId="441F4F0E" w14:textId="77777777" w:rsidR="00B10162" w:rsidRPr="00B10162" w:rsidRDefault="00B10162" w:rsidP="00B10162">
            <w:pPr>
              <w:spacing w:before="240"/>
              <w:rPr>
                <w:sz w:val="22"/>
                <w:szCs w:val="22"/>
              </w:rPr>
            </w:pPr>
            <w:r w:rsidRPr="00B10162">
              <w:rPr>
                <w:sz w:val="22"/>
                <w:szCs w:val="22"/>
              </w:rPr>
              <w:t>The number of acute stroke patients who were given thrombolysis for stroke.</w:t>
            </w:r>
          </w:p>
        </w:tc>
      </w:tr>
      <w:tr w:rsidR="00B10162" w:rsidRPr="00B10162" w14:paraId="05CE4AC1" w14:textId="77777777" w:rsidTr="00186164">
        <w:trPr>
          <w:trHeight w:val="229"/>
        </w:trPr>
        <w:tc>
          <w:tcPr>
            <w:tcW w:w="3005" w:type="dxa"/>
          </w:tcPr>
          <w:p w14:paraId="34525CA3" w14:textId="77777777" w:rsidR="00B10162" w:rsidRPr="00B10162" w:rsidRDefault="00B10162" w:rsidP="00B10162">
            <w:pPr>
              <w:spacing w:before="240"/>
              <w:rPr>
                <w:sz w:val="22"/>
                <w:szCs w:val="22"/>
              </w:rPr>
            </w:pPr>
            <w:r w:rsidRPr="00B10162">
              <w:rPr>
                <w:sz w:val="22"/>
                <w:szCs w:val="22"/>
              </w:rPr>
              <w:t>Number of records in SSNAP (care delivered within the first 72hrs)</w:t>
            </w:r>
          </w:p>
        </w:tc>
        <w:tc>
          <w:tcPr>
            <w:tcW w:w="6488" w:type="dxa"/>
          </w:tcPr>
          <w:p w14:paraId="56B8ACE9" w14:textId="77777777" w:rsidR="00B10162" w:rsidRPr="00B10162" w:rsidRDefault="00B10162" w:rsidP="00B10162">
            <w:pPr>
              <w:spacing w:before="240"/>
              <w:rPr>
                <w:sz w:val="22"/>
                <w:szCs w:val="22"/>
              </w:rPr>
            </w:pPr>
            <w:r w:rsidRPr="00B10162">
              <w:rPr>
                <w:sz w:val="22"/>
                <w:szCs w:val="22"/>
              </w:rPr>
              <w:t>The number of cases in SSNAP for the ‘care delivered within the first 72hrs’ cohort of stroke patients</w:t>
            </w:r>
          </w:p>
        </w:tc>
      </w:tr>
      <w:tr w:rsidR="00B10162" w:rsidRPr="00B10162" w14:paraId="4FA049CD" w14:textId="77777777" w:rsidTr="00186164">
        <w:trPr>
          <w:trHeight w:val="103"/>
        </w:trPr>
        <w:tc>
          <w:tcPr>
            <w:tcW w:w="3005" w:type="dxa"/>
          </w:tcPr>
          <w:p w14:paraId="56167500" w14:textId="77777777" w:rsidR="00B10162" w:rsidRPr="00B10162" w:rsidRDefault="00B10162" w:rsidP="00B10162">
            <w:pPr>
              <w:spacing w:before="240"/>
              <w:rPr>
                <w:sz w:val="22"/>
                <w:szCs w:val="22"/>
              </w:rPr>
            </w:pPr>
            <w:r w:rsidRPr="00B10162">
              <w:rPr>
                <w:sz w:val="22"/>
                <w:szCs w:val="22"/>
              </w:rPr>
              <w:t>Estimated expected number of patients (from HES)</w:t>
            </w:r>
          </w:p>
        </w:tc>
        <w:tc>
          <w:tcPr>
            <w:tcW w:w="6488" w:type="dxa"/>
          </w:tcPr>
          <w:p w14:paraId="36936541" w14:textId="77777777" w:rsidR="00B10162" w:rsidRPr="00B10162" w:rsidRDefault="00B10162" w:rsidP="00B10162">
            <w:pPr>
              <w:spacing w:before="240"/>
              <w:rPr>
                <w:sz w:val="22"/>
                <w:szCs w:val="22"/>
              </w:rPr>
            </w:pPr>
            <w:r w:rsidRPr="00B10162">
              <w:rPr>
                <w:sz w:val="22"/>
                <w:szCs w:val="22"/>
              </w:rPr>
              <w:t>The number of cases in HES</w:t>
            </w:r>
          </w:p>
        </w:tc>
      </w:tr>
      <w:tr w:rsidR="00B10162" w:rsidRPr="00B10162" w14:paraId="7FE2E983" w14:textId="77777777" w:rsidTr="00186164">
        <w:trPr>
          <w:trHeight w:val="103"/>
        </w:trPr>
        <w:tc>
          <w:tcPr>
            <w:tcW w:w="3005" w:type="dxa"/>
          </w:tcPr>
          <w:p w14:paraId="533C197C" w14:textId="77777777" w:rsidR="00B10162" w:rsidRPr="00B10162" w:rsidRDefault="00B10162" w:rsidP="00B10162">
            <w:pPr>
              <w:spacing w:before="240"/>
              <w:rPr>
                <w:sz w:val="22"/>
                <w:szCs w:val="22"/>
              </w:rPr>
            </w:pPr>
            <w:r w:rsidRPr="00B10162">
              <w:rPr>
                <w:sz w:val="22"/>
                <w:szCs w:val="22"/>
              </w:rPr>
              <w:t>Case ascertainment band</w:t>
            </w:r>
          </w:p>
        </w:tc>
        <w:tc>
          <w:tcPr>
            <w:tcW w:w="6488" w:type="dxa"/>
          </w:tcPr>
          <w:p w14:paraId="43AA85FC" w14:textId="77777777" w:rsidR="00B10162" w:rsidRPr="00B10162" w:rsidRDefault="00B10162" w:rsidP="00B10162">
            <w:pPr>
              <w:spacing w:before="240"/>
              <w:rPr>
                <w:sz w:val="22"/>
                <w:szCs w:val="22"/>
              </w:rPr>
            </w:pPr>
            <w:r w:rsidRPr="00B10162">
              <w:rPr>
                <w:sz w:val="22"/>
                <w:szCs w:val="22"/>
              </w:rPr>
              <w:t>Case ascertainment between SSNAP and HES</w:t>
            </w:r>
          </w:p>
        </w:tc>
      </w:tr>
    </w:tbl>
    <w:p w14:paraId="26E7CC79" w14:textId="77777777" w:rsidR="00B10162" w:rsidRDefault="00B10162"/>
    <w:tbl>
      <w:tblPr>
        <w:tblStyle w:val="TableGrid1"/>
        <w:tblW w:w="0" w:type="auto"/>
        <w:tblLayout w:type="fixed"/>
        <w:tblLook w:val="04A0" w:firstRow="1" w:lastRow="0" w:firstColumn="1" w:lastColumn="0" w:noHBand="0" w:noVBand="1"/>
      </w:tblPr>
      <w:tblGrid>
        <w:gridCol w:w="2972"/>
        <w:gridCol w:w="6521"/>
      </w:tblGrid>
      <w:tr w:rsidR="00186164" w:rsidRPr="00B10162" w14:paraId="730BA0B9" w14:textId="77777777" w:rsidTr="00186164">
        <w:tc>
          <w:tcPr>
            <w:tcW w:w="2972" w:type="dxa"/>
          </w:tcPr>
          <w:permEnd w:id="662972152"/>
          <w:p w14:paraId="369E246F" w14:textId="77777777" w:rsidR="00186164" w:rsidRPr="00B10162" w:rsidRDefault="00186164" w:rsidP="00186164">
            <w:pPr>
              <w:spacing w:before="240"/>
              <w:ind w:left="34"/>
              <w:rPr>
                <w:b/>
                <w:sz w:val="22"/>
                <w:szCs w:val="22"/>
              </w:rPr>
            </w:pPr>
            <w:r w:rsidRPr="00B10162">
              <w:rPr>
                <w:b/>
                <w:sz w:val="22"/>
                <w:szCs w:val="22"/>
              </w:rPr>
              <w:t>Contextual information provided alongside indicator</w:t>
            </w:r>
          </w:p>
          <w:p w14:paraId="32F9C0B0" w14:textId="6BE88FF0" w:rsidR="00186164" w:rsidRPr="00B10162" w:rsidRDefault="00186164" w:rsidP="00186164">
            <w:pPr>
              <w:spacing w:before="240"/>
              <w:ind w:left="34"/>
              <w:rPr>
                <w:b/>
                <w:sz w:val="22"/>
                <w:szCs w:val="22"/>
              </w:rPr>
            </w:pPr>
            <w:r w:rsidRPr="00B10162">
              <w:rPr>
                <w:sz w:val="22"/>
                <w:szCs w:val="22"/>
              </w:rPr>
              <w:t>with justification</w:t>
            </w:r>
          </w:p>
        </w:tc>
        <w:tc>
          <w:tcPr>
            <w:tcW w:w="6521" w:type="dxa"/>
          </w:tcPr>
          <w:p w14:paraId="53E6CD51" w14:textId="77777777" w:rsidR="00186164" w:rsidRPr="00B10162" w:rsidRDefault="00186164" w:rsidP="00186164">
            <w:pPr>
              <w:spacing w:before="240"/>
              <w:rPr>
                <w:sz w:val="22"/>
                <w:szCs w:val="22"/>
              </w:rPr>
            </w:pPr>
            <w:r w:rsidRPr="00B10162">
              <w:rPr>
                <w:sz w:val="22"/>
                <w:szCs w:val="22"/>
              </w:rPr>
              <w:t>Alongside the numerator, denominator and percentage, the number of records in SSNAP (care delivered within first 72hrs) is provided for each CCG as contextual information.</w:t>
            </w:r>
          </w:p>
          <w:p w14:paraId="585F8241" w14:textId="77777777" w:rsidR="00186164" w:rsidRPr="00B10162" w:rsidRDefault="00186164" w:rsidP="00186164">
            <w:pPr>
              <w:spacing w:before="240"/>
              <w:rPr>
                <w:sz w:val="22"/>
                <w:szCs w:val="22"/>
              </w:rPr>
            </w:pPr>
            <w:r w:rsidRPr="00B10162">
              <w:rPr>
                <w:sz w:val="22"/>
                <w:szCs w:val="22"/>
              </w:rPr>
              <w:lastRenderedPageBreak/>
              <w:t>The indicator is published in the context of case ascertainment between SSNAP and HES. The ‘Estimated expected number of patients from HES’ figure is the number of patients who have been coded as a primary diagnosis of stroke during their admission in a year’s worth of HES, split by the patient’s CCG recorded in the HES record. Case ascertainment is reported alongside the indicator for all CCGs to highlight audit coverage against HES. MRG requested this further analysis in the original assurance process.</w:t>
            </w:r>
          </w:p>
          <w:p w14:paraId="6314CBAE" w14:textId="77777777" w:rsidR="00186164" w:rsidRPr="00B10162" w:rsidRDefault="00186164" w:rsidP="00186164">
            <w:pPr>
              <w:spacing w:before="240"/>
              <w:rPr>
                <w:sz w:val="22"/>
                <w:szCs w:val="22"/>
              </w:rPr>
            </w:pPr>
            <w:r w:rsidRPr="00B10162">
              <w:rPr>
                <w:sz w:val="22"/>
                <w:szCs w:val="22"/>
              </w:rPr>
              <w:t>Case ascertainment is reported within the context of the ‘care delivered within the first 72hrs’ cohort of stroke patients for this indicator. The ‘Case ascertainment band’ column in the published output uses the following bandings:</w:t>
            </w:r>
          </w:p>
          <w:p w14:paraId="2FD6CAC6" w14:textId="77777777" w:rsidR="00186164" w:rsidRPr="00B10162" w:rsidRDefault="00186164" w:rsidP="00186164">
            <w:pPr>
              <w:pStyle w:val="ListParagraph"/>
              <w:numPr>
                <w:ilvl w:val="0"/>
                <w:numId w:val="5"/>
              </w:numPr>
              <w:spacing w:before="120" w:after="120"/>
              <w:ind w:left="714" w:hanging="357"/>
              <w:rPr>
                <w:sz w:val="22"/>
                <w:szCs w:val="22"/>
              </w:rPr>
            </w:pPr>
            <w:r w:rsidRPr="00B10162">
              <w:rPr>
                <w:sz w:val="22"/>
                <w:szCs w:val="22"/>
              </w:rPr>
              <w:t>90%+</w:t>
            </w:r>
          </w:p>
          <w:p w14:paraId="5E2DCB5F" w14:textId="77777777" w:rsidR="00186164" w:rsidRPr="00B10162" w:rsidRDefault="00186164" w:rsidP="00186164">
            <w:pPr>
              <w:pStyle w:val="ListParagraph"/>
              <w:numPr>
                <w:ilvl w:val="0"/>
                <w:numId w:val="5"/>
              </w:numPr>
              <w:spacing w:before="120" w:after="120"/>
              <w:ind w:left="714" w:hanging="357"/>
              <w:rPr>
                <w:sz w:val="22"/>
                <w:szCs w:val="22"/>
              </w:rPr>
            </w:pPr>
            <w:r w:rsidRPr="00B10162">
              <w:rPr>
                <w:sz w:val="22"/>
                <w:szCs w:val="22"/>
              </w:rPr>
              <w:t>80-89%</w:t>
            </w:r>
          </w:p>
          <w:p w14:paraId="1DDFD341" w14:textId="77777777" w:rsidR="00186164" w:rsidRPr="00B10162" w:rsidRDefault="00186164" w:rsidP="00186164">
            <w:pPr>
              <w:pStyle w:val="ListParagraph"/>
              <w:numPr>
                <w:ilvl w:val="0"/>
                <w:numId w:val="5"/>
              </w:numPr>
              <w:spacing w:before="120" w:after="120"/>
              <w:ind w:left="714" w:hanging="357"/>
              <w:rPr>
                <w:sz w:val="22"/>
                <w:szCs w:val="22"/>
              </w:rPr>
            </w:pPr>
            <w:r w:rsidRPr="00B10162">
              <w:rPr>
                <w:sz w:val="22"/>
                <w:szCs w:val="22"/>
              </w:rPr>
              <w:t>70-79%</w:t>
            </w:r>
          </w:p>
          <w:p w14:paraId="2EB832FD" w14:textId="77777777" w:rsidR="00186164" w:rsidRPr="00B10162" w:rsidRDefault="00186164" w:rsidP="00186164">
            <w:pPr>
              <w:pStyle w:val="ListParagraph"/>
              <w:numPr>
                <w:ilvl w:val="0"/>
                <w:numId w:val="5"/>
              </w:numPr>
              <w:spacing w:before="120" w:after="120"/>
              <w:ind w:left="714" w:hanging="357"/>
              <w:rPr>
                <w:sz w:val="22"/>
                <w:szCs w:val="22"/>
              </w:rPr>
            </w:pPr>
            <w:r w:rsidRPr="00B10162">
              <w:rPr>
                <w:sz w:val="22"/>
                <w:szCs w:val="22"/>
              </w:rPr>
              <w:t>50-69%</w:t>
            </w:r>
          </w:p>
          <w:p w14:paraId="6B88ED99" w14:textId="77777777" w:rsidR="00186164" w:rsidRPr="00B10162" w:rsidRDefault="00186164" w:rsidP="00186164">
            <w:pPr>
              <w:pStyle w:val="ListParagraph"/>
              <w:numPr>
                <w:ilvl w:val="0"/>
                <w:numId w:val="5"/>
              </w:numPr>
              <w:spacing w:before="120" w:after="120"/>
              <w:ind w:left="714" w:hanging="357"/>
              <w:rPr>
                <w:sz w:val="22"/>
                <w:szCs w:val="22"/>
              </w:rPr>
            </w:pPr>
            <w:r w:rsidRPr="00B10162">
              <w:rPr>
                <w:sz w:val="22"/>
                <w:szCs w:val="22"/>
              </w:rPr>
              <w:t>Less than 50%</w:t>
            </w:r>
          </w:p>
          <w:p w14:paraId="7F0FF0AD" w14:textId="77777777" w:rsidR="00186164" w:rsidRPr="00B10162" w:rsidRDefault="00186164" w:rsidP="00186164">
            <w:pPr>
              <w:spacing w:before="120" w:after="120"/>
              <w:rPr>
                <w:sz w:val="22"/>
                <w:szCs w:val="22"/>
              </w:rPr>
            </w:pPr>
            <w:r w:rsidRPr="00B10162">
              <w:rPr>
                <w:sz w:val="22"/>
                <w:szCs w:val="22"/>
              </w:rPr>
              <w:t>The indicator is not reported for any CCGs with lower than 50% case ascertainment or for those with fewer than 20 patients.</w:t>
            </w:r>
          </w:p>
          <w:p w14:paraId="3261F548" w14:textId="219124D8" w:rsidR="00186164" w:rsidRPr="00082EE9" w:rsidRDefault="00186164" w:rsidP="00186164">
            <w:pPr>
              <w:spacing w:before="240"/>
              <w:rPr>
                <w:sz w:val="22"/>
                <w:szCs w:val="22"/>
              </w:rPr>
            </w:pPr>
            <w:r w:rsidRPr="00B10162">
              <w:rPr>
                <w:sz w:val="22"/>
                <w:szCs w:val="22"/>
              </w:rPr>
              <w:t>The percentage of eligible patients (according to the RCP guideline minimum threshold) given thrombolysis will be included in the indicator as contextual information. This will provide an extra breakdown on the treatment of patients that are eligible for thrombolysis only. See section 5.9 for an example of the output presentation.</w:t>
            </w:r>
          </w:p>
        </w:tc>
      </w:tr>
      <w:tr w:rsidR="00186164" w:rsidRPr="00B10162" w14:paraId="1B65A898" w14:textId="77777777" w:rsidTr="00186164">
        <w:tc>
          <w:tcPr>
            <w:tcW w:w="2972" w:type="dxa"/>
          </w:tcPr>
          <w:p w14:paraId="51C6C5C1" w14:textId="583F4005" w:rsidR="00186164" w:rsidRPr="00B10162" w:rsidRDefault="00186164" w:rsidP="00186164">
            <w:pPr>
              <w:spacing w:before="240"/>
              <w:ind w:left="34"/>
              <w:rPr>
                <w:b/>
                <w:sz w:val="22"/>
                <w:szCs w:val="22"/>
              </w:rPr>
            </w:pPr>
            <w:r w:rsidRPr="00B10162">
              <w:rPr>
                <w:b/>
                <w:sz w:val="22"/>
                <w:szCs w:val="22"/>
              </w:rPr>
              <w:lastRenderedPageBreak/>
              <w:t>Calculation and data source of contextual information</w:t>
            </w:r>
          </w:p>
        </w:tc>
        <w:tc>
          <w:tcPr>
            <w:tcW w:w="6521" w:type="dxa"/>
          </w:tcPr>
          <w:p w14:paraId="519D5228" w14:textId="0D87D995" w:rsidR="00186164" w:rsidRPr="00082EE9" w:rsidRDefault="00186164" w:rsidP="00186164">
            <w:pPr>
              <w:spacing w:before="240"/>
              <w:rPr>
                <w:sz w:val="22"/>
                <w:szCs w:val="22"/>
              </w:rPr>
            </w:pPr>
            <w:r w:rsidRPr="00B10162">
              <w:rPr>
                <w:sz w:val="22"/>
                <w:szCs w:val="22"/>
              </w:rPr>
              <w:t>The contextual information is sourced from the SSNAP and provided by the RCP.</w:t>
            </w:r>
          </w:p>
        </w:tc>
      </w:tr>
      <w:tr w:rsidR="00186164" w:rsidRPr="00B10162" w14:paraId="042C6094" w14:textId="77777777" w:rsidTr="00186164">
        <w:tc>
          <w:tcPr>
            <w:tcW w:w="2972" w:type="dxa"/>
          </w:tcPr>
          <w:p w14:paraId="2FB2F3D5" w14:textId="77777777" w:rsidR="00186164" w:rsidRPr="00B10162" w:rsidRDefault="00186164" w:rsidP="00186164">
            <w:pPr>
              <w:spacing w:before="240"/>
              <w:ind w:left="34"/>
              <w:rPr>
                <w:b/>
                <w:sz w:val="22"/>
                <w:szCs w:val="22"/>
              </w:rPr>
            </w:pPr>
            <w:r w:rsidRPr="00B10162">
              <w:rPr>
                <w:b/>
                <w:sz w:val="22"/>
                <w:szCs w:val="22"/>
              </w:rPr>
              <w:t>Use of bandings, benchmarks or targets</w:t>
            </w:r>
          </w:p>
          <w:p w14:paraId="252023A5" w14:textId="7F410FE3" w:rsidR="00186164" w:rsidRPr="00B10162" w:rsidRDefault="00186164" w:rsidP="00186164">
            <w:pPr>
              <w:spacing w:before="240"/>
              <w:ind w:left="34"/>
              <w:rPr>
                <w:b/>
                <w:sz w:val="22"/>
                <w:szCs w:val="22"/>
              </w:rPr>
            </w:pPr>
            <w:r w:rsidRPr="00B10162">
              <w:rPr>
                <w:sz w:val="22"/>
                <w:szCs w:val="22"/>
              </w:rPr>
              <w:t>with justification</w:t>
            </w:r>
          </w:p>
        </w:tc>
        <w:tc>
          <w:tcPr>
            <w:tcW w:w="6521" w:type="dxa"/>
          </w:tcPr>
          <w:p w14:paraId="7E0B6BAD" w14:textId="77777777" w:rsidR="00186164" w:rsidRPr="00B10162" w:rsidRDefault="00186164" w:rsidP="00186164">
            <w:pPr>
              <w:spacing w:before="240"/>
              <w:rPr>
                <w:sz w:val="22"/>
                <w:szCs w:val="22"/>
              </w:rPr>
            </w:pPr>
            <w:r w:rsidRPr="00B10162">
              <w:rPr>
                <w:sz w:val="22"/>
                <w:szCs w:val="22"/>
              </w:rPr>
              <w:t xml:space="preserve">None. NHS England state in their summary of the CCG OIS that ‘The Indicator Set does not in itself set thresholds or levels of ambition for </w:t>
            </w:r>
            <w:proofErr w:type="gramStart"/>
            <w:r w:rsidRPr="00B10162">
              <w:rPr>
                <w:sz w:val="22"/>
                <w:szCs w:val="22"/>
              </w:rPr>
              <w:t>CCGs,</w:t>
            </w:r>
            <w:proofErr w:type="gramEnd"/>
            <w:r w:rsidRPr="00B10162">
              <w:rPr>
                <w:sz w:val="22"/>
                <w:szCs w:val="22"/>
              </w:rPr>
              <w:t xml:space="preserve"> it is intended as a tool for CCGs to drive local improvement and set priorities.’ </w:t>
            </w:r>
            <w:hyperlink r:id="rId17" w:history="1">
              <w:r w:rsidRPr="00B10162">
                <w:rPr>
                  <w:rStyle w:val="Hyperlink"/>
                  <w:color w:val="auto"/>
                  <w:sz w:val="22"/>
                  <w:szCs w:val="22"/>
                </w:rPr>
                <w:t>http://www.england.nhs.uk/resources/resources-for-ccgs/ccg-out-tool/ccg-ois/</w:t>
              </w:r>
            </w:hyperlink>
            <w:r w:rsidRPr="00B10162">
              <w:rPr>
                <w:sz w:val="22"/>
                <w:szCs w:val="22"/>
              </w:rPr>
              <w:t xml:space="preserve">. </w:t>
            </w:r>
          </w:p>
          <w:p w14:paraId="5D042C82" w14:textId="172EC190" w:rsidR="00186164" w:rsidRPr="00082EE9" w:rsidRDefault="00186164" w:rsidP="00186164">
            <w:pPr>
              <w:spacing w:before="240"/>
              <w:rPr>
                <w:sz w:val="22"/>
                <w:szCs w:val="22"/>
              </w:rPr>
            </w:pPr>
            <w:r w:rsidRPr="00B10162">
              <w:rPr>
                <w:sz w:val="22"/>
                <w:szCs w:val="22"/>
              </w:rPr>
              <w:t>There is no absolute rate of thrombolysis which is appropriate. This indicator provides CCGs with a tool to monitor thrombolysis levels, with the focus being to improve percentages to a more consistent level across CCGs.</w:t>
            </w:r>
          </w:p>
        </w:tc>
      </w:tr>
      <w:tr w:rsidR="00186164" w:rsidRPr="00B10162" w14:paraId="59049A2A" w14:textId="77777777" w:rsidTr="00186164">
        <w:tc>
          <w:tcPr>
            <w:tcW w:w="2972" w:type="dxa"/>
          </w:tcPr>
          <w:p w14:paraId="77C47292" w14:textId="77777777" w:rsidR="00186164" w:rsidRPr="00B10162" w:rsidRDefault="00186164" w:rsidP="00186164">
            <w:pPr>
              <w:spacing w:before="240"/>
              <w:ind w:left="34"/>
              <w:rPr>
                <w:b/>
                <w:sz w:val="22"/>
                <w:szCs w:val="22"/>
              </w:rPr>
            </w:pPr>
            <w:r w:rsidRPr="00B10162">
              <w:rPr>
                <w:b/>
                <w:sz w:val="22"/>
                <w:szCs w:val="22"/>
              </w:rPr>
              <w:t>Banding, benchmark or target methodology</w:t>
            </w:r>
          </w:p>
          <w:p w14:paraId="6F32DADE" w14:textId="466C5342" w:rsidR="00186164" w:rsidRPr="00B10162" w:rsidRDefault="00186164" w:rsidP="00186164">
            <w:pPr>
              <w:spacing w:before="240"/>
              <w:ind w:left="34"/>
              <w:rPr>
                <w:b/>
                <w:sz w:val="22"/>
                <w:szCs w:val="22"/>
              </w:rPr>
            </w:pPr>
            <w:r w:rsidRPr="00B10162">
              <w:rPr>
                <w:sz w:val="22"/>
                <w:szCs w:val="22"/>
              </w:rPr>
              <w:t>if appropriate</w:t>
            </w:r>
          </w:p>
        </w:tc>
        <w:tc>
          <w:tcPr>
            <w:tcW w:w="6521" w:type="dxa"/>
          </w:tcPr>
          <w:p w14:paraId="44C2ED82" w14:textId="77777777" w:rsidR="00186164" w:rsidRDefault="00186164" w:rsidP="00186164">
            <w:pPr>
              <w:spacing w:before="240"/>
              <w:rPr>
                <w:sz w:val="22"/>
                <w:szCs w:val="22"/>
              </w:rPr>
            </w:pPr>
            <w:r w:rsidRPr="00B10162">
              <w:rPr>
                <w:sz w:val="22"/>
                <w:szCs w:val="22"/>
              </w:rPr>
              <w:t>N/A</w:t>
            </w:r>
          </w:p>
          <w:p w14:paraId="0D03774E" w14:textId="77777777" w:rsidR="00186164" w:rsidRPr="00082EE9" w:rsidRDefault="00186164" w:rsidP="00186164">
            <w:pPr>
              <w:spacing w:before="240"/>
              <w:rPr>
                <w:sz w:val="22"/>
                <w:szCs w:val="22"/>
              </w:rPr>
            </w:pPr>
          </w:p>
        </w:tc>
      </w:tr>
      <w:tr w:rsidR="00186164" w:rsidRPr="00B10162" w14:paraId="58A0D431" w14:textId="77777777" w:rsidTr="00186164">
        <w:tc>
          <w:tcPr>
            <w:tcW w:w="2972" w:type="dxa"/>
          </w:tcPr>
          <w:p w14:paraId="06BE5002" w14:textId="13AA806C" w:rsidR="00186164" w:rsidRPr="00B10162" w:rsidRDefault="00186164" w:rsidP="00186164">
            <w:pPr>
              <w:spacing w:before="240"/>
              <w:ind w:left="34"/>
              <w:rPr>
                <w:b/>
                <w:sz w:val="22"/>
                <w:szCs w:val="22"/>
              </w:rPr>
            </w:pPr>
            <w:r w:rsidRPr="00B10162">
              <w:rPr>
                <w:b/>
                <w:sz w:val="22"/>
                <w:szCs w:val="22"/>
              </w:rPr>
              <w:t>Interpretation guidelines</w:t>
            </w:r>
          </w:p>
        </w:tc>
        <w:tc>
          <w:tcPr>
            <w:tcW w:w="6521" w:type="dxa"/>
          </w:tcPr>
          <w:p w14:paraId="0F0D706D" w14:textId="77777777" w:rsidR="00186164" w:rsidRPr="00082EE9" w:rsidRDefault="00186164" w:rsidP="00186164">
            <w:pPr>
              <w:spacing w:before="240"/>
              <w:rPr>
                <w:sz w:val="22"/>
                <w:szCs w:val="22"/>
              </w:rPr>
            </w:pPr>
            <w:r w:rsidRPr="00082EE9">
              <w:rPr>
                <w:sz w:val="22"/>
                <w:szCs w:val="22"/>
              </w:rPr>
              <w:t xml:space="preserve">This indicator provides CCGs with a tool to monitor thrombolysis levels, with the focus being to improve percentages to a more </w:t>
            </w:r>
            <w:r w:rsidRPr="00082EE9">
              <w:rPr>
                <w:sz w:val="22"/>
                <w:szCs w:val="22"/>
              </w:rPr>
              <w:lastRenderedPageBreak/>
              <w:t>consistent level across CCGs. In 2005, only about 1% of people with stroke in the UK received thrombolysis and it was estimated that increasing the proportion to 9% would save £16m each year</w:t>
            </w:r>
            <w:r w:rsidRPr="00082EE9">
              <w:rPr>
                <w:sz w:val="22"/>
                <w:szCs w:val="22"/>
                <w:vertAlign w:val="superscript"/>
              </w:rPr>
              <w:t>12</w:t>
            </w:r>
            <w:r w:rsidRPr="00082EE9">
              <w:rPr>
                <w:sz w:val="22"/>
                <w:szCs w:val="22"/>
              </w:rPr>
              <w:t>. Levels now stand at around 11% across the country and higher in some places.</w:t>
            </w:r>
          </w:p>
          <w:p w14:paraId="119EBA20" w14:textId="77777777" w:rsidR="00186164" w:rsidRPr="00082EE9" w:rsidRDefault="00186164" w:rsidP="00186164">
            <w:pPr>
              <w:spacing w:before="240"/>
              <w:rPr>
                <w:sz w:val="22"/>
                <w:szCs w:val="22"/>
              </w:rPr>
            </w:pPr>
            <w:r w:rsidRPr="00082EE9">
              <w:rPr>
                <w:sz w:val="22"/>
                <w:szCs w:val="22"/>
              </w:rPr>
              <w:t xml:space="preserve">As it is not appropriate to simply have a high percentage due to the procedure carrying significant risk and not being suitable for every patient, the indicator includes contextual information on the percentage of eligible patients (according to the RCP guideline minimum threshold) </w:t>
            </w:r>
            <w:proofErr w:type="spellStart"/>
            <w:r w:rsidRPr="00082EE9">
              <w:rPr>
                <w:sz w:val="22"/>
                <w:szCs w:val="22"/>
              </w:rPr>
              <w:t>thrombolysed</w:t>
            </w:r>
            <w:proofErr w:type="spellEnd"/>
            <w:r w:rsidRPr="00082EE9">
              <w:rPr>
                <w:sz w:val="22"/>
                <w:szCs w:val="22"/>
              </w:rPr>
              <w:t>. In addition, the SSNAP reports on several factors which could affect thrombolysis rates such as the haemorrhage rate and onset-to-arrival timings.</w:t>
            </w:r>
          </w:p>
          <w:p w14:paraId="11571DC4" w14:textId="77777777" w:rsidR="00186164" w:rsidRPr="00082EE9" w:rsidRDefault="00186164" w:rsidP="00186164">
            <w:pPr>
              <w:spacing w:before="240"/>
              <w:rPr>
                <w:sz w:val="22"/>
                <w:szCs w:val="22"/>
              </w:rPr>
            </w:pPr>
            <w:r w:rsidRPr="00082EE9">
              <w:rPr>
                <w:sz w:val="22"/>
                <w:szCs w:val="22"/>
              </w:rPr>
              <w:t>Thrombolysis is a clot busting drug which can be a very effective way of treating ischaemic strokes (caused by blood clot). The eligibility criteria for thrombolysis are based on age, type of stroke and time lapse since stroke onset. Based on these criteria, it is expected that between 15 and 20% of patients would be eligible for thrombolysis.</w:t>
            </w:r>
          </w:p>
          <w:p w14:paraId="561DAE43" w14:textId="77777777" w:rsidR="00186164" w:rsidRPr="00082EE9" w:rsidRDefault="00186164" w:rsidP="00186164">
            <w:pPr>
              <w:spacing w:before="240"/>
              <w:rPr>
                <w:sz w:val="22"/>
                <w:szCs w:val="22"/>
              </w:rPr>
            </w:pPr>
            <w:r w:rsidRPr="00082EE9">
              <w:rPr>
                <w:sz w:val="22"/>
                <w:szCs w:val="22"/>
              </w:rPr>
              <w:t>There are multiple medical reasons for not providing thrombolysis including (but not limited to) the patient arriving outside the time window for thrombolysis, the stroke being too mild/severe, the patient suffering a haemorrhagic stroke, the patient’s condition improving and the patient having other co-morbidities.</w:t>
            </w:r>
          </w:p>
          <w:p w14:paraId="4E100BC8" w14:textId="4BB313CF" w:rsidR="00186164" w:rsidRPr="00B10162" w:rsidRDefault="00186164" w:rsidP="00186164">
            <w:pPr>
              <w:spacing w:before="240"/>
              <w:rPr>
                <w:sz w:val="22"/>
                <w:szCs w:val="22"/>
              </w:rPr>
            </w:pPr>
            <w:r w:rsidRPr="00082EE9">
              <w:rPr>
                <w:sz w:val="18"/>
                <w:szCs w:val="18"/>
              </w:rPr>
              <w:t>12. RCP SSNAP Annual Report, 2013/14</w:t>
            </w:r>
            <w:r w:rsidRPr="00082EE9">
              <w:rPr>
                <w:rStyle w:val="Hyperlink"/>
                <w:color w:val="auto"/>
                <w:sz w:val="18"/>
                <w:szCs w:val="18"/>
              </w:rPr>
              <w:t xml:space="preserve"> https://www.strokeaudit.org/Documents/Results/National/Apr2013Mar2014/Apr2013Mar2014-AnnualReport.aspx </w:t>
            </w:r>
          </w:p>
        </w:tc>
      </w:tr>
      <w:tr w:rsidR="00186164" w:rsidRPr="00B10162" w14:paraId="693E6935" w14:textId="77777777" w:rsidTr="00186164">
        <w:tc>
          <w:tcPr>
            <w:tcW w:w="2972" w:type="dxa"/>
          </w:tcPr>
          <w:p w14:paraId="64819ECC" w14:textId="300BD360" w:rsidR="00186164" w:rsidRPr="00B10162" w:rsidRDefault="00186164" w:rsidP="00186164">
            <w:pPr>
              <w:spacing w:before="240"/>
              <w:ind w:left="34"/>
              <w:rPr>
                <w:b/>
                <w:sz w:val="22"/>
                <w:szCs w:val="22"/>
              </w:rPr>
            </w:pPr>
            <w:r w:rsidRPr="00B10162">
              <w:rPr>
                <w:b/>
                <w:sz w:val="22"/>
                <w:szCs w:val="22"/>
              </w:rPr>
              <w:lastRenderedPageBreak/>
              <w:t>Limitations and potential bias</w:t>
            </w:r>
          </w:p>
        </w:tc>
        <w:tc>
          <w:tcPr>
            <w:tcW w:w="6521" w:type="dxa"/>
          </w:tcPr>
          <w:p w14:paraId="50B8E849" w14:textId="77777777" w:rsidR="00186164" w:rsidRPr="00082EE9" w:rsidRDefault="00186164" w:rsidP="00186164">
            <w:pPr>
              <w:spacing w:before="240"/>
              <w:rPr>
                <w:sz w:val="22"/>
                <w:szCs w:val="22"/>
              </w:rPr>
            </w:pPr>
            <w:r w:rsidRPr="00082EE9">
              <w:rPr>
                <w:sz w:val="22"/>
                <w:szCs w:val="22"/>
              </w:rPr>
              <w:t xml:space="preserve">As it is clinically inappropriate in some cases to give thrombolysis, the maximum achievement percentage for this indicator will vary from CCG to CCG; </w:t>
            </w:r>
            <w:proofErr w:type="gramStart"/>
            <w:r w:rsidRPr="00082EE9">
              <w:rPr>
                <w:sz w:val="22"/>
                <w:szCs w:val="22"/>
              </w:rPr>
              <w:t>therefore</w:t>
            </w:r>
            <w:proofErr w:type="gramEnd"/>
            <w:r w:rsidRPr="00082EE9">
              <w:rPr>
                <w:sz w:val="22"/>
                <w:szCs w:val="22"/>
              </w:rPr>
              <w:t xml:space="preserve"> care must be taken when comparing overall percentages over time or across CCGs. The focus of this indicator is to improve current thrombolysis levels to a more consistent level across CCGs.</w:t>
            </w:r>
          </w:p>
          <w:p w14:paraId="60B40D43" w14:textId="77777777" w:rsidR="00186164" w:rsidRPr="00082EE9" w:rsidRDefault="00186164" w:rsidP="00186164">
            <w:pPr>
              <w:spacing w:before="240"/>
              <w:rPr>
                <w:sz w:val="22"/>
                <w:szCs w:val="22"/>
              </w:rPr>
            </w:pPr>
            <w:r w:rsidRPr="00082EE9">
              <w:rPr>
                <w:sz w:val="22"/>
                <w:szCs w:val="22"/>
              </w:rPr>
              <w:t>The patterns of providing care may vary between organisations in terms of hospital inpatient admission practices and policies.</w:t>
            </w:r>
          </w:p>
          <w:p w14:paraId="5BB5D1CC" w14:textId="766DADE3" w:rsidR="00186164" w:rsidRPr="00B10162" w:rsidRDefault="00186164" w:rsidP="00186164">
            <w:pPr>
              <w:spacing w:before="240"/>
              <w:rPr>
                <w:sz w:val="22"/>
                <w:szCs w:val="22"/>
              </w:rPr>
            </w:pPr>
            <w:r w:rsidRPr="00082EE9">
              <w:rPr>
                <w:sz w:val="22"/>
                <w:szCs w:val="22"/>
              </w:rPr>
              <w:t>There may be variation in the prevalence of stroke due to differing levels of deprivation, for other geo-demographic reasons or between patients of different ethnic heritages.</w:t>
            </w:r>
          </w:p>
        </w:tc>
      </w:tr>
      <w:tr w:rsidR="00186164" w:rsidRPr="00B10162" w14:paraId="3E4A0AA7" w14:textId="77777777" w:rsidTr="00186164">
        <w:tc>
          <w:tcPr>
            <w:tcW w:w="2972" w:type="dxa"/>
          </w:tcPr>
          <w:p w14:paraId="1C3F78AB" w14:textId="68B4C28A" w:rsidR="00186164" w:rsidRPr="00B10162" w:rsidRDefault="00186164" w:rsidP="00186164">
            <w:pPr>
              <w:spacing w:before="240"/>
              <w:ind w:left="34"/>
              <w:rPr>
                <w:b/>
                <w:sz w:val="22"/>
                <w:szCs w:val="22"/>
              </w:rPr>
            </w:pPr>
            <w:r w:rsidRPr="00B10162">
              <w:rPr>
                <w:b/>
                <w:sz w:val="22"/>
                <w:szCs w:val="22"/>
              </w:rPr>
              <w:t>Improvement actions</w:t>
            </w:r>
          </w:p>
        </w:tc>
        <w:tc>
          <w:tcPr>
            <w:tcW w:w="6521" w:type="dxa"/>
          </w:tcPr>
          <w:p w14:paraId="799829AE" w14:textId="77777777" w:rsidR="00186164" w:rsidRPr="00082EE9" w:rsidRDefault="00186164" w:rsidP="00186164">
            <w:pPr>
              <w:spacing w:before="240"/>
              <w:rPr>
                <w:sz w:val="22"/>
                <w:szCs w:val="22"/>
              </w:rPr>
            </w:pPr>
            <w:r w:rsidRPr="00082EE9">
              <w:rPr>
                <w:sz w:val="22"/>
                <w:szCs w:val="22"/>
              </w:rPr>
              <w:t>It is expected that CCGs will use this indicator to identify improvements in care and how they can be delivered.</w:t>
            </w:r>
          </w:p>
          <w:p w14:paraId="4A05097E" w14:textId="5D83FA96" w:rsidR="00186164" w:rsidRPr="00B10162" w:rsidRDefault="00186164" w:rsidP="00186164">
            <w:pPr>
              <w:spacing w:before="240"/>
              <w:rPr>
                <w:sz w:val="22"/>
                <w:szCs w:val="22"/>
              </w:rPr>
            </w:pPr>
            <w:r w:rsidRPr="00082EE9">
              <w:rPr>
                <w:sz w:val="22"/>
                <w:szCs w:val="22"/>
              </w:rPr>
              <w:t>Improvements could be made by enhancing aspects of the services CCGs commission for patients. This could come in the form of better recognition and assessment of the symptoms of stroke, particularly for those already in hospital, and an established process for delivering thrombolysis in a timely manner.</w:t>
            </w:r>
          </w:p>
        </w:tc>
      </w:tr>
      <w:tr w:rsidR="00186164" w:rsidRPr="00B10162" w14:paraId="440E79B4" w14:textId="77777777" w:rsidTr="00186164">
        <w:tc>
          <w:tcPr>
            <w:tcW w:w="2972" w:type="dxa"/>
          </w:tcPr>
          <w:p w14:paraId="3D1CF42E" w14:textId="406C9E57" w:rsidR="00186164" w:rsidRPr="00B10162" w:rsidRDefault="00186164" w:rsidP="00186164">
            <w:pPr>
              <w:spacing w:before="240"/>
              <w:ind w:left="34"/>
              <w:rPr>
                <w:b/>
                <w:sz w:val="22"/>
                <w:szCs w:val="22"/>
              </w:rPr>
            </w:pPr>
            <w:r w:rsidRPr="00B10162">
              <w:rPr>
                <w:b/>
                <w:sz w:val="22"/>
                <w:szCs w:val="22"/>
              </w:rPr>
              <w:lastRenderedPageBreak/>
              <w:t>Evidence of variability</w:t>
            </w:r>
          </w:p>
        </w:tc>
        <w:tc>
          <w:tcPr>
            <w:tcW w:w="6521" w:type="dxa"/>
          </w:tcPr>
          <w:p w14:paraId="5D65FEF2" w14:textId="77777777" w:rsidR="00186164" w:rsidRPr="00B10162" w:rsidRDefault="00186164" w:rsidP="00186164">
            <w:pPr>
              <w:spacing w:before="240"/>
              <w:rPr>
                <w:sz w:val="22"/>
                <w:szCs w:val="22"/>
              </w:rPr>
            </w:pPr>
            <w:r w:rsidRPr="00B10162">
              <w:rPr>
                <w:sz w:val="22"/>
                <w:szCs w:val="22"/>
              </w:rPr>
              <w:t xml:space="preserve">The data within this section is taken from the December 2014 CCG OIS publication. </w:t>
            </w:r>
          </w:p>
          <w:p w14:paraId="2CF26E8B" w14:textId="77777777" w:rsidR="00186164" w:rsidRPr="00B10162" w:rsidRDefault="00186164" w:rsidP="00186164">
            <w:pPr>
              <w:spacing w:before="240"/>
              <w:rPr>
                <w:sz w:val="22"/>
                <w:szCs w:val="22"/>
              </w:rPr>
            </w:pPr>
            <w:r w:rsidRPr="00B10162">
              <w:rPr>
                <w:sz w:val="22"/>
                <w:szCs w:val="22"/>
              </w:rPr>
              <w:t>During the financial year 2013/14 there were 70,058 acute stroke patients (including those who were already in hospital at the time of new stroke occurrence). Of these, 8,125 were given thrombolysis.</w:t>
            </w:r>
          </w:p>
          <w:p w14:paraId="1AD04C5E" w14:textId="1A101E0F" w:rsidR="00186164" w:rsidRPr="00082EE9" w:rsidRDefault="00186164" w:rsidP="00186164">
            <w:pPr>
              <w:spacing w:before="240"/>
              <w:rPr>
                <w:sz w:val="22"/>
                <w:szCs w:val="22"/>
              </w:rPr>
            </w:pPr>
            <w:r w:rsidRPr="00B10162">
              <w:rPr>
                <w:sz w:val="22"/>
                <w:szCs w:val="22"/>
              </w:rPr>
              <w:t>The data below</w:t>
            </w:r>
            <w:r w:rsidR="008A440F">
              <w:rPr>
                <w:sz w:val="22"/>
                <w:szCs w:val="22"/>
              </w:rPr>
              <w:t xml:space="preserve"> (at the end of this table)</w:t>
            </w:r>
            <w:r w:rsidRPr="00B10162">
              <w:rPr>
                <w:sz w:val="22"/>
                <w:szCs w:val="22"/>
              </w:rPr>
              <w:t xml:space="preserve"> shows the ten CCGs with the lowest and the ten CCGs with the highest percentages in 2013/14. Five CCGs have been suppressed due to insufficient case ascertainment between SSNAP and HES and are not included within the data below.</w:t>
            </w:r>
          </w:p>
        </w:tc>
      </w:tr>
      <w:tr w:rsidR="008A440F" w:rsidRPr="00B10162" w14:paraId="71E4D6BB" w14:textId="77777777" w:rsidTr="00186164">
        <w:tc>
          <w:tcPr>
            <w:tcW w:w="2972" w:type="dxa"/>
          </w:tcPr>
          <w:p w14:paraId="724D0B22" w14:textId="457B7FAA" w:rsidR="008A440F" w:rsidRPr="00B10162" w:rsidRDefault="008A440F" w:rsidP="008A440F">
            <w:pPr>
              <w:spacing w:before="240"/>
              <w:ind w:left="34"/>
              <w:rPr>
                <w:b/>
                <w:sz w:val="22"/>
                <w:szCs w:val="22"/>
              </w:rPr>
            </w:pPr>
            <w:r w:rsidRPr="00B10162">
              <w:rPr>
                <w:b/>
                <w:sz w:val="22"/>
                <w:szCs w:val="22"/>
              </w:rPr>
              <w:t>Similar existing indicators</w:t>
            </w:r>
          </w:p>
        </w:tc>
        <w:tc>
          <w:tcPr>
            <w:tcW w:w="6521" w:type="dxa"/>
          </w:tcPr>
          <w:p w14:paraId="2DDD721A" w14:textId="77777777" w:rsidR="008A440F" w:rsidRPr="00B10162" w:rsidRDefault="008A440F" w:rsidP="008A440F">
            <w:pPr>
              <w:spacing w:before="240"/>
              <w:rPr>
                <w:rStyle w:val="Hyperlink"/>
                <w:color w:val="auto"/>
                <w:sz w:val="22"/>
                <w:szCs w:val="22"/>
              </w:rPr>
            </w:pPr>
            <w:r w:rsidRPr="00B10162">
              <w:rPr>
                <w:sz w:val="22"/>
                <w:szCs w:val="22"/>
              </w:rPr>
              <w:t xml:space="preserve">This indicator is published in different formats at CCG, trust and stroke team level on the SSNAP results portal </w:t>
            </w:r>
            <w:hyperlink r:id="rId18" w:history="1">
              <w:r w:rsidRPr="00B10162">
                <w:rPr>
                  <w:rStyle w:val="Hyperlink"/>
                  <w:color w:val="auto"/>
                  <w:sz w:val="22"/>
                  <w:szCs w:val="22"/>
                </w:rPr>
                <w:t>http://www.strokeaudit.org/results/Clinical-audit/National-Results.aspx</w:t>
              </w:r>
            </w:hyperlink>
          </w:p>
          <w:p w14:paraId="236F2504" w14:textId="77777777" w:rsidR="008A440F" w:rsidRPr="00B10162" w:rsidRDefault="008A440F" w:rsidP="008A440F">
            <w:pPr>
              <w:spacing w:before="240"/>
              <w:rPr>
                <w:sz w:val="22"/>
                <w:szCs w:val="22"/>
              </w:rPr>
            </w:pPr>
            <w:r w:rsidRPr="00B10162">
              <w:rPr>
                <w:sz w:val="22"/>
                <w:szCs w:val="22"/>
              </w:rPr>
              <w:t xml:space="preserve">The SSNAP results portal also contains </w:t>
            </w:r>
            <w:proofErr w:type="gramStart"/>
            <w:r w:rsidRPr="00B10162">
              <w:rPr>
                <w:sz w:val="22"/>
                <w:szCs w:val="22"/>
              </w:rPr>
              <w:t>a number of</w:t>
            </w:r>
            <w:proofErr w:type="gramEnd"/>
            <w:r w:rsidRPr="00B10162">
              <w:rPr>
                <w:sz w:val="22"/>
                <w:szCs w:val="22"/>
              </w:rPr>
              <w:t xml:space="preserve"> other measures relating to stroke and four further measures that relate specifically to thrombolysis, which could be used as contextual information alongside this indicator. These are:</w:t>
            </w:r>
          </w:p>
          <w:p w14:paraId="79EBCE8F" w14:textId="77777777" w:rsidR="008A440F" w:rsidRPr="00B10162" w:rsidRDefault="008A440F" w:rsidP="008A440F">
            <w:pPr>
              <w:pStyle w:val="ListParagraph"/>
              <w:numPr>
                <w:ilvl w:val="0"/>
                <w:numId w:val="15"/>
              </w:numPr>
              <w:spacing w:before="120" w:after="120"/>
              <w:ind w:left="714" w:hanging="357"/>
              <w:rPr>
                <w:sz w:val="22"/>
                <w:szCs w:val="22"/>
              </w:rPr>
            </w:pPr>
            <w:r w:rsidRPr="00B10162">
              <w:rPr>
                <w:sz w:val="22"/>
                <w:szCs w:val="22"/>
              </w:rPr>
              <w:t>Proportion of eligible patients (according to the RCP guideline minimum threshold) given thrombolysis</w:t>
            </w:r>
          </w:p>
          <w:p w14:paraId="6660486C" w14:textId="77777777" w:rsidR="008A440F" w:rsidRPr="00B10162" w:rsidRDefault="008A440F" w:rsidP="008A440F">
            <w:pPr>
              <w:pStyle w:val="ListParagraph"/>
              <w:numPr>
                <w:ilvl w:val="0"/>
                <w:numId w:val="15"/>
              </w:numPr>
              <w:spacing w:before="120" w:after="120"/>
              <w:ind w:left="714" w:hanging="357"/>
              <w:rPr>
                <w:sz w:val="22"/>
                <w:szCs w:val="22"/>
              </w:rPr>
            </w:pPr>
            <w:r w:rsidRPr="00B10162">
              <w:rPr>
                <w:sz w:val="22"/>
                <w:szCs w:val="22"/>
              </w:rPr>
              <w:t xml:space="preserve">Proportion of patients who were </w:t>
            </w:r>
            <w:proofErr w:type="spellStart"/>
            <w:r w:rsidRPr="00B10162">
              <w:rPr>
                <w:sz w:val="22"/>
                <w:szCs w:val="22"/>
              </w:rPr>
              <w:t>thrombolysed</w:t>
            </w:r>
            <w:proofErr w:type="spellEnd"/>
            <w:r w:rsidRPr="00B10162">
              <w:rPr>
                <w:sz w:val="22"/>
                <w:szCs w:val="22"/>
              </w:rPr>
              <w:t xml:space="preserve"> within 1 hour of clock start</w:t>
            </w:r>
          </w:p>
          <w:p w14:paraId="16C73679" w14:textId="77777777" w:rsidR="008A440F" w:rsidRPr="00B10162" w:rsidRDefault="008A440F" w:rsidP="008A440F">
            <w:pPr>
              <w:pStyle w:val="ListParagraph"/>
              <w:numPr>
                <w:ilvl w:val="0"/>
                <w:numId w:val="15"/>
              </w:numPr>
              <w:spacing w:before="120" w:after="120"/>
              <w:ind w:left="714" w:hanging="357"/>
              <w:rPr>
                <w:sz w:val="22"/>
                <w:szCs w:val="22"/>
              </w:rPr>
            </w:pPr>
            <w:r w:rsidRPr="00B10162">
              <w:rPr>
                <w:sz w:val="22"/>
                <w:szCs w:val="22"/>
              </w:rPr>
              <w:t>Proportion of applicable patients directly admitted to a stroke unit within 4 hours of clock start AND who either receive thrombolysis or have a pre-specified justifiable reason ('no but') for why it could not be given</w:t>
            </w:r>
          </w:p>
          <w:p w14:paraId="10B103A0" w14:textId="73816E43" w:rsidR="008A440F" w:rsidRPr="00B10162" w:rsidRDefault="008A440F" w:rsidP="008A440F">
            <w:pPr>
              <w:spacing w:before="240"/>
              <w:rPr>
                <w:sz w:val="22"/>
                <w:szCs w:val="22"/>
              </w:rPr>
            </w:pPr>
            <w:r w:rsidRPr="00B10162">
              <w:rPr>
                <w:sz w:val="22"/>
                <w:szCs w:val="22"/>
              </w:rPr>
              <w:t>Median time between clock start and thrombolysis (</w:t>
            </w:r>
            <w:proofErr w:type="spellStart"/>
            <w:proofErr w:type="gramStart"/>
            <w:r w:rsidRPr="00B10162">
              <w:rPr>
                <w:sz w:val="22"/>
                <w:szCs w:val="22"/>
              </w:rPr>
              <w:t>hours:mins</w:t>
            </w:r>
            <w:proofErr w:type="spellEnd"/>
            <w:proofErr w:type="gramEnd"/>
            <w:r w:rsidRPr="00B10162">
              <w:rPr>
                <w:sz w:val="22"/>
                <w:szCs w:val="22"/>
              </w:rPr>
              <w:t>)</w:t>
            </w:r>
          </w:p>
        </w:tc>
      </w:tr>
      <w:tr w:rsidR="008A440F" w:rsidRPr="00B10162" w14:paraId="01279E6E" w14:textId="77777777" w:rsidTr="00186164">
        <w:tc>
          <w:tcPr>
            <w:tcW w:w="2972" w:type="dxa"/>
          </w:tcPr>
          <w:p w14:paraId="2ED176A6" w14:textId="67F58ACB" w:rsidR="008A440F" w:rsidRPr="00B10162" w:rsidRDefault="008A440F" w:rsidP="008A440F">
            <w:pPr>
              <w:spacing w:before="240"/>
              <w:ind w:left="34"/>
              <w:rPr>
                <w:b/>
                <w:sz w:val="22"/>
                <w:szCs w:val="22"/>
              </w:rPr>
            </w:pPr>
            <w:r w:rsidRPr="00B10162">
              <w:rPr>
                <w:b/>
                <w:sz w:val="22"/>
                <w:szCs w:val="22"/>
              </w:rPr>
              <w:t>Coherence and comparability</w:t>
            </w:r>
          </w:p>
        </w:tc>
        <w:tc>
          <w:tcPr>
            <w:tcW w:w="6521" w:type="dxa"/>
          </w:tcPr>
          <w:p w14:paraId="34C192C0" w14:textId="51DA8DB9" w:rsidR="008A440F" w:rsidRPr="00B10162" w:rsidRDefault="008A440F" w:rsidP="008A440F">
            <w:pPr>
              <w:spacing w:before="240"/>
              <w:rPr>
                <w:sz w:val="22"/>
                <w:szCs w:val="22"/>
              </w:rPr>
            </w:pPr>
            <w:r w:rsidRPr="00B10162">
              <w:rPr>
                <w:sz w:val="22"/>
                <w:szCs w:val="22"/>
              </w:rPr>
              <w:t>The methodology and results for this indicator are consistent with the same indicator published on the SSNAP results portal.</w:t>
            </w:r>
          </w:p>
        </w:tc>
      </w:tr>
      <w:tr w:rsidR="008A440F" w:rsidRPr="00B10162" w14:paraId="7007C1C7" w14:textId="77777777" w:rsidTr="00186164">
        <w:tc>
          <w:tcPr>
            <w:tcW w:w="2972" w:type="dxa"/>
          </w:tcPr>
          <w:p w14:paraId="6FD13202" w14:textId="74A1F111" w:rsidR="008A440F" w:rsidRPr="00B10162" w:rsidRDefault="008A440F" w:rsidP="008A440F">
            <w:pPr>
              <w:spacing w:before="240"/>
              <w:ind w:left="34"/>
              <w:rPr>
                <w:b/>
                <w:sz w:val="22"/>
                <w:szCs w:val="22"/>
              </w:rPr>
            </w:pPr>
            <w:r w:rsidRPr="00B10162">
              <w:rPr>
                <w:b/>
                <w:sz w:val="22"/>
                <w:szCs w:val="22"/>
              </w:rPr>
              <w:t>Undesired behaviours and/or gaming</w:t>
            </w:r>
          </w:p>
        </w:tc>
        <w:tc>
          <w:tcPr>
            <w:tcW w:w="6521" w:type="dxa"/>
          </w:tcPr>
          <w:p w14:paraId="47786000" w14:textId="03AA0A19" w:rsidR="008A440F" w:rsidRPr="00B10162" w:rsidRDefault="008A440F" w:rsidP="008A440F">
            <w:pPr>
              <w:spacing w:before="240"/>
              <w:rPr>
                <w:sz w:val="22"/>
                <w:szCs w:val="22"/>
              </w:rPr>
            </w:pPr>
            <w:r w:rsidRPr="00B10162">
              <w:rPr>
                <w:sz w:val="22"/>
                <w:szCs w:val="22"/>
              </w:rPr>
              <w:t xml:space="preserve">The RCP has wide experience of monitoring the impact of performance indicators, working closely with stroke and cardiac networks, and consider its standard methods to be </w:t>
            </w:r>
            <w:proofErr w:type="gramStart"/>
            <w:r w:rsidRPr="00B10162">
              <w:rPr>
                <w:sz w:val="22"/>
                <w:szCs w:val="22"/>
              </w:rPr>
              <w:t>sufficient</w:t>
            </w:r>
            <w:proofErr w:type="gramEnd"/>
            <w:r w:rsidRPr="00B10162">
              <w:rPr>
                <w:sz w:val="22"/>
                <w:szCs w:val="22"/>
              </w:rPr>
              <w:t xml:space="preserve"> to minimise risks of gaming and perverse incentives.</w:t>
            </w:r>
          </w:p>
        </w:tc>
      </w:tr>
      <w:tr w:rsidR="008A440F" w:rsidRPr="00B10162" w14:paraId="628A3642" w14:textId="77777777" w:rsidTr="00186164">
        <w:tc>
          <w:tcPr>
            <w:tcW w:w="2972" w:type="dxa"/>
          </w:tcPr>
          <w:p w14:paraId="10BD0306" w14:textId="6B50761D" w:rsidR="008A440F" w:rsidRPr="00B10162" w:rsidRDefault="008A440F" w:rsidP="008A440F">
            <w:pPr>
              <w:spacing w:before="240"/>
              <w:ind w:left="34"/>
              <w:rPr>
                <w:b/>
                <w:sz w:val="22"/>
                <w:szCs w:val="22"/>
              </w:rPr>
            </w:pPr>
            <w:r w:rsidRPr="00B10162">
              <w:rPr>
                <w:b/>
                <w:sz w:val="22"/>
                <w:szCs w:val="22"/>
              </w:rPr>
              <w:t>Approach to indicator review</w:t>
            </w:r>
          </w:p>
        </w:tc>
        <w:tc>
          <w:tcPr>
            <w:tcW w:w="6521" w:type="dxa"/>
          </w:tcPr>
          <w:p w14:paraId="08D02535" w14:textId="77777777" w:rsidR="008A440F" w:rsidRPr="00B10162" w:rsidRDefault="008A440F" w:rsidP="008A440F">
            <w:pPr>
              <w:spacing w:before="240"/>
              <w:rPr>
                <w:sz w:val="22"/>
                <w:szCs w:val="22"/>
              </w:rPr>
            </w:pPr>
            <w:r w:rsidRPr="00B10162">
              <w:rPr>
                <w:sz w:val="22"/>
                <w:szCs w:val="22"/>
              </w:rPr>
              <w:t>The Indicator Governance Board (IGB) set a review period of one year when the indicator was originally assured, due to the relative immaturity of the SSNAP data set at that time. The time period for the next review will again be set by IGB.</w:t>
            </w:r>
          </w:p>
          <w:p w14:paraId="3E29BED1" w14:textId="343020AC" w:rsidR="008A440F" w:rsidRPr="00B10162" w:rsidRDefault="008A440F" w:rsidP="008A440F">
            <w:pPr>
              <w:spacing w:before="240"/>
              <w:rPr>
                <w:sz w:val="22"/>
                <w:szCs w:val="22"/>
              </w:rPr>
            </w:pPr>
            <w:r w:rsidRPr="00B10162">
              <w:rPr>
                <w:sz w:val="22"/>
                <w:szCs w:val="22"/>
              </w:rPr>
              <w:t xml:space="preserve">User feedback and comments on this indicator are welcomed via HSCIC Enquires </w:t>
            </w:r>
            <w:hyperlink r:id="rId19" w:history="1">
              <w:r w:rsidRPr="00B10162">
                <w:rPr>
                  <w:rStyle w:val="Hyperlink"/>
                  <w:color w:val="auto"/>
                  <w:sz w:val="22"/>
                  <w:szCs w:val="22"/>
                </w:rPr>
                <w:t>enquiries@hscic.gov.uk</w:t>
              </w:r>
            </w:hyperlink>
            <w:r w:rsidRPr="00B10162">
              <w:rPr>
                <w:sz w:val="22"/>
                <w:szCs w:val="22"/>
              </w:rPr>
              <w:t xml:space="preserve">  or the CCG OIS mailbox </w:t>
            </w:r>
            <w:hyperlink r:id="rId20" w:history="1">
              <w:r w:rsidRPr="00B10162">
                <w:rPr>
                  <w:rStyle w:val="Hyperlink"/>
                  <w:color w:val="auto"/>
                  <w:sz w:val="22"/>
                  <w:szCs w:val="22"/>
                </w:rPr>
                <w:t>ccgois@hscic.gov.uk</w:t>
              </w:r>
            </w:hyperlink>
          </w:p>
        </w:tc>
      </w:tr>
      <w:tr w:rsidR="008A440F" w:rsidRPr="00B10162" w14:paraId="06509349" w14:textId="77777777" w:rsidTr="00186164">
        <w:tc>
          <w:tcPr>
            <w:tcW w:w="2972" w:type="dxa"/>
          </w:tcPr>
          <w:p w14:paraId="08418F8B" w14:textId="08E9263A" w:rsidR="008A440F" w:rsidRPr="00B10162" w:rsidRDefault="008A440F" w:rsidP="008A440F">
            <w:pPr>
              <w:spacing w:before="240"/>
              <w:ind w:left="34"/>
              <w:rPr>
                <w:b/>
                <w:sz w:val="22"/>
                <w:szCs w:val="22"/>
              </w:rPr>
            </w:pPr>
            <w:r w:rsidRPr="00B10162">
              <w:rPr>
                <w:b/>
                <w:sz w:val="22"/>
                <w:szCs w:val="22"/>
              </w:rPr>
              <w:lastRenderedPageBreak/>
              <w:t>Disclosure control</w:t>
            </w:r>
          </w:p>
        </w:tc>
        <w:tc>
          <w:tcPr>
            <w:tcW w:w="6521" w:type="dxa"/>
          </w:tcPr>
          <w:p w14:paraId="736C38D6" w14:textId="77777777" w:rsidR="008A440F" w:rsidRPr="00B10162" w:rsidRDefault="008A440F" w:rsidP="008A440F">
            <w:pPr>
              <w:spacing w:before="240"/>
              <w:rPr>
                <w:sz w:val="22"/>
                <w:szCs w:val="22"/>
              </w:rPr>
            </w:pPr>
            <w:r w:rsidRPr="00B10162">
              <w:rPr>
                <w:sz w:val="22"/>
                <w:szCs w:val="22"/>
              </w:rPr>
              <w:t xml:space="preserve">Case ascertainment used is the proportion of patients per CCG with primary ICD-10 codes I61, I63 and I64 in HES data who are included in SSNAP for the same time period. </w:t>
            </w:r>
          </w:p>
          <w:p w14:paraId="19CD6BAC" w14:textId="77777777" w:rsidR="008A440F" w:rsidRPr="00B10162" w:rsidRDefault="008A440F" w:rsidP="008A440F">
            <w:pPr>
              <w:spacing w:before="240"/>
              <w:rPr>
                <w:sz w:val="22"/>
                <w:szCs w:val="22"/>
              </w:rPr>
            </w:pPr>
            <w:r w:rsidRPr="00B10162">
              <w:rPr>
                <w:sz w:val="22"/>
                <w:szCs w:val="22"/>
              </w:rPr>
              <w:t xml:space="preserve">Case ascertainment is reported alongside the indicator for all CCGs. The indicator is not reported for any CCGs with lower than 50% case ascertainment or for those with fewer than 20 patients, instead replacing the percentage with ‘*’. </w:t>
            </w:r>
          </w:p>
          <w:p w14:paraId="562C8E01" w14:textId="78A857C2" w:rsidR="008A440F" w:rsidRPr="00B10162" w:rsidRDefault="008A440F" w:rsidP="008A440F">
            <w:pPr>
              <w:spacing w:before="240"/>
              <w:rPr>
                <w:sz w:val="22"/>
                <w:szCs w:val="22"/>
              </w:rPr>
            </w:pPr>
            <w:r w:rsidRPr="00B10162">
              <w:rPr>
                <w:sz w:val="22"/>
                <w:szCs w:val="22"/>
              </w:rPr>
              <w:t>Percentages are rounded to one decimal place before publication.</w:t>
            </w:r>
          </w:p>
        </w:tc>
      </w:tr>
      <w:tr w:rsidR="008A440F" w:rsidRPr="00B10162" w14:paraId="0E39D48B" w14:textId="77777777" w:rsidTr="00186164">
        <w:tc>
          <w:tcPr>
            <w:tcW w:w="2972" w:type="dxa"/>
          </w:tcPr>
          <w:p w14:paraId="5CF9E4FA" w14:textId="5B9B94D0" w:rsidR="008A440F" w:rsidRPr="00B10162" w:rsidRDefault="008A440F" w:rsidP="008A440F">
            <w:pPr>
              <w:spacing w:before="240"/>
              <w:ind w:left="34"/>
              <w:rPr>
                <w:b/>
                <w:sz w:val="22"/>
                <w:szCs w:val="22"/>
              </w:rPr>
            </w:pPr>
            <w:r w:rsidRPr="00B10162">
              <w:rPr>
                <w:b/>
                <w:sz w:val="22"/>
                <w:szCs w:val="22"/>
              </w:rPr>
              <w:t>Copyright</w:t>
            </w:r>
          </w:p>
        </w:tc>
        <w:tc>
          <w:tcPr>
            <w:tcW w:w="6521" w:type="dxa"/>
          </w:tcPr>
          <w:p w14:paraId="79D22747" w14:textId="7AA8D1DD" w:rsidR="008A440F" w:rsidRPr="00B10162" w:rsidRDefault="008A440F" w:rsidP="008A440F">
            <w:pPr>
              <w:spacing w:before="240"/>
              <w:rPr>
                <w:sz w:val="22"/>
                <w:szCs w:val="22"/>
              </w:rPr>
            </w:pPr>
            <w:r w:rsidRPr="00B10162">
              <w:rPr>
                <w:sz w:val="22"/>
                <w:szCs w:val="22"/>
              </w:rPr>
              <w:t>There are no restrictions on the use of these data. Any subsequent use or publishing of these data should reference the RCP SSNAP.</w:t>
            </w:r>
          </w:p>
        </w:tc>
      </w:tr>
    </w:tbl>
    <w:p w14:paraId="7D3EEF45" w14:textId="77777777" w:rsidR="00186164" w:rsidRDefault="00186164">
      <w:permStart w:id="980633235" w:edGrp="everyone" w:colFirst="1" w:colLast="1"/>
    </w:p>
    <w:p w14:paraId="0A7A834F" w14:textId="77777777" w:rsidR="00186164" w:rsidRDefault="00186164">
      <w:r w:rsidRPr="00B10162">
        <w:rPr>
          <w:noProof/>
          <w:sz w:val="22"/>
          <w:szCs w:val="22"/>
          <w:lang w:eastAsia="en-GB"/>
        </w:rPr>
        <w:drawing>
          <wp:inline distT="0" distB="0" distL="0" distR="0" wp14:anchorId="10E3AB6A" wp14:editId="7C7FD495">
            <wp:extent cx="4497705" cy="2190115"/>
            <wp:effectExtent l="0" t="0" r="0" b="0"/>
            <wp:docPr id="4" name="Picture 3" descr="Table of data showing the ten CCGs with the lowest and the ten CCGs with the highest percentages in 2013/14. Five CCGs have been suppressed due to insufficient case ascertainment between SSNAP and HES and are not included within th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97705" cy="2190115"/>
                    </a:xfrm>
                    <a:prstGeom prst="rect">
                      <a:avLst/>
                    </a:prstGeom>
                    <a:noFill/>
                    <a:ln>
                      <a:noFill/>
                    </a:ln>
                  </pic:spPr>
                </pic:pic>
              </a:graphicData>
            </a:graphic>
          </wp:inline>
        </w:drawing>
      </w:r>
      <w:r>
        <w:t xml:space="preserve"> </w:t>
      </w:r>
    </w:p>
    <w:p w14:paraId="6FACB22A" w14:textId="56E9FA88" w:rsidR="00186164" w:rsidRDefault="00186164">
      <w:r w:rsidRPr="00B10162">
        <w:rPr>
          <w:noProof/>
          <w:sz w:val="22"/>
          <w:szCs w:val="22"/>
          <w:lang w:eastAsia="en-GB"/>
        </w:rPr>
        <w:drawing>
          <wp:inline distT="0" distB="0" distL="0" distR="0" wp14:anchorId="63FF6589" wp14:editId="7620DD9A">
            <wp:extent cx="4295775" cy="2668905"/>
            <wp:effectExtent l="0" t="0" r="0" b="0"/>
            <wp:docPr id="5" name="Picture 6" descr="Graph of data showing the ten CCGs with the lowest and the ten CCGs with the highest percentages in 2013/14. Five CCGs have been suppressed due to insufficient case ascertainment between SSNAP and HES and are not included within th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95775" cy="2668905"/>
                    </a:xfrm>
                    <a:prstGeom prst="rect">
                      <a:avLst/>
                    </a:prstGeom>
                    <a:noFill/>
                    <a:ln>
                      <a:noFill/>
                    </a:ln>
                  </pic:spPr>
                </pic:pic>
              </a:graphicData>
            </a:graphic>
          </wp:inline>
        </w:drawing>
      </w:r>
    </w:p>
    <w:p w14:paraId="70E0C635" w14:textId="77777777" w:rsidR="00186164" w:rsidRDefault="00186164"/>
    <w:permEnd w:id="980633235"/>
    <w:p w14:paraId="441B541E" w14:textId="775DD387" w:rsidR="00772A5C" w:rsidRPr="00B10162" w:rsidRDefault="00772A5C"/>
    <w:p w14:paraId="7FFCB700" w14:textId="77777777" w:rsidR="0038365C" w:rsidRPr="00B10162" w:rsidRDefault="0038365C" w:rsidP="00785BE7"/>
    <w:p w14:paraId="20883ED3" w14:textId="4800F1CB" w:rsidR="00B10162" w:rsidRPr="00B10162" w:rsidRDefault="00805C20" w:rsidP="00B10162">
      <w:pPr>
        <w:rPr>
          <w:rFonts w:cs="Arial"/>
          <w:sz w:val="72"/>
          <w:szCs w:val="80"/>
        </w:rPr>
      </w:pPr>
      <w:r w:rsidRPr="00B10162">
        <w:br w:type="page"/>
      </w:r>
      <w:r w:rsidR="00B10162" w:rsidRPr="00B10162">
        <w:rPr>
          <w:rFonts w:cs="Arial"/>
          <w:sz w:val="72"/>
          <w:szCs w:val="80"/>
        </w:rPr>
        <w:lastRenderedPageBreak/>
        <w:t>Indicator Assurance Report</w:t>
      </w:r>
    </w:p>
    <w:p w14:paraId="02B047FB" w14:textId="77777777" w:rsidR="00B10162" w:rsidRDefault="00B10162" w:rsidP="00C70B3C">
      <w:pPr>
        <w:pStyle w:val="NormalWeb"/>
        <w:spacing w:before="0" w:beforeAutospacing="0" w:after="0" w:afterAutospacing="0"/>
        <w:rPr>
          <w:rFonts w:ascii="Arial" w:eastAsia="+mn-ea" w:hAnsi="Arial" w:cs="Arial"/>
          <w:b/>
          <w:position w:val="1"/>
          <w:sz w:val="32"/>
          <w:szCs w:val="26"/>
        </w:rPr>
      </w:pPr>
    </w:p>
    <w:p w14:paraId="260ED46C" w14:textId="6F18ABEB" w:rsidR="00805C20" w:rsidRPr="00B10162" w:rsidRDefault="00805C20" w:rsidP="00C70B3C">
      <w:pPr>
        <w:pStyle w:val="NormalWeb"/>
        <w:spacing w:before="0" w:beforeAutospacing="0" w:after="0" w:afterAutospacing="0"/>
        <w:rPr>
          <w:rFonts w:ascii="Arial" w:eastAsia="+mn-ea" w:hAnsi="Arial" w:cs="Arial"/>
          <w:b/>
          <w:position w:val="1"/>
          <w:sz w:val="32"/>
          <w:szCs w:val="26"/>
        </w:rPr>
      </w:pPr>
      <w:r w:rsidRPr="00B10162">
        <w:rPr>
          <w:rFonts w:ascii="Arial" w:eastAsia="+mn-ea" w:hAnsi="Arial" w:cs="Arial"/>
          <w:b/>
          <w:position w:val="1"/>
          <w:sz w:val="32"/>
          <w:szCs w:val="26"/>
        </w:rPr>
        <w:t xml:space="preserve">Final Assurance Rating from the Indicator Governance Board - </w:t>
      </w:r>
      <w:r w:rsidRPr="00B10162">
        <w:rPr>
          <w:rFonts w:ascii="Arial" w:eastAsia="+mn-ea" w:hAnsi="Arial" w:cs="Arial"/>
          <w:b/>
          <w:position w:val="1"/>
          <w:sz w:val="32"/>
          <w:szCs w:val="32"/>
        </w:rPr>
        <w:t>10/02/2016</w:t>
      </w:r>
    </w:p>
    <w:p w14:paraId="21F7FBEB"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p>
    <w:tbl>
      <w:tblPr>
        <w:tblStyle w:val="TableGrid1"/>
        <w:tblW w:w="10314" w:type="dxa"/>
        <w:tblLook w:val="04A0" w:firstRow="1" w:lastRow="0" w:firstColumn="1" w:lastColumn="0" w:noHBand="0" w:noVBand="1"/>
      </w:tblPr>
      <w:tblGrid>
        <w:gridCol w:w="3369"/>
        <w:gridCol w:w="6945"/>
      </w:tblGrid>
      <w:tr w:rsidR="00B10162" w:rsidRPr="00B10162" w14:paraId="01A1968B" w14:textId="77777777" w:rsidTr="00B10162">
        <w:trPr>
          <w:trHeight w:val="359"/>
        </w:trPr>
        <w:tc>
          <w:tcPr>
            <w:tcW w:w="3369" w:type="dxa"/>
          </w:tcPr>
          <w:p w14:paraId="41882131" w14:textId="77777777" w:rsidR="00805C20" w:rsidRPr="00B10162" w:rsidRDefault="00805C20" w:rsidP="00C70B3C">
            <w:pPr>
              <w:pStyle w:val="NormalWeb"/>
              <w:spacing w:beforeLines="60" w:before="144" w:beforeAutospacing="0" w:afterLines="60" w:after="144" w:afterAutospacing="0"/>
              <w:rPr>
                <w:rFonts w:ascii="Arial" w:eastAsia="+mn-ea" w:hAnsi="Arial"/>
                <w:position w:val="1"/>
                <w:sz w:val="22"/>
                <w:szCs w:val="22"/>
              </w:rPr>
            </w:pPr>
            <w:r w:rsidRPr="00B10162">
              <w:rPr>
                <w:rFonts w:ascii="Arial" w:eastAsia="+mn-ea" w:hAnsi="Arial"/>
                <w:b/>
                <w:position w:val="1"/>
                <w:sz w:val="22"/>
                <w:szCs w:val="22"/>
              </w:rPr>
              <w:t>Reason for assessment</w:t>
            </w:r>
          </w:p>
        </w:tc>
        <w:tc>
          <w:tcPr>
            <w:tcW w:w="6945" w:type="dxa"/>
          </w:tcPr>
          <w:p w14:paraId="1E6E1ED5" w14:textId="77777777" w:rsidR="00805C20" w:rsidRPr="00B10162" w:rsidRDefault="00805C20" w:rsidP="00C70B3C">
            <w:pPr>
              <w:pStyle w:val="NormalWeb"/>
              <w:spacing w:beforeLines="60" w:before="144" w:beforeAutospacing="0" w:afterLines="60" w:after="144" w:afterAutospacing="0"/>
              <w:rPr>
                <w:rFonts w:ascii="Arial" w:eastAsia="+mn-ea" w:hAnsi="Arial"/>
                <w:position w:val="1"/>
                <w:sz w:val="22"/>
                <w:szCs w:val="22"/>
              </w:rPr>
            </w:pPr>
            <w:r w:rsidRPr="00B10162">
              <w:rPr>
                <w:rFonts w:ascii="Arial" w:eastAsia="+mn-ea" w:hAnsi="Arial"/>
                <w:position w:val="1"/>
                <w:sz w:val="22"/>
                <w:szCs w:val="22"/>
              </w:rPr>
              <w:t>Scheduled review (review date reached)</w:t>
            </w:r>
          </w:p>
        </w:tc>
      </w:tr>
      <w:tr w:rsidR="00B10162" w:rsidRPr="00B10162" w14:paraId="5CFAE73B" w14:textId="77777777" w:rsidTr="00B10162">
        <w:trPr>
          <w:trHeight w:val="557"/>
        </w:trPr>
        <w:tc>
          <w:tcPr>
            <w:tcW w:w="3369" w:type="dxa"/>
          </w:tcPr>
          <w:p w14:paraId="2F18F8B6" w14:textId="77777777" w:rsidR="00805C20" w:rsidRPr="00B10162" w:rsidRDefault="00805C20" w:rsidP="00C70B3C">
            <w:pPr>
              <w:pStyle w:val="NormalWeb"/>
              <w:spacing w:beforeLines="60" w:before="144" w:beforeAutospacing="0" w:afterLines="60" w:after="144" w:afterAutospacing="0"/>
              <w:rPr>
                <w:rFonts w:ascii="Arial" w:eastAsia="+mn-ea" w:hAnsi="Arial"/>
                <w:position w:val="1"/>
                <w:sz w:val="22"/>
                <w:szCs w:val="22"/>
              </w:rPr>
            </w:pPr>
            <w:r w:rsidRPr="00B10162">
              <w:rPr>
                <w:rFonts w:ascii="Arial" w:eastAsia="+mn-ea" w:hAnsi="Arial"/>
                <w:b/>
                <w:position w:val="1"/>
                <w:sz w:val="22"/>
                <w:szCs w:val="22"/>
              </w:rPr>
              <w:t>Iteration</w:t>
            </w:r>
          </w:p>
        </w:tc>
        <w:tc>
          <w:tcPr>
            <w:tcW w:w="6945" w:type="dxa"/>
          </w:tcPr>
          <w:p w14:paraId="6C0A2A05" w14:textId="77777777" w:rsidR="00805C20" w:rsidRPr="00B10162" w:rsidRDefault="00805C20" w:rsidP="00C70B3C">
            <w:pPr>
              <w:pStyle w:val="NormalWeb"/>
              <w:spacing w:beforeLines="60" w:before="144" w:beforeAutospacing="0" w:afterLines="60" w:after="144" w:afterAutospacing="0"/>
              <w:rPr>
                <w:rFonts w:ascii="Arial" w:eastAsia="+mn-ea" w:hAnsi="Arial"/>
                <w:position w:val="1"/>
                <w:sz w:val="22"/>
                <w:szCs w:val="22"/>
              </w:rPr>
            </w:pPr>
            <w:r w:rsidRPr="00B10162">
              <w:rPr>
                <w:rFonts w:ascii="Arial" w:eastAsia="+mn-ea" w:hAnsi="Arial"/>
                <w:position w:val="1"/>
                <w:sz w:val="22"/>
                <w:szCs w:val="22"/>
              </w:rPr>
              <w:t>2nd IGB meeting</w:t>
            </w:r>
          </w:p>
        </w:tc>
      </w:tr>
    </w:tbl>
    <w:p w14:paraId="2085A9C3" w14:textId="77777777" w:rsidR="00805C20" w:rsidRPr="00B10162" w:rsidRDefault="00C572D7" w:rsidP="00C70B3C">
      <w:pPr>
        <w:spacing w:after="0"/>
        <w:jc w:val="center"/>
        <w:rPr>
          <w:rFonts w:eastAsia="+mn-ea" w:cs="Arial"/>
          <w:b/>
          <w:position w:val="1"/>
          <w:sz w:val="26"/>
          <w:szCs w:val="26"/>
          <w:lang w:eastAsia="en-GB"/>
        </w:rPr>
      </w:pPr>
      <w:r>
        <w:rPr>
          <w:rFonts w:eastAsia="+mn-ea" w:cs="Arial"/>
          <w:b/>
          <w:position w:val="1"/>
          <w:sz w:val="26"/>
          <w:szCs w:val="26"/>
          <w:lang w:eastAsia="en-GB"/>
        </w:rPr>
        <w:pict w14:anchorId="73E99169">
          <v:rect id="_x0000_i1025" style="width:503.2pt;height:1.5pt" o:hralign="center" o:hrstd="t" o:hr="t" fillcolor="#a0a0a0" stroked="f"/>
        </w:pict>
      </w:r>
    </w:p>
    <w:tbl>
      <w:tblPr>
        <w:tblStyle w:val="TableGridLight"/>
        <w:tblW w:w="0" w:type="auto"/>
        <w:tblLook w:val="04A0" w:firstRow="1" w:lastRow="0" w:firstColumn="1" w:lastColumn="0" w:noHBand="0" w:noVBand="1"/>
      </w:tblPr>
      <w:tblGrid>
        <w:gridCol w:w="3915"/>
        <w:gridCol w:w="2191"/>
        <w:gridCol w:w="3748"/>
      </w:tblGrid>
      <w:tr w:rsidR="00B10162" w:rsidRPr="00B10162" w14:paraId="6CEE9181" w14:textId="77777777" w:rsidTr="00082EE9">
        <w:tc>
          <w:tcPr>
            <w:tcW w:w="3919" w:type="dxa"/>
          </w:tcPr>
          <w:p w14:paraId="419F6243" w14:textId="77777777" w:rsidR="00B10162" w:rsidRDefault="00B10162" w:rsidP="00B10162">
            <w:pPr>
              <w:spacing w:before="120" w:after="0"/>
              <w:rPr>
                <w:rFonts w:eastAsia="+mn-ea" w:cs="Arial"/>
                <w:b/>
                <w:position w:val="1"/>
                <w:sz w:val="26"/>
                <w:szCs w:val="26"/>
              </w:rPr>
            </w:pPr>
            <w:r w:rsidRPr="00B10162">
              <w:rPr>
                <w:rFonts w:eastAsia="+mn-ea" w:cs="Arial"/>
                <w:b/>
                <w:position w:val="1"/>
                <w:sz w:val="26"/>
                <w:szCs w:val="26"/>
              </w:rPr>
              <w:t>Ratings Against Assessment Criteria</w:t>
            </w:r>
          </w:p>
          <w:p w14:paraId="77E28AE2" w14:textId="79A17200" w:rsidR="00B10162" w:rsidRPr="00B10162" w:rsidRDefault="00B10162" w:rsidP="00B10162">
            <w:pPr>
              <w:spacing w:before="120" w:after="0"/>
              <w:rPr>
                <w:rFonts w:eastAsia="+mn-ea" w:cs="Arial"/>
                <w:b/>
                <w:position w:val="1"/>
                <w:sz w:val="26"/>
                <w:szCs w:val="26"/>
              </w:rPr>
            </w:pPr>
          </w:p>
        </w:tc>
        <w:tc>
          <w:tcPr>
            <w:tcW w:w="2193" w:type="dxa"/>
          </w:tcPr>
          <w:p w14:paraId="48F6EC13" w14:textId="77777777" w:rsidR="00B10162" w:rsidRPr="00B10162" w:rsidRDefault="00B10162" w:rsidP="00C70B3C">
            <w:pPr>
              <w:spacing w:after="0" w:line="360" w:lineRule="auto"/>
              <w:jc w:val="center"/>
              <w:rPr>
                <w:rFonts w:cs="Calibri"/>
                <w:b/>
              </w:rPr>
            </w:pPr>
          </w:p>
        </w:tc>
        <w:tc>
          <w:tcPr>
            <w:tcW w:w="3752" w:type="dxa"/>
          </w:tcPr>
          <w:p w14:paraId="43CB6500" w14:textId="476C43EA" w:rsidR="00B10162" w:rsidRPr="00B10162" w:rsidRDefault="00B10162" w:rsidP="00082EE9">
            <w:pPr>
              <w:spacing w:before="120" w:after="0"/>
              <w:rPr>
                <w:rFonts w:eastAsia="+mn-ea" w:cs="Arial"/>
                <w:b/>
                <w:position w:val="1"/>
                <w:sz w:val="26"/>
                <w:szCs w:val="26"/>
              </w:rPr>
            </w:pPr>
            <w:r w:rsidRPr="00B10162">
              <w:rPr>
                <w:rFonts w:eastAsia="+mn-ea" w:cs="Arial"/>
                <w:b/>
                <w:position w:val="1"/>
                <w:sz w:val="26"/>
                <w:szCs w:val="26"/>
              </w:rPr>
              <w:t>Overall Rating</w:t>
            </w:r>
            <w:r w:rsidR="00082EE9">
              <w:rPr>
                <w:rFonts w:eastAsia="+mn-ea" w:cs="Arial"/>
                <w:b/>
                <w:position w:val="1"/>
                <w:sz w:val="26"/>
                <w:szCs w:val="26"/>
              </w:rPr>
              <w:t xml:space="preserve"> – not fit for use</w:t>
            </w:r>
          </w:p>
        </w:tc>
      </w:tr>
      <w:tr w:rsidR="00B10162" w:rsidRPr="00B10162" w14:paraId="39443F33" w14:textId="77777777" w:rsidTr="00082EE9">
        <w:tc>
          <w:tcPr>
            <w:tcW w:w="3919" w:type="dxa"/>
            <w:hideMark/>
          </w:tcPr>
          <w:p w14:paraId="0218DE63" w14:textId="77777777" w:rsidR="00B10162" w:rsidRPr="00B10162" w:rsidRDefault="00B10162" w:rsidP="00C70B3C">
            <w:pPr>
              <w:spacing w:after="0" w:line="360" w:lineRule="auto"/>
              <w:rPr>
                <w:rFonts w:eastAsia="+mn-ea" w:cs="Arial"/>
                <w:position w:val="1"/>
                <w:sz w:val="26"/>
                <w:szCs w:val="26"/>
              </w:rPr>
            </w:pPr>
            <w:r w:rsidRPr="00B10162">
              <w:rPr>
                <w:rFonts w:eastAsia="+mn-ea" w:cs="Arial"/>
                <w:position w:val="1"/>
                <w:szCs w:val="40"/>
              </w:rPr>
              <w:t>Clarity</w:t>
            </w:r>
          </w:p>
        </w:tc>
        <w:tc>
          <w:tcPr>
            <w:tcW w:w="2193" w:type="dxa"/>
            <w:hideMark/>
          </w:tcPr>
          <w:p w14:paraId="0F181E96" w14:textId="3CEBA1C3" w:rsidR="00B10162" w:rsidRPr="00B10162" w:rsidRDefault="00B10162" w:rsidP="00C70B3C">
            <w:pPr>
              <w:spacing w:after="0" w:line="360" w:lineRule="auto"/>
              <w:jc w:val="center"/>
              <w:rPr>
                <w:rFonts w:eastAsia="+mn-ea" w:cs="Arial"/>
                <w:b/>
                <w:position w:val="1"/>
                <w:sz w:val="26"/>
                <w:szCs w:val="26"/>
              </w:rPr>
            </w:pPr>
            <w:r w:rsidRPr="00B10162">
              <w:rPr>
                <w:rFonts w:cs="Calibri"/>
                <w:b/>
              </w:rPr>
              <w:t>Fit for use</w:t>
            </w:r>
          </w:p>
        </w:tc>
        <w:tc>
          <w:tcPr>
            <w:tcW w:w="3752" w:type="dxa"/>
            <w:hideMark/>
          </w:tcPr>
          <w:p w14:paraId="2B5A10D3" w14:textId="43746AE4" w:rsidR="00B10162" w:rsidRPr="00B10162" w:rsidRDefault="00B10162" w:rsidP="00C70B3C">
            <w:pPr>
              <w:spacing w:before="100" w:beforeAutospacing="1" w:after="100" w:afterAutospacing="1" w:line="360" w:lineRule="auto"/>
              <w:jc w:val="center"/>
              <w:rPr>
                <w:rFonts w:eastAsia="+mn-ea" w:cs="Arial"/>
                <w:b/>
                <w:position w:val="1"/>
                <w:sz w:val="26"/>
                <w:szCs w:val="26"/>
              </w:rPr>
            </w:pPr>
          </w:p>
        </w:tc>
      </w:tr>
      <w:tr w:rsidR="00B10162" w:rsidRPr="00B10162" w14:paraId="4315DDCF" w14:textId="77777777" w:rsidTr="00082EE9">
        <w:tc>
          <w:tcPr>
            <w:tcW w:w="3919" w:type="dxa"/>
            <w:hideMark/>
          </w:tcPr>
          <w:p w14:paraId="0A396B7C" w14:textId="77777777" w:rsidR="00B10162" w:rsidRPr="00B10162" w:rsidRDefault="00B10162" w:rsidP="00C70B3C">
            <w:pPr>
              <w:spacing w:after="0" w:line="360" w:lineRule="auto"/>
              <w:rPr>
                <w:rFonts w:eastAsia="+mn-ea" w:cs="Arial"/>
                <w:position w:val="1"/>
                <w:sz w:val="26"/>
                <w:szCs w:val="26"/>
              </w:rPr>
            </w:pPr>
            <w:r w:rsidRPr="00B10162">
              <w:rPr>
                <w:rFonts w:eastAsia="+mn-ea" w:cs="Arial"/>
                <w:position w:val="1"/>
                <w:szCs w:val="40"/>
              </w:rPr>
              <w:t>Rationale</w:t>
            </w:r>
          </w:p>
        </w:tc>
        <w:tc>
          <w:tcPr>
            <w:tcW w:w="2193" w:type="dxa"/>
            <w:hideMark/>
          </w:tcPr>
          <w:p w14:paraId="57DD335C" w14:textId="24561723" w:rsidR="00B10162" w:rsidRPr="00B10162" w:rsidRDefault="00B10162" w:rsidP="00C70B3C">
            <w:pPr>
              <w:spacing w:after="0" w:line="360" w:lineRule="auto"/>
              <w:jc w:val="center"/>
              <w:rPr>
                <w:rFonts w:eastAsia="+mn-ea" w:cs="Arial"/>
                <w:b/>
                <w:position w:val="1"/>
                <w:sz w:val="26"/>
                <w:szCs w:val="26"/>
              </w:rPr>
            </w:pPr>
            <w:r w:rsidRPr="00B10162">
              <w:rPr>
                <w:rFonts w:cs="Calibri"/>
                <w:b/>
              </w:rPr>
              <w:t>Fit for use</w:t>
            </w:r>
          </w:p>
        </w:tc>
        <w:tc>
          <w:tcPr>
            <w:tcW w:w="0" w:type="auto"/>
            <w:hideMark/>
          </w:tcPr>
          <w:p w14:paraId="5C083CEB" w14:textId="77777777" w:rsidR="00B10162" w:rsidRPr="00B10162" w:rsidRDefault="00B10162" w:rsidP="00C70B3C">
            <w:pPr>
              <w:spacing w:after="0" w:line="360" w:lineRule="auto"/>
              <w:rPr>
                <w:rFonts w:eastAsia="+mn-ea" w:cs="Arial"/>
                <w:b/>
                <w:position w:val="1"/>
                <w:sz w:val="26"/>
                <w:szCs w:val="26"/>
              </w:rPr>
            </w:pPr>
          </w:p>
        </w:tc>
      </w:tr>
      <w:tr w:rsidR="00B10162" w:rsidRPr="00B10162" w14:paraId="37F55CBD" w14:textId="77777777" w:rsidTr="00082EE9">
        <w:tc>
          <w:tcPr>
            <w:tcW w:w="3919" w:type="dxa"/>
            <w:hideMark/>
          </w:tcPr>
          <w:p w14:paraId="38EB3141" w14:textId="77777777" w:rsidR="00B10162" w:rsidRPr="00B10162" w:rsidRDefault="00B10162" w:rsidP="00C70B3C">
            <w:pPr>
              <w:spacing w:after="0" w:line="360" w:lineRule="auto"/>
              <w:rPr>
                <w:rFonts w:eastAsia="+mn-ea" w:cs="Arial"/>
                <w:position w:val="1"/>
                <w:sz w:val="26"/>
                <w:szCs w:val="26"/>
              </w:rPr>
            </w:pPr>
            <w:r w:rsidRPr="00B10162">
              <w:rPr>
                <w:rFonts w:eastAsia="+mn-ea" w:cs="Arial"/>
                <w:position w:val="1"/>
                <w:szCs w:val="40"/>
              </w:rPr>
              <w:t>Data</w:t>
            </w:r>
          </w:p>
        </w:tc>
        <w:tc>
          <w:tcPr>
            <w:tcW w:w="2193" w:type="dxa"/>
            <w:hideMark/>
          </w:tcPr>
          <w:p w14:paraId="31CD6966" w14:textId="65F40076" w:rsidR="00B10162" w:rsidRPr="00B10162" w:rsidRDefault="00B10162" w:rsidP="00C70B3C">
            <w:pPr>
              <w:spacing w:after="0" w:line="360" w:lineRule="auto"/>
              <w:jc w:val="center"/>
              <w:rPr>
                <w:rFonts w:eastAsia="+mn-ea" w:cs="Arial"/>
                <w:b/>
                <w:position w:val="1"/>
                <w:sz w:val="26"/>
                <w:szCs w:val="26"/>
              </w:rPr>
            </w:pPr>
            <w:r w:rsidRPr="00B10162">
              <w:rPr>
                <w:rFonts w:cs="Calibri"/>
                <w:b/>
              </w:rPr>
              <w:t>Fit for use with caveats</w:t>
            </w:r>
          </w:p>
        </w:tc>
        <w:tc>
          <w:tcPr>
            <w:tcW w:w="0" w:type="auto"/>
            <w:hideMark/>
          </w:tcPr>
          <w:p w14:paraId="30513F47" w14:textId="77777777" w:rsidR="00B10162" w:rsidRPr="00B10162" w:rsidRDefault="00B10162" w:rsidP="00C70B3C">
            <w:pPr>
              <w:spacing w:after="0" w:line="360" w:lineRule="auto"/>
              <w:rPr>
                <w:rFonts w:eastAsia="+mn-ea" w:cs="Arial"/>
                <w:b/>
                <w:position w:val="1"/>
                <w:sz w:val="26"/>
                <w:szCs w:val="26"/>
              </w:rPr>
            </w:pPr>
          </w:p>
        </w:tc>
      </w:tr>
      <w:tr w:rsidR="00B10162" w:rsidRPr="00B10162" w14:paraId="461DA1C5" w14:textId="77777777" w:rsidTr="00082EE9">
        <w:tc>
          <w:tcPr>
            <w:tcW w:w="3919" w:type="dxa"/>
            <w:hideMark/>
          </w:tcPr>
          <w:p w14:paraId="5AF37F3F" w14:textId="77777777" w:rsidR="00B10162" w:rsidRPr="00B10162" w:rsidRDefault="00B10162" w:rsidP="00C70B3C">
            <w:pPr>
              <w:spacing w:after="0" w:line="360" w:lineRule="auto"/>
              <w:rPr>
                <w:rFonts w:eastAsia="+mn-ea" w:cs="Arial"/>
                <w:position w:val="1"/>
                <w:sz w:val="26"/>
                <w:szCs w:val="26"/>
              </w:rPr>
            </w:pPr>
            <w:r w:rsidRPr="00B10162">
              <w:rPr>
                <w:rFonts w:eastAsia="+mn-ea" w:cs="Arial"/>
                <w:position w:val="1"/>
                <w:szCs w:val="40"/>
              </w:rPr>
              <w:t>Construction</w:t>
            </w:r>
          </w:p>
        </w:tc>
        <w:tc>
          <w:tcPr>
            <w:tcW w:w="2193" w:type="dxa"/>
            <w:hideMark/>
          </w:tcPr>
          <w:p w14:paraId="4A6583C1" w14:textId="0A089A05" w:rsidR="00B10162" w:rsidRPr="00B10162" w:rsidRDefault="00B10162" w:rsidP="00C70B3C">
            <w:pPr>
              <w:spacing w:after="0" w:line="360" w:lineRule="auto"/>
              <w:jc w:val="center"/>
              <w:rPr>
                <w:rFonts w:eastAsia="+mn-ea" w:cs="Arial"/>
                <w:b/>
                <w:position w:val="1"/>
                <w:sz w:val="26"/>
                <w:szCs w:val="26"/>
              </w:rPr>
            </w:pPr>
            <w:r w:rsidRPr="00B10162">
              <w:rPr>
                <w:rFonts w:cs="Calibri"/>
                <w:b/>
              </w:rPr>
              <w:t>Fit for use with caveats</w:t>
            </w:r>
          </w:p>
        </w:tc>
        <w:tc>
          <w:tcPr>
            <w:tcW w:w="0" w:type="auto"/>
            <w:hideMark/>
          </w:tcPr>
          <w:p w14:paraId="337C6439" w14:textId="77777777" w:rsidR="00B10162" w:rsidRPr="00B10162" w:rsidRDefault="00B10162" w:rsidP="00C70B3C">
            <w:pPr>
              <w:spacing w:after="0" w:line="360" w:lineRule="auto"/>
              <w:rPr>
                <w:rFonts w:eastAsia="+mn-ea" w:cs="Arial"/>
                <w:b/>
                <w:position w:val="1"/>
                <w:sz w:val="26"/>
                <w:szCs w:val="26"/>
              </w:rPr>
            </w:pPr>
          </w:p>
        </w:tc>
      </w:tr>
      <w:tr w:rsidR="00B10162" w:rsidRPr="00B10162" w14:paraId="6C5B6CB0" w14:textId="77777777" w:rsidTr="00082EE9">
        <w:tc>
          <w:tcPr>
            <w:tcW w:w="3919" w:type="dxa"/>
            <w:hideMark/>
          </w:tcPr>
          <w:p w14:paraId="79D3CBD8" w14:textId="77777777" w:rsidR="00B10162" w:rsidRPr="00B10162" w:rsidRDefault="00B10162" w:rsidP="00B10162">
            <w:pPr>
              <w:spacing w:after="0" w:line="360" w:lineRule="auto"/>
              <w:rPr>
                <w:rFonts w:eastAsia="+mn-ea" w:cs="Arial"/>
                <w:position w:val="1"/>
                <w:sz w:val="26"/>
                <w:szCs w:val="26"/>
              </w:rPr>
            </w:pPr>
            <w:r w:rsidRPr="00B10162">
              <w:rPr>
                <w:rFonts w:eastAsia="+mn-ea" w:cs="Arial"/>
                <w:position w:val="1"/>
                <w:szCs w:val="40"/>
              </w:rPr>
              <w:t>Presentation and Interpretation</w:t>
            </w:r>
          </w:p>
        </w:tc>
        <w:tc>
          <w:tcPr>
            <w:tcW w:w="2193" w:type="dxa"/>
            <w:hideMark/>
          </w:tcPr>
          <w:p w14:paraId="4D401009" w14:textId="1CAA07CA" w:rsidR="00B10162" w:rsidRPr="00B10162" w:rsidRDefault="00B10162" w:rsidP="00B10162">
            <w:pPr>
              <w:spacing w:after="0" w:line="360" w:lineRule="auto"/>
              <w:jc w:val="center"/>
              <w:rPr>
                <w:rFonts w:eastAsia="+mn-ea" w:cs="Arial"/>
                <w:b/>
                <w:position w:val="1"/>
                <w:sz w:val="26"/>
                <w:szCs w:val="26"/>
              </w:rPr>
            </w:pPr>
            <w:r w:rsidRPr="00B10162">
              <w:rPr>
                <w:rFonts w:cs="Calibri"/>
                <w:b/>
              </w:rPr>
              <w:t>Not fit for use</w:t>
            </w:r>
          </w:p>
        </w:tc>
        <w:tc>
          <w:tcPr>
            <w:tcW w:w="3752" w:type="dxa"/>
            <w:hideMark/>
          </w:tcPr>
          <w:p w14:paraId="2DB3F8C5" w14:textId="0823F501" w:rsidR="00B10162" w:rsidRPr="00B10162" w:rsidRDefault="00B10162" w:rsidP="00B10162">
            <w:pPr>
              <w:spacing w:after="0" w:line="360" w:lineRule="auto"/>
              <w:jc w:val="center"/>
              <w:rPr>
                <w:rFonts w:eastAsia="+mn-ea" w:cs="Arial"/>
                <w:b/>
                <w:position w:val="1"/>
                <w:sz w:val="26"/>
                <w:szCs w:val="26"/>
              </w:rPr>
            </w:pPr>
          </w:p>
        </w:tc>
      </w:tr>
      <w:tr w:rsidR="00B10162" w:rsidRPr="00B10162" w14:paraId="7F79BEE0" w14:textId="77777777" w:rsidTr="00082EE9">
        <w:tc>
          <w:tcPr>
            <w:tcW w:w="3919" w:type="dxa"/>
            <w:hideMark/>
          </w:tcPr>
          <w:p w14:paraId="0A6594F3" w14:textId="77777777" w:rsidR="00B10162" w:rsidRPr="00B10162" w:rsidRDefault="00B10162" w:rsidP="00B10162">
            <w:pPr>
              <w:spacing w:after="0" w:line="360" w:lineRule="auto"/>
              <w:rPr>
                <w:rFonts w:eastAsia="+mn-ea" w:cs="Arial"/>
                <w:position w:val="1"/>
                <w:sz w:val="26"/>
                <w:szCs w:val="26"/>
              </w:rPr>
            </w:pPr>
            <w:r w:rsidRPr="00B10162">
              <w:rPr>
                <w:rFonts w:eastAsia="+mn-ea" w:cs="Arial"/>
                <w:position w:val="1"/>
                <w:szCs w:val="40"/>
              </w:rPr>
              <w:t>Risks and Usefulness</w:t>
            </w:r>
          </w:p>
        </w:tc>
        <w:tc>
          <w:tcPr>
            <w:tcW w:w="2193" w:type="dxa"/>
            <w:hideMark/>
          </w:tcPr>
          <w:p w14:paraId="760FEF3D" w14:textId="054B6CCB" w:rsidR="00B10162" w:rsidRPr="00B10162" w:rsidRDefault="00B10162" w:rsidP="00B10162">
            <w:pPr>
              <w:spacing w:after="0" w:line="360" w:lineRule="auto"/>
              <w:jc w:val="center"/>
              <w:rPr>
                <w:rFonts w:eastAsia="+mn-ea" w:cs="Arial"/>
                <w:b/>
                <w:position w:val="1"/>
                <w:sz w:val="26"/>
                <w:szCs w:val="26"/>
              </w:rPr>
            </w:pPr>
            <w:r w:rsidRPr="00B10162">
              <w:rPr>
                <w:rFonts w:cs="Calibri"/>
                <w:b/>
              </w:rPr>
              <w:t>Fit for use with caveats</w:t>
            </w:r>
          </w:p>
        </w:tc>
        <w:tc>
          <w:tcPr>
            <w:tcW w:w="0" w:type="auto"/>
            <w:hideMark/>
          </w:tcPr>
          <w:p w14:paraId="5C59E381" w14:textId="77777777" w:rsidR="00B10162" w:rsidRPr="00B10162" w:rsidRDefault="00B10162" w:rsidP="00B10162">
            <w:pPr>
              <w:spacing w:after="0" w:line="360" w:lineRule="auto"/>
              <w:rPr>
                <w:rFonts w:eastAsia="+mn-ea" w:cs="Arial"/>
                <w:b/>
                <w:position w:val="1"/>
                <w:sz w:val="26"/>
                <w:szCs w:val="26"/>
              </w:rPr>
            </w:pPr>
          </w:p>
        </w:tc>
      </w:tr>
    </w:tbl>
    <w:p w14:paraId="7C9C909B" w14:textId="77777777" w:rsidR="00805C20" w:rsidRPr="00B10162" w:rsidRDefault="00805C20" w:rsidP="00C70B3C">
      <w:pPr>
        <w:pStyle w:val="NormalWeb"/>
        <w:spacing w:before="0" w:beforeAutospacing="0" w:after="0" w:afterAutospacing="0"/>
        <w:rPr>
          <w:rFonts w:ascii="Arial" w:eastAsia="+mn-ea" w:hAnsi="Arial" w:cs="Arial"/>
          <w:b/>
          <w:position w:val="1"/>
          <w:sz w:val="4"/>
          <w:szCs w:val="26"/>
        </w:rPr>
      </w:pPr>
    </w:p>
    <w:p w14:paraId="1D64869E"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p>
    <w:tbl>
      <w:tblPr>
        <w:tblStyle w:val="TableGridLight"/>
        <w:tblW w:w="0" w:type="auto"/>
        <w:tblLook w:val="04A0" w:firstRow="1" w:lastRow="0" w:firstColumn="1" w:lastColumn="0" w:noHBand="0" w:noVBand="1"/>
      </w:tblPr>
      <w:tblGrid>
        <w:gridCol w:w="3250"/>
        <w:gridCol w:w="6604"/>
      </w:tblGrid>
      <w:tr w:rsidR="00B10162" w:rsidRPr="00B10162" w14:paraId="06196782" w14:textId="77777777" w:rsidTr="00082EE9">
        <w:tc>
          <w:tcPr>
            <w:tcW w:w="3369" w:type="dxa"/>
          </w:tcPr>
          <w:p w14:paraId="348D1C10" w14:textId="77777777" w:rsidR="00805C20" w:rsidRPr="00B10162" w:rsidRDefault="00805C20" w:rsidP="00C70B3C">
            <w:pPr>
              <w:pStyle w:val="NormalWeb"/>
              <w:spacing w:before="0" w:beforeAutospacing="0" w:after="0" w:afterAutospacing="0"/>
              <w:rPr>
                <w:rFonts w:ascii="Arial" w:eastAsia="+mn-ea" w:hAnsi="Arial" w:cs="Arial"/>
                <w:b/>
                <w:position w:val="1"/>
                <w:sz w:val="22"/>
                <w:szCs w:val="22"/>
              </w:rPr>
            </w:pPr>
            <w:r w:rsidRPr="00B10162">
              <w:rPr>
                <w:rFonts w:ascii="Arial" w:eastAsia="+mn-ea" w:hAnsi="Arial" w:cs="Arial"/>
                <w:b/>
                <w:position w:val="1"/>
                <w:sz w:val="22"/>
                <w:szCs w:val="22"/>
              </w:rPr>
              <w:t>Outcome</w:t>
            </w:r>
          </w:p>
        </w:tc>
        <w:tc>
          <w:tcPr>
            <w:tcW w:w="6911" w:type="dxa"/>
          </w:tcPr>
          <w:p w14:paraId="247A624A"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r w:rsidRPr="00B10162">
              <w:rPr>
                <w:rFonts w:ascii="Arial" w:eastAsia="+mn-ea" w:hAnsi="Arial" w:cs="Arial"/>
                <w:b/>
                <w:position w:val="1"/>
                <w:sz w:val="22"/>
                <w:szCs w:val="22"/>
              </w:rPr>
              <w:t>This indicator has not been approved for inclusion in the National Library of Quality Assured Indicators</w:t>
            </w:r>
          </w:p>
        </w:tc>
      </w:tr>
    </w:tbl>
    <w:p w14:paraId="17A4A9AA" w14:textId="77777777" w:rsidR="00805C20" w:rsidRPr="00B10162" w:rsidRDefault="00805C20" w:rsidP="00C70B3C">
      <w:pPr>
        <w:pStyle w:val="NormalWeb"/>
        <w:spacing w:before="0" w:beforeAutospacing="0" w:after="0" w:afterAutospacing="0"/>
        <w:rPr>
          <w:rFonts w:ascii="Arial" w:eastAsia="+mn-ea" w:hAnsi="Arial" w:cs="Arial"/>
          <w:b/>
          <w:position w:val="1"/>
          <w:sz w:val="2"/>
          <w:szCs w:val="26"/>
        </w:rPr>
      </w:pPr>
    </w:p>
    <w:p w14:paraId="230DA485" w14:textId="77777777" w:rsidR="00805C20" w:rsidRPr="00B10162" w:rsidRDefault="00805C20" w:rsidP="00C70B3C">
      <w:pPr>
        <w:pStyle w:val="NormalWeb"/>
        <w:spacing w:before="0" w:beforeAutospacing="0" w:after="0" w:afterAutospacing="0"/>
        <w:rPr>
          <w:rFonts w:ascii="Arial" w:eastAsia="+mn-ea" w:hAnsi="Arial" w:cs="Arial"/>
          <w:position w:val="1"/>
          <w:sz w:val="22"/>
          <w:szCs w:val="22"/>
        </w:rPr>
      </w:pPr>
    </w:p>
    <w:tbl>
      <w:tblPr>
        <w:tblStyle w:val="TableGridLight"/>
        <w:tblW w:w="0" w:type="auto"/>
        <w:tblLook w:val="04A0" w:firstRow="1" w:lastRow="0" w:firstColumn="1" w:lastColumn="0" w:noHBand="0" w:noVBand="1"/>
      </w:tblPr>
      <w:tblGrid>
        <w:gridCol w:w="9854"/>
      </w:tblGrid>
      <w:tr w:rsidR="00B10162" w:rsidRPr="00B10162" w14:paraId="4253974E" w14:textId="77777777" w:rsidTr="00082EE9">
        <w:tc>
          <w:tcPr>
            <w:tcW w:w="10280" w:type="dxa"/>
          </w:tcPr>
          <w:p w14:paraId="5D6D39E9"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r w:rsidRPr="00B10162">
              <w:rPr>
                <w:rFonts w:ascii="Arial" w:eastAsia="+mn-ea" w:hAnsi="Arial" w:cs="Arial"/>
                <w:b/>
                <w:position w:val="1"/>
                <w:sz w:val="26"/>
                <w:szCs w:val="26"/>
              </w:rPr>
              <w:t>Key findings from Assurance</w:t>
            </w:r>
          </w:p>
        </w:tc>
      </w:tr>
      <w:tr w:rsidR="00805C20" w:rsidRPr="00B10162" w14:paraId="405D62D4" w14:textId="77777777" w:rsidTr="00082EE9">
        <w:tc>
          <w:tcPr>
            <w:tcW w:w="10280" w:type="dxa"/>
          </w:tcPr>
          <w:p w14:paraId="1BE06840" w14:textId="77777777" w:rsidR="00805C20" w:rsidRPr="00B10162" w:rsidRDefault="00805C20" w:rsidP="00C70B3C">
            <w:pPr>
              <w:spacing w:after="0"/>
              <w:rPr>
                <w:rFonts w:eastAsia="+mn-ea" w:cs="Arial"/>
                <w:position w:val="1"/>
                <w:lang w:eastAsia="en-GB"/>
              </w:rPr>
            </w:pPr>
          </w:p>
          <w:p w14:paraId="0B0C1BB8" w14:textId="77777777" w:rsidR="00805C20" w:rsidRPr="00B10162" w:rsidRDefault="00805C20" w:rsidP="00805C20">
            <w:pPr>
              <w:pStyle w:val="ListParagraph"/>
              <w:numPr>
                <w:ilvl w:val="0"/>
                <w:numId w:val="18"/>
              </w:numPr>
              <w:spacing w:after="200" w:line="276" w:lineRule="auto"/>
              <w:contextualSpacing/>
              <w:textboxTightWrap w:val="none"/>
              <w:rPr>
                <w:rFonts w:eastAsia="+mn-ea" w:cs="Arial"/>
                <w:position w:val="1"/>
                <w:sz w:val="20"/>
                <w:lang w:eastAsia="en-GB"/>
              </w:rPr>
            </w:pPr>
            <w:r w:rsidRPr="00B10162">
              <w:rPr>
                <w:rFonts w:eastAsia="+mn-ea" w:cs="Arial"/>
                <w:position w:val="1"/>
                <w:sz w:val="20"/>
                <w:lang w:eastAsia="en-GB"/>
              </w:rPr>
              <w:t>The indicator was brought back to the group for an assessment of whether it serves as a robust measure in the Library of Quality Assured Indicators based on the purpose set out as a CCG Outcome Indicator Set (OIS) indicator.</w:t>
            </w:r>
          </w:p>
          <w:p w14:paraId="6A902BB9" w14:textId="77777777" w:rsidR="00805C20" w:rsidRPr="00B10162" w:rsidRDefault="00805C20" w:rsidP="00805C20">
            <w:pPr>
              <w:pStyle w:val="ListParagraph"/>
              <w:numPr>
                <w:ilvl w:val="0"/>
                <w:numId w:val="18"/>
              </w:numPr>
              <w:spacing w:after="200" w:line="276" w:lineRule="auto"/>
              <w:contextualSpacing/>
              <w:textboxTightWrap w:val="none"/>
              <w:rPr>
                <w:rFonts w:eastAsia="+mn-ea" w:cs="Arial"/>
                <w:position w:val="1"/>
                <w:sz w:val="20"/>
                <w:lang w:eastAsia="en-GB"/>
              </w:rPr>
            </w:pPr>
            <w:r w:rsidRPr="00B10162">
              <w:rPr>
                <w:rFonts w:eastAsia="+mn-ea" w:cs="Arial"/>
                <w:position w:val="1"/>
                <w:sz w:val="20"/>
                <w:lang w:eastAsia="en-GB"/>
              </w:rPr>
              <w:t>IGB members were pointed to the Methodology Review Group (MRG) conclusion that due to the limitations around its interpretation for CCGs it was not suitable, but MRG had also noted that the indicator could have use to a limited audience of “expert” users.</w:t>
            </w:r>
          </w:p>
          <w:p w14:paraId="37EA35CB" w14:textId="77777777" w:rsidR="00805C20" w:rsidRPr="00B10162" w:rsidRDefault="00805C20" w:rsidP="00805C20">
            <w:pPr>
              <w:pStyle w:val="ListParagraph"/>
              <w:numPr>
                <w:ilvl w:val="0"/>
                <w:numId w:val="18"/>
              </w:numPr>
              <w:spacing w:after="200" w:line="276" w:lineRule="auto"/>
              <w:contextualSpacing/>
              <w:textboxTightWrap w:val="none"/>
              <w:rPr>
                <w:rFonts w:eastAsia="+mn-ea" w:cs="Arial"/>
                <w:position w:val="1"/>
                <w:sz w:val="20"/>
                <w:lang w:eastAsia="en-GB"/>
              </w:rPr>
            </w:pPr>
            <w:r w:rsidRPr="00B10162">
              <w:rPr>
                <w:rFonts w:eastAsia="+mn-ea" w:cs="Arial"/>
                <w:position w:val="1"/>
                <w:sz w:val="20"/>
                <w:lang w:eastAsia="en-GB"/>
              </w:rPr>
              <w:t>On this basis the Board confirmed that the indicator would not be recommended for inclusion in the Library based on the current stated purpose as a CCGOIS indicator, because the limitations around interpretation of the indicator mean it does not meet the purpose for which the CCGOIS is there for.</w:t>
            </w:r>
          </w:p>
          <w:p w14:paraId="2F1E8191" w14:textId="77777777" w:rsidR="00805C20" w:rsidRPr="00B10162" w:rsidRDefault="00805C20" w:rsidP="00805C20">
            <w:pPr>
              <w:pStyle w:val="ListParagraph"/>
              <w:numPr>
                <w:ilvl w:val="0"/>
                <w:numId w:val="18"/>
              </w:numPr>
              <w:spacing w:after="200" w:line="276" w:lineRule="auto"/>
              <w:contextualSpacing/>
              <w:textboxTightWrap w:val="none"/>
              <w:rPr>
                <w:rFonts w:eastAsia="+mn-ea" w:cs="Arial"/>
                <w:position w:val="1"/>
                <w:lang w:eastAsia="en-GB"/>
              </w:rPr>
            </w:pPr>
            <w:r w:rsidRPr="00B10162">
              <w:rPr>
                <w:rFonts w:eastAsia="+mn-ea" w:cs="Arial"/>
                <w:position w:val="1"/>
                <w:sz w:val="20"/>
                <w:lang w:eastAsia="en-GB"/>
              </w:rPr>
              <w:t xml:space="preserve">Board members however did recognise that the still has value as a quality indicator from an audit perspective as part of the Stroke Care pathway and should not be lost to the system. It was suggested the indicator could go back on the NICE menu and perhaps be used for quality improvement purposes. In terms of assurance this would require a re-purposing of the indicator should it be re-submitted as its utility would be different. </w:t>
            </w:r>
          </w:p>
        </w:tc>
      </w:tr>
    </w:tbl>
    <w:p w14:paraId="59A53FF9" w14:textId="77777777" w:rsidR="00805C20" w:rsidRPr="00B10162" w:rsidRDefault="00805C20" w:rsidP="00C70B3C">
      <w:pPr>
        <w:pStyle w:val="NormalWeb"/>
        <w:spacing w:before="0" w:beforeAutospacing="0" w:after="0" w:afterAutospacing="0"/>
        <w:ind w:left="142" w:hanging="142"/>
        <w:rPr>
          <w:rFonts w:ascii="Arial" w:eastAsia="+mn-ea" w:hAnsi="Arial" w:cs="Arial"/>
          <w:position w:val="1"/>
          <w:sz w:val="8"/>
          <w:szCs w:val="22"/>
        </w:rPr>
      </w:pPr>
    </w:p>
    <w:tbl>
      <w:tblPr>
        <w:tblStyle w:val="TableGridLight"/>
        <w:tblpPr w:leftFromText="180" w:rightFromText="180" w:vertAnchor="text" w:horzAnchor="margin" w:tblpY="150"/>
        <w:tblW w:w="10314" w:type="dxa"/>
        <w:tblLook w:val="04A0" w:firstRow="1" w:lastRow="0" w:firstColumn="1" w:lastColumn="0" w:noHBand="0" w:noVBand="1"/>
      </w:tblPr>
      <w:tblGrid>
        <w:gridCol w:w="3369"/>
        <w:gridCol w:w="6945"/>
      </w:tblGrid>
      <w:tr w:rsidR="00B10162" w:rsidRPr="00B10162" w14:paraId="04A53325" w14:textId="77777777" w:rsidTr="00082EE9">
        <w:tc>
          <w:tcPr>
            <w:tcW w:w="3369" w:type="dxa"/>
          </w:tcPr>
          <w:p w14:paraId="33940EF2" w14:textId="77777777" w:rsidR="00805C20" w:rsidRPr="00B10162" w:rsidRDefault="00805C20" w:rsidP="00C70B3C">
            <w:pPr>
              <w:pStyle w:val="NormalWeb"/>
              <w:spacing w:before="60" w:beforeAutospacing="0" w:after="60" w:afterAutospacing="0"/>
              <w:rPr>
                <w:rFonts w:ascii="Arial" w:eastAsia="+mn-ea" w:hAnsi="Arial" w:cs="Arial"/>
                <w:b/>
                <w:position w:val="1"/>
                <w:sz w:val="22"/>
                <w:szCs w:val="22"/>
              </w:rPr>
            </w:pPr>
            <w:r w:rsidRPr="00B10162">
              <w:rPr>
                <w:rFonts w:ascii="Arial" w:eastAsia="+mn-ea" w:hAnsi="Arial" w:cs="Arial"/>
                <w:b/>
                <w:position w:val="1"/>
                <w:sz w:val="22"/>
                <w:szCs w:val="22"/>
              </w:rPr>
              <w:lastRenderedPageBreak/>
              <w:t>Approval date</w:t>
            </w:r>
          </w:p>
        </w:tc>
        <w:tc>
          <w:tcPr>
            <w:tcW w:w="6945" w:type="dxa"/>
          </w:tcPr>
          <w:p w14:paraId="520E2B6F" w14:textId="77777777" w:rsidR="00805C20" w:rsidRPr="00B10162" w:rsidRDefault="00805C20" w:rsidP="00C70B3C">
            <w:pPr>
              <w:pStyle w:val="NormalWeb"/>
              <w:spacing w:before="60" w:beforeAutospacing="0" w:after="60" w:afterAutospacing="0"/>
              <w:rPr>
                <w:rFonts w:ascii="Arial" w:eastAsia="+mn-ea" w:hAnsi="Arial" w:cs="Arial"/>
                <w:position w:val="1"/>
                <w:sz w:val="22"/>
                <w:szCs w:val="22"/>
              </w:rPr>
            </w:pPr>
            <w:r w:rsidRPr="00B10162">
              <w:rPr>
                <w:rFonts w:ascii="Arial" w:eastAsia="+mn-ea" w:hAnsi="Arial" w:cs="Arial"/>
                <w:position w:val="1"/>
                <w:sz w:val="22"/>
                <w:szCs w:val="22"/>
              </w:rPr>
              <w:t>N/A</w:t>
            </w:r>
          </w:p>
        </w:tc>
      </w:tr>
      <w:tr w:rsidR="00B10162" w:rsidRPr="00B10162" w14:paraId="65A1D44E" w14:textId="77777777" w:rsidTr="00082EE9">
        <w:tc>
          <w:tcPr>
            <w:tcW w:w="3369" w:type="dxa"/>
          </w:tcPr>
          <w:p w14:paraId="50A7C28B" w14:textId="77777777" w:rsidR="00805C20" w:rsidRPr="00B10162" w:rsidRDefault="00805C20" w:rsidP="00C70B3C">
            <w:pPr>
              <w:pStyle w:val="NormalWeb"/>
              <w:spacing w:before="60" w:beforeAutospacing="0" w:after="60" w:afterAutospacing="0"/>
              <w:rPr>
                <w:rFonts w:ascii="Arial" w:eastAsia="+mn-ea" w:hAnsi="Arial" w:cs="Arial"/>
                <w:b/>
                <w:position w:val="1"/>
                <w:sz w:val="22"/>
                <w:szCs w:val="22"/>
              </w:rPr>
            </w:pPr>
            <w:r w:rsidRPr="00B10162">
              <w:rPr>
                <w:rFonts w:ascii="Arial" w:eastAsia="+mn-ea" w:hAnsi="Arial" w:cs="Arial"/>
                <w:b/>
                <w:position w:val="1"/>
                <w:sz w:val="22"/>
                <w:szCs w:val="22"/>
              </w:rPr>
              <w:t>Review date</w:t>
            </w:r>
          </w:p>
        </w:tc>
        <w:tc>
          <w:tcPr>
            <w:tcW w:w="6945" w:type="dxa"/>
          </w:tcPr>
          <w:p w14:paraId="4EDF3FDD" w14:textId="77777777" w:rsidR="00805C20" w:rsidRPr="00B10162" w:rsidRDefault="00805C20" w:rsidP="00C70B3C">
            <w:pPr>
              <w:pStyle w:val="NormalWeb"/>
              <w:spacing w:before="60" w:beforeAutospacing="0" w:after="60" w:afterAutospacing="0"/>
              <w:rPr>
                <w:rFonts w:ascii="Arial" w:eastAsia="+mn-ea" w:hAnsi="Arial" w:cs="Arial"/>
                <w:position w:val="1"/>
                <w:sz w:val="22"/>
                <w:szCs w:val="22"/>
              </w:rPr>
            </w:pPr>
            <w:r w:rsidRPr="00B10162">
              <w:rPr>
                <w:rFonts w:ascii="Arial" w:eastAsia="+mn-ea" w:hAnsi="Arial" w:cs="Arial"/>
                <w:position w:val="1"/>
                <w:sz w:val="22"/>
                <w:szCs w:val="22"/>
              </w:rPr>
              <w:t>N/A</w:t>
            </w:r>
          </w:p>
        </w:tc>
      </w:tr>
    </w:tbl>
    <w:p w14:paraId="0C5A9812" w14:textId="77777777" w:rsidR="00805C20" w:rsidRPr="00B10162" w:rsidRDefault="00805C20" w:rsidP="00C70B3C">
      <w:pPr>
        <w:rPr>
          <w:rFonts w:eastAsia="+mn-ea" w:cs="Arial"/>
          <w:b/>
          <w:position w:val="1"/>
          <w:sz w:val="32"/>
          <w:szCs w:val="26"/>
        </w:rPr>
      </w:pPr>
      <w:r w:rsidRPr="00B10162">
        <w:br w:type="page"/>
      </w:r>
      <w:r w:rsidRPr="00B10162">
        <w:lastRenderedPageBreak/>
        <w:br/>
      </w:r>
      <w:r w:rsidRPr="00B10162">
        <w:rPr>
          <w:rFonts w:eastAsia="+mn-ea" w:cs="Arial"/>
          <w:b/>
          <w:position w:val="1"/>
          <w:sz w:val="32"/>
          <w:szCs w:val="26"/>
        </w:rPr>
        <w:t xml:space="preserve">Final Assurance Rating from the Indicator Governance Board - </w:t>
      </w:r>
      <w:r w:rsidRPr="00B10162">
        <w:rPr>
          <w:rFonts w:eastAsia="+mn-ea" w:cs="Arial"/>
          <w:b/>
          <w:position w:val="1"/>
          <w:sz w:val="32"/>
          <w:szCs w:val="32"/>
        </w:rPr>
        <w:t>14/12/2015</w:t>
      </w:r>
    </w:p>
    <w:p w14:paraId="0A8894F4"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p>
    <w:tbl>
      <w:tblPr>
        <w:tblStyle w:val="TableGridLight"/>
        <w:tblW w:w="10314" w:type="dxa"/>
        <w:tblLook w:val="04A0" w:firstRow="1" w:lastRow="0" w:firstColumn="1" w:lastColumn="0" w:noHBand="0" w:noVBand="1"/>
      </w:tblPr>
      <w:tblGrid>
        <w:gridCol w:w="3369"/>
        <w:gridCol w:w="6945"/>
      </w:tblGrid>
      <w:tr w:rsidR="00B10162" w:rsidRPr="00B10162" w14:paraId="24858925" w14:textId="77777777" w:rsidTr="00082EE9">
        <w:trPr>
          <w:trHeight w:val="359"/>
        </w:trPr>
        <w:tc>
          <w:tcPr>
            <w:tcW w:w="3369" w:type="dxa"/>
          </w:tcPr>
          <w:p w14:paraId="34C700C6"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b/>
                <w:position w:val="1"/>
                <w:sz w:val="22"/>
                <w:szCs w:val="22"/>
              </w:rPr>
              <w:t>Reason for assessment</w:t>
            </w:r>
          </w:p>
        </w:tc>
        <w:tc>
          <w:tcPr>
            <w:tcW w:w="6945" w:type="dxa"/>
          </w:tcPr>
          <w:p w14:paraId="5175853E"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position w:val="1"/>
                <w:sz w:val="22"/>
                <w:szCs w:val="22"/>
              </w:rPr>
              <w:t>Scheduled review (review date reached)</w:t>
            </w:r>
          </w:p>
        </w:tc>
      </w:tr>
      <w:tr w:rsidR="00B10162" w:rsidRPr="00B10162" w14:paraId="4ED2E3F2" w14:textId="77777777" w:rsidTr="00082EE9">
        <w:trPr>
          <w:trHeight w:val="557"/>
        </w:trPr>
        <w:tc>
          <w:tcPr>
            <w:tcW w:w="3369" w:type="dxa"/>
          </w:tcPr>
          <w:p w14:paraId="31EB2051"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b/>
                <w:position w:val="1"/>
                <w:sz w:val="22"/>
                <w:szCs w:val="22"/>
              </w:rPr>
              <w:t>Iteration</w:t>
            </w:r>
          </w:p>
        </w:tc>
        <w:tc>
          <w:tcPr>
            <w:tcW w:w="6945" w:type="dxa"/>
          </w:tcPr>
          <w:p w14:paraId="24438F08"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position w:val="1"/>
                <w:sz w:val="22"/>
                <w:szCs w:val="22"/>
              </w:rPr>
              <w:t>1st IGB meeting</w:t>
            </w:r>
          </w:p>
        </w:tc>
      </w:tr>
    </w:tbl>
    <w:p w14:paraId="0B7FA40B" w14:textId="77777777" w:rsidR="00805C20" w:rsidRPr="00B10162" w:rsidRDefault="00805C20" w:rsidP="00C70B3C"/>
    <w:p w14:paraId="3AC4E767" w14:textId="77777777" w:rsidR="00805C20" w:rsidRPr="00B10162" w:rsidRDefault="00C572D7" w:rsidP="00C70B3C">
      <w:pPr>
        <w:spacing w:after="0"/>
        <w:jc w:val="center"/>
        <w:rPr>
          <w:rFonts w:eastAsia="+mn-ea" w:cs="Arial"/>
          <w:b/>
          <w:position w:val="1"/>
          <w:sz w:val="26"/>
          <w:szCs w:val="26"/>
          <w:lang w:eastAsia="en-GB"/>
        </w:rPr>
      </w:pPr>
      <w:r>
        <w:rPr>
          <w:rFonts w:eastAsia="+mn-ea" w:cs="Arial"/>
          <w:b/>
          <w:position w:val="1"/>
          <w:sz w:val="26"/>
          <w:szCs w:val="26"/>
          <w:lang w:eastAsia="en-GB"/>
        </w:rPr>
        <w:pict w14:anchorId="2D3622E1">
          <v:rect id="_x0000_i1026" style="width:503.2pt;height:1.5pt" o:hralign="center" o:hrstd="t" o:hr="t" fillcolor="#a0a0a0" stroked="f"/>
        </w:pict>
      </w:r>
    </w:p>
    <w:tbl>
      <w:tblPr>
        <w:tblStyle w:val="TableGridLight"/>
        <w:tblW w:w="0" w:type="auto"/>
        <w:tblLook w:val="04A0" w:firstRow="1" w:lastRow="0" w:firstColumn="1" w:lastColumn="0" w:noHBand="0" w:noVBand="1"/>
      </w:tblPr>
      <w:tblGrid>
        <w:gridCol w:w="3936"/>
        <w:gridCol w:w="2145"/>
        <w:gridCol w:w="3773"/>
      </w:tblGrid>
      <w:tr w:rsidR="00082EE9" w:rsidRPr="00B10162" w14:paraId="2F81B14F" w14:textId="77777777" w:rsidTr="00082EE9">
        <w:tc>
          <w:tcPr>
            <w:tcW w:w="3936" w:type="dxa"/>
          </w:tcPr>
          <w:p w14:paraId="27976A1F" w14:textId="07B5B23D" w:rsidR="00082EE9" w:rsidRPr="00082EE9" w:rsidRDefault="00082EE9" w:rsidP="00082EE9">
            <w:pPr>
              <w:spacing w:before="120" w:after="0"/>
              <w:rPr>
                <w:rFonts w:eastAsia="+mn-ea" w:cs="Arial"/>
                <w:b/>
                <w:position w:val="1"/>
                <w:sz w:val="26"/>
                <w:szCs w:val="26"/>
              </w:rPr>
            </w:pPr>
            <w:r w:rsidRPr="00B10162">
              <w:rPr>
                <w:rFonts w:eastAsia="+mn-ea" w:cs="Arial"/>
                <w:b/>
                <w:position w:val="1"/>
                <w:sz w:val="26"/>
                <w:szCs w:val="26"/>
              </w:rPr>
              <w:t>Ratings Against Assessment Criteria</w:t>
            </w:r>
          </w:p>
        </w:tc>
        <w:tc>
          <w:tcPr>
            <w:tcW w:w="2145" w:type="dxa"/>
          </w:tcPr>
          <w:p w14:paraId="76CEEA78" w14:textId="77777777" w:rsidR="00082EE9" w:rsidRPr="00B10162" w:rsidRDefault="00082EE9" w:rsidP="00C70B3C">
            <w:pPr>
              <w:spacing w:after="0" w:line="360" w:lineRule="auto"/>
              <w:jc w:val="center"/>
              <w:rPr>
                <w:rFonts w:eastAsia="+mn-ea" w:cs="Arial"/>
                <w:b/>
                <w:position w:val="1"/>
                <w:sz w:val="26"/>
                <w:szCs w:val="26"/>
              </w:rPr>
            </w:pPr>
          </w:p>
        </w:tc>
        <w:tc>
          <w:tcPr>
            <w:tcW w:w="3773" w:type="dxa"/>
          </w:tcPr>
          <w:p w14:paraId="7B05FB2C" w14:textId="60838528" w:rsidR="00082EE9" w:rsidRPr="00B10162" w:rsidRDefault="00082EE9" w:rsidP="00082EE9">
            <w:pPr>
              <w:spacing w:before="120" w:after="0"/>
              <w:jc w:val="center"/>
              <w:rPr>
                <w:rFonts w:eastAsia="+mn-ea" w:cs="Arial"/>
                <w:b/>
                <w:position w:val="1"/>
                <w:sz w:val="26"/>
                <w:szCs w:val="26"/>
              </w:rPr>
            </w:pPr>
            <w:r w:rsidRPr="00B10162">
              <w:rPr>
                <w:rFonts w:eastAsia="+mn-ea" w:cs="Arial"/>
                <w:b/>
                <w:position w:val="1"/>
                <w:sz w:val="26"/>
                <w:szCs w:val="26"/>
              </w:rPr>
              <w:t>Overall Rating</w:t>
            </w:r>
            <w:r>
              <w:rPr>
                <w:rFonts w:eastAsia="+mn-ea" w:cs="Arial"/>
                <w:b/>
                <w:position w:val="1"/>
                <w:sz w:val="26"/>
                <w:szCs w:val="26"/>
              </w:rPr>
              <w:t xml:space="preserve"> - </w:t>
            </w:r>
            <w:r w:rsidRPr="00B10162">
              <w:rPr>
                <w:rFonts w:eastAsia="+mn-ea" w:cs="Arial"/>
                <w:b/>
                <w:position w:val="1"/>
                <w:sz w:val="26"/>
                <w:szCs w:val="26"/>
              </w:rPr>
              <w:t>Pending</w:t>
            </w:r>
          </w:p>
        </w:tc>
      </w:tr>
      <w:tr w:rsidR="00082EE9" w:rsidRPr="00B10162" w14:paraId="79D7E161" w14:textId="77777777" w:rsidTr="00082EE9">
        <w:tc>
          <w:tcPr>
            <w:tcW w:w="3936" w:type="dxa"/>
            <w:hideMark/>
          </w:tcPr>
          <w:p w14:paraId="0EA7BC16" w14:textId="77777777" w:rsidR="00082EE9" w:rsidRPr="00B10162" w:rsidRDefault="00082EE9" w:rsidP="00C70B3C">
            <w:pPr>
              <w:spacing w:after="0" w:line="360" w:lineRule="auto"/>
              <w:rPr>
                <w:rFonts w:eastAsia="+mn-ea" w:cs="Arial"/>
                <w:position w:val="1"/>
                <w:sz w:val="26"/>
                <w:szCs w:val="26"/>
              </w:rPr>
            </w:pPr>
            <w:r w:rsidRPr="00B10162">
              <w:rPr>
                <w:rFonts w:eastAsia="+mn-ea" w:cs="Arial"/>
                <w:position w:val="1"/>
                <w:szCs w:val="40"/>
              </w:rPr>
              <w:t>Clarity</w:t>
            </w:r>
          </w:p>
        </w:tc>
        <w:tc>
          <w:tcPr>
            <w:tcW w:w="2145" w:type="dxa"/>
            <w:hideMark/>
          </w:tcPr>
          <w:p w14:paraId="53E75C67" w14:textId="77777777" w:rsidR="00082EE9" w:rsidRPr="00B10162" w:rsidRDefault="00082EE9" w:rsidP="00C70B3C">
            <w:pPr>
              <w:spacing w:after="0" w:line="360" w:lineRule="auto"/>
              <w:jc w:val="center"/>
              <w:rPr>
                <w:rFonts w:eastAsia="+mn-ea" w:cs="Arial"/>
                <w:b/>
                <w:position w:val="1"/>
                <w:sz w:val="26"/>
                <w:szCs w:val="26"/>
              </w:rPr>
            </w:pPr>
          </w:p>
        </w:tc>
        <w:tc>
          <w:tcPr>
            <w:tcW w:w="3773" w:type="dxa"/>
            <w:hideMark/>
          </w:tcPr>
          <w:p w14:paraId="6DD0AF09" w14:textId="77777777" w:rsidR="00082EE9" w:rsidRPr="00B10162" w:rsidRDefault="00082EE9" w:rsidP="00C70B3C">
            <w:pPr>
              <w:spacing w:before="100" w:beforeAutospacing="1" w:after="100" w:afterAutospacing="1" w:line="360" w:lineRule="auto"/>
              <w:jc w:val="center"/>
              <w:rPr>
                <w:rFonts w:eastAsia="+mn-ea" w:cs="Arial"/>
                <w:b/>
                <w:position w:val="1"/>
                <w:sz w:val="26"/>
                <w:szCs w:val="26"/>
              </w:rPr>
            </w:pPr>
          </w:p>
        </w:tc>
      </w:tr>
      <w:tr w:rsidR="00082EE9" w:rsidRPr="00B10162" w14:paraId="39F7441E" w14:textId="77777777" w:rsidTr="00082EE9">
        <w:tc>
          <w:tcPr>
            <w:tcW w:w="3936" w:type="dxa"/>
            <w:hideMark/>
          </w:tcPr>
          <w:p w14:paraId="69EE42D8" w14:textId="77777777" w:rsidR="00082EE9" w:rsidRPr="00B10162" w:rsidRDefault="00082EE9" w:rsidP="00C70B3C">
            <w:pPr>
              <w:spacing w:after="0" w:line="360" w:lineRule="auto"/>
              <w:rPr>
                <w:rFonts w:eastAsia="+mn-ea" w:cs="Arial"/>
                <w:position w:val="1"/>
                <w:sz w:val="26"/>
                <w:szCs w:val="26"/>
              </w:rPr>
            </w:pPr>
            <w:r w:rsidRPr="00B10162">
              <w:rPr>
                <w:rFonts w:eastAsia="+mn-ea" w:cs="Arial"/>
                <w:position w:val="1"/>
                <w:szCs w:val="40"/>
              </w:rPr>
              <w:t>Rationale</w:t>
            </w:r>
          </w:p>
        </w:tc>
        <w:tc>
          <w:tcPr>
            <w:tcW w:w="2145" w:type="dxa"/>
            <w:hideMark/>
          </w:tcPr>
          <w:p w14:paraId="74873501" w14:textId="77777777" w:rsidR="00082EE9" w:rsidRPr="00B10162" w:rsidRDefault="00082EE9" w:rsidP="00C70B3C">
            <w:pPr>
              <w:spacing w:after="0" w:line="360" w:lineRule="auto"/>
              <w:jc w:val="center"/>
              <w:rPr>
                <w:rFonts w:eastAsia="+mn-ea" w:cs="Arial"/>
                <w:b/>
                <w:position w:val="1"/>
                <w:sz w:val="26"/>
                <w:szCs w:val="26"/>
              </w:rPr>
            </w:pPr>
          </w:p>
        </w:tc>
        <w:tc>
          <w:tcPr>
            <w:tcW w:w="0" w:type="auto"/>
            <w:hideMark/>
          </w:tcPr>
          <w:p w14:paraId="02094DB8" w14:textId="77777777" w:rsidR="00082EE9" w:rsidRPr="00B10162" w:rsidRDefault="00082EE9" w:rsidP="00C70B3C">
            <w:pPr>
              <w:spacing w:after="0" w:line="360" w:lineRule="auto"/>
              <w:rPr>
                <w:rFonts w:eastAsia="+mn-ea" w:cs="Arial"/>
                <w:b/>
                <w:position w:val="1"/>
                <w:sz w:val="26"/>
                <w:szCs w:val="26"/>
              </w:rPr>
            </w:pPr>
          </w:p>
        </w:tc>
      </w:tr>
      <w:tr w:rsidR="00082EE9" w:rsidRPr="00B10162" w14:paraId="178FD2B2" w14:textId="77777777" w:rsidTr="00082EE9">
        <w:tc>
          <w:tcPr>
            <w:tcW w:w="3936" w:type="dxa"/>
            <w:hideMark/>
          </w:tcPr>
          <w:p w14:paraId="5DFCF62F" w14:textId="77777777" w:rsidR="00082EE9" w:rsidRPr="00B10162" w:rsidRDefault="00082EE9" w:rsidP="00C70B3C">
            <w:pPr>
              <w:spacing w:after="0" w:line="360" w:lineRule="auto"/>
              <w:rPr>
                <w:rFonts w:eastAsia="+mn-ea" w:cs="Arial"/>
                <w:position w:val="1"/>
                <w:sz w:val="26"/>
                <w:szCs w:val="26"/>
              </w:rPr>
            </w:pPr>
            <w:r w:rsidRPr="00B10162">
              <w:rPr>
                <w:rFonts w:eastAsia="+mn-ea" w:cs="Arial"/>
                <w:position w:val="1"/>
                <w:szCs w:val="40"/>
              </w:rPr>
              <w:t>Data</w:t>
            </w:r>
          </w:p>
        </w:tc>
        <w:tc>
          <w:tcPr>
            <w:tcW w:w="2145" w:type="dxa"/>
            <w:hideMark/>
          </w:tcPr>
          <w:p w14:paraId="4C7D5E43" w14:textId="77777777" w:rsidR="00082EE9" w:rsidRPr="00B10162" w:rsidRDefault="00082EE9" w:rsidP="00C70B3C">
            <w:pPr>
              <w:spacing w:after="0" w:line="360" w:lineRule="auto"/>
              <w:jc w:val="center"/>
              <w:rPr>
                <w:rFonts w:eastAsia="+mn-ea" w:cs="Arial"/>
                <w:b/>
                <w:position w:val="1"/>
                <w:sz w:val="26"/>
                <w:szCs w:val="26"/>
              </w:rPr>
            </w:pPr>
          </w:p>
        </w:tc>
        <w:tc>
          <w:tcPr>
            <w:tcW w:w="0" w:type="auto"/>
            <w:hideMark/>
          </w:tcPr>
          <w:p w14:paraId="00960D7B" w14:textId="77777777" w:rsidR="00082EE9" w:rsidRPr="00B10162" w:rsidRDefault="00082EE9" w:rsidP="00C70B3C">
            <w:pPr>
              <w:spacing w:after="0" w:line="360" w:lineRule="auto"/>
              <w:rPr>
                <w:rFonts w:eastAsia="+mn-ea" w:cs="Arial"/>
                <w:b/>
                <w:position w:val="1"/>
                <w:sz w:val="26"/>
                <w:szCs w:val="26"/>
              </w:rPr>
            </w:pPr>
          </w:p>
        </w:tc>
      </w:tr>
      <w:tr w:rsidR="00082EE9" w:rsidRPr="00B10162" w14:paraId="41CD27B1" w14:textId="77777777" w:rsidTr="00082EE9">
        <w:tc>
          <w:tcPr>
            <w:tcW w:w="3936" w:type="dxa"/>
            <w:hideMark/>
          </w:tcPr>
          <w:p w14:paraId="0392B42F" w14:textId="77777777" w:rsidR="00082EE9" w:rsidRPr="00B10162" w:rsidRDefault="00082EE9" w:rsidP="00C70B3C">
            <w:pPr>
              <w:spacing w:after="0" w:line="360" w:lineRule="auto"/>
              <w:rPr>
                <w:rFonts w:eastAsia="+mn-ea" w:cs="Arial"/>
                <w:position w:val="1"/>
                <w:sz w:val="26"/>
                <w:szCs w:val="26"/>
              </w:rPr>
            </w:pPr>
            <w:r w:rsidRPr="00B10162">
              <w:rPr>
                <w:rFonts w:eastAsia="+mn-ea" w:cs="Arial"/>
                <w:position w:val="1"/>
                <w:szCs w:val="40"/>
              </w:rPr>
              <w:t>Construction</w:t>
            </w:r>
          </w:p>
        </w:tc>
        <w:tc>
          <w:tcPr>
            <w:tcW w:w="2145" w:type="dxa"/>
            <w:hideMark/>
          </w:tcPr>
          <w:p w14:paraId="2E1732EC" w14:textId="77777777" w:rsidR="00082EE9" w:rsidRPr="00B10162" w:rsidRDefault="00082EE9" w:rsidP="00C70B3C">
            <w:pPr>
              <w:spacing w:after="0" w:line="360" w:lineRule="auto"/>
              <w:jc w:val="center"/>
              <w:rPr>
                <w:rFonts w:eastAsia="+mn-ea" w:cs="Arial"/>
                <w:b/>
                <w:position w:val="1"/>
                <w:sz w:val="26"/>
                <w:szCs w:val="26"/>
              </w:rPr>
            </w:pPr>
          </w:p>
        </w:tc>
        <w:tc>
          <w:tcPr>
            <w:tcW w:w="0" w:type="auto"/>
            <w:hideMark/>
          </w:tcPr>
          <w:p w14:paraId="4B0960A3" w14:textId="77777777" w:rsidR="00082EE9" w:rsidRPr="00B10162" w:rsidRDefault="00082EE9" w:rsidP="00C70B3C">
            <w:pPr>
              <w:spacing w:after="0" w:line="360" w:lineRule="auto"/>
              <w:rPr>
                <w:rFonts w:eastAsia="+mn-ea" w:cs="Arial"/>
                <w:b/>
                <w:position w:val="1"/>
                <w:sz w:val="26"/>
                <w:szCs w:val="26"/>
              </w:rPr>
            </w:pPr>
          </w:p>
        </w:tc>
      </w:tr>
      <w:tr w:rsidR="00082EE9" w:rsidRPr="00B10162" w14:paraId="12FBB189" w14:textId="77777777" w:rsidTr="00082EE9">
        <w:tc>
          <w:tcPr>
            <w:tcW w:w="3936" w:type="dxa"/>
            <w:hideMark/>
          </w:tcPr>
          <w:p w14:paraId="7678849E" w14:textId="77777777" w:rsidR="00082EE9" w:rsidRPr="00B10162" w:rsidRDefault="00082EE9" w:rsidP="00C70B3C">
            <w:pPr>
              <w:spacing w:after="0" w:line="360" w:lineRule="auto"/>
              <w:rPr>
                <w:rFonts w:eastAsia="+mn-ea" w:cs="Arial"/>
                <w:position w:val="1"/>
                <w:sz w:val="26"/>
                <w:szCs w:val="26"/>
              </w:rPr>
            </w:pPr>
            <w:r w:rsidRPr="00B10162">
              <w:rPr>
                <w:rFonts w:eastAsia="+mn-ea" w:cs="Arial"/>
                <w:position w:val="1"/>
                <w:szCs w:val="40"/>
              </w:rPr>
              <w:t>Presentation and Interpretation</w:t>
            </w:r>
          </w:p>
        </w:tc>
        <w:tc>
          <w:tcPr>
            <w:tcW w:w="2145" w:type="dxa"/>
            <w:hideMark/>
          </w:tcPr>
          <w:p w14:paraId="0884A101" w14:textId="77777777" w:rsidR="00082EE9" w:rsidRPr="00B10162" w:rsidRDefault="00082EE9" w:rsidP="00C70B3C">
            <w:pPr>
              <w:spacing w:after="0" w:line="360" w:lineRule="auto"/>
              <w:jc w:val="center"/>
              <w:rPr>
                <w:rFonts w:eastAsia="+mn-ea" w:cs="Arial"/>
                <w:b/>
                <w:position w:val="1"/>
                <w:sz w:val="26"/>
                <w:szCs w:val="26"/>
              </w:rPr>
            </w:pPr>
          </w:p>
        </w:tc>
        <w:tc>
          <w:tcPr>
            <w:tcW w:w="3773" w:type="dxa"/>
            <w:hideMark/>
          </w:tcPr>
          <w:p w14:paraId="632163BA" w14:textId="511D2960" w:rsidR="00082EE9" w:rsidRPr="00B10162" w:rsidRDefault="00082EE9" w:rsidP="00C70B3C">
            <w:pPr>
              <w:spacing w:after="0" w:line="360" w:lineRule="auto"/>
              <w:jc w:val="center"/>
              <w:rPr>
                <w:rFonts w:eastAsia="+mn-ea" w:cs="Arial"/>
                <w:b/>
                <w:position w:val="1"/>
                <w:sz w:val="26"/>
                <w:szCs w:val="26"/>
              </w:rPr>
            </w:pPr>
          </w:p>
        </w:tc>
      </w:tr>
      <w:tr w:rsidR="00082EE9" w:rsidRPr="00B10162" w14:paraId="60D631F4" w14:textId="77777777" w:rsidTr="00082EE9">
        <w:tc>
          <w:tcPr>
            <w:tcW w:w="3936" w:type="dxa"/>
            <w:hideMark/>
          </w:tcPr>
          <w:p w14:paraId="5CD69BE0" w14:textId="77777777" w:rsidR="00082EE9" w:rsidRPr="00B10162" w:rsidRDefault="00082EE9" w:rsidP="00C70B3C">
            <w:pPr>
              <w:spacing w:after="0" w:line="360" w:lineRule="auto"/>
              <w:rPr>
                <w:rFonts w:eastAsia="+mn-ea" w:cs="Arial"/>
                <w:position w:val="1"/>
                <w:sz w:val="26"/>
                <w:szCs w:val="26"/>
              </w:rPr>
            </w:pPr>
            <w:r w:rsidRPr="00B10162">
              <w:rPr>
                <w:rFonts w:eastAsia="+mn-ea" w:cs="Arial"/>
                <w:position w:val="1"/>
                <w:szCs w:val="40"/>
              </w:rPr>
              <w:t>Risks and Usefulness</w:t>
            </w:r>
          </w:p>
        </w:tc>
        <w:tc>
          <w:tcPr>
            <w:tcW w:w="2145" w:type="dxa"/>
            <w:hideMark/>
          </w:tcPr>
          <w:p w14:paraId="3026C8AD" w14:textId="77777777" w:rsidR="00082EE9" w:rsidRPr="00B10162" w:rsidRDefault="00082EE9" w:rsidP="00C70B3C">
            <w:pPr>
              <w:spacing w:after="0" w:line="360" w:lineRule="auto"/>
              <w:jc w:val="center"/>
              <w:rPr>
                <w:rFonts w:eastAsia="+mn-ea" w:cs="Arial"/>
                <w:b/>
                <w:position w:val="1"/>
                <w:sz w:val="26"/>
                <w:szCs w:val="26"/>
              </w:rPr>
            </w:pPr>
          </w:p>
        </w:tc>
        <w:tc>
          <w:tcPr>
            <w:tcW w:w="0" w:type="auto"/>
            <w:hideMark/>
          </w:tcPr>
          <w:p w14:paraId="5AED68B1" w14:textId="77777777" w:rsidR="00082EE9" w:rsidRPr="00B10162" w:rsidRDefault="00082EE9" w:rsidP="00C70B3C">
            <w:pPr>
              <w:spacing w:after="0" w:line="360" w:lineRule="auto"/>
              <w:rPr>
                <w:rFonts w:eastAsia="+mn-ea" w:cs="Arial"/>
                <w:b/>
                <w:position w:val="1"/>
                <w:sz w:val="26"/>
                <w:szCs w:val="26"/>
              </w:rPr>
            </w:pPr>
          </w:p>
        </w:tc>
      </w:tr>
    </w:tbl>
    <w:p w14:paraId="14474DD0" w14:textId="77777777" w:rsidR="00805C20" w:rsidRPr="00B10162" w:rsidRDefault="00805C20" w:rsidP="00C70B3C">
      <w:pPr>
        <w:pStyle w:val="NormalWeb"/>
        <w:spacing w:before="0" w:beforeAutospacing="0" w:after="0" w:afterAutospacing="0"/>
        <w:rPr>
          <w:rFonts w:ascii="Arial" w:eastAsia="+mn-ea" w:hAnsi="Arial" w:cs="Arial"/>
          <w:b/>
          <w:position w:val="1"/>
          <w:sz w:val="12"/>
          <w:szCs w:val="26"/>
        </w:rPr>
      </w:pPr>
    </w:p>
    <w:p w14:paraId="0E80D4D2"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p>
    <w:tbl>
      <w:tblPr>
        <w:tblStyle w:val="TableGridLight"/>
        <w:tblW w:w="0" w:type="auto"/>
        <w:tblLook w:val="04A0" w:firstRow="1" w:lastRow="0" w:firstColumn="1" w:lastColumn="0" w:noHBand="0" w:noVBand="1"/>
      </w:tblPr>
      <w:tblGrid>
        <w:gridCol w:w="3242"/>
        <w:gridCol w:w="6612"/>
      </w:tblGrid>
      <w:tr w:rsidR="00B10162" w:rsidRPr="00B10162" w14:paraId="41E5CB3A" w14:textId="77777777" w:rsidTr="00082EE9">
        <w:tc>
          <w:tcPr>
            <w:tcW w:w="3369" w:type="dxa"/>
          </w:tcPr>
          <w:p w14:paraId="7F712EDD" w14:textId="77777777" w:rsidR="00805C20" w:rsidRPr="00B10162" w:rsidRDefault="00805C20" w:rsidP="00C70B3C">
            <w:pPr>
              <w:pStyle w:val="NormalWeb"/>
              <w:spacing w:before="0" w:beforeAutospacing="0" w:after="0" w:afterAutospacing="0"/>
              <w:rPr>
                <w:rFonts w:ascii="Arial" w:eastAsia="+mn-ea" w:hAnsi="Arial" w:cs="Arial"/>
                <w:b/>
                <w:position w:val="1"/>
                <w:sz w:val="22"/>
                <w:szCs w:val="22"/>
              </w:rPr>
            </w:pPr>
            <w:r w:rsidRPr="00B10162">
              <w:rPr>
                <w:rFonts w:ascii="Arial" w:eastAsia="+mn-ea" w:hAnsi="Arial" w:cs="Arial"/>
                <w:b/>
                <w:position w:val="1"/>
                <w:sz w:val="22"/>
                <w:szCs w:val="22"/>
              </w:rPr>
              <w:t>Outcome</w:t>
            </w:r>
          </w:p>
        </w:tc>
        <w:tc>
          <w:tcPr>
            <w:tcW w:w="6911" w:type="dxa"/>
          </w:tcPr>
          <w:p w14:paraId="341FC56E"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r w:rsidRPr="00B10162">
              <w:rPr>
                <w:rFonts w:ascii="Arial" w:eastAsia="+mn-ea" w:hAnsi="Arial" w:cs="Arial"/>
                <w:b/>
                <w:position w:val="1"/>
                <w:sz w:val="26"/>
                <w:szCs w:val="26"/>
              </w:rPr>
              <w:t>Decision Pending: To return to the Indicator Governance Board</w:t>
            </w:r>
          </w:p>
        </w:tc>
      </w:tr>
    </w:tbl>
    <w:p w14:paraId="27B247BD"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p>
    <w:p w14:paraId="7D76E510" w14:textId="77777777" w:rsidR="00805C20" w:rsidRPr="00B10162" w:rsidRDefault="00805C20" w:rsidP="00C70B3C">
      <w:pPr>
        <w:pStyle w:val="NormalWeb"/>
        <w:spacing w:before="0" w:beforeAutospacing="0" w:after="0" w:afterAutospacing="0"/>
        <w:rPr>
          <w:rFonts w:ascii="Arial" w:eastAsia="+mn-ea" w:hAnsi="Arial" w:cs="Arial"/>
          <w:position w:val="1"/>
          <w:sz w:val="22"/>
          <w:szCs w:val="22"/>
        </w:rPr>
      </w:pPr>
    </w:p>
    <w:tbl>
      <w:tblPr>
        <w:tblStyle w:val="TableGridLight"/>
        <w:tblW w:w="0" w:type="auto"/>
        <w:tblLook w:val="04A0" w:firstRow="1" w:lastRow="0" w:firstColumn="1" w:lastColumn="0" w:noHBand="0" w:noVBand="1"/>
      </w:tblPr>
      <w:tblGrid>
        <w:gridCol w:w="9854"/>
      </w:tblGrid>
      <w:tr w:rsidR="00B10162" w:rsidRPr="00B10162" w14:paraId="5DCC9F45" w14:textId="77777777" w:rsidTr="00082EE9">
        <w:tc>
          <w:tcPr>
            <w:tcW w:w="10280" w:type="dxa"/>
          </w:tcPr>
          <w:p w14:paraId="553E9AFC"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r w:rsidRPr="00B10162">
              <w:rPr>
                <w:rFonts w:ascii="Arial" w:eastAsia="+mn-ea" w:hAnsi="Arial" w:cs="Arial"/>
                <w:b/>
                <w:position w:val="1"/>
                <w:sz w:val="26"/>
                <w:szCs w:val="26"/>
              </w:rPr>
              <w:t>Key findings from Assurance</w:t>
            </w:r>
          </w:p>
        </w:tc>
      </w:tr>
      <w:tr w:rsidR="00805C20" w:rsidRPr="00B10162" w14:paraId="08FCCB86" w14:textId="77777777" w:rsidTr="00082EE9">
        <w:tc>
          <w:tcPr>
            <w:tcW w:w="10280" w:type="dxa"/>
          </w:tcPr>
          <w:p w14:paraId="0E06FF39" w14:textId="77777777" w:rsidR="00805C20" w:rsidRPr="00B10162" w:rsidRDefault="00805C20" w:rsidP="00C70B3C">
            <w:pPr>
              <w:spacing w:after="0"/>
              <w:rPr>
                <w:rFonts w:eastAsia="+mn-ea" w:cs="Arial"/>
                <w:position w:val="1"/>
                <w:lang w:eastAsia="en-GB"/>
              </w:rPr>
            </w:pPr>
          </w:p>
          <w:p w14:paraId="3D79E96D" w14:textId="77777777" w:rsidR="00805C20" w:rsidRPr="00B10162" w:rsidRDefault="00805C20" w:rsidP="00805C20">
            <w:pPr>
              <w:pStyle w:val="ListParagraph"/>
              <w:numPr>
                <w:ilvl w:val="0"/>
                <w:numId w:val="18"/>
              </w:numPr>
              <w:spacing w:after="0"/>
              <w:contextualSpacing/>
              <w:textboxTightWrap w:val="none"/>
              <w:rPr>
                <w:rFonts w:eastAsia="+mn-ea" w:cs="Arial"/>
                <w:position w:val="1"/>
                <w:sz w:val="20"/>
                <w:lang w:eastAsia="en-GB"/>
              </w:rPr>
            </w:pPr>
            <w:r w:rsidRPr="00B10162">
              <w:rPr>
                <w:rFonts w:eastAsia="+mn-ea" w:cs="Arial"/>
                <w:position w:val="1"/>
                <w:sz w:val="20"/>
                <w:lang w:eastAsia="en-GB"/>
              </w:rPr>
              <w:t xml:space="preserve">IGB suggested that the question should be put to the developer (Professor Rudd, RCP) to ask whether it is believed the indicator is suitable for wider use other than the audit.  If not the, Library does allow the option to define a particular use case, and as such it could be considered for entry with the clarification that it is for use within the </w:t>
            </w:r>
            <w:proofErr w:type="gramStart"/>
            <w:r w:rsidRPr="00B10162">
              <w:rPr>
                <w:rFonts w:eastAsia="+mn-ea" w:cs="Arial"/>
                <w:position w:val="1"/>
                <w:sz w:val="20"/>
                <w:lang w:eastAsia="en-GB"/>
              </w:rPr>
              <w:t>audit, but</w:t>
            </w:r>
            <w:proofErr w:type="gramEnd"/>
            <w:r w:rsidRPr="00B10162">
              <w:rPr>
                <w:rFonts w:eastAsia="+mn-ea" w:cs="Arial"/>
                <w:position w:val="1"/>
                <w:sz w:val="20"/>
                <w:lang w:eastAsia="en-GB"/>
              </w:rPr>
              <w:t xml:space="preserve"> has limited use beyond that purpose. Should the purpose of the indicator be re-stated to identify its use in support of the audit, rather than any wider purpose, the indicator should be reconsidered in 3 years.</w:t>
            </w:r>
          </w:p>
        </w:tc>
      </w:tr>
    </w:tbl>
    <w:p w14:paraId="65188DBF" w14:textId="77777777" w:rsidR="00805C20" w:rsidRPr="00B10162" w:rsidRDefault="00805C20" w:rsidP="00C70B3C">
      <w:pPr>
        <w:pStyle w:val="NormalWeb"/>
        <w:spacing w:before="0" w:beforeAutospacing="0" w:after="0" w:afterAutospacing="0"/>
        <w:rPr>
          <w:rFonts w:ascii="Arial" w:eastAsia="+mn-ea" w:hAnsi="Arial" w:cs="Arial"/>
          <w:position w:val="1"/>
          <w:sz w:val="22"/>
          <w:szCs w:val="22"/>
        </w:rPr>
      </w:pPr>
    </w:p>
    <w:p w14:paraId="7A02CFD2" w14:textId="77777777" w:rsidR="00805C20" w:rsidRPr="00B10162" w:rsidRDefault="00805C20" w:rsidP="00C70B3C">
      <w:pPr>
        <w:pStyle w:val="NormalWeb"/>
        <w:spacing w:before="0" w:beforeAutospacing="0" w:after="0" w:afterAutospacing="0"/>
        <w:ind w:left="142" w:hanging="142"/>
        <w:rPr>
          <w:rFonts w:ascii="Arial" w:eastAsia="+mn-ea" w:hAnsi="Arial" w:cs="Arial"/>
          <w:position w:val="1"/>
          <w:sz w:val="22"/>
          <w:szCs w:val="22"/>
        </w:rPr>
      </w:pPr>
    </w:p>
    <w:tbl>
      <w:tblPr>
        <w:tblStyle w:val="TableGridLight"/>
        <w:tblpPr w:leftFromText="180" w:rightFromText="180" w:vertAnchor="text" w:horzAnchor="margin" w:tblpY="150"/>
        <w:tblW w:w="10314" w:type="dxa"/>
        <w:tblLook w:val="04A0" w:firstRow="1" w:lastRow="0" w:firstColumn="1" w:lastColumn="0" w:noHBand="0" w:noVBand="1"/>
      </w:tblPr>
      <w:tblGrid>
        <w:gridCol w:w="3369"/>
        <w:gridCol w:w="6945"/>
      </w:tblGrid>
      <w:tr w:rsidR="00B10162" w:rsidRPr="00B10162" w14:paraId="0808A6B3" w14:textId="77777777" w:rsidTr="00082EE9">
        <w:tc>
          <w:tcPr>
            <w:tcW w:w="3369" w:type="dxa"/>
          </w:tcPr>
          <w:p w14:paraId="58EB99A8" w14:textId="77777777" w:rsidR="00805C20" w:rsidRPr="00B10162" w:rsidRDefault="00805C20" w:rsidP="00C70B3C">
            <w:pPr>
              <w:pStyle w:val="NormalWeb"/>
              <w:spacing w:before="60" w:beforeAutospacing="0" w:after="60" w:afterAutospacing="0"/>
              <w:rPr>
                <w:rFonts w:ascii="Arial" w:eastAsia="+mn-ea" w:hAnsi="Arial" w:cs="Arial"/>
                <w:b/>
                <w:position w:val="1"/>
                <w:sz w:val="22"/>
                <w:szCs w:val="22"/>
              </w:rPr>
            </w:pPr>
            <w:r w:rsidRPr="00B10162">
              <w:rPr>
                <w:rFonts w:ascii="Arial" w:eastAsia="+mn-ea" w:hAnsi="Arial" w:cs="Arial"/>
                <w:b/>
                <w:position w:val="1"/>
                <w:sz w:val="22"/>
                <w:szCs w:val="22"/>
              </w:rPr>
              <w:t>Approval date</w:t>
            </w:r>
          </w:p>
        </w:tc>
        <w:tc>
          <w:tcPr>
            <w:tcW w:w="6945" w:type="dxa"/>
          </w:tcPr>
          <w:p w14:paraId="6172B14C" w14:textId="77777777" w:rsidR="00805C20" w:rsidRPr="00B10162" w:rsidRDefault="00805C20" w:rsidP="00C70B3C">
            <w:pPr>
              <w:pStyle w:val="NormalWeb"/>
              <w:spacing w:before="60" w:beforeAutospacing="0" w:after="60" w:afterAutospacing="0"/>
              <w:rPr>
                <w:rFonts w:ascii="Arial" w:eastAsia="+mn-ea" w:hAnsi="Arial" w:cs="Arial"/>
                <w:position w:val="1"/>
                <w:sz w:val="22"/>
                <w:szCs w:val="22"/>
              </w:rPr>
            </w:pPr>
            <w:r w:rsidRPr="00B10162">
              <w:rPr>
                <w:rFonts w:ascii="Arial" w:eastAsia="+mn-ea" w:hAnsi="Arial" w:cs="Arial"/>
                <w:position w:val="1"/>
                <w:sz w:val="22"/>
                <w:szCs w:val="22"/>
              </w:rPr>
              <w:t>N/A</w:t>
            </w:r>
          </w:p>
        </w:tc>
      </w:tr>
      <w:tr w:rsidR="00B10162" w:rsidRPr="00B10162" w14:paraId="06ACE44B" w14:textId="77777777" w:rsidTr="00082EE9">
        <w:tc>
          <w:tcPr>
            <w:tcW w:w="3369" w:type="dxa"/>
          </w:tcPr>
          <w:p w14:paraId="4EEFDEB1" w14:textId="77777777" w:rsidR="00805C20" w:rsidRPr="00B10162" w:rsidRDefault="00805C20" w:rsidP="00C70B3C">
            <w:pPr>
              <w:pStyle w:val="NormalWeb"/>
              <w:spacing w:before="60" w:beforeAutospacing="0" w:after="60" w:afterAutospacing="0"/>
              <w:rPr>
                <w:rFonts w:ascii="Arial" w:eastAsia="+mn-ea" w:hAnsi="Arial" w:cs="Arial"/>
                <w:b/>
                <w:position w:val="1"/>
                <w:sz w:val="22"/>
                <w:szCs w:val="22"/>
              </w:rPr>
            </w:pPr>
            <w:r w:rsidRPr="00B10162">
              <w:rPr>
                <w:rFonts w:ascii="Arial" w:eastAsia="+mn-ea" w:hAnsi="Arial" w:cs="Arial"/>
                <w:b/>
                <w:position w:val="1"/>
                <w:sz w:val="22"/>
                <w:szCs w:val="22"/>
              </w:rPr>
              <w:t>Review date</w:t>
            </w:r>
          </w:p>
        </w:tc>
        <w:tc>
          <w:tcPr>
            <w:tcW w:w="6945" w:type="dxa"/>
          </w:tcPr>
          <w:p w14:paraId="633F18F2" w14:textId="77777777" w:rsidR="00805C20" w:rsidRPr="00B10162" w:rsidRDefault="00805C20" w:rsidP="00C70B3C">
            <w:pPr>
              <w:pStyle w:val="NormalWeb"/>
              <w:spacing w:before="60" w:beforeAutospacing="0" w:after="60" w:afterAutospacing="0"/>
              <w:rPr>
                <w:rFonts w:ascii="Arial" w:eastAsia="+mn-ea" w:hAnsi="Arial" w:cs="Arial"/>
                <w:position w:val="1"/>
                <w:sz w:val="22"/>
                <w:szCs w:val="22"/>
              </w:rPr>
            </w:pPr>
            <w:r w:rsidRPr="00B10162">
              <w:rPr>
                <w:rFonts w:ascii="Arial" w:eastAsia="+mn-ea" w:hAnsi="Arial" w:cs="Arial"/>
                <w:position w:val="1"/>
                <w:sz w:val="22"/>
                <w:szCs w:val="22"/>
              </w:rPr>
              <w:t>N/A</w:t>
            </w:r>
          </w:p>
        </w:tc>
      </w:tr>
    </w:tbl>
    <w:p w14:paraId="31BEC5B2" w14:textId="77777777" w:rsidR="00805C20" w:rsidRPr="00B10162" w:rsidRDefault="00805C20">
      <w:r w:rsidRPr="00B10162">
        <w:br w:type="page"/>
      </w:r>
    </w:p>
    <w:p w14:paraId="7EB31D32" w14:textId="77777777" w:rsidR="00805C20" w:rsidRPr="00B10162" w:rsidRDefault="00805C20" w:rsidP="00C70B3C">
      <w:pPr>
        <w:pStyle w:val="NormalWeb"/>
        <w:spacing w:before="0" w:beforeAutospacing="0" w:after="0" w:afterAutospacing="0"/>
        <w:rPr>
          <w:rFonts w:ascii="Arial" w:eastAsia="+mn-ea" w:hAnsi="Arial" w:cs="Arial"/>
          <w:b/>
          <w:position w:val="1"/>
          <w:sz w:val="32"/>
          <w:szCs w:val="32"/>
        </w:rPr>
      </w:pPr>
    </w:p>
    <w:p w14:paraId="3873F7B5" w14:textId="77777777" w:rsidR="00805C20" w:rsidRPr="00B10162" w:rsidRDefault="00805C20" w:rsidP="00C70B3C">
      <w:pPr>
        <w:pStyle w:val="NormalWeb"/>
        <w:tabs>
          <w:tab w:val="right" w:pos="10064"/>
        </w:tabs>
        <w:spacing w:before="0" w:beforeAutospacing="0" w:after="0" w:afterAutospacing="0"/>
        <w:rPr>
          <w:rFonts w:ascii="Arial" w:eastAsia="+mn-ea" w:hAnsi="Arial" w:cs="Arial"/>
          <w:b/>
          <w:position w:val="1"/>
          <w:sz w:val="32"/>
          <w:szCs w:val="32"/>
        </w:rPr>
      </w:pPr>
      <w:r w:rsidRPr="00B10162">
        <w:rPr>
          <w:rFonts w:ascii="Arial" w:eastAsia="+mn-ea" w:hAnsi="Arial" w:cs="Arial"/>
          <w:b/>
          <w:position w:val="1"/>
          <w:sz w:val="32"/>
          <w:szCs w:val="32"/>
        </w:rPr>
        <w:t>Details of Methodology Appraisal – 12/11/2015</w:t>
      </w:r>
      <w:r w:rsidRPr="00B10162">
        <w:rPr>
          <w:rFonts w:ascii="Arial" w:eastAsia="+mn-ea" w:hAnsi="Arial" w:cs="Arial"/>
          <w:b/>
          <w:position w:val="1"/>
          <w:sz w:val="32"/>
          <w:szCs w:val="32"/>
        </w:rPr>
        <w:tab/>
      </w:r>
    </w:p>
    <w:p w14:paraId="53F2AE00"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p>
    <w:tbl>
      <w:tblPr>
        <w:tblStyle w:val="TableGridLight"/>
        <w:tblW w:w="10314" w:type="dxa"/>
        <w:tblLook w:val="04A0" w:firstRow="1" w:lastRow="0" w:firstColumn="1" w:lastColumn="0" w:noHBand="0" w:noVBand="1"/>
      </w:tblPr>
      <w:tblGrid>
        <w:gridCol w:w="3369"/>
        <w:gridCol w:w="6945"/>
      </w:tblGrid>
      <w:tr w:rsidR="00B10162" w:rsidRPr="00B10162" w14:paraId="6E0DF0B9" w14:textId="77777777" w:rsidTr="00082EE9">
        <w:tc>
          <w:tcPr>
            <w:tcW w:w="3369" w:type="dxa"/>
          </w:tcPr>
          <w:p w14:paraId="200A0846" w14:textId="77777777" w:rsidR="00805C20" w:rsidRPr="00B10162" w:rsidRDefault="00805C20" w:rsidP="00C70B3C">
            <w:pPr>
              <w:pStyle w:val="NormalWeb"/>
              <w:spacing w:beforeLines="60" w:before="144" w:beforeAutospacing="0" w:afterLines="60" w:after="144" w:afterAutospacing="0"/>
              <w:rPr>
                <w:rFonts w:ascii="Arial" w:eastAsia="+mn-ea" w:hAnsi="Arial" w:cs="Arial"/>
                <w:b/>
                <w:position w:val="1"/>
                <w:sz w:val="22"/>
                <w:szCs w:val="22"/>
              </w:rPr>
            </w:pPr>
            <w:r w:rsidRPr="00B10162">
              <w:rPr>
                <w:rFonts w:ascii="Arial" w:eastAsia="+mn-ea" w:hAnsi="Arial" w:cs="Arial"/>
                <w:b/>
                <w:position w:val="1"/>
                <w:sz w:val="22"/>
                <w:szCs w:val="22"/>
              </w:rPr>
              <w:t>Methodology appraisal body</w:t>
            </w:r>
          </w:p>
        </w:tc>
        <w:tc>
          <w:tcPr>
            <w:tcW w:w="6945" w:type="dxa"/>
          </w:tcPr>
          <w:p w14:paraId="3BEC29D7"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position w:val="1"/>
                <w:sz w:val="22"/>
                <w:szCs w:val="22"/>
              </w:rPr>
              <w:t>HSCIC's Indicator &amp; Methodology Assurance Service</w:t>
            </w:r>
          </w:p>
        </w:tc>
      </w:tr>
      <w:tr w:rsidR="00B10162" w:rsidRPr="00B10162" w14:paraId="351AFD5E" w14:textId="77777777" w:rsidTr="00082EE9">
        <w:trPr>
          <w:trHeight w:val="359"/>
        </w:trPr>
        <w:tc>
          <w:tcPr>
            <w:tcW w:w="3369" w:type="dxa"/>
          </w:tcPr>
          <w:p w14:paraId="27D8DE52"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b/>
                <w:position w:val="1"/>
                <w:sz w:val="22"/>
                <w:szCs w:val="22"/>
              </w:rPr>
              <w:t>Reason for assessment</w:t>
            </w:r>
          </w:p>
        </w:tc>
        <w:tc>
          <w:tcPr>
            <w:tcW w:w="6945" w:type="dxa"/>
          </w:tcPr>
          <w:p w14:paraId="45D5C608"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position w:val="1"/>
                <w:sz w:val="22"/>
                <w:szCs w:val="22"/>
              </w:rPr>
              <w:t>Scheduled review (review date reached)</w:t>
            </w:r>
          </w:p>
        </w:tc>
      </w:tr>
      <w:tr w:rsidR="00B10162" w:rsidRPr="00B10162" w14:paraId="0675506E" w14:textId="77777777" w:rsidTr="00082EE9">
        <w:trPr>
          <w:trHeight w:val="557"/>
        </w:trPr>
        <w:tc>
          <w:tcPr>
            <w:tcW w:w="3369" w:type="dxa"/>
          </w:tcPr>
          <w:p w14:paraId="6776DE88"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b/>
                <w:position w:val="1"/>
                <w:sz w:val="22"/>
                <w:szCs w:val="22"/>
              </w:rPr>
              <w:t>Iteration</w:t>
            </w:r>
          </w:p>
        </w:tc>
        <w:tc>
          <w:tcPr>
            <w:tcW w:w="6945" w:type="dxa"/>
          </w:tcPr>
          <w:p w14:paraId="5643EA03"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position w:val="1"/>
                <w:sz w:val="22"/>
                <w:szCs w:val="22"/>
              </w:rPr>
              <w:t>2nd MRG meeting</w:t>
            </w:r>
          </w:p>
        </w:tc>
      </w:tr>
    </w:tbl>
    <w:p w14:paraId="5D9B4F8B" w14:textId="77777777" w:rsidR="00805C20" w:rsidRPr="00B10162" w:rsidRDefault="00805C20" w:rsidP="00C70B3C">
      <w:pPr>
        <w:rPr>
          <w:sz w:val="2"/>
        </w:rPr>
      </w:pPr>
    </w:p>
    <w:p w14:paraId="2A47818E" w14:textId="77777777" w:rsidR="00805C20" w:rsidRPr="00B10162" w:rsidRDefault="00805C20" w:rsidP="00C70B3C">
      <w:pPr>
        <w:spacing w:after="0"/>
        <w:rPr>
          <w:rFonts w:eastAsia="+mn-ea" w:cs="Arial"/>
          <w:b/>
          <w:i/>
          <w:position w:val="1"/>
          <w:sz w:val="26"/>
          <w:szCs w:val="26"/>
          <w:lang w:eastAsia="en-GB"/>
        </w:rPr>
      </w:pPr>
      <w:r w:rsidRPr="00B10162">
        <w:rPr>
          <w:rFonts w:eastAsia="+mn-ea" w:cs="Arial"/>
          <w:b/>
          <w:i/>
          <w:position w:val="1"/>
          <w:sz w:val="26"/>
          <w:szCs w:val="26"/>
          <w:lang w:eastAsia="en-GB"/>
        </w:rPr>
        <w:t>Suggested Assurance Rating by Methodology Appraisal Body</w:t>
      </w:r>
    </w:p>
    <w:p w14:paraId="1441FA4F" w14:textId="77777777" w:rsidR="00805C20" w:rsidRPr="00B10162" w:rsidRDefault="00C572D7" w:rsidP="00C70B3C">
      <w:pPr>
        <w:spacing w:after="0"/>
        <w:jc w:val="center"/>
        <w:rPr>
          <w:rFonts w:eastAsia="+mn-ea" w:cs="Arial"/>
          <w:b/>
          <w:position w:val="1"/>
          <w:sz w:val="26"/>
          <w:szCs w:val="26"/>
          <w:lang w:eastAsia="en-GB"/>
        </w:rPr>
      </w:pPr>
      <w:r>
        <w:rPr>
          <w:rFonts w:eastAsia="+mn-ea" w:cs="Arial"/>
          <w:b/>
          <w:position w:val="1"/>
          <w:sz w:val="26"/>
          <w:szCs w:val="26"/>
          <w:lang w:eastAsia="en-GB"/>
        </w:rPr>
        <w:pict w14:anchorId="64B44A72">
          <v:rect id="_x0000_i1027" style="width:503.2pt;height:1.5pt" o:hralign="center" o:hrstd="t" o:hr="t" fillcolor="#a0a0a0" stroked="f"/>
        </w:pict>
      </w:r>
    </w:p>
    <w:tbl>
      <w:tblPr>
        <w:tblStyle w:val="TableGridLight"/>
        <w:tblW w:w="0" w:type="auto"/>
        <w:tblLook w:val="04A0" w:firstRow="1" w:lastRow="0" w:firstColumn="1" w:lastColumn="0" w:noHBand="0" w:noVBand="1"/>
      </w:tblPr>
      <w:tblGrid>
        <w:gridCol w:w="3923"/>
        <w:gridCol w:w="2175"/>
        <w:gridCol w:w="3756"/>
      </w:tblGrid>
      <w:tr w:rsidR="00082EE9" w:rsidRPr="00B10162" w14:paraId="3C669498" w14:textId="77777777" w:rsidTr="00082EE9">
        <w:tc>
          <w:tcPr>
            <w:tcW w:w="3923" w:type="dxa"/>
          </w:tcPr>
          <w:p w14:paraId="2D60C7E4" w14:textId="41EBE4B9" w:rsidR="00082EE9" w:rsidRPr="00082EE9" w:rsidRDefault="00082EE9" w:rsidP="00082EE9">
            <w:pPr>
              <w:spacing w:before="120" w:after="0"/>
              <w:rPr>
                <w:rFonts w:eastAsia="+mn-ea" w:cs="Arial"/>
                <w:b/>
                <w:position w:val="1"/>
                <w:sz w:val="26"/>
                <w:szCs w:val="26"/>
              </w:rPr>
            </w:pPr>
            <w:r w:rsidRPr="00B10162">
              <w:rPr>
                <w:rFonts w:eastAsia="+mn-ea" w:cs="Arial"/>
                <w:b/>
                <w:position w:val="1"/>
                <w:sz w:val="26"/>
                <w:szCs w:val="26"/>
              </w:rPr>
              <w:t>Ratings Against Assessment Criteria</w:t>
            </w:r>
          </w:p>
        </w:tc>
        <w:tc>
          <w:tcPr>
            <w:tcW w:w="2175" w:type="dxa"/>
          </w:tcPr>
          <w:p w14:paraId="74E143C0" w14:textId="77777777" w:rsidR="00082EE9" w:rsidRPr="00B10162" w:rsidRDefault="00082EE9" w:rsidP="00C70B3C">
            <w:pPr>
              <w:spacing w:after="0" w:line="360" w:lineRule="auto"/>
              <w:jc w:val="center"/>
              <w:rPr>
                <w:rFonts w:cs="Calibri"/>
                <w:b/>
              </w:rPr>
            </w:pPr>
          </w:p>
        </w:tc>
        <w:tc>
          <w:tcPr>
            <w:tcW w:w="3756" w:type="dxa"/>
          </w:tcPr>
          <w:p w14:paraId="00F1195C" w14:textId="52C74697" w:rsidR="00082EE9" w:rsidRPr="00B10162" w:rsidRDefault="00082EE9" w:rsidP="00082EE9">
            <w:pPr>
              <w:spacing w:before="120" w:after="0"/>
              <w:jc w:val="center"/>
              <w:rPr>
                <w:rFonts w:eastAsia="+mn-ea" w:cs="Arial"/>
                <w:b/>
                <w:position w:val="1"/>
                <w:sz w:val="26"/>
                <w:szCs w:val="26"/>
              </w:rPr>
            </w:pPr>
            <w:r w:rsidRPr="00B10162">
              <w:rPr>
                <w:rFonts w:eastAsia="+mn-ea" w:cs="Arial"/>
                <w:b/>
                <w:position w:val="1"/>
                <w:sz w:val="26"/>
                <w:szCs w:val="26"/>
              </w:rPr>
              <w:t>Overall Rating</w:t>
            </w:r>
            <w:r>
              <w:rPr>
                <w:rFonts w:eastAsia="+mn-ea" w:cs="Arial"/>
                <w:b/>
                <w:position w:val="1"/>
                <w:sz w:val="26"/>
                <w:szCs w:val="26"/>
              </w:rPr>
              <w:t xml:space="preserve"> - </w:t>
            </w:r>
            <w:r w:rsidRPr="00B10162">
              <w:rPr>
                <w:rFonts w:eastAsia="+mn-ea" w:cs="Arial"/>
                <w:b/>
                <w:position w:val="1"/>
                <w:sz w:val="26"/>
                <w:szCs w:val="26"/>
              </w:rPr>
              <w:t>Not fit for use</w:t>
            </w:r>
          </w:p>
        </w:tc>
      </w:tr>
      <w:tr w:rsidR="00082EE9" w:rsidRPr="00B10162" w14:paraId="152FA7A8" w14:textId="77777777" w:rsidTr="00082EE9">
        <w:tc>
          <w:tcPr>
            <w:tcW w:w="3923" w:type="dxa"/>
            <w:hideMark/>
          </w:tcPr>
          <w:p w14:paraId="45276018" w14:textId="77777777" w:rsidR="00082EE9" w:rsidRPr="00B10162" w:rsidRDefault="00082EE9" w:rsidP="00C70B3C">
            <w:pPr>
              <w:spacing w:after="0" w:line="360" w:lineRule="auto"/>
              <w:rPr>
                <w:rFonts w:eastAsia="+mn-ea" w:cs="Arial"/>
                <w:position w:val="1"/>
                <w:sz w:val="26"/>
                <w:szCs w:val="26"/>
              </w:rPr>
            </w:pPr>
            <w:r w:rsidRPr="00B10162">
              <w:rPr>
                <w:rFonts w:eastAsia="+mn-ea" w:cs="Arial"/>
                <w:position w:val="1"/>
                <w:szCs w:val="40"/>
              </w:rPr>
              <w:t>Clarity</w:t>
            </w:r>
          </w:p>
        </w:tc>
        <w:tc>
          <w:tcPr>
            <w:tcW w:w="2175" w:type="dxa"/>
            <w:hideMark/>
          </w:tcPr>
          <w:p w14:paraId="129E59C1" w14:textId="5641F412" w:rsidR="00082EE9" w:rsidRPr="00B10162" w:rsidRDefault="00082EE9" w:rsidP="00C70B3C">
            <w:pPr>
              <w:spacing w:after="0" w:line="360" w:lineRule="auto"/>
              <w:jc w:val="center"/>
              <w:rPr>
                <w:rFonts w:eastAsia="+mn-ea" w:cs="Arial"/>
                <w:b/>
                <w:position w:val="1"/>
                <w:sz w:val="26"/>
                <w:szCs w:val="26"/>
              </w:rPr>
            </w:pPr>
            <w:r w:rsidRPr="00B10162">
              <w:rPr>
                <w:rFonts w:cs="Calibri"/>
                <w:b/>
              </w:rPr>
              <w:t>Fit for use</w:t>
            </w:r>
          </w:p>
        </w:tc>
        <w:tc>
          <w:tcPr>
            <w:tcW w:w="3756" w:type="dxa"/>
            <w:hideMark/>
          </w:tcPr>
          <w:p w14:paraId="5FE5FD34" w14:textId="69539018" w:rsidR="00082EE9" w:rsidRPr="00B10162" w:rsidRDefault="00082EE9" w:rsidP="00C70B3C">
            <w:pPr>
              <w:spacing w:before="100" w:beforeAutospacing="1" w:after="100" w:afterAutospacing="1" w:line="360" w:lineRule="auto"/>
              <w:jc w:val="center"/>
              <w:rPr>
                <w:rFonts w:eastAsia="+mn-ea" w:cs="Arial"/>
                <w:b/>
                <w:position w:val="1"/>
                <w:sz w:val="26"/>
                <w:szCs w:val="26"/>
              </w:rPr>
            </w:pPr>
          </w:p>
        </w:tc>
      </w:tr>
      <w:tr w:rsidR="00082EE9" w:rsidRPr="00B10162" w14:paraId="2070570A" w14:textId="77777777" w:rsidTr="00082EE9">
        <w:tc>
          <w:tcPr>
            <w:tcW w:w="3923" w:type="dxa"/>
            <w:hideMark/>
          </w:tcPr>
          <w:p w14:paraId="603FA3DB" w14:textId="77777777" w:rsidR="00082EE9" w:rsidRPr="00B10162" w:rsidRDefault="00082EE9" w:rsidP="00C70B3C">
            <w:pPr>
              <w:spacing w:after="0" w:line="360" w:lineRule="auto"/>
              <w:rPr>
                <w:rFonts w:eastAsia="+mn-ea" w:cs="Arial"/>
                <w:position w:val="1"/>
                <w:sz w:val="26"/>
                <w:szCs w:val="26"/>
              </w:rPr>
            </w:pPr>
            <w:r w:rsidRPr="00B10162">
              <w:rPr>
                <w:rFonts w:eastAsia="+mn-ea" w:cs="Arial"/>
                <w:position w:val="1"/>
                <w:szCs w:val="40"/>
              </w:rPr>
              <w:t>Rationale</w:t>
            </w:r>
          </w:p>
        </w:tc>
        <w:tc>
          <w:tcPr>
            <w:tcW w:w="2175" w:type="dxa"/>
            <w:hideMark/>
          </w:tcPr>
          <w:p w14:paraId="047E01DF" w14:textId="7287E274" w:rsidR="00082EE9" w:rsidRPr="00B10162" w:rsidRDefault="00082EE9" w:rsidP="00C70B3C">
            <w:pPr>
              <w:spacing w:after="0" w:line="360" w:lineRule="auto"/>
              <w:jc w:val="center"/>
              <w:rPr>
                <w:rFonts w:eastAsia="+mn-ea" w:cs="Arial"/>
                <w:b/>
                <w:position w:val="1"/>
                <w:sz w:val="26"/>
                <w:szCs w:val="26"/>
              </w:rPr>
            </w:pPr>
            <w:r w:rsidRPr="00B10162">
              <w:rPr>
                <w:rFonts w:cs="Calibri"/>
                <w:b/>
              </w:rPr>
              <w:t>Fit for use</w:t>
            </w:r>
          </w:p>
        </w:tc>
        <w:tc>
          <w:tcPr>
            <w:tcW w:w="0" w:type="auto"/>
            <w:hideMark/>
          </w:tcPr>
          <w:p w14:paraId="711A7E68" w14:textId="77777777" w:rsidR="00082EE9" w:rsidRPr="00B10162" w:rsidRDefault="00082EE9" w:rsidP="00C70B3C">
            <w:pPr>
              <w:spacing w:after="0" w:line="360" w:lineRule="auto"/>
              <w:rPr>
                <w:rFonts w:eastAsia="+mn-ea" w:cs="Arial"/>
                <w:b/>
                <w:position w:val="1"/>
                <w:sz w:val="26"/>
                <w:szCs w:val="26"/>
              </w:rPr>
            </w:pPr>
          </w:p>
        </w:tc>
      </w:tr>
      <w:tr w:rsidR="00082EE9" w:rsidRPr="00B10162" w14:paraId="3C669548" w14:textId="77777777" w:rsidTr="00082EE9">
        <w:tc>
          <w:tcPr>
            <w:tcW w:w="3923" w:type="dxa"/>
            <w:hideMark/>
          </w:tcPr>
          <w:p w14:paraId="10C7ECD5" w14:textId="77777777" w:rsidR="00082EE9" w:rsidRPr="00B10162" w:rsidRDefault="00082EE9" w:rsidP="00082EE9">
            <w:pPr>
              <w:spacing w:after="0" w:line="360" w:lineRule="auto"/>
              <w:rPr>
                <w:rFonts w:eastAsia="+mn-ea" w:cs="Arial"/>
                <w:position w:val="1"/>
                <w:sz w:val="26"/>
                <w:szCs w:val="26"/>
              </w:rPr>
            </w:pPr>
            <w:r w:rsidRPr="00B10162">
              <w:rPr>
                <w:rFonts w:eastAsia="+mn-ea" w:cs="Arial"/>
                <w:position w:val="1"/>
                <w:szCs w:val="40"/>
              </w:rPr>
              <w:t>Data</w:t>
            </w:r>
          </w:p>
        </w:tc>
        <w:tc>
          <w:tcPr>
            <w:tcW w:w="2175" w:type="dxa"/>
            <w:vAlign w:val="center"/>
            <w:hideMark/>
          </w:tcPr>
          <w:p w14:paraId="60D564D2" w14:textId="044C4A19" w:rsidR="00082EE9" w:rsidRPr="00B10162" w:rsidRDefault="00082EE9" w:rsidP="00082EE9">
            <w:pPr>
              <w:spacing w:after="0" w:line="360" w:lineRule="auto"/>
              <w:jc w:val="center"/>
              <w:rPr>
                <w:rFonts w:eastAsia="+mn-ea" w:cs="Arial"/>
                <w:b/>
                <w:position w:val="1"/>
                <w:sz w:val="26"/>
                <w:szCs w:val="26"/>
              </w:rPr>
            </w:pPr>
            <w:r w:rsidRPr="00B10162">
              <w:rPr>
                <w:rFonts w:cs="Calibri"/>
                <w:b/>
              </w:rPr>
              <w:t>Fit for use with caveats</w:t>
            </w:r>
          </w:p>
        </w:tc>
        <w:tc>
          <w:tcPr>
            <w:tcW w:w="0" w:type="auto"/>
            <w:hideMark/>
          </w:tcPr>
          <w:p w14:paraId="7589A407" w14:textId="77777777" w:rsidR="00082EE9" w:rsidRPr="00B10162" w:rsidRDefault="00082EE9" w:rsidP="00082EE9">
            <w:pPr>
              <w:spacing w:after="0" w:line="360" w:lineRule="auto"/>
              <w:rPr>
                <w:rFonts w:eastAsia="+mn-ea" w:cs="Arial"/>
                <w:b/>
                <w:position w:val="1"/>
                <w:sz w:val="26"/>
                <w:szCs w:val="26"/>
              </w:rPr>
            </w:pPr>
          </w:p>
        </w:tc>
      </w:tr>
      <w:tr w:rsidR="00082EE9" w:rsidRPr="00B10162" w14:paraId="2AA24C95" w14:textId="77777777" w:rsidTr="00082EE9">
        <w:tc>
          <w:tcPr>
            <w:tcW w:w="3923" w:type="dxa"/>
            <w:hideMark/>
          </w:tcPr>
          <w:p w14:paraId="4679C4FF" w14:textId="77777777" w:rsidR="00082EE9" w:rsidRPr="00B10162" w:rsidRDefault="00082EE9" w:rsidP="00082EE9">
            <w:pPr>
              <w:spacing w:after="0" w:line="360" w:lineRule="auto"/>
              <w:rPr>
                <w:rFonts w:eastAsia="+mn-ea" w:cs="Arial"/>
                <w:position w:val="1"/>
                <w:sz w:val="26"/>
                <w:szCs w:val="26"/>
              </w:rPr>
            </w:pPr>
            <w:r w:rsidRPr="00B10162">
              <w:rPr>
                <w:rFonts w:eastAsia="+mn-ea" w:cs="Arial"/>
                <w:position w:val="1"/>
                <w:szCs w:val="40"/>
              </w:rPr>
              <w:t>Construction</w:t>
            </w:r>
          </w:p>
        </w:tc>
        <w:tc>
          <w:tcPr>
            <w:tcW w:w="2175" w:type="dxa"/>
            <w:vAlign w:val="center"/>
            <w:hideMark/>
          </w:tcPr>
          <w:p w14:paraId="48873C4F" w14:textId="7DC34E2F" w:rsidR="00082EE9" w:rsidRPr="00B10162" w:rsidRDefault="00082EE9" w:rsidP="00082EE9">
            <w:pPr>
              <w:spacing w:after="0" w:line="360" w:lineRule="auto"/>
              <w:jc w:val="center"/>
              <w:rPr>
                <w:rFonts w:eastAsia="+mn-ea" w:cs="Arial"/>
                <w:b/>
                <w:position w:val="1"/>
                <w:sz w:val="26"/>
                <w:szCs w:val="26"/>
              </w:rPr>
            </w:pPr>
            <w:r w:rsidRPr="00B10162">
              <w:rPr>
                <w:rFonts w:cs="Calibri"/>
                <w:b/>
              </w:rPr>
              <w:t>Fit for use with caveats</w:t>
            </w:r>
          </w:p>
        </w:tc>
        <w:tc>
          <w:tcPr>
            <w:tcW w:w="0" w:type="auto"/>
            <w:hideMark/>
          </w:tcPr>
          <w:p w14:paraId="07217C18" w14:textId="77777777" w:rsidR="00082EE9" w:rsidRPr="00B10162" w:rsidRDefault="00082EE9" w:rsidP="00082EE9">
            <w:pPr>
              <w:spacing w:after="0" w:line="360" w:lineRule="auto"/>
              <w:rPr>
                <w:rFonts w:eastAsia="+mn-ea" w:cs="Arial"/>
                <w:b/>
                <w:position w:val="1"/>
                <w:sz w:val="26"/>
                <w:szCs w:val="26"/>
              </w:rPr>
            </w:pPr>
          </w:p>
        </w:tc>
      </w:tr>
      <w:tr w:rsidR="00082EE9" w:rsidRPr="00B10162" w14:paraId="0C380754" w14:textId="77777777" w:rsidTr="00082EE9">
        <w:tc>
          <w:tcPr>
            <w:tcW w:w="3923" w:type="dxa"/>
            <w:hideMark/>
          </w:tcPr>
          <w:p w14:paraId="2F60BBE2" w14:textId="77777777" w:rsidR="00082EE9" w:rsidRPr="00B10162" w:rsidRDefault="00082EE9" w:rsidP="00C70B3C">
            <w:pPr>
              <w:spacing w:after="0" w:line="360" w:lineRule="auto"/>
              <w:rPr>
                <w:rFonts w:eastAsia="+mn-ea" w:cs="Arial"/>
                <w:position w:val="1"/>
                <w:sz w:val="26"/>
                <w:szCs w:val="26"/>
              </w:rPr>
            </w:pPr>
            <w:r w:rsidRPr="00B10162">
              <w:rPr>
                <w:rFonts w:eastAsia="+mn-ea" w:cs="Arial"/>
                <w:position w:val="1"/>
                <w:szCs w:val="40"/>
              </w:rPr>
              <w:t>Presentation and Interpretation</w:t>
            </w:r>
          </w:p>
        </w:tc>
        <w:tc>
          <w:tcPr>
            <w:tcW w:w="2175" w:type="dxa"/>
            <w:hideMark/>
          </w:tcPr>
          <w:p w14:paraId="2D149915" w14:textId="61AFAAFB" w:rsidR="00082EE9" w:rsidRPr="00B10162" w:rsidRDefault="00082EE9" w:rsidP="00C70B3C">
            <w:pPr>
              <w:spacing w:after="0" w:line="360" w:lineRule="auto"/>
              <w:jc w:val="center"/>
              <w:rPr>
                <w:rFonts w:eastAsia="+mn-ea" w:cs="Arial"/>
                <w:b/>
                <w:position w:val="1"/>
                <w:sz w:val="26"/>
                <w:szCs w:val="26"/>
              </w:rPr>
            </w:pPr>
            <w:r w:rsidRPr="00B10162">
              <w:rPr>
                <w:rFonts w:cs="Calibri"/>
                <w:b/>
              </w:rPr>
              <w:t>Not fit for use</w:t>
            </w:r>
          </w:p>
        </w:tc>
        <w:tc>
          <w:tcPr>
            <w:tcW w:w="3756" w:type="dxa"/>
            <w:hideMark/>
          </w:tcPr>
          <w:p w14:paraId="0A417527" w14:textId="24C73A05" w:rsidR="00082EE9" w:rsidRPr="00B10162" w:rsidRDefault="00082EE9" w:rsidP="00C70B3C">
            <w:pPr>
              <w:spacing w:after="0" w:line="360" w:lineRule="auto"/>
              <w:jc w:val="center"/>
              <w:rPr>
                <w:rFonts w:eastAsia="+mn-ea" w:cs="Arial"/>
                <w:b/>
                <w:position w:val="1"/>
                <w:sz w:val="26"/>
                <w:szCs w:val="26"/>
              </w:rPr>
            </w:pPr>
          </w:p>
        </w:tc>
      </w:tr>
      <w:tr w:rsidR="00082EE9" w:rsidRPr="00B10162" w14:paraId="2FB14935" w14:textId="77777777" w:rsidTr="00107ED3">
        <w:tc>
          <w:tcPr>
            <w:tcW w:w="3923" w:type="dxa"/>
            <w:hideMark/>
          </w:tcPr>
          <w:p w14:paraId="5C7DD0CB" w14:textId="77777777" w:rsidR="00082EE9" w:rsidRPr="00B10162" w:rsidRDefault="00082EE9" w:rsidP="00082EE9">
            <w:pPr>
              <w:spacing w:after="0" w:line="360" w:lineRule="auto"/>
              <w:rPr>
                <w:rFonts w:eastAsia="+mn-ea" w:cs="Arial"/>
                <w:position w:val="1"/>
                <w:sz w:val="26"/>
                <w:szCs w:val="26"/>
              </w:rPr>
            </w:pPr>
            <w:r w:rsidRPr="00B10162">
              <w:rPr>
                <w:rFonts w:eastAsia="+mn-ea" w:cs="Arial"/>
                <w:position w:val="1"/>
                <w:szCs w:val="40"/>
              </w:rPr>
              <w:t>Risks and Usefulness</w:t>
            </w:r>
          </w:p>
        </w:tc>
        <w:tc>
          <w:tcPr>
            <w:tcW w:w="2175" w:type="dxa"/>
            <w:vAlign w:val="center"/>
            <w:hideMark/>
          </w:tcPr>
          <w:p w14:paraId="61BFED30" w14:textId="33A28474" w:rsidR="00082EE9" w:rsidRPr="00B10162" w:rsidRDefault="00082EE9" w:rsidP="00082EE9">
            <w:pPr>
              <w:spacing w:after="0" w:line="360" w:lineRule="auto"/>
              <w:jc w:val="center"/>
              <w:rPr>
                <w:rFonts w:eastAsia="+mn-ea" w:cs="Arial"/>
                <w:b/>
                <w:position w:val="1"/>
                <w:sz w:val="26"/>
                <w:szCs w:val="26"/>
              </w:rPr>
            </w:pPr>
            <w:r w:rsidRPr="00B10162">
              <w:rPr>
                <w:rFonts w:cs="Calibri"/>
                <w:b/>
              </w:rPr>
              <w:t>Fit for use with caveats</w:t>
            </w:r>
          </w:p>
        </w:tc>
        <w:tc>
          <w:tcPr>
            <w:tcW w:w="0" w:type="auto"/>
            <w:hideMark/>
          </w:tcPr>
          <w:p w14:paraId="1AFB246E" w14:textId="77777777" w:rsidR="00082EE9" w:rsidRPr="00B10162" w:rsidRDefault="00082EE9" w:rsidP="00082EE9">
            <w:pPr>
              <w:spacing w:after="0" w:line="360" w:lineRule="auto"/>
              <w:rPr>
                <w:rFonts w:eastAsia="+mn-ea" w:cs="Arial"/>
                <w:b/>
                <w:position w:val="1"/>
                <w:sz w:val="26"/>
                <w:szCs w:val="26"/>
              </w:rPr>
            </w:pPr>
          </w:p>
        </w:tc>
      </w:tr>
    </w:tbl>
    <w:p w14:paraId="3F524767" w14:textId="77777777" w:rsidR="00805C20" w:rsidRPr="00B10162" w:rsidRDefault="00805C20" w:rsidP="00C70B3C">
      <w:pPr>
        <w:pStyle w:val="NormalWeb"/>
        <w:spacing w:before="0" w:beforeAutospacing="0" w:after="0" w:afterAutospacing="0" w:line="360" w:lineRule="auto"/>
        <w:rPr>
          <w:rFonts w:ascii="Arial" w:eastAsia="+mn-ea" w:hAnsi="Arial" w:cs="Arial"/>
          <w:b/>
          <w:position w:val="1"/>
          <w:sz w:val="26"/>
          <w:szCs w:val="26"/>
        </w:rPr>
      </w:pPr>
    </w:p>
    <w:p w14:paraId="528A0964" w14:textId="77777777" w:rsidR="00805C20" w:rsidRPr="00B10162" w:rsidRDefault="00805C20" w:rsidP="00C70B3C">
      <w:pPr>
        <w:spacing w:before="240"/>
        <w:rPr>
          <w:rFonts w:eastAsia="+mn-ea" w:cs="Arial"/>
          <w:b/>
          <w:position w:val="1"/>
          <w:szCs w:val="40"/>
        </w:rPr>
      </w:pPr>
      <w:r w:rsidRPr="00B10162">
        <w:rPr>
          <w:rFonts w:eastAsia="+mn-ea" w:cs="Arial"/>
          <w:b/>
          <w:position w:val="1"/>
          <w:szCs w:val="40"/>
        </w:rPr>
        <w:t>Summary Recommendation to Applicant:</w:t>
      </w:r>
    </w:p>
    <w:p w14:paraId="14972C67" w14:textId="77777777" w:rsidR="00805C20" w:rsidRPr="00B10162" w:rsidRDefault="00805C20" w:rsidP="00C70B3C">
      <w:pPr>
        <w:spacing w:before="240"/>
        <w:rPr>
          <w:rFonts w:eastAsia="+mn-ea" w:cs="Calibri"/>
          <w:position w:val="1"/>
        </w:rPr>
      </w:pPr>
      <w:r w:rsidRPr="00B10162">
        <w:rPr>
          <w:rFonts w:eastAsia="+mn-ea" w:cs="Calibri"/>
          <w:position w:val="1"/>
        </w:rPr>
        <w:t xml:space="preserve">Currently MRG are unable to endorse the indicator for inclusion in the Library due to the issues identified relating to how the indicator should be interpreted and as such its limited user base. MRG have however reflected that the indicator does have value within an informed user base.  </w:t>
      </w:r>
      <w:proofErr w:type="gramStart"/>
      <w:r w:rsidRPr="00B10162">
        <w:rPr>
          <w:rFonts w:eastAsia="+mn-ea" w:cs="Calibri"/>
          <w:position w:val="1"/>
        </w:rPr>
        <w:t>Additionally</w:t>
      </w:r>
      <w:proofErr w:type="gramEnd"/>
      <w:r w:rsidRPr="00B10162">
        <w:rPr>
          <w:rFonts w:eastAsia="+mn-ea" w:cs="Calibri"/>
          <w:position w:val="1"/>
        </w:rPr>
        <w:t xml:space="preserve"> MRG members recommend that the indicator is brought back to MRG as and when amendments to the contextual information has been considered.</w:t>
      </w:r>
    </w:p>
    <w:p w14:paraId="068F348D" w14:textId="77777777" w:rsidR="00805C20" w:rsidRPr="00B10162" w:rsidRDefault="00805C20" w:rsidP="00C70B3C">
      <w:pPr>
        <w:spacing w:before="240"/>
        <w:rPr>
          <w:rFonts w:eastAsia="+mn-ea" w:cs="Arial"/>
          <w:b/>
          <w:position w:val="1"/>
          <w:szCs w:val="40"/>
        </w:rPr>
      </w:pPr>
      <w:r w:rsidRPr="00B10162">
        <w:rPr>
          <w:rFonts w:eastAsia="+mn-ea" w:cs="Arial"/>
          <w:b/>
          <w:position w:val="1"/>
          <w:szCs w:val="40"/>
        </w:rPr>
        <w:t>Summary Recommendation to IGB:</w:t>
      </w:r>
    </w:p>
    <w:p w14:paraId="3EDFC37D" w14:textId="77777777" w:rsidR="00805C20" w:rsidRPr="00B10162" w:rsidRDefault="00805C20" w:rsidP="00C70B3C">
      <w:pPr>
        <w:spacing w:before="240"/>
        <w:rPr>
          <w:rFonts w:cs="Calibri"/>
          <w:lang w:eastAsia="en-GB"/>
        </w:rPr>
      </w:pPr>
      <w:r w:rsidRPr="00B10162">
        <w:rPr>
          <w:rFonts w:cs="Calibri"/>
          <w:lang w:eastAsia="en-GB"/>
        </w:rPr>
        <w:t xml:space="preserve">The indicator is currently difficult to interpret, as the indicator measures all stroke patients as opposed to only those patients who are eligible for thrombolysis, which is a far smaller subset currently estimated to be approximately 15 – 20%. MRG previously requested that the indicator denominator only be patients who are eligible for thrombolysis, however after this was presented to the group by Professor Tony Rudd, he explained to the group that the way in which eligibility is collected is not reliable and can be gamed. He also explained that although the current methodology including all stroke patients was not ideal, it was useful and the best available. </w:t>
      </w:r>
      <w:r w:rsidRPr="00B10162">
        <w:rPr>
          <w:rFonts w:cs="Calibri"/>
          <w:lang w:eastAsia="en-GB"/>
        </w:rPr>
        <w:br/>
      </w:r>
      <w:r w:rsidRPr="00B10162">
        <w:rPr>
          <w:rFonts w:cs="Calibri"/>
          <w:lang w:eastAsia="en-GB"/>
        </w:rPr>
        <w:br/>
      </w:r>
      <w:r w:rsidRPr="00B10162">
        <w:rPr>
          <w:rFonts w:cs="Calibri"/>
          <w:lang w:eastAsia="en-GB"/>
        </w:rPr>
        <w:br/>
        <w:t xml:space="preserve">Therefore, MRG conclude that although they do not endorse the indicator for inclusion in the Library of Quality Assured Indicators, they appreciate </w:t>
      </w:r>
      <w:proofErr w:type="gramStart"/>
      <w:r w:rsidRPr="00B10162">
        <w:rPr>
          <w:rFonts w:cs="Calibri"/>
          <w:lang w:eastAsia="en-GB"/>
        </w:rPr>
        <w:t>its</w:t>
      </w:r>
      <w:proofErr w:type="gramEnd"/>
      <w:r w:rsidRPr="00B10162">
        <w:rPr>
          <w:rFonts w:cs="Calibri"/>
          <w:lang w:eastAsia="en-GB"/>
        </w:rPr>
        <w:t xml:space="preserve"> value in this field. </w:t>
      </w:r>
      <w:proofErr w:type="gramStart"/>
      <w:r w:rsidRPr="00B10162">
        <w:rPr>
          <w:rFonts w:cs="Calibri"/>
          <w:lang w:eastAsia="en-GB"/>
        </w:rPr>
        <w:t>However</w:t>
      </w:r>
      <w:proofErr w:type="gramEnd"/>
      <w:r w:rsidRPr="00B10162">
        <w:rPr>
          <w:rFonts w:cs="Calibri"/>
          <w:lang w:eastAsia="en-GB"/>
        </w:rPr>
        <w:t xml:space="preserve"> the </w:t>
      </w:r>
      <w:r w:rsidRPr="00B10162">
        <w:rPr>
          <w:rFonts w:cs="Calibri"/>
          <w:lang w:eastAsia="en-GB"/>
        </w:rPr>
        <w:lastRenderedPageBreak/>
        <w:t>group feel that only informed users would be able to interpret the indicator as it currently stands.</w:t>
      </w:r>
    </w:p>
    <w:p w14:paraId="295B6A14" w14:textId="77777777" w:rsidR="00805C20" w:rsidRPr="00B10162" w:rsidRDefault="00805C20" w:rsidP="00C70B3C">
      <w:pPr>
        <w:rPr>
          <w:b/>
        </w:rPr>
      </w:pPr>
    </w:p>
    <w:p w14:paraId="330148AC" w14:textId="77777777" w:rsidR="00805C20" w:rsidRPr="00B10162" w:rsidRDefault="00805C20" w:rsidP="00C70B3C">
      <w:pPr>
        <w:rPr>
          <w:rFonts w:ascii="Cambria" w:hAnsi="Cambria"/>
          <w:b/>
          <w:spacing w:val="5"/>
          <w:kern w:val="28"/>
          <w:szCs w:val="52"/>
        </w:rPr>
      </w:pPr>
      <w:r w:rsidRPr="00B10162">
        <w:rPr>
          <w:b/>
        </w:rPr>
        <w:t>Please find a detailed description of recommendations and actions in the appraisal log at the end of the document.</w:t>
      </w:r>
    </w:p>
    <w:p w14:paraId="534DCC4B" w14:textId="77777777" w:rsidR="00805C20" w:rsidRPr="00B10162" w:rsidRDefault="00805C20">
      <w:pPr>
        <w:rPr>
          <w:rFonts w:eastAsia="+mn-ea"/>
          <w:sz w:val="40"/>
        </w:rPr>
      </w:pPr>
      <w:r w:rsidRPr="00B10162">
        <w:rPr>
          <w:rFonts w:eastAsia="+mn-ea"/>
          <w:sz w:val="40"/>
        </w:rPr>
        <w:br w:type="page"/>
      </w:r>
    </w:p>
    <w:p w14:paraId="6AA342F8" w14:textId="77777777" w:rsidR="00805C20" w:rsidRPr="00B10162" w:rsidRDefault="00805C20" w:rsidP="00C70B3C">
      <w:pPr>
        <w:pStyle w:val="NormalWeb"/>
        <w:tabs>
          <w:tab w:val="right" w:pos="10064"/>
        </w:tabs>
        <w:spacing w:before="0" w:beforeAutospacing="0" w:after="0" w:afterAutospacing="0"/>
        <w:rPr>
          <w:rFonts w:ascii="Arial" w:eastAsia="+mn-ea" w:hAnsi="Arial" w:cs="Arial"/>
          <w:b/>
          <w:position w:val="1"/>
          <w:sz w:val="32"/>
          <w:szCs w:val="32"/>
        </w:rPr>
      </w:pPr>
    </w:p>
    <w:p w14:paraId="144D0940" w14:textId="77777777" w:rsidR="00805C20" w:rsidRPr="00B10162" w:rsidRDefault="00805C20" w:rsidP="00C70B3C">
      <w:pPr>
        <w:pStyle w:val="NormalWeb"/>
        <w:tabs>
          <w:tab w:val="right" w:pos="10064"/>
        </w:tabs>
        <w:spacing w:before="0" w:beforeAutospacing="0" w:after="0" w:afterAutospacing="0"/>
        <w:rPr>
          <w:rFonts w:ascii="Arial" w:eastAsia="+mn-ea" w:hAnsi="Arial" w:cs="Arial"/>
          <w:b/>
          <w:position w:val="1"/>
          <w:sz w:val="32"/>
          <w:szCs w:val="32"/>
        </w:rPr>
      </w:pPr>
      <w:r w:rsidRPr="00B10162">
        <w:rPr>
          <w:rFonts w:ascii="Arial" w:eastAsia="+mn-ea" w:hAnsi="Arial" w:cs="Arial"/>
          <w:b/>
          <w:position w:val="1"/>
          <w:sz w:val="32"/>
          <w:szCs w:val="32"/>
        </w:rPr>
        <w:t>Details of Methodology Appraisal – 10/09/2015</w:t>
      </w:r>
      <w:r w:rsidRPr="00B10162">
        <w:rPr>
          <w:rFonts w:ascii="Arial" w:eastAsia="+mn-ea" w:hAnsi="Arial" w:cs="Arial"/>
          <w:b/>
          <w:position w:val="1"/>
          <w:sz w:val="32"/>
          <w:szCs w:val="32"/>
        </w:rPr>
        <w:tab/>
      </w:r>
    </w:p>
    <w:p w14:paraId="6A6897F7" w14:textId="77777777" w:rsidR="00805C20" w:rsidRPr="00B10162" w:rsidRDefault="00805C20" w:rsidP="00C70B3C">
      <w:pPr>
        <w:pStyle w:val="NormalWeb"/>
        <w:spacing w:before="0" w:beforeAutospacing="0" w:after="0" w:afterAutospacing="0"/>
        <w:rPr>
          <w:rFonts w:ascii="Arial" w:eastAsia="+mn-ea" w:hAnsi="Arial" w:cs="Arial"/>
          <w:b/>
          <w:position w:val="1"/>
          <w:sz w:val="26"/>
          <w:szCs w:val="26"/>
        </w:rPr>
      </w:pPr>
    </w:p>
    <w:tbl>
      <w:tblPr>
        <w:tblStyle w:val="TableGridLight"/>
        <w:tblW w:w="10314" w:type="dxa"/>
        <w:tblLook w:val="04A0" w:firstRow="1" w:lastRow="0" w:firstColumn="1" w:lastColumn="0" w:noHBand="0" w:noVBand="1"/>
      </w:tblPr>
      <w:tblGrid>
        <w:gridCol w:w="3369"/>
        <w:gridCol w:w="6945"/>
      </w:tblGrid>
      <w:tr w:rsidR="00B10162" w:rsidRPr="00B10162" w14:paraId="3399D08A" w14:textId="77777777" w:rsidTr="00082EE9">
        <w:tc>
          <w:tcPr>
            <w:tcW w:w="3369" w:type="dxa"/>
          </w:tcPr>
          <w:p w14:paraId="499AD604" w14:textId="77777777" w:rsidR="00805C20" w:rsidRPr="00B10162" w:rsidRDefault="00805C20" w:rsidP="00C70B3C">
            <w:pPr>
              <w:pStyle w:val="NormalWeb"/>
              <w:spacing w:beforeLines="60" w:before="144" w:beforeAutospacing="0" w:afterLines="60" w:after="144" w:afterAutospacing="0"/>
              <w:rPr>
                <w:rFonts w:ascii="Arial" w:eastAsia="+mn-ea" w:hAnsi="Arial" w:cs="Arial"/>
                <w:b/>
                <w:position w:val="1"/>
                <w:sz w:val="22"/>
                <w:szCs w:val="22"/>
              </w:rPr>
            </w:pPr>
            <w:r w:rsidRPr="00B10162">
              <w:rPr>
                <w:rFonts w:ascii="Arial" w:eastAsia="+mn-ea" w:hAnsi="Arial" w:cs="Arial"/>
                <w:b/>
                <w:position w:val="1"/>
                <w:sz w:val="22"/>
                <w:szCs w:val="22"/>
              </w:rPr>
              <w:t>Methodology appraisal body</w:t>
            </w:r>
          </w:p>
        </w:tc>
        <w:tc>
          <w:tcPr>
            <w:tcW w:w="6945" w:type="dxa"/>
          </w:tcPr>
          <w:p w14:paraId="541137E3"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position w:val="1"/>
                <w:sz w:val="22"/>
                <w:szCs w:val="22"/>
              </w:rPr>
              <w:t>HSCIC's Indicator &amp; Methodology Assurance Service</w:t>
            </w:r>
          </w:p>
        </w:tc>
      </w:tr>
      <w:tr w:rsidR="00B10162" w:rsidRPr="00B10162" w14:paraId="4B5CC266" w14:textId="77777777" w:rsidTr="00082EE9">
        <w:trPr>
          <w:trHeight w:val="359"/>
        </w:trPr>
        <w:tc>
          <w:tcPr>
            <w:tcW w:w="3369" w:type="dxa"/>
          </w:tcPr>
          <w:p w14:paraId="2EE20624"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b/>
                <w:position w:val="1"/>
                <w:sz w:val="22"/>
                <w:szCs w:val="22"/>
              </w:rPr>
              <w:t>Reason for assessment</w:t>
            </w:r>
          </w:p>
        </w:tc>
        <w:tc>
          <w:tcPr>
            <w:tcW w:w="6945" w:type="dxa"/>
          </w:tcPr>
          <w:p w14:paraId="30125BE9"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position w:val="1"/>
                <w:sz w:val="22"/>
                <w:szCs w:val="22"/>
              </w:rPr>
              <w:t>Scheduled review (review date reached)</w:t>
            </w:r>
          </w:p>
        </w:tc>
      </w:tr>
      <w:tr w:rsidR="00B10162" w:rsidRPr="00B10162" w14:paraId="0372CECC" w14:textId="77777777" w:rsidTr="00082EE9">
        <w:trPr>
          <w:trHeight w:val="557"/>
        </w:trPr>
        <w:tc>
          <w:tcPr>
            <w:tcW w:w="3369" w:type="dxa"/>
          </w:tcPr>
          <w:p w14:paraId="409AAB35"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b/>
                <w:position w:val="1"/>
                <w:sz w:val="22"/>
                <w:szCs w:val="22"/>
              </w:rPr>
              <w:t>Iteration</w:t>
            </w:r>
          </w:p>
        </w:tc>
        <w:tc>
          <w:tcPr>
            <w:tcW w:w="6945" w:type="dxa"/>
          </w:tcPr>
          <w:p w14:paraId="08A6D62A" w14:textId="77777777" w:rsidR="00805C20" w:rsidRPr="00B10162" w:rsidRDefault="00805C20" w:rsidP="00C70B3C">
            <w:pPr>
              <w:pStyle w:val="NormalWeb"/>
              <w:spacing w:beforeLines="60" w:before="144" w:beforeAutospacing="0" w:afterLines="60" w:after="144" w:afterAutospacing="0"/>
              <w:rPr>
                <w:rFonts w:ascii="Arial" w:eastAsia="+mn-ea" w:hAnsi="Arial" w:cs="Arial"/>
                <w:position w:val="1"/>
                <w:sz w:val="22"/>
                <w:szCs w:val="22"/>
              </w:rPr>
            </w:pPr>
            <w:r w:rsidRPr="00B10162">
              <w:rPr>
                <w:rFonts w:ascii="Arial" w:eastAsia="+mn-ea" w:hAnsi="Arial" w:cs="Arial"/>
                <w:position w:val="1"/>
                <w:sz w:val="22"/>
                <w:szCs w:val="22"/>
              </w:rPr>
              <w:t>1st MRG meeting</w:t>
            </w:r>
          </w:p>
        </w:tc>
      </w:tr>
    </w:tbl>
    <w:p w14:paraId="66740ACD" w14:textId="77777777" w:rsidR="00805C20" w:rsidRPr="00B10162" w:rsidRDefault="00805C20" w:rsidP="00C70B3C"/>
    <w:p w14:paraId="0CCF3823" w14:textId="77777777" w:rsidR="00805C20" w:rsidRPr="00B10162" w:rsidRDefault="00805C20" w:rsidP="00C70B3C">
      <w:pPr>
        <w:spacing w:after="0"/>
        <w:rPr>
          <w:rFonts w:eastAsia="+mn-ea" w:cs="Arial"/>
          <w:b/>
          <w:i/>
          <w:position w:val="1"/>
          <w:sz w:val="26"/>
          <w:szCs w:val="26"/>
          <w:lang w:eastAsia="en-GB"/>
        </w:rPr>
      </w:pPr>
      <w:r w:rsidRPr="00B10162">
        <w:rPr>
          <w:rFonts w:eastAsia="+mn-ea" w:cs="Arial"/>
          <w:b/>
          <w:i/>
          <w:position w:val="1"/>
          <w:sz w:val="26"/>
          <w:szCs w:val="26"/>
          <w:lang w:eastAsia="en-GB"/>
        </w:rPr>
        <w:t>Suggested Assurance Rating by Methodology Appraisal Body</w:t>
      </w:r>
    </w:p>
    <w:p w14:paraId="04A94C25" w14:textId="77777777" w:rsidR="00805C20" w:rsidRPr="00B10162" w:rsidRDefault="00C572D7" w:rsidP="00C70B3C">
      <w:pPr>
        <w:spacing w:after="0"/>
        <w:jc w:val="center"/>
        <w:rPr>
          <w:rFonts w:eastAsia="+mn-ea" w:cs="Arial"/>
          <w:b/>
          <w:position w:val="1"/>
          <w:sz w:val="26"/>
          <w:szCs w:val="26"/>
          <w:lang w:eastAsia="en-GB"/>
        </w:rPr>
      </w:pPr>
      <w:r>
        <w:rPr>
          <w:rFonts w:eastAsia="+mn-ea" w:cs="Arial"/>
          <w:b/>
          <w:position w:val="1"/>
          <w:sz w:val="26"/>
          <w:szCs w:val="26"/>
          <w:lang w:eastAsia="en-GB"/>
        </w:rPr>
        <w:pict w14:anchorId="1E7BF020">
          <v:rect id="_x0000_i1028" style="width:503.2pt;height:1.5pt" o:hralign="center" o:hrstd="t" o:hr="t" fillcolor="#a0a0a0" stroked="f"/>
        </w:pict>
      </w:r>
    </w:p>
    <w:tbl>
      <w:tblPr>
        <w:tblStyle w:val="TableGridLight"/>
        <w:tblW w:w="0" w:type="auto"/>
        <w:tblLook w:val="04A0" w:firstRow="1" w:lastRow="0" w:firstColumn="1" w:lastColumn="0" w:noHBand="0" w:noVBand="1"/>
      </w:tblPr>
      <w:tblGrid>
        <w:gridCol w:w="3923"/>
        <w:gridCol w:w="2175"/>
        <w:gridCol w:w="3756"/>
      </w:tblGrid>
      <w:tr w:rsidR="00082EE9" w:rsidRPr="00B10162" w14:paraId="58630CF0" w14:textId="77777777" w:rsidTr="001C18A7">
        <w:tc>
          <w:tcPr>
            <w:tcW w:w="3923" w:type="dxa"/>
          </w:tcPr>
          <w:p w14:paraId="72565CD2" w14:textId="64C1425A" w:rsidR="00082EE9" w:rsidRPr="00B10162" w:rsidRDefault="00082EE9" w:rsidP="00082EE9">
            <w:pPr>
              <w:spacing w:after="0" w:line="360" w:lineRule="auto"/>
              <w:rPr>
                <w:rFonts w:eastAsia="+mn-ea" w:cs="Arial"/>
                <w:position w:val="1"/>
                <w:szCs w:val="40"/>
              </w:rPr>
            </w:pPr>
            <w:r w:rsidRPr="00B10162">
              <w:rPr>
                <w:rFonts w:eastAsia="+mn-ea" w:cs="Arial"/>
                <w:b/>
                <w:position w:val="1"/>
                <w:sz w:val="26"/>
                <w:szCs w:val="26"/>
              </w:rPr>
              <w:t>Ratings Against Assessment Criteria</w:t>
            </w:r>
          </w:p>
        </w:tc>
        <w:tc>
          <w:tcPr>
            <w:tcW w:w="2175" w:type="dxa"/>
          </w:tcPr>
          <w:p w14:paraId="7633E7C9" w14:textId="77777777" w:rsidR="00082EE9" w:rsidRPr="00B10162" w:rsidRDefault="00082EE9" w:rsidP="00082EE9">
            <w:pPr>
              <w:spacing w:after="0" w:line="360" w:lineRule="auto"/>
              <w:jc w:val="center"/>
              <w:rPr>
                <w:rFonts w:cs="Calibri"/>
                <w:b/>
              </w:rPr>
            </w:pPr>
          </w:p>
        </w:tc>
        <w:tc>
          <w:tcPr>
            <w:tcW w:w="3756" w:type="dxa"/>
          </w:tcPr>
          <w:p w14:paraId="405001D5" w14:textId="651B600B" w:rsidR="00082EE9" w:rsidRPr="00B10162" w:rsidRDefault="00082EE9" w:rsidP="00082EE9">
            <w:pPr>
              <w:spacing w:before="100" w:beforeAutospacing="1" w:after="100" w:afterAutospacing="1" w:line="360" w:lineRule="auto"/>
              <w:jc w:val="center"/>
              <w:rPr>
                <w:rFonts w:eastAsia="+mn-ea" w:cs="Arial"/>
                <w:b/>
                <w:position w:val="1"/>
                <w:sz w:val="26"/>
                <w:szCs w:val="26"/>
              </w:rPr>
            </w:pPr>
            <w:r w:rsidRPr="00B10162">
              <w:rPr>
                <w:rFonts w:eastAsia="+mn-ea" w:cs="Arial"/>
                <w:b/>
                <w:position w:val="1"/>
                <w:sz w:val="26"/>
                <w:szCs w:val="26"/>
              </w:rPr>
              <w:t>Overall Rating</w:t>
            </w:r>
            <w:r>
              <w:rPr>
                <w:rFonts w:eastAsia="+mn-ea" w:cs="Arial"/>
                <w:b/>
                <w:position w:val="1"/>
                <w:sz w:val="26"/>
                <w:szCs w:val="26"/>
              </w:rPr>
              <w:t xml:space="preserve"> - </w:t>
            </w:r>
            <w:r w:rsidRPr="00B10162">
              <w:rPr>
                <w:rFonts w:eastAsia="+mn-ea" w:cs="Arial"/>
                <w:b/>
                <w:position w:val="1"/>
                <w:sz w:val="26"/>
                <w:szCs w:val="26"/>
              </w:rPr>
              <w:t>Not fit for use</w:t>
            </w:r>
          </w:p>
        </w:tc>
      </w:tr>
      <w:tr w:rsidR="00082EE9" w:rsidRPr="00B10162" w14:paraId="40C1F469" w14:textId="77777777" w:rsidTr="001C18A7">
        <w:tc>
          <w:tcPr>
            <w:tcW w:w="3923" w:type="dxa"/>
            <w:hideMark/>
          </w:tcPr>
          <w:p w14:paraId="4119E100" w14:textId="77777777" w:rsidR="00082EE9" w:rsidRPr="00B10162" w:rsidRDefault="00082EE9" w:rsidP="00082EE9">
            <w:pPr>
              <w:spacing w:after="0" w:line="360" w:lineRule="auto"/>
              <w:rPr>
                <w:rFonts w:eastAsia="+mn-ea" w:cs="Arial"/>
                <w:position w:val="1"/>
                <w:sz w:val="26"/>
                <w:szCs w:val="26"/>
              </w:rPr>
            </w:pPr>
            <w:r w:rsidRPr="00B10162">
              <w:rPr>
                <w:rFonts w:eastAsia="+mn-ea" w:cs="Arial"/>
                <w:position w:val="1"/>
                <w:szCs w:val="40"/>
              </w:rPr>
              <w:t>Clarity</w:t>
            </w:r>
          </w:p>
        </w:tc>
        <w:tc>
          <w:tcPr>
            <w:tcW w:w="2175" w:type="dxa"/>
            <w:hideMark/>
          </w:tcPr>
          <w:p w14:paraId="18D98695" w14:textId="77777777" w:rsidR="00082EE9" w:rsidRPr="00B10162" w:rsidRDefault="00082EE9" w:rsidP="00082EE9">
            <w:pPr>
              <w:spacing w:after="0" w:line="360" w:lineRule="auto"/>
              <w:jc w:val="center"/>
              <w:rPr>
                <w:rFonts w:eastAsia="+mn-ea" w:cs="Arial"/>
                <w:b/>
                <w:position w:val="1"/>
                <w:sz w:val="26"/>
                <w:szCs w:val="26"/>
              </w:rPr>
            </w:pPr>
            <w:r w:rsidRPr="00B10162">
              <w:rPr>
                <w:rFonts w:cs="Calibri"/>
                <w:b/>
              </w:rPr>
              <w:t>Fit for use</w:t>
            </w:r>
          </w:p>
        </w:tc>
        <w:tc>
          <w:tcPr>
            <w:tcW w:w="3756" w:type="dxa"/>
            <w:hideMark/>
          </w:tcPr>
          <w:p w14:paraId="6C0CC3D7" w14:textId="77777777" w:rsidR="00082EE9" w:rsidRPr="00B10162" w:rsidRDefault="00082EE9" w:rsidP="00082EE9">
            <w:pPr>
              <w:spacing w:before="100" w:beforeAutospacing="1" w:after="100" w:afterAutospacing="1" w:line="360" w:lineRule="auto"/>
              <w:jc w:val="center"/>
              <w:rPr>
                <w:rFonts w:eastAsia="+mn-ea" w:cs="Arial"/>
                <w:b/>
                <w:position w:val="1"/>
                <w:sz w:val="26"/>
                <w:szCs w:val="26"/>
              </w:rPr>
            </w:pPr>
          </w:p>
        </w:tc>
      </w:tr>
      <w:tr w:rsidR="00082EE9" w:rsidRPr="00B10162" w14:paraId="40C35177" w14:textId="77777777" w:rsidTr="001C18A7">
        <w:tc>
          <w:tcPr>
            <w:tcW w:w="3923" w:type="dxa"/>
            <w:hideMark/>
          </w:tcPr>
          <w:p w14:paraId="6BCA29CC" w14:textId="77777777" w:rsidR="00082EE9" w:rsidRPr="00B10162" w:rsidRDefault="00082EE9" w:rsidP="00082EE9">
            <w:pPr>
              <w:spacing w:after="0" w:line="360" w:lineRule="auto"/>
              <w:rPr>
                <w:rFonts w:eastAsia="+mn-ea" w:cs="Arial"/>
                <w:position w:val="1"/>
                <w:sz w:val="26"/>
                <w:szCs w:val="26"/>
              </w:rPr>
            </w:pPr>
            <w:r w:rsidRPr="00B10162">
              <w:rPr>
                <w:rFonts w:eastAsia="+mn-ea" w:cs="Arial"/>
                <w:position w:val="1"/>
                <w:szCs w:val="40"/>
              </w:rPr>
              <w:t>Rationale</w:t>
            </w:r>
          </w:p>
        </w:tc>
        <w:tc>
          <w:tcPr>
            <w:tcW w:w="2175" w:type="dxa"/>
            <w:hideMark/>
          </w:tcPr>
          <w:p w14:paraId="45B26627" w14:textId="77777777" w:rsidR="00082EE9" w:rsidRPr="00B10162" w:rsidRDefault="00082EE9" w:rsidP="00082EE9">
            <w:pPr>
              <w:spacing w:after="0" w:line="360" w:lineRule="auto"/>
              <w:jc w:val="center"/>
              <w:rPr>
                <w:rFonts w:eastAsia="+mn-ea" w:cs="Arial"/>
                <w:b/>
                <w:position w:val="1"/>
                <w:sz w:val="26"/>
                <w:szCs w:val="26"/>
              </w:rPr>
            </w:pPr>
            <w:r w:rsidRPr="00B10162">
              <w:rPr>
                <w:rFonts w:cs="Calibri"/>
                <w:b/>
              </w:rPr>
              <w:t>Fit for use</w:t>
            </w:r>
          </w:p>
        </w:tc>
        <w:tc>
          <w:tcPr>
            <w:tcW w:w="0" w:type="auto"/>
            <w:hideMark/>
          </w:tcPr>
          <w:p w14:paraId="6805C77F" w14:textId="77777777" w:rsidR="00082EE9" w:rsidRPr="00B10162" w:rsidRDefault="00082EE9" w:rsidP="00082EE9">
            <w:pPr>
              <w:spacing w:after="0" w:line="360" w:lineRule="auto"/>
              <w:rPr>
                <w:rFonts w:eastAsia="+mn-ea" w:cs="Arial"/>
                <w:b/>
                <w:position w:val="1"/>
                <w:sz w:val="26"/>
                <w:szCs w:val="26"/>
              </w:rPr>
            </w:pPr>
          </w:p>
        </w:tc>
      </w:tr>
      <w:tr w:rsidR="00082EE9" w:rsidRPr="00B10162" w14:paraId="2EFE5194" w14:textId="77777777" w:rsidTr="001C18A7">
        <w:tc>
          <w:tcPr>
            <w:tcW w:w="3923" w:type="dxa"/>
            <w:hideMark/>
          </w:tcPr>
          <w:p w14:paraId="20192583" w14:textId="77777777" w:rsidR="00082EE9" w:rsidRPr="00B10162" w:rsidRDefault="00082EE9" w:rsidP="00082EE9">
            <w:pPr>
              <w:spacing w:after="0" w:line="360" w:lineRule="auto"/>
              <w:rPr>
                <w:rFonts w:eastAsia="+mn-ea" w:cs="Arial"/>
                <w:position w:val="1"/>
                <w:sz w:val="26"/>
                <w:szCs w:val="26"/>
              </w:rPr>
            </w:pPr>
            <w:r w:rsidRPr="00B10162">
              <w:rPr>
                <w:rFonts w:eastAsia="+mn-ea" w:cs="Arial"/>
                <w:position w:val="1"/>
                <w:szCs w:val="40"/>
              </w:rPr>
              <w:t>Data</w:t>
            </w:r>
          </w:p>
        </w:tc>
        <w:tc>
          <w:tcPr>
            <w:tcW w:w="2175" w:type="dxa"/>
            <w:vAlign w:val="center"/>
            <w:hideMark/>
          </w:tcPr>
          <w:p w14:paraId="7FC0DFEA" w14:textId="77777777" w:rsidR="00082EE9" w:rsidRPr="00B10162" w:rsidRDefault="00082EE9" w:rsidP="00082EE9">
            <w:pPr>
              <w:spacing w:after="0" w:line="360" w:lineRule="auto"/>
              <w:jc w:val="center"/>
              <w:rPr>
                <w:rFonts w:eastAsia="+mn-ea" w:cs="Arial"/>
                <w:b/>
                <w:position w:val="1"/>
                <w:sz w:val="26"/>
                <w:szCs w:val="26"/>
              </w:rPr>
            </w:pPr>
            <w:r w:rsidRPr="00B10162">
              <w:rPr>
                <w:rFonts w:cs="Calibri"/>
                <w:b/>
              </w:rPr>
              <w:t>Fit for use with caveats</w:t>
            </w:r>
          </w:p>
        </w:tc>
        <w:tc>
          <w:tcPr>
            <w:tcW w:w="0" w:type="auto"/>
            <w:hideMark/>
          </w:tcPr>
          <w:p w14:paraId="255AFF3B" w14:textId="77777777" w:rsidR="00082EE9" w:rsidRPr="00B10162" w:rsidRDefault="00082EE9" w:rsidP="00082EE9">
            <w:pPr>
              <w:spacing w:after="0" w:line="360" w:lineRule="auto"/>
              <w:rPr>
                <w:rFonts w:eastAsia="+mn-ea" w:cs="Arial"/>
                <w:b/>
                <w:position w:val="1"/>
                <w:sz w:val="26"/>
                <w:szCs w:val="26"/>
              </w:rPr>
            </w:pPr>
          </w:p>
        </w:tc>
      </w:tr>
      <w:tr w:rsidR="00082EE9" w:rsidRPr="00B10162" w14:paraId="1F03DC6F" w14:textId="77777777" w:rsidTr="001C18A7">
        <w:tc>
          <w:tcPr>
            <w:tcW w:w="3923" w:type="dxa"/>
            <w:hideMark/>
          </w:tcPr>
          <w:p w14:paraId="6D8C57C1" w14:textId="77777777" w:rsidR="00082EE9" w:rsidRPr="00B10162" w:rsidRDefault="00082EE9" w:rsidP="00082EE9">
            <w:pPr>
              <w:spacing w:after="0" w:line="360" w:lineRule="auto"/>
              <w:rPr>
                <w:rFonts w:eastAsia="+mn-ea" w:cs="Arial"/>
                <w:position w:val="1"/>
                <w:sz w:val="26"/>
                <w:szCs w:val="26"/>
              </w:rPr>
            </w:pPr>
            <w:r w:rsidRPr="00B10162">
              <w:rPr>
                <w:rFonts w:eastAsia="+mn-ea" w:cs="Arial"/>
                <w:position w:val="1"/>
                <w:szCs w:val="40"/>
              </w:rPr>
              <w:t>Construction</w:t>
            </w:r>
          </w:p>
        </w:tc>
        <w:tc>
          <w:tcPr>
            <w:tcW w:w="2175" w:type="dxa"/>
            <w:vAlign w:val="center"/>
            <w:hideMark/>
          </w:tcPr>
          <w:p w14:paraId="3C0F81C5" w14:textId="77777777" w:rsidR="00082EE9" w:rsidRPr="00B10162" w:rsidRDefault="00082EE9" w:rsidP="00082EE9">
            <w:pPr>
              <w:spacing w:after="0" w:line="360" w:lineRule="auto"/>
              <w:jc w:val="center"/>
              <w:rPr>
                <w:rFonts w:eastAsia="+mn-ea" w:cs="Arial"/>
                <w:b/>
                <w:position w:val="1"/>
                <w:sz w:val="26"/>
                <w:szCs w:val="26"/>
              </w:rPr>
            </w:pPr>
            <w:r w:rsidRPr="00B10162">
              <w:rPr>
                <w:rFonts w:cs="Calibri"/>
                <w:b/>
              </w:rPr>
              <w:t>Fit for use with caveats</w:t>
            </w:r>
          </w:p>
        </w:tc>
        <w:tc>
          <w:tcPr>
            <w:tcW w:w="0" w:type="auto"/>
            <w:hideMark/>
          </w:tcPr>
          <w:p w14:paraId="39F249BE" w14:textId="77777777" w:rsidR="00082EE9" w:rsidRPr="00B10162" w:rsidRDefault="00082EE9" w:rsidP="00082EE9">
            <w:pPr>
              <w:spacing w:after="0" w:line="360" w:lineRule="auto"/>
              <w:rPr>
                <w:rFonts w:eastAsia="+mn-ea" w:cs="Arial"/>
                <w:b/>
                <w:position w:val="1"/>
                <w:sz w:val="26"/>
                <w:szCs w:val="26"/>
              </w:rPr>
            </w:pPr>
          </w:p>
        </w:tc>
      </w:tr>
      <w:tr w:rsidR="00082EE9" w:rsidRPr="00B10162" w14:paraId="34CA8660" w14:textId="77777777" w:rsidTr="001C18A7">
        <w:tc>
          <w:tcPr>
            <w:tcW w:w="3923" w:type="dxa"/>
            <w:hideMark/>
          </w:tcPr>
          <w:p w14:paraId="722C6311" w14:textId="77777777" w:rsidR="00082EE9" w:rsidRPr="00B10162" w:rsidRDefault="00082EE9" w:rsidP="00082EE9">
            <w:pPr>
              <w:spacing w:after="0" w:line="360" w:lineRule="auto"/>
              <w:rPr>
                <w:rFonts w:eastAsia="+mn-ea" w:cs="Arial"/>
                <w:position w:val="1"/>
                <w:sz w:val="26"/>
                <w:szCs w:val="26"/>
              </w:rPr>
            </w:pPr>
            <w:r w:rsidRPr="00B10162">
              <w:rPr>
                <w:rFonts w:eastAsia="+mn-ea" w:cs="Arial"/>
                <w:position w:val="1"/>
                <w:szCs w:val="40"/>
              </w:rPr>
              <w:t>Presentation and Interpretation</w:t>
            </w:r>
          </w:p>
        </w:tc>
        <w:tc>
          <w:tcPr>
            <w:tcW w:w="2175" w:type="dxa"/>
            <w:hideMark/>
          </w:tcPr>
          <w:p w14:paraId="2BE16DBA" w14:textId="77777777" w:rsidR="00082EE9" w:rsidRPr="00B10162" w:rsidRDefault="00082EE9" w:rsidP="00082EE9">
            <w:pPr>
              <w:spacing w:after="0" w:line="360" w:lineRule="auto"/>
              <w:jc w:val="center"/>
              <w:rPr>
                <w:rFonts w:eastAsia="+mn-ea" w:cs="Arial"/>
                <w:b/>
                <w:position w:val="1"/>
                <w:sz w:val="26"/>
                <w:szCs w:val="26"/>
              </w:rPr>
            </w:pPr>
            <w:r w:rsidRPr="00B10162">
              <w:rPr>
                <w:rFonts w:cs="Calibri"/>
                <w:b/>
              </w:rPr>
              <w:t>Not fit for use</w:t>
            </w:r>
          </w:p>
        </w:tc>
        <w:tc>
          <w:tcPr>
            <w:tcW w:w="3756" w:type="dxa"/>
            <w:hideMark/>
          </w:tcPr>
          <w:p w14:paraId="023B3770" w14:textId="77777777" w:rsidR="00082EE9" w:rsidRPr="00B10162" w:rsidRDefault="00082EE9" w:rsidP="00082EE9">
            <w:pPr>
              <w:spacing w:after="0" w:line="360" w:lineRule="auto"/>
              <w:jc w:val="center"/>
              <w:rPr>
                <w:rFonts w:eastAsia="+mn-ea" w:cs="Arial"/>
                <w:b/>
                <w:position w:val="1"/>
                <w:sz w:val="26"/>
                <w:szCs w:val="26"/>
              </w:rPr>
            </w:pPr>
          </w:p>
        </w:tc>
      </w:tr>
      <w:tr w:rsidR="00082EE9" w:rsidRPr="00B10162" w14:paraId="19CD427B" w14:textId="77777777" w:rsidTr="001C18A7">
        <w:tc>
          <w:tcPr>
            <w:tcW w:w="3923" w:type="dxa"/>
            <w:hideMark/>
          </w:tcPr>
          <w:p w14:paraId="5891DDAD" w14:textId="77777777" w:rsidR="00082EE9" w:rsidRPr="00B10162" w:rsidRDefault="00082EE9" w:rsidP="00082EE9">
            <w:pPr>
              <w:spacing w:after="0" w:line="360" w:lineRule="auto"/>
              <w:rPr>
                <w:rFonts w:eastAsia="+mn-ea" w:cs="Arial"/>
                <w:position w:val="1"/>
                <w:sz w:val="26"/>
                <w:szCs w:val="26"/>
              </w:rPr>
            </w:pPr>
            <w:r w:rsidRPr="00B10162">
              <w:rPr>
                <w:rFonts w:eastAsia="+mn-ea" w:cs="Arial"/>
                <w:position w:val="1"/>
                <w:szCs w:val="40"/>
              </w:rPr>
              <w:t>Risks and Usefulness</w:t>
            </w:r>
          </w:p>
        </w:tc>
        <w:tc>
          <w:tcPr>
            <w:tcW w:w="2175" w:type="dxa"/>
            <w:vAlign w:val="center"/>
            <w:hideMark/>
          </w:tcPr>
          <w:p w14:paraId="6EF22DA8" w14:textId="77777777" w:rsidR="00082EE9" w:rsidRPr="00B10162" w:rsidRDefault="00082EE9" w:rsidP="00082EE9">
            <w:pPr>
              <w:spacing w:after="0" w:line="360" w:lineRule="auto"/>
              <w:jc w:val="center"/>
              <w:rPr>
                <w:rFonts w:eastAsia="+mn-ea" w:cs="Arial"/>
                <w:b/>
                <w:position w:val="1"/>
                <w:sz w:val="26"/>
                <w:szCs w:val="26"/>
              </w:rPr>
            </w:pPr>
            <w:r w:rsidRPr="00B10162">
              <w:rPr>
                <w:rFonts w:cs="Calibri"/>
                <w:b/>
              </w:rPr>
              <w:t>Fit for use with caveats</w:t>
            </w:r>
          </w:p>
        </w:tc>
        <w:tc>
          <w:tcPr>
            <w:tcW w:w="0" w:type="auto"/>
            <w:hideMark/>
          </w:tcPr>
          <w:p w14:paraId="5BCE70E1" w14:textId="77777777" w:rsidR="00082EE9" w:rsidRPr="00B10162" w:rsidRDefault="00082EE9" w:rsidP="00082EE9">
            <w:pPr>
              <w:spacing w:after="0" w:line="360" w:lineRule="auto"/>
              <w:rPr>
                <w:rFonts w:eastAsia="+mn-ea" w:cs="Arial"/>
                <w:b/>
                <w:position w:val="1"/>
                <w:sz w:val="26"/>
                <w:szCs w:val="26"/>
              </w:rPr>
            </w:pPr>
          </w:p>
        </w:tc>
      </w:tr>
    </w:tbl>
    <w:p w14:paraId="24ADCF5D" w14:textId="77777777" w:rsidR="00805C20" w:rsidRPr="00B10162" w:rsidRDefault="00805C20" w:rsidP="00C70B3C">
      <w:pPr>
        <w:spacing w:before="240"/>
        <w:rPr>
          <w:rFonts w:eastAsia="+mn-ea" w:cs="Arial"/>
          <w:b/>
          <w:position w:val="1"/>
          <w:szCs w:val="40"/>
        </w:rPr>
      </w:pPr>
      <w:r w:rsidRPr="00B10162">
        <w:rPr>
          <w:rFonts w:eastAsia="+mn-ea" w:cs="Arial"/>
          <w:b/>
          <w:position w:val="1"/>
          <w:szCs w:val="40"/>
        </w:rPr>
        <w:t>Summary Recommendation to Applicant:</w:t>
      </w:r>
    </w:p>
    <w:p w14:paraId="3AF8D630" w14:textId="77777777" w:rsidR="00805C20" w:rsidRPr="00B10162" w:rsidRDefault="00805C20" w:rsidP="00C70B3C">
      <w:pPr>
        <w:spacing w:before="240"/>
        <w:rPr>
          <w:rFonts w:eastAsia="+mn-ea" w:cs="Arial"/>
          <w:b/>
          <w:position w:val="1"/>
          <w:szCs w:val="40"/>
        </w:rPr>
      </w:pPr>
      <w:r w:rsidRPr="00B10162">
        <w:rPr>
          <w:rFonts w:eastAsia="+mn-ea" w:cs="Calibri"/>
          <w:position w:val="1"/>
        </w:rPr>
        <w:t xml:space="preserve">MRG noted that the indicator has been previously assured as suitable for inclusion in the Library of Quality Assured Indicators, however this was under an earlier iteration of the assurance process.  Members thanked the applicant for the “uplift” in documentation which has allowed the indicator to be assessed against the standard criteria assessment and “levels of assurance”.  </w:t>
      </w:r>
      <w:r w:rsidRPr="00B10162">
        <w:rPr>
          <w:rFonts w:eastAsia="+mn-ea" w:cs="Calibri"/>
          <w:position w:val="1"/>
        </w:rPr>
        <w:br/>
      </w:r>
      <w:r w:rsidRPr="00B10162">
        <w:rPr>
          <w:rFonts w:eastAsia="+mn-ea" w:cs="Calibri"/>
          <w:position w:val="1"/>
        </w:rPr>
        <w:br/>
        <w:t>Upon review the indicator has been rated as “not fit for purpose” against the ‘Construction’ and “Interpretation” assessment criterion, which in turn mean that the indicator would not at present be suitable for inclusion in the Library. MRG were concerned that the current indicator is hard to interpret, as thrombolysis is not appropriate in most stroke patients and the indicator methodology put forward includes all stroke patients. The applicant needs to reconsider whether only measuring eligible patients would be more appropriate, as currently the indicator is very difficult for users to interpret.</w:t>
      </w:r>
      <w:r w:rsidRPr="00B10162">
        <w:rPr>
          <w:rFonts w:eastAsia="+mn-ea" w:cs="Calibri"/>
          <w:position w:val="1"/>
        </w:rPr>
        <w:br/>
      </w:r>
      <w:r w:rsidRPr="00B10162">
        <w:rPr>
          <w:rFonts w:eastAsia="+mn-ea" w:cs="Calibri"/>
          <w:position w:val="1"/>
        </w:rPr>
        <w:br/>
      </w:r>
      <w:r w:rsidRPr="00B10162">
        <w:rPr>
          <w:rFonts w:eastAsia="+mn-ea" w:cs="Calibri"/>
          <w:position w:val="1"/>
        </w:rPr>
        <w:br/>
      </w:r>
      <w:r w:rsidRPr="00B10162">
        <w:rPr>
          <w:rFonts w:eastAsia="+mn-ea" w:cs="Calibri"/>
          <w:position w:val="1"/>
        </w:rPr>
        <w:br/>
      </w:r>
      <w:r w:rsidRPr="00B10162">
        <w:rPr>
          <w:rFonts w:eastAsia="+mn-ea" w:cs="Arial"/>
          <w:b/>
          <w:position w:val="1"/>
          <w:szCs w:val="40"/>
        </w:rPr>
        <w:t>Summary Recommendation to IGB:</w:t>
      </w:r>
    </w:p>
    <w:p w14:paraId="773DBA23" w14:textId="77777777" w:rsidR="00805C20" w:rsidRPr="00B10162" w:rsidRDefault="00805C20" w:rsidP="00C70B3C">
      <w:pPr>
        <w:spacing w:before="240"/>
      </w:pPr>
      <w:r w:rsidRPr="00B10162">
        <w:rPr>
          <w:rFonts w:cs="Calibri"/>
          <w:lang w:eastAsia="en-GB"/>
        </w:rPr>
        <w:t xml:space="preserve">The indicator is currently difficult to interpret, as the indicator measures all stroke patients as opposed to only those patients who are eligible for thrombolysis (which is possible). </w:t>
      </w:r>
      <w:r w:rsidRPr="00B10162">
        <w:rPr>
          <w:rFonts w:cs="Calibri"/>
          <w:lang w:eastAsia="en-GB"/>
        </w:rPr>
        <w:lastRenderedPageBreak/>
        <w:t>Therefore, MRG strongly recommend the</w:t>
      </w:r>
      <w:r w:rsidRPr="00B10162">
        <w:rPr>
          <w:rFonts w:cs="Calibri"/>
          <w:lang w:eastAsia="en-GB"/>
        </w:rPr>
        <w:br/>
        <w:t>indicator returns to the group and currently do not endorse its inclusion in the Library.</w:t>
      </w:r>
      <w:r w:rsidRPr="00B10162">
        <w:rPr>
          <w:rFonts w:cs="Calibri"/>
          <w:lang w:eastAsia="en-GB"/>
        </w:rPr>
        <w:br/>
      </w:r>
      <w:r w:rsidRPr="00B10162">
        <w:t xml:space="preserve"> </w:t>
      </w:r>
    </w:p>
    <w:p w14:paraId="161AD497" w14:textId="77777777" w:rsidR="00805C20" w:rsidRPr="00B10162" w:rsidRDefault="00805C20" w:rsidP="00C70B3C">
      <w:pPr>
        <w:rPr>
          <w:rFonts w:ascii="Cambria" w:hAnsi="Cambria"/>
          <w:b/>
          <w:spacing w:val="5"/>
          <w:kern w:val="28"/>
          <w:szCs w:val="52"/>
        </w:rPr>
      </w:pPr>
      <w:r w:rsidRPr="00B10162">
        <w:rPr>
          <w:b/>
        </w:rPr>
        <w:t>Please find a detailed description of recommendations and actions in the appraisal log at the end of the document.</w:t>
      </w:r>
    </w:p>
    <w:p w14:paraId="1E5A72B5" w14:textId="77777777" w:rsidR="00805C20" w:rsidRPr="00B10162" w:rsidRDefault="00805C20">
      <w:pPr>
        <w:rPr>
          <w:rFonts w:eastAsia="+mn-ea"/>
          <w:sz w:val="40"/>
        </w:rPr>
      </w:pPr>
      <w:r w:rsidRPr="00B10162">
        <w:rPr>
          <w:rFonts w:eastAsia="+mn-ea"/>
          <w:sz w:val="40"/>
        </w:rPr>
        <w:br w:type="page"/>
      </w:r>
    </w:p>
    <w:p w14:paraId="0EEF5908" w14:textId="77777777" w:rsidR="00805C20" w:rsidRPr="00B10162" w:rsidRDefault="00805C20" w:rsidP="00C70B3C">
      <w:pPr>
        <w:pStyle w:val="NormalWeb"/>
        <w:spacing w:before="0" w:beforeAutospacing="0" w:after="0" w:afterAutospacing="0"/>
        <w:rPr>
          <w:rFonts w:ascii="Arial" w:eastAsia="+mn-ea" w:hAnsi="Arial" w:cs="Arial"/>
          <w:b/>
          <w:position w:val="1"/>
          <w:sz w:val="32"/>
          <w:szCs w:val="32"/>
        </w:rPr>
      </w:pPr>
      <w:r w:rsidRPr="00B10162">
        <w:rPr>
          <w:rFonts w:ascii="Arial" w:eastAsia="+mn-ea" w:hAnsi="Arial" w:cs="Arial"/>
          <w:b/>
          <w:position w:val="1"/>
          <w:sz w:val="32"/>
          <w:szCs w:val="32"/>
        </w:rPr>
        <w:lastRenderedPageBreak/>
        <w:t>What do the Assurance Ratings mean?</w:t>
      </w:r>
    </w:p>
    <w:p w14:paraId="0F374221" w14:textId="77777777" w:rsidR="00805C20" w:rsidRPr="00B10162" w:rsidRDefault="00805C20" w:rsidP="00C70B3C"/>
    <w:tbl>
      <w:tblPr>
        <w:tblStyle w:val="TableGridLight"/>
        <w:tblW w:w="0" w:type="auto"/>
        <w:tblLook w:val="04A0" w:firstRow="1" w:lastRow="0" w:firstColumn="1" w:lastColumn="0" w:noHBand="0" w:noVBand="1"/>
      </w:tblPr>
      <w:tblGrid>
        <w:gridCol w:w="2688"/>
        <w:gridCol w:w="6078"/>
      </w:tblGrid>
      <w:tr w:rsidR="00082EE9" w:rsidRPr="00B10162" w14:paraId="7756669B" w14:textId="77777777" w:rsidTr="00082EE9">
        <w:tc>
          <w:tcPr>
            <w:tcW w:w="2688" w:type="dxa"/>
          </w:tcPr>
          <w:p w14:paraId="20A35622" w14:textId="7E25C1EB" w:rsidR="00082EE9" w:rsidRPr="00B10162" w:rsidRDefault="00082EE9" w:rsidP="00C70B3C">
            <w:pPr>
              <w:spacing w:before="120" w:after="120"/>
              <w:rPr>
                <w:rFonts w:cs="Calibri"/>
                <w:b/>
              </w:rPr>
            </w:pPr>
            <w:bookmarkStart w:id="1" w:name="_Hlk34910372"/>
            <w:r w:rsidRPr="00B10162">
              <w:rPr>
                <w:b/>
                <w:sz w:val="28"/>
                <w:szCs w:val="28"/>
              </w:rPr>
              <w:t>Rating</w:t>
            </w:r>
          </w:p>
        </w:tc>
        <w:tc>
          <w:tcPr>
            <w:tcW w:w="6078" w:type="dxa"/>
          </w:tcPr>
          <w:p w14:paraId="352C160B" w14:textId="15C12E19" w:rsidR="00082EE9" w:rsidRPr="00B10162" w:rsidRDefault="00082EE9" w:rsidP="00C70B3C">
            <w:pPr>
              <w:spacing w:before="120" w:after="120"/>
            </w:pPr>
            <w:r w:rsidRPr="00B10162">
              <w:rPr>
                <w:b/>
                <w:sz w:val="28"/>
                <w:szCs w:val="28"/>
              </w:rPr>
              <w:t>Description</w:t>
            </w:r>
          </w:p>
        </w:tc>
      </w:tr>
      <w:tr w:rsidR="00082EE9" w:rsidRPr="00B10162" w14:paraId="59947F6A" w14:textId="77777777" w:rsidTr="00082EE9">
        <w:tc>
          <w:tcPr>
            <w:tcW w:w="2688" w:type="dxa"/>
          </w:tcPr>
          <w:p w14:paraId="35A96C63" w14:textId="77777777" w:rsidR="00082EE9" w:rsidRPr="00B10162" w:rsidRDefault="00082EE9" w:rsidP="00C70B3C">
            <w:pPr>
              <w:spacing w:before="120" w:after="120"/>
              <w:rPr>
                <w:rFonts w:cs="Calibri"/>
                <w:b/>
              </w:rPr>
            </w:pPr>
            <w:r w:rsidRPr="00B10162">
              <w:rPr>
                <w:rFonts w:cs="Calibri"/>
                <w:b/>
              </w:rPr>
              <w:t>Fit for use</w:t>
            </w:r>
          </w:p>
        </w:tc>
        <w:tc>
          <w:tcPr>
            <w:tcW w:w="6078" w:type="dxa"/>
          </w:tcPr>
          <w:p w14:paraId="3FAFE297" w14:textId="77777777" w:rsidR="00082EE9" w:rsidRPr="00B10162" w:rsidRDefault="00082EE9" w:rsidP="00C70B3C">
            <w:pPr>
              <w:spacing w:before="120" w:after="120"/>
            </w:pPr>
            <w:r w:rsidRPr="00B10162">
              <w:t>This indicator can be used with confidence that it is constructed in a sound manner that is fit for purpose.</w:t>
            </w:r>
          </w:p>
        </w:tc>
      </w:tr>
      <w:tr w:rsidR="00082EE9" w:rsidRPr="00B10162" w14:paraId="4F466539" w14:textId="77777777" w:rsidTr="00082EE9">
        <w:tc>
          <w:tcPr>
            <w:tcW w:w="2688" w:type="dxa"/>
          </w:tcPr>
          <w:p w14:paraId="71F53DAE" w14:textId="77777777" w:rsidR="00082EE9" w:rsidRPr="00B10162" w:rsidRDefault="00082EE9" w:rsidP="00C70B3C">
            <w:pPr>
              <w:spacing w:before="120" w:after="120"/>
              <w:rPr>
                <w:rFonts w:cs="Calibri"/>
                <w:b/>
              </w:rPr>
            </w:pPr>
            <w:r w:rsidRPr="00B10162">
              <w:rPr>
                <w:rFonts w:cs="Calibri"/>
                <w:b/>
              </w:rPr>
              <w:t>Fit for use with caveats</w:t>
            </w:r>
          </w:p>
        </w:tc>
        <w:tc>
          <w:tcPr>
            <w:tcW w:w="6078" w:type="dxa"/>
          </w:tcPr>
          <w:p w14:paraId="684C397D" w14:textId="77777777" w:rsidR="00082EE9" w:rsidRPr="00B10162" w:rsidRDefault="00082EE9" w:rsidP="00C70B3C">
            <w:pPr>
              <w:spacing w:before="120" w:after="120"/>
            </w:pPr>
            <w:r w:rsidRPr="00B10162">
              <w:t xml:space="preserve">The indicator is fit for </w:t>
            </w:r>
            <w:proofErr w:type="gramStart"/>
            <w:r w:rsidRPr="00B10162">
              <w:t>use,</w:t>
            </w:r>
            <w:proofErr w:type="gramEnd"/>
            <w:r w:rsidRPr="00B10162">
              <w:t xml:space="preserve"> however users should be aware of caveats and/or recommendations for improvement that have been identified during the assurance process.</w:t>
            </w:r>
          </w:p>
        </w:tc>
      </w:tr>
      <w:tr w:rsidR="00082EE9" w:rsidRPr="00B10162" w14:paraId="5AC589C9" w14:textId="77777777" w:rsidTr="00082EE9">
        <w:tc>
          <w:tcPr>
            <w:tcW w:w="2688" w:type="dxa"/>
          </w:tcPr>
          <w:p w14:paraId="319B01C4" w14:textId="77777777" w:rsidR="00082EE9" w:rsidRPr="00B10162" w:rsidRDefault="00082EE9" w:rsidP="00C70B3C">
            <w:pPr>
              <w:spacing w:before="120" w:after="120"/>
              <w:rPr>
                <w:rFonts w:cs="Calibri"/>
                <w:b/>
              </w:rPr>
            </w:pPr>
            <w:r w:rsidRPr="00B10162">
              <w:rPr>
                <w:rFonts w:cs="Calibri"/>
                <w:b/>
              </w:rPr>
              <w:t>Use with caution – data quality issue</w:t>
            </w:r>
          </w:p>
        </w:tc>
        <w:tc>
          <w:tcPr>
            <w:tcW w:w="6078" w:type="dxa"/>
          </w:tcPr>
          <w:p w14:paraId="229F77D9" w14:textId="77777777" w:rsidR="00082EE9" w:rsidRPr="00B10162" w:rsidRDefault="00082EE9" w:rsidP="00C70B3C">
            <w:pPr>
              <w:spacing w:before="120" w:after="120"/>
            </w:pPr>
            <w:r w:rsidRPr="00B10162">
              <w:t xml:space="preserve">The indicator is based on a sound methodology for which the assurance process </w:t>
            </w:r>
            <w:proofErr w:type="gramStart"/>
            <w:r w:rsidRPr="00B10162">
              <w:t>endorse</w:t>
            </w:r>
            <w:proofErr w:type="gramEnd"/>
            <w:r w:rsidRPr="00B10162">
              <w:t xml:space="preserve"> the use, however issues have been identified with the national data source which have implications for its use as an indicator.</w:t>
            </w:r>
          </w:p>
        </w:tc>
      </w:tr>
      <w:tr w:rsidR="00082EE9" w:rsidRPr="00B10162" w14:paraId="6AC89DE4" w14:textId="77777777" w:rsidTr="00082EE9">
        <w:tc>
          <w:tcPr>
            <w:tcW w:w="2688" w:type="dxa"/>
          </w:tcPr>
          <w:p w14:paraId="2E72801A" w14:textId="77777777" w:rsidR="00082EE9" w:rsidRPr="00B10162" w:rsidRDefault="00082EE9" w:rsidP="00C70B3C">
            <w:pPr>
              <w:spacing w:before="120" w:after="120"/>
              <w:rPr>
                <w:rFonts w:cs="Calibri"/>
                <w:b/>
              </w:rPr>
            </w:pPr>
            <w:r w:rsidRPr="00B10162">
              <w:rPr>
                <w:rFonts w:cs="Calibri"/>
                <w:b/>
              </w:rPr>
              <w:t>Not fit for use</w:t>
            </w:r>
          </w:p>
        </w:tc>
        <w:tc>
          <w:tcPr>
            <w:tcW w:w="6078" w:type="dxa"/>
          </w:tcPr>
          <w:p w14:paraId="79A930F8" w14:textId="77777777" w:rsidR="00082EE9" w:rsidRPr="00B10162" w:rsidRDefault="00082EE9" w:rsidP="00C70B3C">
            <w:pPr>
              <w:spacing w:before="120" w:after="120"/>
            </w:pPr>
            <w:r w:rsidRPr="00B10162">
              <w:t>Issues have been identified with the indicator which have resulted in the assurance process currently not endorsing its use as a quality indicator.</w:t>
            </w:r>
          </w:p>
        </w:tc>
      </w:tr>
      <w:tr w:rsidR="00082EE9" w:rsidRPr="00B10162" w14:paraId="4369F68D" w14:textId="77777777" w:rsidTr="00082EE9">
        <w:tc>
          <w:tcPr>
            <w:tcW w:w="2688" w:type="dxa"/>
          </w:tcPr>
          <w:p w14:paraId="0F2A893F" w14:textId="77777777" w:rsidR="00082EE9" w:rsidRPr="00B10162" w:rsidRDefault="00082EE9" w:rsidP="00C70B3C">
            <w:pPr>
              <w:spacing w:before="120" w:after="120"/>
              <w:rPr>
                <w:rFonts w:cs="Calibri"/>
                <w:b/>
              </w:rPr>
            </w:pPr>
            <w:r w:rsidRPr="00B10162">
              <w:rPr>
                <w:rFonts w:cs="Calibri"/>
                <w:b/>
              </w:rPr>
              <w:t>Not enough information provided</w:t>
            </w:r>
          </w:p>
        </w:tc>
        <w:tc>
          <w:tcPr>
            <w:tcW w:w="6078" w:type="dxa"/>
          </w:tcPr>
          <w:p w14:paraId="6DDFF293" w14:textId="77777777" w:rsidR="00082EE9" w:rsidRPr="00B10162" w:rsidRDefault="00082EE9" w:rsidP="00C70B3C">
            <w:pPr>
              <w:spacing w:before="120" w:after="120"/>
            </w:pPr>
            <w:r w:rsidRPr="00B10162">
              <w:t>There has not been enough information supplied to the assurance process to be able to accurately give the indicator a level of assurance.</w:t>
            </w:r>
          </w:p>
        </w:tc>
      </w:tr>
      <w:bookmarkEnd w:id="1"/>
    </w:tbl>
    <w:p w14:paraId="53245085" w14:textId="77777777" w:rsidR="00805C20" w:rsidRPr="00B10162" w:rsidRDefault="00805C20" w:rsidP="00C70B3C">
      <w:pPr>
        <w:pStyle w:val="NormalWeb"/>
        <w:spacing w:before="0" w:beforeAutospacing="0" w:after="0" w:afterAutospacing="0"/>
        <w:rPr>
          <w:rFonts w:eastAsia="+mn-ea"/>
          <w:sz w:val="40"/>
        </w:rPr>
      </w:pPr>
      <w:r w:rsidRPr="00B10162">
        <w:rPr>
          <w:rFonts w:eastAsia="+mn-ea"/>
          <w:sz w:val="40"/>
        </w:rPr>
        <w:br w:type="page"/>
      </w:r>
    </w:p>
    <w:p w14:paraId="3331DB3B" w14:textId="77777777" w:rsidR="00805C20" w:rsidRPr="00B10162" w:rsidRDefault="00805C20" w:rsidP="00C70B3C">
      <w:pPr>
        <w:spacing w:before="240"/>
        <w:rPr>
          <w:rFonts w:eastAsia="+mn-ea" w:cs="Arial"/>
          <w:b/>
          <w:position w:val="1"/>
          <w:sz w:val="32"/>
          <w:szCs w:val="40"/>
          <w:lang w:eastAsia="en-GB"/>
        </w:rPr>
        <w:sectPr w:rsidR="00805C20" w:rsidRPr="00B10162" w:rsidSect="00C70B3C">
          <w:headerReference w:type="default" r:id="rId23"/>
          <w:footerReference w:type="default" r:id="rId24"/>
          <w:headerReference w:type="first" r:id="rId25"/>
          <w:footerReference w:type="first" r:id="rId26"/>
          <w:pgSz w:w="11906" w:h="16838"/>
          <w:pgMar w:top="1021" w:right="1021" w:bottom="1021" w:left="1021" w:header="454" w:footer="680" w:gutter="0"/>
          <w:cols w:space="708"/>
          <w:docGrid w:linePitch="360"/>
        </w:sectPr>
      </w:pPr>
    </w:p>
    <w:p w14:paraId="1AB422E7" w14:textId="77777777" w:rsidR="00805C20" w:rsidRPr="00B10162" w:rsidRDefault="00805C20" w:rsidP="00C70B3C">
      <w:pPr>
        <w:pStyle w:val="NormalWeb"/>
        <w:spacing w:before="0" w:beforeAutospacing="0" w:after="0" w:afterAutospacing="0"/>
        <w:rPr>
          <w:rFonts w:ascii="Arial" w:eastAsia="+mn-ea" w:hAnsi="Arial" w:cs="Arial"/>
          <w:b/>
          <w:position w:val="1"/>
          <w:sz w:val="32"/>
          <w:szCs w:val="26"/>
        </w:rPr>
      </w:pPr>
      <w:r w:rsidRPr="00B10162">
        <w:rPr>
          <w:rFonts w:ascii="Arial" w:eastAsia="+mn-ea" w:hAnsi="Arial" w:cs="Arial"/>
          <w:b/>
          <w:position w:val="1"/>
          <w:sz w:val="32"/>
          <w:szCs w:val="26"/>
        </w:rPr>
        <w:lastRenderedPageBreak/>
        <w:t xml:space="preserve">Appraisal Log </w:t>
      </w:r>
    </w:p>
    <w:p w14:paraId="0BABC1CD" w14:textId="77777777" w:rsidR="00805C20" w:rsidRPr="00B10162" w:rsidRDefault="00805C20" w:rsidP="00C70B3C">
      <w:pPr>
        <w:pStyle w:val="NormalWeb"/>
        <w:spacing w:before="0" w:beforeAutospacing="0" w:after="0" w:afterAutospacing="0"/>
        <w:rPr>
          <w:rFonts w:ascii="Arial" w:eastAsia="+mn-ea" w:hAnsi="Arial" w:cs="Arial"/>
          <w:b/>
          <w:position w:val="1"/>
          <w:sz w:val="32"/>
          <w:szCs w:val="26"/>
        </w:rPr>
      </w:pPr>
    </w:p>
    <w:tbl>
      <w:tblPr>
        <w:tblStyle w:val="TableGrid1"/>
        <w:tblW w:w="5000" w:type="pct"/>
        <w:tblLayout w:type="fixed"/>
        <w:tblLook w:val="04A0" w:firstRow="1" w:lastRow="0" w:firstColumn="1" w:lastColumn="0" w:noHBand="0" w:noVBand="1"/>
      </w:tblPr>
      <w:tblGrid>
        <w:gridCol w:w="943"/>
        <w:gridCol w:w="4327"/>
        <w:gridCol w:w="1256"/>
        <w:gridCol w:w="4606"/>
        <w:gridCol w:w="1399"/>
        <w:gridCol w:w="1116"/>
        <w:gridCol w:w="921"/>
      </w:tblGrid>
      <w:tr w:rsidR="008A440F" w:rsidRPr="00B10162" w14:paraId="1603C316" w14:textId="77777777" w:rsidTr="00082EE9">
        <w:tc>
          <w:tcPr>
            <w:tcW w:w="324" w:type="pct"/>
          </w:tcPr>
          <w:p w14:paraId="6BD2588A" w14:textId="77777777" w:rsidR="008A440F" w:rsidRPr="00B10162" w:rsidRDefault="008A440F" w:rsidP="00C70B3C">
            <w:pPr>
              <w:spacing w:after="0"/>
              <w:rPr>
                <w:b/>
                <w:i/>
              </w:rPr>
            </w:pPr>
          </w:p>
        </w:tc>
        <w:tc>
          <w:tcPr>
            <w:tcW w:w="1485" w:type="pct"/>
          </w:tcPr>
          <w:p w14:paraId="7F9BA761" w14:textId="4D855E0B" w:rsidR="008A440F" w:rsidRPr="00B10162" w:rsidRDefault="008A440F" w:rsidP="00C70B3C">
            <w:pPr>
              <w:spacing w:after="0"/>
              <w:rPr>
                <w:b/>
                <w:i/>
              </w:rPr>
            </w:pPr>
            <w:r w:rsidRPr="00B10162">
              <w:rPr>
                <w:b/>
                <w:sz w:val="28"/>
                <w:szCs w:val="28"/>
              </w:rPr>
              <w:t>Clarity</w:t>
            </w:r>
          </w:p>
        </w:tc>
        <w:tc>
          <w:tcPr>
            <w:tcW w:w="431" w:type="pct"/>
          </w:tcPr>
          <w:p w14:paraId="1171412E" w14:textId="77777777" w:rsidR="008A440F" w:rsidRPr="00B10162" w:rsidRDefault="008A440F" w:rsidP="00C70B3C">
            <w:pPr>
              <w:spacing w:after="0"/>
              <w:rPr>
                <w:b/>
                <w:i/>
              </w:rPr>
            </w:pPr>
          </w:p>
        </w:tc>
        <w:tc>
          <w:tcPr>
            <w:tcW w:w="1581" w:type="pct"/>
          </w:tcPr>
          <w:p w14:paraId="40DE4ED0" w14:textId="77777777" w:rsidR="008A440F" w:rsidRPr="00B10162" w:rsidRDefault="008A440F" w:rsidP="00C70B3C">
            <w:pPr>
              <w:spacing w:after="0"/>
              <w:rPr>
                <w:b/>
                <w:i/>
              </w:rPr>
            </w:pPr>
          </w:p>
        </w:tc>
        <w:tc>
          <w:tcPr>
            <w:tcW w:w="480" w:type="pct"/>
          </w:tcPr>
          <w:p w14:paraId="2B8257E2" w14:textId="77777777" w:rsidR="008A440F" w:rsidRPr="00B10162" w:rsidRDefault="008A440F" w:rsidP="00C70B3C">
            <w:pPr>
              <w:spacing w:after="0"/>
              <w:rPr>
                <w:b/>
                <w:i/>
              </w:rPr>
            </w:pPr>
          </w:p>
        </w:tc>
        <w:tc>
          <w:tcPr>
            <w:tcW w:w="383" w:type="pct"/>
          </w:tcPr>
          <w:p w14:paraId="4272362B" w14:textId="77777777" w:rsidR="008A440F" w:rsidRPr="00B10162" w:rsidRDefault="008A440F" w:rsidP="00C70B3C">
            <w:pPr>
              <w:spacing w:after="0"/>
              <w:rPr>
                <w:b/>
                <w:i/>
              </w:rPr>
            </w:pPr>
          </w:p>
        </w:tc>
        <w:tc>
          <w:tcPr>
            <w:tcW w:w="316" w:type="pct"/>
          </w:tcPr>
          <w:p w14:paraId="3294EAE3" w14:textId="77777777" w:rsidR="008A440F" w:rsidRPr="00B10162" w:rsidRDefault="008A440F" w:rsidP="00C70B3C">
            <w:pPr>
              <w:spacing w:after="0"/>
              <w:rPr>
                <w:b/>
                <w:i/>
              </w:rPr>
            </w:pPr>
          </w:p>
        </w:tc>
      </w:tr>
      <w:tr w:rsidR="00B10162" w:rsidRPr="00B10162" w14:paraId="59AE6B19" w14:textId="77777777" w:rsidTr="00082EE9">
        <w:tc>
          <w:tcPr>
            <w:tcW w:w="324" w:type="pct"/>
          </w:tcPr>
          <w:p w14:paraId="08CF2934" w14:textId="77777777" w:rsidR="00805C20" w:rsidRPr="00B10162" w:rsidRDefault="00805C20" w:rsidP="00C70B3C">
            <w:pPr>
              <w:spacing w:after="0"/>
              <w:rPr>
                <w:b/>
                <w:i/>
              </w:rPr>
            </w:pPr>
            <w:r w:rsidRPr="00B10162">
              <w:rPr>
                <w:b/>
                <w:i/>
              </w:rPr>
              <w:t>Rec. no</w:t>
            </w:r>
          </w:p>
        </w:tc>
        <w:tc>
          <w:tcPr>
            <w:tcW w:w="1485" w:type="pct"/>
          </w:tcPr>
          <w:p w14:paraId="0E6C6A7D" w14:textId="77777777" w:rsidR="00805C20" w:rsidRPr="00B10162" w:rsidRDefault="00805C20" w:rsidP="00C70B3C">
            <w:pPr>
              <w:spacing w:after="0"/>
              <w:rPr>
                <w:b/>
                <w:i/>
              </w:rPr>
            </w:pPr>
            <w:r w:rsidRPr="00B10162">
              <w:rPr>
                <w:b/>
                <w:i/>
              </w:rPr>
              <w:t>Issue or recommendation</w:t>
            </w:r>
          </w:p>
        </w:tc>
        <w:tc>
          <w:tcPr>
            <w:tcW w:w="431" w:type="pct"/>
          </w:tcPr>
          <w:p w14:paraId="703DF288" w14:textId="77777777" w:rsidR="00805C20" w:rsidRPr="00B10162" w:rsidRDefault="00805C20" w:rsidP="00C70B3C">
            <w:pPr>
              <w:spacing w:after="0"/>
              <w:rPr>
                <w:b/>
                <w:i/>
              </w:rPr>
            </w:pPr>
            <w:r w:rsidRPr="00B10162">
              <w:rPr>
                <w:b/>
                <w:i/>
              </w:rPr>
              <w:t>Raised by / Date</w:t>
            </w:r>
          </w:p>
        </w:tc>
        <w:tc>
          <w:tcPr>
            <w:tcW w:w="1581" w:type="pct"/>
          </w:tcPr>
          <w:p w14:paraId="138E434B" w14:textId="77777777" w:rsidR="00805C20" w:rsidRPr="00B10162" w:rsidRDefault="00805C20" w:rsidP="00C70B3C">
            <w:pPr>
              <w:spacing w:after="0"/>
              <w:rPr>
                <w:b/>
                <w:i/>
              </w:rPr>
            </w:pPr>
            <w:r w:rsidRPr="00B10162">
              <w:rPr>
                <w:b/>
                <w:i/>
              </w:rPr>
              <w:t>Response or Action taken by applicant</w:t>
            </w:r>
          </w:p>
        </w:tc>
        <w:tc>
          <w:tcPr>
            <w:tcW w:w="480" w:type="pct"/>
          </w:tcPr>
          <w:p w14:paraId="53B85FB3" w14:textId="77777777" w:rsidR="00805C20" w:rsidRPr="00B10162" w:rsidRDefault="00805C20" w:rsidP="00C70B3C">
            <w:pPr>
              <w:spacing w:after="0"/>
              <w:rPr>
                <w:b/>
                <w:i/>
              </w:rPr>
            </w:pPr>
            <w:r w:rsidRPr="00B10162">
              <w:rPr>
                <w:b/>
                <w:i/>
              </w:rPr>
              <w:t>Response date</w:t>
            </w:r>
          </w:p>
        </w:tc>
        <w:tc>
          <w:tcPr>
            <w:tcW w:w="383" w:type="pct"/>
          </w:tcPr>
          <w:p w14:paraId="633C2C7E" w14:textId="77777777" w:rsidR="00805C20" w:rsidRPr="00B10162" w:rsidRDefault="00805C20" w:rsidP="00C70B3C">
            <w:pPr>
              <w:spacing w:after="0"/>
              <w:rPr>
                <w:b/>
                <w:i/>
              </w:rPr>
            </w:pPr>
            <w:r w:rsidRPr="00B10162">
              <w:rPr>
                <w:b/>
                <w:i/>
              </w:rPr>
              <w:t>Resolved</w:t>
            </w:r>
          </w:p>
        </w:tc>
        <w:tc>
          <w:tcPr>
            <w:tcW w:w="316" w:type="pct"/>
          </w:tcPr>
          <w:p w14:paraId="1683CF25" w14:textId="77777777" w:rsidR="00805C20" w:rsidRPr="00B10162" w:rsidRDefault="00805C20" w:rsidP="00C70B3C">
            <w:pPr>
              <w:spacing w:after="0"/>
              <w:rPr>
                <w:b/>
                <w:i/>
              </w:rPr>
            </w:pPr>
            <w:r w:rsidRPr="00B10162">
              <w:rPr>
                <w:b/>
                <w:i/>
              </w:rPr>
              <w:t>Sign off by / Date</w:t>
            </w:r>
          </w:p>
        </w:tc>
      </w:tr>
      <w:tr w:rsidR="00805C20" w:rsidRPr="00B10162" w14:paraId="0EA57A3C" w14:textId="77777777" w:rsidTr="00082EE9">
        <w:tc>
          <w:tcPr>
            <w:tcW w:w="324" w:type="pct"/>
          </w:tcPr>
          <w:p w14:paraId="134F81D1" w14:textId="77777777" w:rsidR="00805C20" w:rsidRPr="00B10162" w:rsidRDefault="00805C20" w:rsidP="00C70B3C">
            <w:pPr>
              <w:spacing w:after="0"/>
              <w:rPr>
                <w:rFonts w:cs="Calibri"/>
                <w:szCs w:val="20"/>
              </w:rPr>
            </w:pPr>
            <w:r w:rsidRPr="00B10162">
              <w:rPr>
                <w:rFonts w:cs="Calibri"/>
                <w:szCs w:val="20"/>
              </w:rPr>
              <w:t>1a</w:t>
            </w:r>
          </w:p>
        </w:tc>
        <w:tc>
          <w:tcPr>
            <w:tcW w:w="1485" w:type="pct"/>
          </w:tcPr>
          <w:p w14:paraId="6C33D955" w14:textId="77777777" w:rsidR="00805C20" w:rsidRPr="00B10162" w:rsidRDefault="00805C20" w:rsidP="00C70B3C">
            <w:pPr>
              <w:spacing w:after="0"/>
              <w:rPr>
                <w:rFonts w:cs="Calibri"/>
                <w:szCs w:val="18"/>
              </w:rPr>
            </w:pPr>
            <w:r w:rsidRPr="00B10162">
              <w:rPr>
                <w:rFonts w:cs="Calibri"/>
                <w:szCs w:val="18"/>
              </w:rPr>
              <w:t>MRG recommended that the title of the indicator be reviewed.  Should the word ‘acute’ be included when all strokes are included in the denominator?</w:t>
            </w:r>
          </w:p>
        </w:tc>
        <w:tc>
          <w:tcPr>
            <w:tcW w:w="431" w:type="pct"/>
          </w:tcPr>
          <w:p w14:paraId="1C258ABE" w14:textId="77777777" w:rsidR="00805C20" w:rsidRPr="00B10162" w:rsidRDefault="00805C20" w:rsidP="00C70B3C">
            <w:pPr>
              <w:spacing w:after="0"/>
              <w:rPr>
                <w:rFonts w:cs="Calibri"/>
                <w:szCs w:val="18"/>
              </w:rPr>
            </w:pPr>
            <w:r w:rsidRPr="00B10162">
              <w:rPr>
                <w:rFonts w:cs="Calibri"/>
                <w:szCs w:val="18"/>
              </w:rPr>
              <w:t>MRG</w:t>
            </w:r>
          </w:p>
          <w:p w14:paraId="67484E0C" w14:textId="77777777" w:rsidR="00805C20" w:rsidRPr="00B10162" w:rsidRDefault="00805C20" w:rsidP="00C70B3C">
            <w:pPr>
              <w:spacing w:after="0"/>
              <w:rPr>
                <w:rFonts w:cs="Calibri"/>
                <w:szCs w:val="18"/>
              </w:rPr>
            </w:pPr>
          </w:p>
          <w:p w14:paraId="5BE716F2" w14:textId="77777777" w:rsidR="00805C20" w:rsidRPr="00B10162" w:rsidRDefault="00805C20" w:rsidP="00C70B3C">
            <w:pPr>
              <w:spacing w:after="0"/>
              <w:rPr>
                <w:rFonts w:cs="Calibri"/>
                <w:szCs w:val="18"/>
              </w:rPr>
            </w:pPr>
            <w:r w:rsidRPr="00B10162">
              <w:rPr>
                <w:rFonts w:cs="Calibri"/>
                <w:szCs w:val="18"/>
              </w:rPr>
              <w:t>6/9/12</w:t>
            </w:r>
          </w:p>
        </w:tc>
        <w:tc>
          <w:tcPr>
            <w:tcW w:w="1581" w:type="pct"/>
          </w:tcPr>
          <w:p w14:paraId="4B683408" w14:textId="77777777" w:rsidR="00805C20" w:rsidRPr="00B10162" w:rsidRDefault="00805C20" w:rsidP="00C70B3C">
            <w:pPr>
              <w:spacing w:before="120" w:after="120"/>
              <w:rPr>
                <w:rFonts w:cs="Calibri"/>
                <w:lang w:eastAsia="en-GB"/>
              </w:rPr>
            </w:pPr>
            <w:r w:rsidRPr="00B10162">
              <w:rPr>
                <w:rFonts w:cs="Calibri"/>
                <w:lang w:eastAsia="en-GB"/>
              </w:rPr>
              <w:t xml:space="preserve">The indicator title remained as </w:t>
            </w:r>
            <w:r w:rsidRPr="00B10162">
              <w:rPr>
                <w:rFonts w:cs="Calibri"/>
                <w:i/>
                <w:lang w:eastAsia="en-GB"/>
              </w:rPr>
              <w:t>‘People who have had an acute stroke who receive thrombolysis’</w:t>
            </w:r>
            <w:r w:rsidRPr="00B10162">
              <w:rPr>
                <w:rFonts w:cs="Calibri"/>
                <w:lang w:eastAsia="en-GB"/>
              </w:rPr>
              <w:t xml:space="preserve">. </w:t>
            </w:r>
          </w:p>
          <w:p w14:paraId="77A0E2E1" w14:textId="77777777" w:rsidR="00805C20" w:rsidRPr="00B10162" w:rsidRDefault="00805C20" w:rsidP="00C70B3C">
            <w:pPr>
              <w:spacing w:before="120" w:after="120"/>
              <w:rPr>
                <w:rFonts w:cs="Calibri"/>
                <w:lang w:eastAsia="en-GB"/>
              </w:rPr>
            </w:pPr>
            <w:r w:rsidRPr="00B10162">
              <w:rPr>
                <w:rFonts w:cs="Calibri"/>
                <w:lang w:eastAsia="en-GB"/>
              </w:rPr>
              <w:t xml:space="preserve">The indicator denominator was amended to </w:t>
            </w:r>
            <w:r w:rsidRPr="00B10162">
              <w:rPr>
                <w:rFonts w:cs="Calibri"/>
                <w:i/>
                <w:lang w:eastAsia="en-GB"/>
              </w:rPr>
              <w:t>‘The number of acute stroke patients who were given thrombolysis for stroke (Alteplase)’</w:t>
            </w:r>
            <w:r w:rsidRPr="00B10162">
              <w:rPr>
                <w:rFonts w:cs="Calibri"/>
                <w:lang w:eastAsia="en-GB"/>
              </w:rPr>
              <w:t>.</w:t>
            </w:r>
          </w:p>
        </w:tc>
        <w:tc>
          <w:tcPr>
            <w:tcW w:w="480" w:type="pct"/>
          </w:tcPr>
          <w:p w14:paraId="722CD8FB" w14:textId="77777777" w:rsidR="00805C20" w:rsidRPr="00B10162" w:rsidRDefault="00805C20" w:rsidP="00C70B3C">
            <w:pPr>
              <w:spacing w:after="0"/>
              <w:rPr>
                <w:rFonts w:cs="Calibri"/>
              </w:rPr>
            </w:pPr>
            <w:r w:rsidRPr="00B10162">
              <w:rPr>
                <w:rFonts w:cs="Calibri"/>
              </w:rPr>
              <w:t>13/08/15</w:t>
            </w:r>
          </w:p>
        </w:tc>
        <w:tc>
          <w:tcPr>
            <w:tcW w:w="383" w:type="pct"/>
          </w:tcPr>
          <w:p w14:paraId="3D8D1024" w14:textId="77777777" w:rsidR="00805C20" w:rsidRPr="00B10162" w:rsidRDefault="00805C20" w:rsidP="00C70B3C">
            <w:pPr>
              <w:spacing w:after="0"/>
              <w:jc w:val="center"/>
              <w:rPr>
                <w:rFonts w:cs="Calibri"/>
              </w:rPr>
            </w:pPr>
            <w:r w:rsidRPr="00B10162">
              <w:rPr>
                <w:rFonts w:cs="Calibri"/>
              </w:rPr>
              <w:sym w:font="Wingdings" w:char="F0FE"/>
            </w:r>
          </w:p>
        </w:tc>
        <w:tc>
          <w:tcPr>
            <w:tcW w:w="316" w:type="pct"/>
          </w:tcPr>
          <w:p w14:paraId="67B111C3" w14:textId="77777777" w:rsidR="00805C20" w:rsidRPr="00B10162" w:rsidRDefault="00805C20" w:rsidP="00C70B3C">
            <w:pPr>
              <w:spacing w:after="0"/>
              <w:rPr>
                <w:rFonts w:cs="Calibri"/>
              </w:rPr>
            </w:pPr>
            <w:r w:rsidRPr="00B10162">
              <w:rPr>
                <w:rFonts w:cs="Calibri"/>
              </w:rPr>
              <w:t>MRG</w:t>
            </w:r>
          </w:p>
          <w:p w14:paraId="0F035A22" w14:textId="77777777" w:rsidR="00805C20" w:rsidRPr="00B10162" w:rsidRDefault="00805C20" w:rsidP="00C70B3C">
            <w:pPr>
              <w:spacing w:after="0"/>
              <w:rPr>
                <w:rFonts w:cs="Calibri"/>
              </w:rPr>
            </w:pPr>
            <w:r w:rsidRPr="00B10162">
              <w:rPr>
                <w:rFonts w:cs="Calibri"/>
              </w:rPr>
              <w:t>10/09/15</w:t>
            </w:r>
          </w:p>
        </w:tc>
      </w:tr>
    </w:tbl>
    <w:p w14:paraId="7D4F05E4" w14:textId="77777777" w:rsidR="00805C20" w:rsidRPr="00B10162" w:rsidRDefault="00805C20" w:rsidP="00C70B3C"/>
    <w:tbl>
      <w:tblPr>
        <w:tblStyle w:val="TableGrid"/>
        <w:tblW w:w="5000" w:type="pct"/>
        <w:tblLayout w:type="fixed"/>
        <w:tblLook w:val="04A0" w:firstRow="1" w:lastRow="0" w:firstColumn="1" w:lastColumn="0" w:noHBand="0" w:noVBand="1"/>
      </w:tblPr>
      <w:tblGrid>
        <w:gridCol w:w="943"/>
        <w:gridCol w:w="4327"/>
        <w:gridCol w:w="1256"/>
        <w:gridCol w:w="4606"/>
        <w:gridCol w:w="1358"/>
        <w:gridCol w:w="1157"/>
        <w:gridCol w:w="921"/>
      </w:tblGrid>
      <w:tr w:rsidR="008A440F" w:rsidRPr="00B10162" w14:paraId="1932132A" w14:textId="77777777" w:rsidTr="00082EE9">
        <w:tc>
          <w:tcPr>
            <w:tcW w:w="324" w:type="pct"/>
          </w:tcPr>
          <w:p w14:paraId="4A5BC6E4" w14:textId="77777777" w:rsidR="008A440F" w:rsidRPr="00B10162" w:rsidRDefault="008A440F" w:rsidP="00C70B3C">
            <w:pPr>
              <w:spacing w:after="0"/>
              <w:rPr>
                <w:b/>
                <w:i/>
              </w:rPr>
            </w:pPr>
          </w:p>
        </w:tc>
        <w:tc>
          <w:tcPr>
            <w:tcW w:w="1485" w:type="pct"/>
          </w:tcPr>
          <w:p w14:paraId="3DE9E721" w14:textId="0518C748" w:rsidR="008A440F" w:rsidRPr="00B10162" w:rsidRDefault="008A440F" w:rsidP="00C70B3C">
            <w:pPr>
              <w:spacing w:after="0"/>
              <w:rPr>
                <w:b/>
                <w:i/>
              </w:rPr>
            </w:pPr>
            <w:r w:rsidRPr="00B10162">
              <w:rPr>
                <w:b/>
                <w:sz w:val="28"/>
                <w:szCs w:val="28"/>
              </w:rPr>
              <w:t>Rationale</w:t>
            </w:r>
          </w:p>
        </w:tc>
        <w:tc>
          <w:tcPr>
            <w:tcW w:w="431" w:type="pct"/>
          </w:tcPr>
          <w:p w14:paraId="5154AFB5" w14:textId="77777777" w:rsidR="008A440F" w:rsidRPr="00B10162" w:rsidRDefault="008A440F" w:rsidP="00C70B3C">
            <w:pPr>
              <w:spacing w:after="0"/>
              <w:rPr>
                <w:b/>
                <w:i/>
              </w:rPr>
            </w:pPr>
          </w:p>
        </w:tc>
        <w:tc>
          <w:tcPr>
            <w:tcW w:w="1581" w:type="pct"/>
          </w:tcPr>
          <w:p w14:paraId="38E5A0F9" w14:textId="77777777" w:rsidR="008A440F" w:rsidRPr="00B10162" w:rsidRDefault="008A440F" w:rsidP="00C70B3C">
            <w:pPr>
              <w:spacing w:after="0"/>
              <w:rPr>
                <w:b/>
                <w:i/>
              </w:rPr>
            </w:pPr>
          </w:p>
        </w:tc>
        <w:tc>
          <w:tcPr>
            <w:tcW w:w="466" w:type="pct"/>
          </w:tcPr>
          <w:p w14:paraId="5C5D51B6" w14:textId="77777777" w:rsidR="008A440F" w:rsidRPr="00B10162" w:rsidRDefault="008A440F" w:rsidP="00C70B3C">
            <w:pPr>
              <w:spacing w:after="0"/>
              <w:rPr>
                <w:b/>
                <w:i/>
              </w:rPr>
            </w:pPr>
          </w:p>
        </w:tc>
        <w:tc>
          <w:tcPr>
            <w:tcW w:w="397" w:type="pct"/>
          </w:tcPr>
          <w:p w14:paraId="0314AA7B" w14:textId="77777777" w:rsidR="008A440F" w:rsidRPr="00B10162" w:rsidRDefault="008A440F" w:rsidP="00C70B3C">
            <w:pPr>
              <w:spacing w:after="0"/>
              <w:rPr>
                <w:b/>
                <w:i/>
              </w:rPr>
            </w:pPr>
          </w:p>
        </w:tc>
        <w:tc>
          <w:tcPr>
            <w:tcW w:w="316" w:type="pct"/>
          </w:tcPr>
          <w:p w14:paraId="4ADCF1B9" w14:textId="77777777" w:rsidR="008A440F" w:rsidRPr="00B10162" w:rsidRDefault="008A440F" w:rsidP="00C70B3C">
            <w:pPr>
              <w:spacing w:after="0"/>
              <w:rPr>
                <w:b/>
                <w:i/>
              </w:rPr>
            </w:pPr>
          </w:p>
        </w:tc>
      </w:tr>
      <w:tr w:rsidR="00B10162" w:rsidRPr="00B10162" w14:paraId="68C5D25B" w14:textId="77777777" w:rsidTr="00082EE9">
        <w:tc>
          <w:tcPr>
            <w:tcW w:w="324" w:type="pct"/>
          </w:tcPr>
          <w:p w14:paraId="716AD2EF" w14:textId="77777777" w:rsidR="00805C20" w:rsidRPr="00B10162" w:rsidRDefault="00805C20" w:rsidP="00C70B3C">
            <w:pPr>
              <w:spacing w:after="0"/>
              <w:rPr>
                <w:b/>
                <w:i/>
              </w:rPr>
            </w:pPr>
            <w:r w:rsidRPr="00B10162">
              <w:rPr>
                <w:b/>
                <w:i/>
              </w:rPr>
              <w:t>Rec. no</w:t>
            </w:r>
          </w:p>
        </w:tc>
        <w:tc>
          <w:tcPr>
            <w:tcW w:w="1485" w:type="pct"/>
          </w:tcPr>
          <w:p w14:paraId="2A2B00A7" w14:textId="77777777" w:rsidR="00805C20" w:rsidRPr="00B10162" w:rsidRDefault="00805C20" w:rsidP="00C70B3C">
            <w:pPr>
              <w:spacing w:after="0"/>
              <w:rPr>
                <w:b/>
                <w:i/>
              </w:rPr>
            </w:pPr>
            <w:r w:rsidRPr="00B10162">
              <w:rPr>
                <w:b/>
                <w:i/>
              </w:rPr>
              <w:t>Issue or recommendation</w:t>
            </w:r>
          </w:p>
        </w:tc>
        <w:tc>
          <w:tcPr>
            <w:tcW w:w="431" w:type="pct"/>
          </w:tcPr>
          <w:p w14:paraId="4EC4DAD0" w14:textId="77777777" w:rsidR="00805C20" w:rsidRPr="00B10162" w:rsidRDefault="00805C20" w:rsidP="00C70B3C">
            <w:pPr>
              <w:spacing w:after="0"/>
              <w:rPr>
                <w:b/>
                <w:i/>
              </w:rPr>
            </w:pPr>
            <w:r w:rsidRPr="00B10162">
              <w:rPr>
                <w:b/>
                <w:i/>
              </w:rPr>
              <w:t>Raised by / Date</w:t>
            </w:r>
          </w:p>
        </w:tc>
        <w:tc>
          <w:tcPr>
            <w:tcW w:w="1581" w:type="pct"/>
          </w:tcPr>
          <w:p w14:paraId="710B36B9" w14:textId="77777777" w:rsidR="00805C20" w:rsidRPr="00B10162" w:rsidRDefault="00805C20" w:rsidP="00C70B3C">
            <w:pPr>
              <w:spacing w:after="0"/>
              <w:rPr>
                <w:b/>
                <w:i/>
              </w:rPr>
            </w:pPr>
            <w:r w:rsidRPr="00B10162">
              <w:rPr>
                <w:b/>
                <w:i/>
              </w:rPr>
              <w:t>Response or Action taken by applicant</w:t>
            </w:r>
          </w:p>
        </w:tc>
        <w:tc>
          <w:tcPr>
            <w:tcW w:w="466" w:type="pct"/>
          </w:tcPr>
          <w:p w14:paraId="563F5D41" w14:textId="77777777" w:rsidR="00805C20" w:rsidRPr="00B10162" w:rsidRDefault="00805C20" w:rsidP="00C70B3C">
            <w:pPr>
              <w:spacing w:after="0"/>
              <w:rPr>
                <w:b/>
                <w:i/>
              </w:rPr>
            </w:pPr>
            <w:r w:rsidRPr="00B10162">
              <w:rPr>
                <w:b/>
                <w:i/>
              </w:rPr>
              <w:t>Response date</w:t>
            </w:r>
          </w:p>
        </w:tc>
        <w:tc>
          <w:tcPr>
            <w:tcW w:w="397" w:type="pct"/>
          </w:tcPr>
          <w:p w14:paraId="57E95ECE" w14:textId="77777777" w:rsidR="00805C20" w:rsidRPr="00B10162" w:rsidRDefault="00805C20" w:rsidP="00C70B3C">
            <w:pPr>
              <w:spacing w:after="0"/>
              <w:rPr>
                <w:b/>
                <w:i/>
              </w:rPr>
            </w:pPr>
            <w:r w:rsidRPr="00B10162">
              <w:rPr>
                <w:b/>
                <w:i/>
              </w:rPr>
              <w:t>Resolved</w:t>
            </w:r>
          </w:p>
        </w:tc>
        <w:tc>
          <w:tcPr>
            <w:tcW w:w="316" w:type="pct"/>
          </w:tcPr>
          <w:p w14:paraId="2EE6D6A9" w14:textId="77777777" w:rsidR="00805C20" w:rsidRPr="00B10162" w:rsidRDefault="00805C20" w:rsidP="00C70B3C">
            <w:pPr>
              <w:spacing w:after="0"/>
              <w:rPr>
                <w:b/>
                <w:i/>
              </w:rPr>
            </w:pPr>
            <w:r w:rsidRPr="00B10162">
              <w:rPr>
                <w:b/>
                <w:i/>
              </w:rPr>
              <w:t>Sign off by / Date</w:t>
            </w:r>
          </w:p>
        </w:tc>
      </w:tr>
      <w:tr w:rsidR="00B10162" w:rsidRPr="00B10162" w14:paraId="7D8AACB1" w14:textId="77777777" w:rsidTr="00082EE9">
        <w:tc>
          <w:tcPr>
            <w:tcW w:w="324" w:type="pct"/>
          </w:tcPr>
          <w:p w14:paraId="0823D969" w14:textId="77777777" w:rsidR="00805C20" w:rsidRPr="00B10162" w:rsidRDefault="00805C20" w:rsidP="00C70B3C">
            <w:pPr>
              <w:spacing w:after="0"/>
              <w:rPr>
                <w:rFonts w:cs="Calibri"/>
              </w:rPr>
            </w:pPr>
            <w:r w:rsidRPr="00B10162">
              <w:rPr>
                <w:rFonts w:cs="Calibri"/>
              </w:rPr>
              <w:t>2a</w:t>
            </w:r>
          </w:p>
        </w:tc>
        <w:tc>
          <w:tcPr>
            <w:tcW w:w="1485" w:type="pct"/>
          </w:tcPr>
          <w:p w14:paraId="62583748" w14:textId="77777777" w:rsidR="00805C20" w:rsidRPr="00B10162" w:rsidRDefault="00805C20" w:rsidP="00C70B3C">
            <w:pPr>
              <w:spacing w:after="0"/>
              <w:rPr>
                <w:rFonts w:cs="Calibri"/>
              </w:rPr>
            </w:pPr>
            <w:r w:rsidRPr="00B10162">
              <w:rPr>
                <w:rFonts w:cs="Calibri"/>
              </w:rPr>
              <w:t>A sponsor for the indicator needs to be identified.</w:t>
            </w:r>
          </w:p>
        </w:tc>
        <w:tc>
          <w:tcPr>
            <w:tcW w:w="431" w:type="pct"/>
          </w:tcPr>
          <w:p w14:paraId="6D4DB073" w14:textId="77777777" w:rsidR="00805C20" w:rsidRPr="00B10162" w:rsidRDefault="00805C20" w:rsidP="00C70B3C">
            <w:pPr>
              <w:spacing w:after="0"/>
              <w:rPr>
                <w:rFonts w:cs="Calibri"/>
              </w:rPr>
            </w:pPr>
            <w:r w:rsidRPr="00B10162">
              <w:rPr>
                <w:rFonts w:cs="Calibri"/>
              </w:rPr>
              <w:t>MRG</w:t>
            </w:r>
          </w:p>
          <w:p w14:paraId="5877302D" w14:textId="77777777" w:rsidR="00805C20" w:rsidRPr="00B10162" w:rsidRDefault="00805C20" w:rsidP="00C70B3C">
            <w:pPr>
              <w:spacing w:after="0"/>
              <w:rPr>
                <w:rFonts w:cs="Calibri"/>
              </w:rPr>
            </w:pPr>
          </w:p>
          <w:p w14:paraId="6F8006AF" w14:textId="77777777" w:rsidR="00805C20" w:rsidRPr="00B10162" w:rsidRDefault="00805C20" w:rsidP="00C70B3C">
            <w:pPr>
              <w:spacing w:after="0"/>
              <w:rPr>
                <w:rFonts w:cs="Calibri"/>
              </w:rPr>
            </w:pPr>
            <w:r w:rsidRPr="00B10162">
              <w:rPr>
                <w:rFonts w:cs="Calibri"/>
              </w:rPr>
              <w:t>10/09/15</w:t>
            </w:r>
          </w:p>
        </w:tc>
        <w:tc>
          <w:tcPr>
            <w:tcW w:w="1581" w:type="pct"/>
          </w:tcPr>
          <w:p w14:paraId="1D8D6DB3" w14:textId="77777777" w:rsidR="00805C20" w:rsidRPr="00B10162" w:rsidRDefault="00805C20" w:rsidP="00C70B3C">
            <w:pPr>
              <w:spacing w:after="0"/>
              <w:rPr>
                <w:rFonts w:cs="Calibri"/>
              </w:rPr>
            </w:pPr>
            <w:r w:rsidRPr="00B10162">
              <w:rPr>
                <w:rFonts w:cs="Calibri"/>
              </w:rPr>
              <w:t>The sponsor of the CCG OIS is Richard Owen, Outcomes Strategy Lead, NHS Medical Directorate, NHS England.</w:t>
            </w:r>
          </w:p>
        </w:tc>
        <w:tc>
          <w:tcPr>
            <w:tcW w:w="466" w:type="pct"/>
          </w:tcPr>
          <w:p w14:paraId="55B624E6" w14:textId="77777777" w:rsidR="00805C20" w:rsidRPr="00B10162" w:rsidRDefault="00805C20" w:rsidP="00C70B3C">
            <w:pPr>
              <w:spacing w:after="0"/>
              <w:jc w:val="center"/>
              <w:rPr>
                <w:rFonts w:cs="Calibri"/>
              </w:rPr>
            </w:pPr>
            <w:r w:rsidRPr="00B10162">
              <w:rPr>
                <w:rFonts w:cs="Calibri"/>
              </w:rPr>
              <w:t>29/10/15</w:t>
            </w:r>
          </w:p>
        </w:tc>
        <w:tc>
          <w:tcPr>
            <w:tcW w:w="397" w:type="pct"/>
          </w:tcPr>
          <w:p w14:paraId="47B26039" w14:textId="77777777" w:rsidR="00805C20" w:rsidRPr="00B10162" w:rsidRDefault="00805C20" w:rsidP="00C70B3C">
            <w:pPr>
              <w:spacing w:after="0"/>
              <w:jc w:val="center"/>
              <w:rPr>
                <w:rFonts w:cs="Calibri"/>
              </w:rPr>
            </w:pPr>
            <w:r w:rsidRPr="00B10162">
              <w:rPr>
                <w:rFonts w:cs="Calibri"/>
              </w:rPr>
              <w:sym w:font="Wingdings" w:char="F0FE"/>
            </w:r>
          </w:p>
        </w:tc>
        <w:tc>
          <w:tcPr>
            <w:tcW w:w="316" w:type="pct"/>
          </w:tcPr>
          <w:p w14:paraId="21224E4A" w14:textId="77777777" w:rsidR="00805C20" w:rsidRPr="00B10162" w:rsidRDefault="00805C20" w:rsidP="00C70B3C">
            <w:pPr>
              <w:spacing w:after="0"/>
              <w:rPr>
                <w:rFonts w:cs="Calibri"/>
                <w:lang w:eastAsia="en-GB"/>
              </w:rPr>
            </w:pPr>
            <w:r w:rsidRPr="00B10162">
              <w:rPr>
                <w:rFonts w:cs="Calibri"/>
                <w:lang w:eastAsia="en-GB"/>
              </w:rPr>
              <w:t>MRG</w:t>
            </w:r>
          </w:p>
          <w:p w14:paraId="3C222FB8" w14:textId="77777777" w:rsidR="00805C20" w:rsidRPr="00B10162" w:rsidRDefault="00805C20" w:rsidP="00C70B3C">
            <w:pPr>
              <w:spacing w:after="0"/>
              <w:rPr>
                <w:rFonts w:cs="Calibri"/>
                <w:lang w:eastAsia="en-GB"/>
              </w:rPr>
            </w:pPr>
          </w:p>
          <w:p w14:paraId="068D8096" w14:textId="77777777" w:rsidR="00805C20" w:rsidRPr="00B10162" w:rsidRDefault="00805C20" w:rsidP="00C70B3C">
            <w:pPr>
              <w:spacing w:after="0"/>
              <w:rPr>
                <w:rFonts w:cs="Calibri"/>
              </w:rPr>
            </w:pPr>
            <w:r w:rsidRPr="00B10162">
              <w:rPr>
                <w:rFonts w:cs="Calibri"/>
                <w:lang w:eastAsia="en-GB"/>
              </w:rPr>
              <w:t>12/11/15</w:t>
            </w:r>
          </w:p>
        </w:tc>
      </w:tr>
      <w:tr w:rsidR="00805C20" w:rsidRPr="00B10162" w14:paraId="6D22054D" w14:textId="77777777" w:rsidTr="00082EE9">
        <w:tc>
          <w:tcPr>
            <w:tcW w:w="324" w:type="pct"/>
          </w:tcPr>
          <w:p w14:paraId="4C0FF6F7" w14:textId="77777777" w:rsidR="00805C20" w:rsidRPr="00B10162" w:rsidRDefault="00805C20" w:rsidP="00C70B3C">
            <w:pPr>
              <w:spacing w:after="0"/>
              <w:rPr>
                <w:rFonts w:cs="Calibri"/>
              </w:rPr>
            </w:pPr>
            <w:r w:rsidRPr="00B10162">
              <w:rPr>
                <w:rFonts w:cs="Calibri"/>
              </w:rPr>
              <w:t>2b</w:t>
            </w:r>
          </w:p>
        </w:tc>
        <w:tc>
          <w:tcPr>
            <w:tcW w:w="1485" w:type="pct"/>
          </w:tcPr>
          <w:p w14:paraId="1B823487" w14:textId="77777777" w:rsidR="00805C20" w:rsidRPr="00B10162" w:rsidRDefault="00805C20" w:rsidP="00C70B3C">
            <w:pPr>
              <w:spacing w:after="0"/>
              <w:rPr>
                <w:rFonts w:cs="Calibri"/>
              </w:rPr>
            </w:pPr>
            <w:r w:rsidRPr="00B10162">
              <w:rPr>
                <w:rFonts w:cs="Calibri"/>
              </w:rPr>
              <w:t>The definition should be clear as to the types of stroke included in the indicator.</w:t>
            </w:r>
          </w:p>
        </w:tc>
        <w:tc>
          <w:tcPr>
            <w:tcW w:w="431" w:type="pct"/>
          </w:tcPr>
          <w:p w14:paraId="6D25EDDD" w14:textId="77777777" w:rsidR="00805C20" w:rsidRPr="00B10162" w:rsidRDefault="00805C20" w:rsidP="00C70B3C">
            <w:pPr>
              <w:spacing w:after="0"/>
              <w:rPr>
                <w:rFonts w:cs="Calibri"/>
              </w:rPr>
            </w:pPr>
            <w:r w:rsidRPr="00B10162">
              <w:rPr>
                <w:rFonts w:cs="Calibri"/>
              </w:rPr>
              <w:t>MRG</w:t>
            </w:r>
          </w:p>
          <w:p w14:paraId="63233AC8" w14:textId="77777777" w:rsidR="00805C20" w:rsidRPr="00B10162" w:rsidRDefault="00805C20" w:rsidP="00C70B3C">
            <w:pPr>
              <w:spacing w:after="0"/>
              <w:rPr>
                <w:rFonts w:cs="Calibri"/>
              </w:rPr>
            </w:pPr>
          </w:p>
          <w:p w14:paraId="59930277" w14:textId="77777777" w:rsidR="00805C20" w:rsidRPr="00B10162" w:rsidRDefault="00805C20" w:rsidP="00C70B3C">
            <w:pPr>
              <w:spacing w:after="0"/>
              <w:rPr>
                <w:rFonts w:cs="Calibri"/>
              </w:rPr>
            </w:pPr>
            <w:r w:rsidRPr="00B10162">
              <w:rPr>
                <w:rFonts w:cs="Calibri"/>
              </w:rPr>
              <w:t>10/09/15</w:t>
            </w:r>
          </w:p>
        </w:tc>
        <w:tc>
          <w:tcPr>
            <w:tcW w:w="1581" w:type="pct"/>
          </w:tcPr>
          <w:p w14:paraId="77D27A13" w14:textId="77777777" w:rsidR="00805C20" w:rsidRPr="00B10162" w:rsidRDefault="00805C20" w:rsidP="00C70B3C">
            <w:pPr>
              <w:spacing w:before="120" w:after="120"/>
              <w:rPr>
                <w:rFonts w:cs="Calibri"/>
              </w:rPr>
            </w:pPr>
            <w:r w:rsidRPr="00B10162">
              <w:rPr>
                <w:rFonts w:cs="Calibri"/>
              </w:rPr>
              <w:t>A sentence is included in the definition section of the IAS application form and Indicator Quality Statement, stating: Stroke is defined within this indicator as intracerebral haemorrhage (ICD-10 code: I61), cerebral infarction (I62) and stroke, not specified as haemorrhage or infarction (I64).</w:t>
            </w:r>
          </w:p>
        </w:tc>
        <w:tc>
          <w:tcPr>
            <w:tcW w:w="466" w:type="pct"/>
          </w:tcPr>
          <w:p w14:paraId="60A22BDA" w14:textId="77777777" w:rsidR="00805C20" w:rsidRPr="00B10162" w:rsidRDefault="00805C20" w:rsidP="00C70B3C">
            <w:pPr>
              <w:spacing w:after="0"/>
              <w:jc w:val="center"/>
              <w:rPr>
                <w:rFonts w:cs="Calibri"/>
              </w:rPr>
            </w:pPr>
            <w:r w:rsidRPr="00B10162">
              <w:rPr>
                <w:rFonts w:cs="Calibri"/>
              </w:rPr>
              <w:t>29/10/15</w:t>
            </w:r>
          </w:p>
        </w:tc>
        <w:tc>
          <w:tcPr>
            <w:tcW w:w="397" w:type="pct"/>
          </w:tcPr>
          <w:p w14:paraId="48793B43" w14:textId="77777777" w:rsidR="00805C20" w:rsidRPr="00B10162" w:rsidRDefault="00805C20" w:rsidP="00C70B3C">
            <w:pPr>
              <w:spacing w:after="0"/>
              <w:jc w:val="center"/>
              <w:rPr>
                <w:rFonts w:cs="Calibri"/>
              </w:rPr>
            </w:pPr>
            <w:r w:rsidRPr="00B10162">
              <w:rPr>
                <w:rFonts w:cs="Calibri"/>
              </w:rPr>
              <w:sym w:font="Wingdings" w:char="F0FE"/>
            </w:r>
          </w:p>
        </w:tc>
        <w:tc>
          <w:tcPr>
            <w:tcW w:w="316" w:type="pct"/>
          </w:tcPr>
          <w:p w14:paraId="6DE356D9" w14:textId="77777777" w:rsidR="00805C20" w:rsidRPr="00B10162" w:rsidRDefault="00805C20" w:rsidP="00C70B3C">
            <w:pPr>
              <w:spacing w:after="0"/>
              <w:rPr>
                <w:rFonts w:cs="Calibri"/>
                <w:lang w:eastAsia="en-GB"/>
              </w:rPr>
            </w:pPr>
            <w:r w:rsidRPr="00B10162">
              <w:rPr>
                <w:rFonts w:cs="Calibri"/>
                <w:lang w:eastAsia="en-GB"/>
              </w:rPr>
              <w:t>MRG</w:t>
            </w:r>
          </w:p>
          <w:p w14:paraId="4587B70C" w14:textId="77777777" w:rsidR="00805C20" w:rsidRPr="00B10162" w:rsidRDefault="00805C20" w:rsidP="00C70B3C">
            <w:pPr>
              <w:spacing w:after="0"/>
              <w:rPr>
                <w:rFonts w:cs="Calibri"/>
                <w:lang w:eastAsia="en-GB"/>
              </w:rPr>
            </w:pPr>
          </w:p>
          <w:p w14:paraId="028616B6" w14:textId="77777777" w:rsidR="00805C20" w:rsidRPr="00B10162" w:rsidRDefault="00805C20" w:rsidP="00C70B3C">
            <w:pPr>
              <w:spacing w:after="0"/>
              <w:rPr>
                <w:rFonts w:cs="Calibri"/>
              </w:rPr>
            </w:pPr>
            <w:r w:rsidRPr="00B10162">
              <w:rPr>
                <w:rFonts w:cs="Calibri"/>
                <w:lang w:eastAsia="en-GB"/>
              </w:rPr>
              <w:t>12/11/15</w:t>
            </w:r>
          </w:p>
        </w:tc>
      </w:tr>
    </w:tbl>
    <w:p w14:paraId="4D325C3A" w14:textId="77777777" w:rsidR="00805C20" w:rsidRPr="00B10162" w:rsidRDefault="00805C20" w:rsidP="00C70B3C"/>
    <w:tbl>
      <w:tblPr>
        <w:tblStyle w:val="TableGrid"/>
        <w:tblW w:w="14794" w:type="dxa"/>
        <w:tblLayout w:type="fixed"/>
        <w:tblLook w:val="04A0" w:firstRow="1" w:lastRow="0" w:firstColumn="1" w:lastColumn="0" w:noHBand="0" w:noVBand="1"/>
      </w:tblPr>
      <w:tblGrid>
        <w:gridCol w:w="959"/>
        <w:gridCol w:w="4394"/>
        <w:gridCol w:w="1276"/>
        <w:gridCol w:w="4678"/>
        <w:gridCol w:w="1399"/>
        <w:gridCol w:w="1152"/>
        <w:gridCol w:w="936"/>
      </w:tblGrid>
      <w:tr w:rsidR="008A440F" w:rsidRPr="00B10162" w14:paraId="4E4F83D7" w14:textId="77777777" w:rsidTr="008A440F">
        <w:tc>
          <w:tcPr>
            <w:tcW w:w="959" w:type="dxa"/>
          </w:tcPr>
          <w:p w14:paraId="6C39A259" w14:textId="77777777" w:rsidR="008A440F" w:rsidRPr="00B10162" w:rsidRDefault="008A440F" w:rsidP="00C70B3C">
            <w:pPr>
              <w:spacing w:after="0"/>
              <w:rPr>
                <w:b/>
                <w:i/>
              </w:rPr>
            </w:pPr>
          </w:p>
        </w:tc>
        <w:tc>
          <w:tcPr>
            <w:tcW w:w="4394" w:type="dxa"/>
          </w:tcPr>
          <w:p w14:paraId="7A160E97" w14:textId="35418347" w:rsidR="008A440F" w:rsidRPr="00B10162" w:rsidRDefault="008A440F" w:rsidP="00C70B3C">
            <w:pPr>
              <w:spacing w:after="0"/>
              <w:rPr>
                <w:b/>
                <w:i/>
              </w:rPr>
            </w:pPr>
            <w:r w:rsidRPr="00B10162">
              <w:rPr>
                <w:b/>
                <w:sz w:val="28"/>
                <w:szCs w:val="28"/>
              </w:rPr>
              <w:t>Data</w:t>
            </w:r>
          </w:p>
        </w:tc>
        <w:tc>
          <w:tcPr>
            <w:tcW w:w="1276" w:type="dxa"/>
          </w:tcPr>
          <w:p w14:paraId="3B3AA42D" w14:textId="77777777" w:rsidR="008A440F" w:rsidRPr="00B10162" w:rsidRDefault="008A440F" w:rsidP="00C70B3C">
            <w:pPr>
              <w:spacing w:after="0"/>
              <w:rPr>
                <w:b/>
                <w:i/>
              </w:rPr>
            </w:pPr>
          </w:p>
        </w:tc>
        <w:tc>
          <w:tcPr>
            <w:tcW w:w="4678" w:type="dxa"/>
          </w:tcPr>
          <w:p w14:paraId="53B92CC9" w14:textId="77777777" w:rsidR="008A440F" w:rsidRPr="00B10162" w:rsidRDefault="008A440F" w:rsidP="00C70B3C">
            <w:pPr>
              <w:spacing w:after="0"/>
              <w:rPr>
                <w:b/>
                <w:i/>
              </w:rPr>
            </w:pPr>
          </w:p>
        </w:tc>
        <w:tc>
          <w:tcPr>
            <w:tcW w:w="1399" w:type="dxa"/>
          </w:tcPr>
          <w:p w14:paraId="01F7FE14" w14:textId="77777777" w:rsidR="008A440F" w:rsidRPr="00B10162" w:rsidRDefault="008A440F" w:rsidP="00C70B3C">
            <w:pPr>
              <w:spacing w:after="0"/>
              <w:rPr>
                <w:b/>
                <w:i/>
              </w:rPr>
            </w:pPr>
          </w:p>
        </w:tc>
        <w:tc>
          <w:tcPr>
            <w:tcW w:w="1152" w:type="dxa"/>
          </w:tcPr>
          <w:p w14:paraId="21DAFDB0" w14:textId="77777777" w:rsidR="008A440F" w:rsidRPr="00B10162" w:rsidRDefault="008A440F" w:rsidP="00C70B3C">
            <w:pPr>
              <w:spacing w:after="0"/>
              <w:rPr>
                <w:b/>
                <w:i/>
              </w:rPr>
            </w:pPr>
          </w:p>
        </w:tc>
        <w:tc>
          <w:tcPr>
            <w:tcW w:w="936" w:type="dxa"/>
          </w:tcPr>
          <w:p w14:paraId="69431A29" w14:textId="77777777" w:rsidR="008A440F" w:rsidRPr="00B10162" w:rsidRDefault="008A440F" w:rsidP="00C70B3C">
            <w:pPr>
              <w:spacing w:after="0"/>
              <w:rPr>
                <w:b/>
                <w:i/>
              </w:rPr>
            </w:pPr>
          </w:p>
        </w:tc>
      </w:tr>
      <w:tr w:rsidR="00B10162" w:rsidRPr="00B10162" w14:paraId="4C9452B3" w14:textId="77777777" w:rsidTr="008A440F">
        <w:tc>
          <w:tcPr>
            <w:tcW w:w="959" w:type="dxa"/>
          </w:tcPr>
          <w:p w14:paraId="5E188AC0" w14:textId="77777777" w:rsidR="00805C20" w:rsidRPr="00B10162" w:rsidRDefault="00805C20" w:rsidP="00C70B3C">
            <w:pPr>
              <w:spacing w:after="0"/>
              <w:rPr>
                <w:b/>
                <w:i/>
              </w:rPr>
            </w:pPr>
            <w:r w:rsidRPr="00B10162">
              <w:rPr>
                <w:b/>
                <w:i/>
              </w:rPr>
              <w:t>Rec. no</w:t>
            </w:r>
          </w:p>
        </w:tc>
        <w:tc>
          <w:tcPr>
            <w:tcW w:w="4394" w:type="dxa"/>
          </w:tcPr>
          <w:p w14:paraId="6E8FCED9" w14:textId="77777777" w:rsidR="00805C20" w:rsidRPr="00B10162" w:rsidRDefault="00805C20" w:rsidP="00C70B3C">
            <w:pPr>
              <w:spacing w:after="0"/>
              <w:rPr>
                <w:b/>
                <w:i/>
              </w:rPr>
            </w:pPr>
            <w:r w:rsidRPr="00B10162">
              <w:rPr>
                <w:b/>
                <w:i/>
              </w:rPr>
              <w:t>Issue or recommendation</w:t>
            </w:r>
          </w:p>
        </w:tc>
        <w:tc>
          <w:tcPr>
            <w:tcW w:w="1276" w:type="dxa"/>
          </w:tcPr>
          <w:p w14:paraId="1DFF58A4" w14:textId="77777777" w:rsidR="00805C20" w:rsidRPr="00B10162" w:rsidRDefault="00805C20" w:rsidP="00C70B3C">
            <w:pPr>
              <w:spacing w:after="0"/>
              <w:rPr>
                <w:b/>
                <w:i/>
              </w:rPr>
            </w:pPr>
            <w:r w:rsidRPr="00B10162">
              <w:rPr>
                <w:b/>
                <w:i/>
              </w:rPr>
              <w:t>Raised by / Date</w:t>
            </w:r>
          </w:p>
        </w:tc>
        <w:tc>
          <w:tcPr>
            <w:tcW w:w="4678" w:type="dxa"/>
          </w:tcPr>
          <w:p w14:paraId="67F83E27" w14:textId="77777777" w:rsidR="00805C20" w:rsidRPr="00B10162" w:rsidRDefault="00805C20" w:rsidP="00C70B3C">
            <w:pPr>
              <w:spacing w:after="0"/>
              <w:rPr>
                <w:b/>
                <w:i/>
              </w:rPr>
            </w:pPr>
            <w:r w:rsidRPr="00B10162">
              <w:rPr>
                <w:b/>
                <w:i/>
              </w:rPr>
              <w:t>Response or Action taken by applicant</w:t>
            </w:r>
          </w:p>
        </w:tc>
        <w:tc>
          <w:tcPr>
            <w:tcW w:w="1399" w:type="dxa"/>
          </w:tcPr>
          <w:p w14:paraId="39754F4F" w14:textId="77777777" w:rsidR="00805C20" w:rsidRPr="00B10162" w:rsidRDefault="00805C20" w:rsidP="00C70B3C">
            <w:pPr>
              <w:spacing w:after="0"/>
              <w:rPr>
                <w:b/>
                <w:i/>
              </w:rPr>
            </w:pPr>
            <w:r w:rsidRPr="00B10162">
              <w:rPr>
                <w:b/>
                <w:i/>
              </w:rPr>
              <w:t>Response date</w:t>
            </w:r>
          </w:p>
        </w:tc>
        <w:tc>
          <w:tcPr>
            <w:tcW w:w="1152" w:type="dxa"/>
          </w:tcPr>
          <w:p w14:paraId="64706E2D" w14:textId="77777777" w:rsidR="00805C20" w:rsidRPr="00B10162" w:rsidRDefault="00805C20" w:rsidP="00C70B3C">
            <w:pPr>
              <w:spacing w:after="0"/>
              <w:rPr>
                <w:b/>
                <w:i/>
              </w:rPr>
            </w:pPr>
            <w:r w:rsidRPr="00B10162">
              <w:rPr>
                <w:b/>
                <w:i/>
              </w:rPr>
              <w:t>Resolved</w:t>
            </w:r>
          </w:p>
        </w:tc>
        <w:tc>
          <w:tcPr>
            <w:tcW w:w="936" w:type="dxa"/>
          </w:tcPr>
          <w:p w14:paraId="483FA471" w14:textId="77777777" w:rsidR="00805C20" w:rsidRPr="00B10162" w:rsidRDefault="00805C20" w:rsidP="00C70B3C">
            <w:pPr>
              <w:spacing w:after="0"/>
              <w:rPr>
                <w:b/>
                <w:i/>
              </w:rPr>
            </w:pPr>
            <w:r w:rsidRPr="00B10162">
              <w:rPr>
                <w:b/>
                <w:i/>
              </w:rPr>
              <w:t>Sign off by / Date</w:t>
            </w:r>
          </w:p>
        </w:tc>
      </w:tr>
      <w:tr w:rsidR="00B10162" w:rsidRPr="00B10162" w14:paraId="33B67657" w14:textId="77777777" w:rsidTr="008A440F">
        <w:tc>
          <w:tcPr>
            <w:tcW w:w="959" w:type="dxa"/>
          </w:tcPr>
          <w:p w14:paraId="71357A16" w14:textId="77777777" w:rsidR="00805C20" w:rsidRPr="00B10162" w:rsidRDefault="00805C20" w:rsidP="00C70B3C">
            <w:pPr>
              <w:spacing w:after="0"/>
              <w:rPr>
                <w:rFonts w:cs="Calibri"/>
                <w:lang w:eastAsia="en-GB"/>
              </w:rPr>
            </w:pPr>
            <w:r w:rsidRPr="00B10162">
              <w:rPr>
                <w:rFonts w:cs="Calibri"/>
                <w:lang w:eastAsia="en-GB"/>
              </w:rPr>
              <w:t>3a</w:t>
            </w:r>
          </w:p>
        </w:tc>
        <w:tc>
          <w:tcPr>
            <w:tcW w:w="4394" w:type="dxa"/>
          </w:tcPr>
          <w:p w14:paraId="2B998EC3" w14:textId="77777777" w:rsidR="00805C20" w:rsidRPr="00B10162" w:rsidRDefault="00805C20" w:rsidP="00C70B3C">
            <w:pPr>
              <w:spacing w:after="0"/>
              <w:rPr>
                <w:rFonts w:cs="Calibri"/>
                <w:lang w:eastAsia="en-GB"/>
              </w:rPr>
            </w:pPr>
            <w:r w:rsidRPr="00B10162">
              <w:rPr>
                <w:rFonts w:cs="Calibri"/>
                <w:lang w:eastAsia="en-GB"/>
              </w:rPr>
              <w:t xml:space="preserve">Concern was raised around the completeness of the data.  As such if these indicators were to be progressed there would need to be a statement of the completeness of the data to provide context to the results.  To provide confidence in recording levels there would need to be analysis of the completeness at hospital level, </w:t>
            </w:r>
            <w:proofErr w:type="gramStart"/>
            <w:r w:rsidRPr="00B10162">
              <w:rPr>
                <w:rFonts w:cs="Calibri"/>
                <w:lang w:eastAsia="en-GB"/>
              </w:rPr>
              <w:t>and also</w:t>
            </w:r>
            <w:proofErr w:type="gramEnd"/>
            <w:r w:rsidRPr="00B10162">
              <w:rPr>
                <w:rFonts w:cs="Calibri"/>
                <w:lang w:eastAsia="en-GB"/>
              </w:rPr>
              <w:t xml:space="preserve"> at CCG level. </w:t>
            </w:r>
          </w:p>
          <w:p w14:paraId="3D06908D" w14:textId="77777777" w:rsidR="00805C20" w:rsidRPr="00B10162" w:rsidRDefault="00805C20" w:rsidP="00C70B3C">
            <w:pPr>
              <w:spacing w:after="0"/>
              <w:rPr>
                <w:rFonts w:cs="Calibri"/>
                <w:lang w:eastAsia="en-GB"/>
              </w:rPr>
            </w:pPr>
            <w:r w:rsidRPr="00B10162">
              <w:rPr>
                <w:rFonts w:cs="Calibri"/>
                <w:lang w:eastAsia="en-GB"/>
              </w:rPr>
              <w:t xml:space="preserve">MRG suggested that RCP could be asked to look at a </w:t>
            </w:r>
            <w:proofErr w:type="gramStart"/>
            <w:r w:rsidRPr="00B10162">
              <w:rPr>
                <w:rFonts w:cs="Calibri"/>
                <w:lang w:eastAsia="en-GB"/>
              </w:rPr>
              <w:t>high level</w:t>
            </w:r>
            <w:proofErr w:type="gramEnd"/>
            <w:r w:rsidRPr="00B10162">
              <w:rPr>
                <w:rFonts w:cs="Calibri"/>
                <w:lang w:eastAsia="en-GB"/>
              </w:rPr>
              <w:t xml:space="preserve"> cross validation with HES to compare the broad participation numbers by trust.</w:t>
            </w:r>
          </w:p>
        </w:tc>
        <w:tc>
          <w:tcPr>
            <w:tcW w:w="1276" w:type="dxa"/>
          </w:tcPr>
          <w:p w14:paraId="3FE45687" w14:textId="77777777" w:rsidR="00805C20" w:rsidRPr="00B10162" w:rsidRDefault="00805C20" w:rsidP="00C70B3C">
            <w:pPr>
              <w:spacing w:after="0"/>
              <w:rPr>
                <w:rFonts w:cs="Calibri"/>
                <w:lang w:eastAsia="en-GB"/>
              </w:rPr>
            </w:pPr>
            <w:r w:rsidRPr="00B10162">
              <w:rPr>
                <w:rFonts w:cs="Calibri"/>
                <w:lang w:eastAsia="en-GB"/>
              </w:rPr>
              <w:t>MRG</w:t>
            </w:r>
          </w:p>
          <w:p w14:paraId="35D842B3" w14:textId="77777777" w:rsidR="00805C20" w:rsidRPr="00B10162" w:rsidRDefault="00805C20" w:rsidP="00C70B3C">
            <w:pPr>
              <w:spacing w:after="0"/>
              <w:rPr>
                <w:rFonts w:cs="Calibri"/>
                <w:lang w:eastAsia="en-GB"/>
              </w:rPr>
            </w:pPr>
          </w:p>
          <w:p w14:paraId="448395B5" w14:textId="77777777" w:rsidR="00805C20" w:rsidRPr="00B10162" w:rsidRDefault="00805C20" w:rsidP="00C70B3C">
            <w:pPr>
              <w:spacing w:after="0"/>
              <w:rPr>
                <w:rFonts w:cs="Calibri"/>
                <w:lang w:eastAsia="en-GB"/>
              </w:rPr>
            </w:pPr>
            <w:r w:rsidRPr="00B10162">
              <w:rPr>
                <w:rFonts w:cs="Calibri"/>
                <w:lang w:eastAsia="en-GB"/>
              </w:rPr>
              <w:t>27/3/12</w:t>
            </w:r>
          </w:p>
        </w:tc>
        <w:tc>
          <w:tcPr>
            <w:tcW w:w="4678" w:type="dxa"/>
          </w:tcPr>
          <w:p w14:paraId="071321F1" w14:textId="77777777" w:rsidR="00805C20" w:rsidRPr="00B10162" w:rsidRDefault="00805C20" w:rsidP="00C70B3C">
            <w:pPr>
              <w:spacing w:before="120" w:after="120"/>
              <w:rPr>
                <w:rFonts w:cs="Calibri"/>
                <w:lang w:eastAsia="en-GB"/>
              </w:rPr>
            </w:pPr>
            <w:r w:rsidRPr="00B10162">
              <w:rPr>
                <w:rFonts w:cs="Calibri"/>
                <w:lang w:eastAsia="en-GB"/>
              </w:rPr>
              <w:t>The indicator is published in the context of case ascertainment between SSNAP and HES. This is the percentage of patients with primary ICD-10 codes I61, I63 and I64 in HES who are included in SSNAP for the same time period.</w:t>
            </w:r>
          </w:p>
          <w:p w14:paraId="0409BE38" w14:textId="77777777" w:rsidR="00805C20" w:rsidRPr="00B10162" w:rsidRDefault="00805C20" w:rsidP="00C70B3C">
            <w:pPr>
              <w:spacing w:before="120" w:after="120"/>
              <w:rPr>
                <w:rFonts w:cs="Calibri"/>
                <w:lang w:eastAsia="en-GB"/>
              </w:rPr>
            </w:pPr>
            <w:r w:rsidRPr="00B10162">
              <w:rPr>
                <w:rFonts w:cs="Calibri"/>
                <w:lang w:eastAsia="en-GB"/>
              </w:rPr>
              <w:t>The SSNAP is a mandatory collection and overall case ascertainment increased from 72% in Quarter 1 to 95% in Quarter 4, 2013/14 (Quarter 2: 83%, Quarter 3: 90%). It has further improved to 97% by Quarter 4, 2014/15. Case ascertainment is reported alongside the indicator for all CCGs in the published CCG OIS data files. Only five CCGs (2.4%) had their percentages suppressed in the published 2013/14 data due to less than 50% case ascertainment with HES.</w:t>
            </w:r>
          </w:p>
          <w:p w14:paraId="04D32F82" w14:textId="77777777" w:rsidR="00805C20" w:rsidRPr="00B10162" w:rsidRDefault="00805C20" w:rsidP="00C70B3C">
            <w:pPr>
              <w:spacing w:before="120" w:after="120"/>
              <w:rPr>
                <w:rFonts w:cs="Calibri"/>
                <w:lang w:eastAsia="en-GB"/>
              </w:rPr>
            </w:pPr>
            <w:r w:rsidRPr="00B10162">
              <w:rPr>
                <w:rFonts w:cs="Calibri"/>
                <w:lang w:eastAsia="en-GB"/>
              </w:rPr>
              <w:t xml:space="preserve">Patient records are only included in audit analyses if they include the minimum requirements of completion of mandatory fields. The minimum includes </w:t>
            </w:r>
            <w:proofErr w:type="gramStart"/>
            <w:r w:rsidRPr="00B10162">
              <w:rPr>
                <w:rFonts w:cs="Calibri"/>
                <w:lang w:eastAsia="en-GB"/>
              </w:rPr>
              <w:t>all of</w:t>
            </w:r>
            <w:proofErr w:type="gramEnd"/>
            <w:r w:rsidRPr="00B10162">
              <w:rPr>
                <w:rFonts w:cs="Calibri"/>
                <w:lang w:eastAsia="en-GB"/>
              </w:rPr>
              <w:t xml:space="preserve"> the fields required to calculate this indicator. Case ascertainment is reported publicly at hospital level and therefore there is a strong incentive for hospitals to ensure they have submitted </w:t>
            </w:r>
            <w:proofErr w:type="gramStart"/>
            <w:r w:rsidRPr="00B10162">
              <w:rPr>
                <w:rFonts w:cs="Calibri"/>
                <w:lang w:eastAsia="en-GB"/>
              </w:rPr>
              <w:t>all of</w:t>
            </w:r>
            <w:proofErr w:type="gramEnd"/>
            <w:r w:rsidRPr="00B10162">
              <w:rPr>
                <w:rFonts w:cs="Calibri"/>
                <w:lang w:eastAsia="en-GB"/>
              </w:rPr>
              <w:t xml:space="preserve"> their patients to </w:t>
            </w:r>
            <w:r w:rsidRPr="00B10162">
              <w:rPr>
                <w:rFonts w:cs="Calibri"/>
                <w:lang w:eastAsia="en-GB"/>
              </w:rPr>
              <w:lastRenderedPageBreak/>
              <w:t>the audit and completed the mandatory fields. The data is received via a secure web tool which has strong built-in validation meaning that data is fully complete.</w:t>
            </w:r>
          </w:p>
        </w:tc>
        <w:tc>
          <w:tcPr>
            <w:tcW w:w="1399" w:type="dxa"/>
          </w:tcPr>
          <w:p w14:paraId="34D23471" w14:textId="77777777" w:rsidR="00805C20" w:rsidRPr="00B10162" w:rsidRDefault="00805C20" w:rsidP="00C70B3C">
            <w:pPr>
              <w:spacing w:after="0"/>
              <w:jc w:val="center"/>
              <w:rPr>
                <w:rFonts w:cs="Calibri"/>
                <w:lang w:eastAsia="en-GB"/>
              </w:rPr>
            </w:pPr>
            <w:r w:rsidRPr="00B10162">
              <w:rPr>
                <w:rFonts w:cs="Calibri"/>
              </w:rPr>
              <w:lastRenderedPageBreak/>
              <w:t>13/08/15</w:t>
            </w:r>
          </w:p>
        </w:tc>
        <w:tc>
          <w:tcPr>
            <w:tcW w:w="1152" w:type="dxa"/>
          </w:tcPr>
          <w:p w14:paraId="7F329EF3" w14:textId="77777777" w:rsidR="00805C20" w:rsidRPr="00B10162" w:rsidRDefault="00805C20" w:rsidP="00C70B3C">
            <w:pPr>
              <w:spacing w:after="0"/>
              <w:jc w:val="center"/>
              <w:rPr>
                <w:rFonts w:cs="Calibri"/>
              </w:rPr>
            </w:pPr>
            <w:r w:rsidRPr="00B10162">
              <w:rPr>
                <w:rFonts w:cs="Calibri"/>
              </w:rPr>
              <w:sym w:font="Wingdings" w:char="F0FE"/>
            </w:r>
          </w:p>
        </w:tc>
        <w:tc>
          <w:tcPr>
            <w:tcW w:w="936" w:type="dxa"/>
          </w:tcPr>
          <w:p w14:paraId="5408D08E" w14:textId="77777777" w:rsidR="00805C20" w:rsidRPr="00B10162" w:rsidRDefault="00805C20" w:rsidP="00C70B3C">
            <w:pPr>
              <w:spacing w:after="0"/>
              <w:rPr>
                <w:rFonts w:cs="Calibri"/>
              </w:rPr>
            </w:pPr>
            <w:r w:rsidRPr="00B10162">
              <w:rPr>
                <w:rFonts w:cs="Calibri"/>
              </w:rPr>
              <w:t>MRG</w:t>
            </w:r>
          </w:p>
          <w:p w14:paraId="7135B039" w14:textId="77777777" w:rsidR="00805C20" w:rsidRPr="00B10162" w:rsidRDefault="00805C20" w:rsidP="00C70B3C">
            <w:pPr>
              <w:spacing w:after="0"/>
              <w:rPr>
                <w:rFonts w:cs="Calibri"/>
                <w:lang w:eastAsia="en-GB"/>
              </w:rPr>
            </w:pPr>
            <w:r w:rsidRPr="00B10162">
              <w:rPr>
                <w:rFonts w:cs="Calibri"/>
              </w:rPr>
              <w:t>10/09/15</w:t>
            </w:r>
          </w:p>
        </w:tc>
      </w:tr>
      <w:tr w:rsidR="00B10162" w:rsidRPr="00B10162" w14:paraId="46A22F48" w14:textId="77777777" w:rsidTr="008A440F">
        <w:tc>
          <w:tcPr>
            <w:tcW w:w="959" w:type="dxa"/>
          </w:tcPr>
          <w:p w14:paraId="79E6B65A" w14:textId="77777777" w:rsidR="00805C20" w:rsidRPr="00B10162" w:rsidRDefault="00805C20" w:rsidP="00C70B3C">
            <w:pPr>
              <w:spacing w:after="0"/>
              <w:rPr>
                <w:rFonts w:cs="Calibri"/>
                <w:lang w:eastAsia="en-GB"/>
              </w:rPr>
            </w:pPr>
            <w:r w:rsidRPr="00B10162">
              <w:rPr>
                <w:rFonts w:cs="Calibri"/>
                <w:lang w:eastAsia="en-GB"/>
              </w:rPr>
              <w:t>3b</w:t>
            </w:r>
          </w:p>
        </w:tc>
        <w:tc>
          <w:tcPr>
            <w:tcW w:w="4394" w:type="dxa"/>
          </w:tcPr>
          <w:p w14:paraId="22EE973A" w14:textId="77777777" w:rsidR="00805C20" w:rsidRPr="00B10162" w:rsidRDefault="00805C20" w:rsidP="00C70B3C">
            <w:pPr>
              <w:spacing w:after="0"/>
              <w:rPr>
                <w:rFonts w:cs="Calibri"/>
                <w:b/>
                <w:lang w:eastAsia="en-GB"/>
              </w:rPr>
            </w:pPr>
            <w:r w:rsidRPr="00B10162">
              <w:rPr>
                <w:rFonts w:cs="Calibri"/>
                <w:lang w:eastAsia="en-GB"/>
              </w:rPr>
              <w:t>Further clarification is sought on how representative the audit data is at CCG level.</w:t>
            </w:r>
          </w:p>
        </w:tc>
        <w:tc>
          <w:tcPr>
            <w:tcW w:w="1276" w:type="dxa"/>
          </w:tcPr>
          <w:p w14:paraId="362C61B7" w14:textId="77777777" w:rsidR="00805C20" w:rsidRPr="00B10162" w:rsidRDefault="00805C20" w:rsidP="00C70B3C">
            <w:pPr>
              <w:spacing w:after="0"/>
              <w:rPr>
                <w:rFonts w:cs="Calibri"/>
                <w:lang w:eastAsia="en-GB"/>
              </w:rPr>
            </w:pPr>
            <w:r w:rsidRPr="00B10162">
              <w:rPr>
                <w:rFonts w:cs="Calibri"/>
                <w:lang w:eastAsia="en-GB"/>
              </w:rPr>
              <w:t>MRG</w:t>
            </w:r>
          </w:p>
          <w:p w14:paraId="5FAD748F" w14:textId="77777777" w:rsidR="00805C20" w:rsidRPr="00B10162" w:rsidRDefault="00805C20" w:rsidP="00C70B3C">
            <w:pPr>
              <w:spacing w:after="0"/>
              <w:rPr>
                <w:rFonts w:cs="Calibri"/>
                <w:lang w:eastAsia="en-GB"/>
              </w:rPr>
            </w:pPr>
          </w:p>
          <w:p w14:paraId="1C5D6BF1" w14:textId="77777777" w:rsidR="00805C20" w:rsidRPr="00B10162" w:rsidRDefault="00805C20" w:rsidP="00C70B3C">
            <w:pPr>
              <w:spacing w:after="0"/>
              <w:rPr>
                <w:rFonts w:cs="Calibri"/>
                <w:lang w:eastAsia="en-GB"/>
              </w:rPr>
            </w:pPr>
            <w:r w:rsidRPr="00B10162">
              <w:rPr>
                <w:rFonts w:cs="Calibri"/>
                <w:lang w:eastAsia="en-GB"/>
              </w:rPr>
              <w:t>27/3/12</w:t>
            </w:r>
          </w:p>
        </w:tc>
        <w:tc>
          <w:tcPr>
            <w:tcW w:w="4678" w:type="dxa"/>
          </w:tcPr>
          <w:p w14:paraId="4702B5CC" w14:textId="77777777" w:rsidR="00805C20" w:rsidRPr="00B10162" w:rsidRDefault="00805C20" w:rsidP="00C70B3C">
            <w:pPr>
              <w:spacing w:before="120" w:after="120"/>
              <w:rPr>
                <w:rFonts w:cs="Calibri"/>
                <w:lang w:eastAsia="en-GB"/>
              </w:rPr>
            </w:pPr>
            <w:r w:rsidRPr="00B10162">
              <w:rPr>
                <w:rFonts w:cs="Calibri"/>
                <w:lang w:eastAsia="en-GB"/>
              </w:rPr>
              <w:t xml:space="preserve">Only five CCGs were suppressed in the 2013/14 data, due to having insufficient case ascertainment between SSNAP and HES.  The audit data </w:t>
            </w:r>
            <w:proofErr w:type="gramStart"/>
            <w:r w:rsidRPr="00B10162">
              <w:rPr>
                <w:rFonts w:cs="Calibri"/>
                <w:lang w:eastAsia="en-GB"/>
              </w:rPr>
              <w:t>is considered to be</w:t>
            </w:r>
            <w:proofErr w:type="gramEnd"/>
            <w:r w:rsidRPr="00B10162">
              <w:rPr>
                <w:rFonts w:cs="Calibri"/>
                <w:lang w:eastAsia="en-GB"/>
              </w:rPr>
              <w:t xml:space="preserve"> sufficiently representative to be used at CCG level given the levels of case ascertainment and the suppression rules in place.</w:t>
            </w:r>
          </w:p>
        </w:tc>
        <w:tc>
          <w:tcPr>
            <w:tcW w:w="1399" w:type="dxa"/>
          </w:tcPr>
          <w:p w14:paraId="4E052442" w14:textId="77777777" w:rsidR="00805C20" w:rsidRPr="00B10162" w:rsidRDefault="00805C20" w:rsidP="00C70B3C">
            <w:pPr>
              <w:spacing w:after="0"/>
              <w:jc w:val="center"/>
              <w:rPr>
                <w:rFonts w:cs="Calibri"/>
                <w:lang w:eastAsia="en-GB"/>
              </w:rPr>
            </w:pPr>
            <w:r w:rsidRPr="00B10162">
              <w:rPr>
                <w:rFonts w:cs="Calibri"/>
              </w:rPr>
              <w:t>13/08/15</w:t>
            </w:r>
          </w:p>
        </w:tc>
        <w:tc>
          <w:tcPr>
            <w:tcW w:w="1152" w:type="dxa"/>
          </w:tcPr>
          <w:p w14:paraId="364CC6F4" w14:textId="77777777" w:rsidR="00805C20" w:rsidRPr="00B10162" w:rsidRDefault="00805C20" w:rsidP="00C70B3C">
            <w:pPr>
              <w:spacing w:after="0"/>
              <w:jc w:val="center"/>
              <w:rPr>
                <w:rFonts w:cs="Calibri"/>
              </w:rPr>
            </w:pPr>
            <w:r w:rsidRPr="00B10162">
              <w:rPr>
                <w:rFonts w:cs="Calibri"/>
              </w:rPr>
              <w:sym w:font="Wingdings" w:char="F0FE"/>
            </w:r>
          </w:p>
        </w:tc>
        <w:tc>
          <w:tcPr>
            <w:tcW w:w="936" w:type="dxa"/>
          </w:tcPr>
          <w:p w14:paraId="3A79435A" w14:textId="77777777" w:rsidR="00805C20" w:rsidRPr="00B10162" w:rsidRDefault="00805C20" w:rsidP="00C70B3C">
            <w:pPr>
              <w:spacing w:after="0"/>
              <w:rPr>
                <w:rFonts w:cs="Calibri"/>
              </w:rPr>
            </w:pPr>
            <w:r w:rsidRPr="00B10162">
              <w:rPr>
                <w:rFonts w:cs="Calibri"/>
              </w:rPr>
              <w:t>MRG</w:t>
            </w:r>
          </w:p>
          <w:p w14:paraId="59199CD3" w14:textId="77777777" w:rsidR="00805C20" w:rsidRPr="00B10162" w:rsidRDefault="00805C20" w:rsidP="00C70B3C">
            <w:pPr>
              <w:spacing w:after="0"/>
              <w:rPr>
                <w:rFonts w:cs="Calibri"/>
                <w:lang w:eastAsia="en-GB"/>
              </w:rPr>
            </w:pPr>
            <w:r w:rsidRPr="00B10162">
              <w:rPr>
                <w:rFonts w:cs="Calibri"/>
              </w:rPr>
              <w:t>10/09/15</w:t>
            </w:r>
          </w:p>
        </w:tc>
      </w:tr>
      <w:tr w:rsidR="00B10162" w:rsidRPr="00B10162" w14:paraId="0779ED68" w14:textId="77777777" w:rsidTr="008A440F">
        <w:tc>
          <w:tcPr>
            <w:tcW w:w="959" w:type="dxa"/>
          </w:tcPr>
          <w:p w14:paraId="56FCB4D2" w14:textId="77777777" w:rsidR="00805C20" w:rsidRPr="00B10162" w:rsidRDefault="00805C20" w:rsidP="00C70B3C">
            <w:pPr>
              <w:spacing w:after="0"/>
              <w:rPr>
                <w:rFonts w:cs="Calibri"/>
                <w:lang w:eastAsia="en-GB"/>
              </w:rPr>
            </w:pPr>
            <w:r w:rsidRPr="00B10162">
              <w:rPr>
                <w:rFonts w:cs="Calibri"/>
                <w:lang w:eastAsia="en-GB"/>
              </w:rPr>
              <w:t>3c</w:t>
            </w:r>
          </w:p>
        </w:tc>
        <w:tc>
          <w:tcPr>
            <w:tcW w:w="4394" w:type="dxa"/>
          </w:tcPr>
          <w:p w14:paraId="37B1CA0F" w14:textId="77777777" w:rsidR="00805C20" w:rsidRPr="00B10162" w:rsidRDefault="00805C20" w:rsidP="00C70B3C">
            <w:pPr>
              <w:spacing w:after="0"/>
              <w:rPr>
                <w:rFonts w:cs="Calibri"/>
                <w:lang w:eastAsia="en-GB"/>
              </w:rPr>
            </w:pPr>
            <w:r w:rsidRPr="00B10162">
              <w:rPr>
                <w:rFonts w:cs="Calibri"/>
                <w:lang w:eastAsia="en-GB"/>
              </w:rPr>
              <w:t>Further clarification is sought on the time periods defined in the indicators, including frequency, collection periods, reporting periods etc.</w:t>
            </w:r>
          </w:p>
        </w:tc>
        <w:tc>
          <w:tcPr>
            <w:tcW w:w="1276" w:type="dxa"/>
          </w:tcPr>
          <w:p w14:paraId="3AA17F43" w14:textId="77777777" w:rsidR="00805C20" w:rsidRPr="00B10162" w:rsidRDefault="00805C20" w:rsidP="00C70B3C">
            <w:pPr>
              <w:spacing w:after="0"/>
              <w:rPr>
                <w:rFonts w:cs="Calibri"/>
                <w:lang w:eastAsia="en-GB"/>
              </w:rPr>
            </w:pPr>
            <w:r w:rsidRPr="00B10162">
              <w:rPr>
                <w:rFonts w:cs="Calibri"/>
                <w:lang w:eastAsia="en-GB"/>
              </w:rPr>
              <w:t>27/3/12</w:t>
            </w:r>
          </w:p>
        </w:tc>
        <w:tc>
          <w:tcPr>
            <w:tcW w:w="4678" w:type="dxa"/>
          </w:tcPr>
          <w:p w14:paraId="609BF0B3" w14:textId="77777777" w:rsidR="00805C20" w:rsidRPr="00B10162" w:rsidRDefault="00805C20" w:rsidP="00C70B3C">
            <w:pPr>
              <w:spacing w:before="120" w:after="120"/>
              <w:rPr>
                <w:rFonts w:cs="Calibri"/>
                <w:lang w:eastAsia="en-GB"/>
              </w:rPr>
            </w:pPr>
            <w:r w:rsidRPr="00B10162">
              <w:rPr>
                <w:rFonts w:cs="Calibri"/>
                <w:lang w:eastAsia="en-GB"/>
              </w:rPr>
              <w:t xml:space="preserve">CCG OIS indicator data are reported annually. SSNAP data for the full financial year is available approximately eight months after the financial year end; </w:t>
            </w:r>
            <w:proofErr w:type="gramStart"/>
            <w:r w:rsidRPr="00B10162">
              <w:rPr>
                <w:rFonts w:cs="Calibri"/>
                <w:lang w:eastAsia="en-GB"/>
              </w:rPr>
              <w:t>therefore</w:t>
            </w:r>
            <w:proofErr w:type="gramEnd"/>
            <w:r w:rsidRPr="00B10162">
              <w:rPr>
                <w:rFonts w:cs="Calibri"/>
                <w:lang w:eastAsia="en-GB"/>
              </w:rPr>
              <w:t xml:space="preserve"> the indicator is published each year in December.</w:t>
            </w:r>
            <w:r w:rsidRPr="00B10162">
              <w:rPr>
                <w:rFonts w:cs="Calibri"/>
              </w:rPr>
              <w:t xml:space="preserve"> </w:t>
            </w:r>
            <w:r w:rsidRPr="00B10162">
              <w:rPr>
                <w:rFonts w:cs="Calibri"/>
                <w:lang w:eastAsia="en-GB"/>
              </w:rPr>
              <w:t>The indicator was published for the first time in December 2014, using 2013/14 for each CCG in England. 2014/15 data is due to be published in December 2015.</w:t>
            </w:r>
          </w:p>
          <w:p w14:paraId="596DE82E" w14:textId="77777777" w:rsidR="00805C20" w:rsidRPr="00B10162" w:rsidRDefault="00805C20" w:rsidP="00C70B3C">
            <w:pPr>
              <w:spacing w:before="120" w:after="120"/>
              <w:rPr>
                <w:rFonts w:cs="Calibri"/>
                <w:lang w:eastAsia="en-GB"/>
              </w:rPr>
            </w:pPr>
            <w:r w:rsidRPr="00B10162">
              <w:rPr>
                <w:rFonts w:cs="Calibri"/>
                <w:lang w:eastAsia="en-GB"/>
              </w:rPr>
              <w:t>CCG OIS indicators are official statistics and the December 2014 publication date was pre-announced. There was no gap between the planned and actual publication date.</w:t>
            </w:r>
          </w:p>
        </w:tc>
        <w:tc>
          <w:tcPr>
            <w:tcW w:w="1399" w:type="dxa"/>
          </w:tcPr>
          <w:p w14:paraId="68710ECA" w14:textId="77777777" w:rsidR="00805C20" w:rsidRPr="00B10162" w:rsidRDefault="00805C20" w:rsidP="00C70B3C">
            <w:pPr>
              <w:spacing w:after="0"/>
              <w:jc w:val="center"/>
              <w:rPr>
                <w:rFonts w:cs="Calibri"/>
                <w:lang w:eastAsia="en-GB"/>
              </w:rPr>
            </w:pPr>
            <w:r w:rsidRPr="00B10162">
              <w:rPr>
                <w:rFonts w:cs="Calibri"/>
              </w:rPr>
              <w:t>13/08/15</w:t>
            </w:r>
          </w:p>
        </w:tc>
        <w:tc>
          <w:tcPr>
            <w:tcW w:w="1152" w:type="dxa"/>
          </w:tcPr>
          <w:p w14:paraId="545152AB" w14:textId="77777777" w:rsidR="00805C20" w:rsidRPr="00B10162" w:rsidRDefault="00805C20" w:rsidP="00C70B3C">
            <w:pPr>
              <w:spacing w:after="0"/>
              <w:jc w:val="center"/>
              <w:rPr>
                <w:rFonts w:cs="Calibri"/>
              </w:rPr>
            </w:pPr>
            <w:r w:rsidRPr="00B10162">
              <w:rPr>
                <w:rFonts w:cs="Calibri"/>
              </w:rPr>
              <w:sym w:font="Wingdings" w:char="F0FE"/>
            </w:r>
          </w:p>
        </w:tc>
        <w:tc>
          <w:tcPr>
            <w:tcW w:w="936" w:type="dxa"/>
          </w:tcPr>
          <w:p w14:paraId="4EDD4A8E" w14:textId="77777777" w:rsidR="00805C20" w:rsidRPr="00B10162" w:rsidRDefault="00805C20" w:rsidP="00C70B3C">
            <w:pPr>
              <w:spacing w:after="0"/>
              <w:rPr>
                <w:rFonts w:cs="Calibri"/>
              </w:rPr>
            </w:pPr>
            <w:r w:rsidRPr="00B10162">
              <w:rPr>
                <w:rFonts w:cs="Calibri"/>
              </w:rPr>
              <w:t>MRG</w:t>
            </w:r>
          </w:p>
          <w:p w14:paraId="1A81FAA9" w14:textId="77777777" w:rsidR="00805C20" w:rsidRPr="00B10162" w:rsidRDefault="00805C20" w:rsidP="00C70B3C">
            <w:pPr>
              <w:spacing w:after="0"/>
              <w:rPr>
                <w:rFonts w:cs="Calibri"/>
                <w:lang w:eastAsia="en-GB"/>
              </w:rPr>
            </w:pPr>
            <w:r w:rsidRPr="00B10162">
              <w:rPr>
                <w:rFonts w:cs="Calibri"/>
              </w:rPr>
              <w:t>10/09/15</w:t>
            </w:r>
          </w:p>
        </w:tc>
      </w:tr>
      <w:tr w:rsidR="00B10162" w:rsidRPr="00B10162" w14:paraId="2CE711CE" w14:textId="77777777" w:rsidTr="008A440F">
        <w:tc>
          <w:tcPr>
            <w:tcW w:w="959" w:type="dxa"/>
          </w:tcPr>
          <w:p w14:paraId="6B95513F" w14:textId="77777777" w:rsidR="00805C20" w:rsidRPr="00B10162" w:rsidRDefault="00805C20" w:rsidP="00C70B3C">
            <w:pPr>
              <w:spacing w:after="0"/>
              <w:rPr>
                <w:rFonts w:cs="Calibri"/>
                <w:lang w:eastAsia="en-GB"/>
              </w:rPr>
            </w:pPr>
            <w:r w:rsidRPr="00B10162">
              <w:rPr>
                <w:rFonts w:cs="Calibri"/>
                <w:lang w:eastAsia="en-GB"/>
              </w:rPr>
              <w:t>3di</w:t>
            </w:r>
          </w:p>
        </w:tc>
        <w:tc>
          <w:tcPr>
            <w:tcW w:w="4394" w:type="dxa"/>
          </w:tcPr>
          <w:p w14:paraId="5A5ACD01" w14:textId="77777777" w:rsidR="00805C20" w:rsidRPr="00B10162" w:rsidRDefault="00805C20" w:rsidP="00C70B3C">
            <w:pPr>
              <w:spacing w:after="0"/>
              <w:rPr>
                <w:rFonts w:cs="Calibri"/>
                <w:lang w:eastAsia="en-GB"/>
              </w:rPr>
            </w:pPr>
            <w:r w:rsidRPr="00B10162">
              <w:rPr>
                <w:rFonts w:cs="Calibri"/>
                <w:lang w:eastAsia="en-GB"/>
              </w:rPr>
              <w:t xml:space="preserve">The rationale for selecting the ICD-10 codes used to identify stroke patients should be clearly stated in the documentation for each indicator. </w:t>
            </w:r>
          </w:p>
        </w:tc>
        <w:tc>
          <w:tcPr>
            <w:tcW w:w="1276" w:type="dxa"/>
          </w:tcPr>
          <w:p w14:paraId="68778796" w14:textId="77777777" w:rsidR="00805C20" w:rsidRPr="00B10162" w:rsidRDefault="00805C20" w:rsidP="00C70B3C">
            <w:pPr>
              <w:spacing w:after="0"/>
              <w:rPr>
                <w:rFonts w:cs="Calibri"/>
                <w:lang w:eastAsia="en-GB"/>
              </w:rPr>
            </w:pPr>
            <w:r w:rsidRPr="00B10162">
              <w:rPr>
                <w:rFonts w:cs="Calibri"/>
                <w:lang w:eastAsia="en-GB"/>
              </w:rPr>
              <w:t xml:space="preserve">MRG </w:t>
            </w:r>
          </w:p>
          <w:p w14:paraId="4C9978BB" w14:textId="77777777" w:rsidR="00805C20" w:rsidRPr="00B10162" w:rsidRDefault="00805C20" w:rsidP="00C70B3C">
            <w:pPr>
              <w:spacing w:after="0"/>
              <w:rPr>
                <w:rFonts w:cs="Calibri"/>
                <w:lang w:eastAsia="en-GB"/>
              </w:rPr>
            </w:pPr>
          </w:p>
          <w:p w14:paraId="36B985B6" w14:textId="77777777" w:rsidR="00805C20" w:rsidRPr="00B10162" w:rsidRDefault="00805C20" w:rsidP="00C70B3C">
            <w:pPr>
              <w:spacing w:after="0"/>
              <w:rPr>
                <w:rFonts w:cs="Calibri"/>
                <w:lang w:eastAsia="en-GB"/>
              </w:rPr>
            </w:pPr>
            <w:r w:rsidRPr="00B10162">
              <w:rPr>
                <w:rFonts w:cs="Calibri"/>
                <w:lang w:eastAsia="en-GB"/>
              </w:rPr>
              <w:t>6/9/12</w:t>
            </w:r>
          </w:p>
          <w:p w14:paraId="064B608D" w14:textId="77777777" w:rsidR="00805C20" w:rsidRPr="00B10162" w:rsidRDefault="00805C20" w:rsidP="00C70B3C">
            <w:pPr>
              <w:spacing w:after="0"/>
              <w:rPr>
                <w:rFonts w:cs="Calibri"/>
                <w:lang w:eastAsia="en-GB"/>
              </w:rPr>
            </w:pPr>
          </w:p>
          <w:p w14:paraId="14C3B500" w14:textId="77777777" w:rsidR="00805C20" w:rsidRPr="00B10162" w:rsidRDefault="00805C20" w:rsidP="00C70B3C">
            <w:pPr>
              <w:spacing w:after="0"/>
              <w:rPr>
                <w:rFonts w:cs="Calibri"/>
                <w:lang w:eastAsia="en-GB"/>
              </w:rPr>
            </w:pPr>
          </w:p>
        </w:tc>
        <w:tc>
          <w:tcPr>
            <w:tcW w:w="4678" w:type="dxa"/>
          </w:tcPr>
          <w:p w14:paraId="3303882F" w14:textId="77777777" w:rsidR="00805C20" w:rsidRPr="00B10162" w:rsidRDefault="00805C20" w:rsidP="00C70B3C">
            <w:pPr>
              <w:spacing w:before="120" w:after="120"/>
              <w:rPr>
                <w:rFonts w:cs="Calibri"/>
                <w:lang w:eastAsia="en-GB"/>
              </w:rPr>
            </w:pPr>
            <w:r w:rsidRPr="00B10162">
              <w:rPr>
                <w:rFonts w:cs="Calibri"/>
                <w:lang w:eastAsia="en-GB"/>
              </w:rPr>
              <w:lastRenderedPageBreak/>
              <w:t>The SSNAP uses the following ICD-10 diagnosis codes to identify stroke patients:</w:t>
            </w:r>
          </w:p>
          <w:p w14:paraId="298C3BFB" w14:textId="77777777" w:rsidR="00805C20" w:rsidRPr="00B10162" w:rsidRDefault="00805C20" w:rsidP="00805C20">
            <w:pPr>
              <w:numPr>
                <w:ilvl w:val="0"/>
                <w:numId w:val="19"/>
              </w:numPr>
              <w:spacing w:after="0"/>
              <w:ind w:left="714" w:hanging="357"/>
              <w:textboxTightWrap w:val="none"/>
              <w:rPr>
                <w:rFonts w:cs="Calibri"/>
                <w:lang w:eastAsia="en-GB"/>
              </w:rPr>
            </w:pPr>
            <w:r w:rsidRPr="00B10162">
              <w:rPr>
                <w:rFonts w:cs="Calibri"/>
                <w:lang w:eastAsia="en-GB"/>
              </w:rPr>
              <w:lastRenderedPageBreak/>
              <w:t>I61 - Intracerebral haemorrhage</w:t>
            </w:r>
          </w:p>
          <w:p w14:paraId="03E5DBE9" w14:textId="77777777" w:rsidR="00805C20" w:rsidRPr="00B10162" w:rsidRDefault="00805C20" w:rsidP="00805C20">
            <w:pPr>
              <w:numPr>
                <w:ilvl w:val="0"/>
                <w:numId w:val="19"/>
              </w:numPr>
              <w:spacing w:after="0"/>
              <w:ind w:left="714" w:hanging="357"/>
              <w:textboxTightWrap w:val="none"/>
              <w:rPr>
                <w:rFonts w:cs="Calibri"/>
                <w:lang w:eastAsia="en-GB"/>
              </w:rPr>
            </w:pPr>
            <w:r w:rsidRPr="00B10162">
              <w:rPr>
                <w:rFonts w:cs="Calibri"/>
                <w:lang w:eastAsia="en-GB"/>
              </w:rPr>
              <w:t>I63 - Cerebral infarction</w:t>
            </w:r>
          </w:p>
          <w:p w14:paraId="24323750" w14:textId="77777777" w:rsidR="00805C20" w:rsidRPr="00B10162" w:rsidRDefault="00805C20" w:rsidP="00805C20">
            <w:pPr>
              <w:numPr>
                <w:ilvl w:val="0"/>
                <w:numId w:val="19"/>
              </w:numPr>
              <w:spacing w:after="0"/>
              <w:ind w:left="714" w:hanging="357"/>
              <w:textboxTightWrap w:val="none"/>
              <w:rPr>
                <w:rFonts w:cs="Calibri"/>
                <w:lang w:eastAsia="en-GB"/>
              </w:rPr>
            </w:pPr>
            <w:r w:rsidRPr="00B10162">
              <w:rPr>
                <w:rFonts w:cs="Calibri"/>
                <w:lang w:eastAsia="en-GB"/>
              </w:rPr>
              <w:t>I64 - Stroke, not specified as haemorrhage or infarction</w:t>
            </w:r>
          </w:p>
          <w:p w14:paraId="3580BE59" w14:textId="77777777" w:rsidR="00805C20" w:rsidRPr="00B10162" w:rsidRDefault="00805C20" w:rsidP="00C70B3C">
            <w:pPr>
              <w:spacing w:before="120" w:after="120"/>
              <w:rPr>
                <w:rFonts w:cs="Calibri"/>
                <w:lang w:eastAsia="en-GB"/>
              </w:rPr>
            </w:pPr>
            <w:r w:rsidRPr="00B10162">
              <w:rPr>
                <w:rFonts w:cs="Calibri"/>
                <w:lang w:eastAsia="en-GB"/>
              </w:rPr>
              <w:t>The coding advice from the Clinical Classifications Service also includes I60 (Subarachnoid haemorrhage) and I62 (Other nontraumatic intracranial haemorrhage), however this advice would not be endorsed by the RCP as subarachnoid haemorrhage and other non-traumatic intracranial haemorrhage have a different care pathway and outcome.</w:t>
            </w:r>
          </w:p>
        </w:tc>
        <w:tc>
          <w:tcPr>
            <w:tcW w:w="1399" w:type="dxa"/>
          </w:tcPr>
          <w:p w14:paraId="27131E59" w14:textId="77777777" w:rsidR="00805C20" w:rsidRPr="00B10162" w:rsidRDefault="00805C20" w:rsidP="00C70B3C">
            <w:pPr>
              <w:spacing w:after="0"/>
              <w:jc w:val="center"/>
              <w:rPr>
                <w:rFonts w:cs="Calibri"/>
                <w:lang w:eastAsia="en-GB"/>
              </w:rPr>
            </w:pPr>
            <w:r w:rsidRPr="00B10162">
              <w:rPr>
                <w:rFonts w:cs="Calibri"/>
                <w:lang w:eastAsia="en-GB"/>
              </w:rPr>
              <w:lastRenderedPageBreak/>
              <w:t>During initial assurance</w:t>
            </w:r>
          </w:p>
          <w:p w14:paraId="237FF0C9" w14:textId="77777777" w:rsidR="00805C20" w:rsidRPr="00B10162" w:rsidRDefault="00805C20" w:rsidP="00C70B3C">
            <w:pPr>
              <w:spacing w:after="0"/>
              <w:jc w:val="center"/>
              <w:rPr>
                <w:rFonts w:cs="Calibri"/>
                <w:lang w:eastAsia="en-GB"/>
              </w:rPr>
            </w:pPr>
          </w:p>
          <w:p w14:paraId="7E450830" w14:textId="77777777" w:rsidR="00805C20" w:rsidRPr="00B10162" w:rsidRDefault="00805C20" w:rsidP="00C70B3C">
            <w:pPr>
              <w:spacing w:after="0"/>
              <w:jc w:val="center"/>
              <w:rPr>
                <w:rFonts w:cs="Calibri"/>
                <w:lang w:eastAsia="en-GB"/>
              </w:rPr>
            </w:pPr>
          </w:p>
          <w:p w14:paraId="395809FB" w14:textId="77777777" w:rsidR="00805C20" w:rsidRPr="00B10162" w:rsidRDefault="00805C20" w:rsidP="00C70B3C">
            <w:pPr>
              <w:spacing w:after="0"/>
              <w:jc w:val="center"/>
              <w:rPr>
                <w:rFonts w:cs="Calibri"/>
                <w:lang w:eastAsia="en-GB"/>
              </w:rPr>
            </w:pPr>
          </w:p>
          <w:p w14:paraId="0183B56F" w14:textId="77777777" w:rsidR="00805C20" w:rsidRPr="00B10162" w:rsidRDefault="00805C20" w:rsidP="00C70B3C">
            <w:pPr>
              <w:spacing w:after="0"/>
              <w:jc w:val="center"/>
              <w:rPr>
                <w:rFonts w:cs="Calibri"/>
                <w:lang w:eastAsia="en-GB"/>
              </w:rPr>
            </w:pPr>
          </w:p>
          <w:p w14:paraId="34D40F3C" w14:textId="77777777" w:rsidR="00805C20" w:rsidRPr="00B10162" w:rsidRDefault="00805C20" w:rsidP="00C70B3C">
            <w:pPr>
              <w:spacing w:after="0"/>
              <w:jc w:val="center"/>
              <w:rPr>
                <w:rFonts w:cs="Calibri"/>
                <w:lang w:eastAsia="en-GB"/>
              </w:rPr>
            </w:pPr>
          </w:p>
          <w:p w14:paraId="46593535" w14:textId="77777777" w:rsidR="00805C20" w:rsidRPr="00B10162" w:rsidRDefault="00805C20" w:rsidP="00C70B3C">
            <w:pPr>
              <w:spacing w:after="0"/>
              <w:jc w:val="center"/>
              <w:rPr>
                <w:rFonts w:cs="Calibri"/>
                <w:lang w:eastAsia="en-GB"/>
              </w:rPr>
            </w:pPr>
          </w:p>
          <w:p w14:paraId="675B1160" w14:textId="77777777" w:rsidR="00805C20" w:rsidRPr="00B10162" w:rsidRDefault="00805C20" w:rsidP="00C70B3C">
            <w:pPr>
              <w:spacing w:after="0"/>
              <w:jc w:val="center"/>
              <w:rPr>
                <w:rFonts w:cs="Calibri"/>
                <w:lang w:eastAsia="en-GB"/>
              </w:rPr>
            </w:pPr>
          </w:p>
          <w:p w14:paraId="2BB66D3D" w14:textId="77777777" w:rsidR="00805C20" w:rsidRPr="00B10162" w:rsidRDefault="00805C20" w:rsidP="00C70B3C">
            <w:pPr>
              <w:spacing w:after="0"/>
              <w:jc w:val="center"/>
              <w:rPr>
                <w:rFonts w:cs="Calibri"/>
                <w:lang w:eastAsia="en-GB"/>
              </w:rPr>
            </w:pPr>
          </w:p>
          <w:p w14:paraId="10897D14" w14:textId="77777777" w:rsidR="00805C20" w:rsidRPr="00B10162" w:rsidRDefault="00805C20" w:rsidP="00C70B3C">
            <w:pPr>
              <w:spacing w:after="0"/>
              <w:jc w:val="center"/>
              <w:rPr>
                <w:rFonts w:cs="Calibri"/>
                <w:lang w:eastAsia="en-GB"/>
              </w:rPr>
            </w:pPr>
          </w:p>
          <w:p w14:paraId="0590196C" w14:textId="77777777" w:rsidR="00805C20" w:rsidRPr="00B10162" w:rsidRDefault="00805C20" w:rsidP="00C70B3C">
            <w:pPr>
              <w:spacing w:after="0"/>
              <w:jc w:val="center"/>
              <w:rPr>
                <w:rFonts w:cs="Calibri"/>
                <w:lang w:eastAsia="en-GB"/>
              </w:rPr>
            </w:pPr>
          </w:p>
        </w:tc>
        <w:tc>
          <w:tcPr>
            <w:tcW w:w="1152" w:type="dxa"/>
          </w:tcPr>
          <w:p w14:paraId="042BFDB5" w14:textId="77777777" w:rsidR="00805C20" w:rsidRPr="00B10162" w:rsidRDefault="00805C20" w:rsidP="00C70B3C">
            <w:pPr>
              <w:spacing w:after="0"/>
              <w:jc w:val="center"/>
              <w:rPr>
                <w:rFonts w:cs="Calibri"/>
              </w:rPr>
            </w:pPr>
            <w:r w:rsidRPr="00B10162">
              <w:rPr>
                <w:rFonts w:cs="Calibri"/>
              </w:rPr>
              <w:lastRenderedPageBreak/>
              <w:sym w:font="Wingdings" w:char="F0FE"/>
            </w:r>
          </w:p>
        </w:tc>
        <w:tc>
          <w:tcPr>
            <w:tcW w:w="936" w:type="dxa"/>
          </w:tcPr>
          <w:p w14:paraId="26B0C872" w14:textId="77777777" w:rsidR="00805C20" w:rsidRPr="00B10162" w:rsidRDefault="00805C20" w:rsidP="00C70B3C">
            <w:pPr>
              <w:spacing w:after="0"/>
              <w:rPr>
                <w:rFonts w:cs="Calibri"/>
                <w:lang w:eastAsia="en-GB"/>
              </w:rPr>
            </w:pPr>
            <w:r w:rsidRPr="00B10162">
              <w:rPr>
                <w:rFonts w:cs="Calibri"/>
                <w:lang w:eastAsia="en-GB"/>
              </w:rPr>
              <w:t>MRG</w:t>
            </w:r>
          </w:p>
          <w:p w14:paraId="67068006" w14:textId="77777777" w:rsidR="00805C20" w:rsidRPr="00B10162" w:rsidRDefault="00805C20" w:rsidP="00C70B3C">
            <w:pPr>
              <w:spacing w:after="0"/>
              <w:rPr>
                <w:rFonts w:cs="Calibri"/>
                <w:lang w:eastAsia="en-GB"/>
              </w:rPr>
            </w:pPr>
          </w:p>
          <w:p w14:paraId="7F6A525F" w14:textId="77777777" w:rsidR="00805C20" w:rsidRPr="00B10162" w:rsidRDefault="00805C20" w:rsidP="00C70B3C">
            <w:pPr>
              <w:spacing w:after="0"/>
              <w:rPr>
                <w:rFonts w:cs="Calibri"/>
                <w:lang w:eastAsia="en-GB"/>
              </w:rPr>
            </w:pPr>
            <w:r w:rsidRPr="00B10162">
              <w:rPr>
                <w:rFonts w:cs="Calibri"/>
                <w:lang w:eastAsia="en-GB"/>
              </w:rPr>
              <w:t>12/11/15</w:t>
            </w:r>
          </w:p>
        </w:tc>
      </w:tr>
      <w:tr w:rsidR="00B10162" w:rsidRPr="00B10162" w14:paraId="1347D768" w14:textId="77777777" w:rsidTr="008A440F">
        <w:tc>
          <w:tcPr>
            <w:tcW w:w="959" w:type="dxa"/>
          </w:tcPr>
          <w:p w14:paraId="37A2D916" w14:textId="77777777" w:rsidR="00805C20" w:rsidRPr="00B10162" w:rsidRDefault="00805C20" w:rsidP="00C70B3C">
            <w:pPr>
              <w:spacing w:after="0"/>
              <w:rPr>
                <w:rFonts w:cs="Calibri"/>
                <w:lang w:eastAsia="en-GB"/>
              </w:rPr>
            </w:pPr>
            <w:r w:rsidRPr="00B10162">
              <w:rPr>
                <w:rFonts w:cs="Calibri"/>
                <w:lang w:eastAsia="en-GB"/>
              </w:rPr>
              <w:t>3dii</w:t>
            </w:r>
          </w:p>
        </w:tc>
        <w:tc>
          <w:tcPr>
            <w:tcW w:w="4394" w:type="dxa"/>
          </w:tcPr>
          <w:p w14:paraId="7D6F053E" w14:textId="77777777" w:rsidR="00805C20" w:rsidRPr="00B10162" w:rsidRDefault="00805C20" w:rsidP="00C70B3C">
            <w:pPr>
              <w:spacing w:after="0"/>
              <w:rPr>
                <w:rFonts w:cs="Calibri"/>
                <w:lang w:eastAsia="en-GB"/>
              </w:rPr>
            </w:pPr>
            <w:r w:rsidRPr="00B10162">
              <w:rPr>
                <w:rFonts w:cs="Calibri"/>
                <w:lang w:eastAsia="en-GB"/>
              </w:rPr>
              <w:t>Update:</w:t>
            </w:r>
          </w:p>
          <w:p w14:paraId="27291D14" w14:textId="77777777" w:rsidR="00805C20" w:rsidRPr="00B10162" w:rsidRDefault="00805C20" w:rsidP="00C70B3C">
            <w:pPr>
              <w:spacing w:after="0"/>
              <w:rPr>
                <w:rFonts w:cs="Calibri"/>
                <w:lang w:eastAsia="en-GB"/>
              </w:rPr>
            </w:pPr>
            <w:r w:rsidRPr="00B10162">
              <w:rPr>
                <w:rFonts w:cs="Calibri"/>
                <w:lang w:eastAsia="en-GB"/>
              </w:rPr>
              <w:t xml:space="preserve">There is a discrepancy between what </w:t>
            </w:r>
            <w:proofErr w:type="gramStart"/>
            <w:r w:rsidRPr="00B10162">
              <w:rPr>
                <w:rFonts w:cs="Calibri"/>
                <w:lang w:eastAsia="en-GB"/>
              </w:rPr>
              <w:t>SSNAP</w:t>
            </w:r>
            <w:proofErr w:type="gramEnd"/>
            <w:r w:rsidRPr="00B10162">
              <w:rPr>
                <w:rFonts w:cs="Calibri"/>
                <w:lang w:eastAsia="en-GB"/>
              </w:rPr>
              <w:t xml:space="preserve"> and the clinical classifications service consider a stroke, therefore further justification for the codes used is required and the definition should be updated (as stated in recommendation 2b).</w:t>
            </w:r>
          </w:p>
        </w:tc>
        <w:tc>
          <w:tcPr>
            <w:tcW w:w="1276" w:type="dxa"/>
          </w:tcPr>
          <w:p w14:paraId="6F4D3DFD" w14:textId="77777777" w:rsidR="00805C20" w:rsidRPr="00B10162" w:rsidRDefault="00805C20" w:rsidP="00C70B3C">
            <w:pPr>
              <w:spacing w:after="0"/>
              <w:rPr>
                <w:rFonts w:cs="Calibri"/>
                <w:lang w:eastAsia="en-GB"/>
              </w:rPr>
            </w:pPr>
            <w:r w:rsidRPr="00B10162">
              <w:rPr>
                <w:rFonts w:cs="Calibri"/>
                <w:lang w:eastAsia="en-GB"/>
              </w:rPr>
              <w:t>MRG 10/09/15</w:t>
            </w:r>
          </w:p>
        </w:tc>
        <w:tc>
          <w:tcPr>
            <w:tcW w:w="4678" w:type="dxa"/>
          </w:tcPr>
          <w:p w14:paraId="014FF5D2" w14:textId="77777777" w:rsidR="00805C20" w:rsidRPr="00B10162" w:rsidRDefault="00805C20" w:rsidP="00C70B3C">
            <w:pPr>
              <w:spacing w:after="0"/>
              <w:rPr>
                <w:rFonts w:cs="Calibri"/>
                <w:lang w:eastAsia="en-GB"/>
              </w:rPr>
            </w:pPr>
            <w:r w:rsidRPr="00B10162">
              <w:rPr>
                <w:rFonts w:cs="Calibri"/>
                <w:lang w:eastAsia="en-GB"/>
              </w:rPr>
              <w:t>Update:</w:t>
            </w:r>
          </w:p>
          <w:p w14:paraId="739623C5" w14:textId="77777777" w:rsidR="00805C20" w:rsidRPr="00B10162" w:rsidRDefault="00805C20" w:rsidP="00C70B3C">
            <w:pPr>
              <w:spacing w:before="120" w:after="120"/>
              <w:rPr>
                <w:rFonts w:cs="Calibri"/>
                <w:lang w:eastAsia="en-GB"/>
              </w:rPr>
            </w:pPr>
            <w:r w:rsidRPr="00B10162">
              <w:rPr>
                <w:rFonts w:cs="Calibri"/>
                <w:lang w:eastAsia="en-GB"/>
              </w:rPr>
              <w:t>Subarachnoid haemorrhages and other non-traumatic intracranial haemorrhages are routinely and nearly always managed entirely outside of the stroke unit by neurosurgeons or by interventional neuroradiologists, which is what is recommended in national guidelines for these cases. The indicators need to reflect the care given on appropriate clinical pathways, not arbitrary groupings.</w:t>
            </w:r>
          </w:p>
        </w:tc>
        <w:tc>
          <w:tcPr>
            <w:tcW w:w="1399" w:type="dxa"/>
          </w:tcPr>
          <w:p w14:paraId="61E73C65" w14:textId="77777777" w:rsidR="00805C20" w:rsidRPr="00B10162" w:rsidRDefault="00805C20" w:rsidP="00C70B3C">
            <w:pPr>
              <w:spacing w:after="0"/>
              <w:jc w:val="center"/>
              <w:rPr>
                <w:rFonts w:cs="Calibri"/>
                <w:lang w:eastAsia="en-GB"/>
              </w:rPr>
            </w:pPr>
          </w:p>
        </w:tc>
        <w:tc>
          <w:tcPr>
            <w:tcW w:w="1152" w:type="dxa"/>
          </w:tcPr>
          <w:p w14:paraId="7F04CF6C" w14:textId="77777777" w:rsidR="00805C20" w:rsidRPr="00B10162" w:rsidRDefault="00805C20" w:rsidP="00C70B3C">
            <w:pPr>
              <w:spacing w:after="0"/>
              <w:jc w:val="center"/>
              <w:rPr>
                <w:rFonts w:cs="Calibri"/>
              </w:rPr>
            </w:pPr>
            <w:r w:rsidRPr="00B10162">
              <w:rPr>
                <w:rFonts w:cs="Calibri"/>
              </w:rPr>
              <w:sym w:font="Wingdings" w:char="F0FE"/>
            </w:r>
          </w:p>
        </w:tc>
        <w:tc>
          <w:tcPr>
            <w:tcW w:w="936" w:type="dxa"/>
          </w:tcPr>
          <w:p w14:paraId="76964F2D" w14:textId="77777777" w:rsidR="00805C20" w:rsidRPr="00B10162" w:rsidRDefault="00805C20" w:rsidP="00C70B3C">
            <w:pPr>
              <w:spacing w:after="0"/>
              <w:rPr>
                <w:rFonts w:cs="Calibri"/>
                <w:lang w:eastAsia="en-GB"/>
              </w:rPr>
            </w:pPr>
            <w:r w:rsidRPr="00B10162">
              <w:rPr>
                <w:rFonts w:cs="Calibri"/>
                <w:lang w:eastAsia="en-GB"/>
              </w:rPr>
              <w:t>MRG</w:t>
            </w:r>
          </w:p>
          <w:p w14:paraId="7F6875BE" w14:textId="77777777" w:rsidR="00805C20" w:rsidRPr="00B10162" w:rsidRDefault="00805C20" w:rsidP="00C70B3C">
            <w:pPr>
              <w:spacing w:after="0"/>
              <w:rPr>
                <w:rFonts w:cs="Calibri"/>
                <w:lang w:eastAsia="en-GB"/>
              </w:rPr>
            </w:pPr>
          </w:p>
          <w:p w14:paraId="6579F8BA" w14:textId="77777777" w:rsidR="00805C20" w:rsidRPr="00B10162" w:rsidRDefault="00805C20" w:rsidP="00C70B3C">
            <w:pPr>
              <w:spacing w:after="0"/>
              <w:rPr>
                <w:rFonts w:cs="Calibri"/>
                <w:lang w:eastAsia="en-GB"/>
              </w:rPr>
            </w:pPr>
            <w:r w:rsidRPr="00B10162">
              <w:rPr>
                <w:rFonts w:cs="Calibri"/>
                <w:lang w:eastAsia="en-GB"/>
              </w:rPr>
              <w:t>12/11/15</w:t>
            </w:r>
          </w:p>
        </w:tc>
      </w:tr>
      <w:tr w:rsidR="00B10162" w:rsidRPr="00B10162" w14:paraId="6833137B" w14:textId="77777777" w:rsidTr="008A440F">
        <w:tc>
          <w:tcPr>
            <w:tcW w:w="959" w:type="dxa"/>
          </w:tcPr>
          <w:p w14:paraId="461F7078" w14:textId="77777777" w:rsidR="00805C20" w:rsidRPr="00B10162" w:rsidRDefault="00805C20" w:rsidP="00C70B3C">
            <w:pPr>
              <w:spacing w:after="0"/>
              <w:rPr>
                <w:rFonts w:cs="Calibri"/>
                <w:lang w:eastAsia="en-GB"/>
              </w:rPr>
            </w:pPr>
            <w:r w:rsidRPr="00B10162">
              <w:rPr>
                <w:rFonts w:cs="Calibri"/>
                <w:lang w:eastAsia="en-GB"/>
              </w:rPr>
              <w:t>3e</w:t>
            </w:r>
          </w:p>
        </w:tc>
        <w:tc>
          <w:tcPr>
            <w:tcW w:w="4394" w:type="dxa"/>
          </w:tcPr>
          <w:p w14:paraId="3F2A9492" w14:textId="77777777" w:rsidR="00805C20" w:rsidRPr="00B10162" w:rsidRDefault="00805C20" w:rsidP="00C70B3C">
            <w:pPr>
              <w:spacing w:after="0"/>
              <w:rPr>
                <w:rFonts w:cs="Calibri"/>
                <w:lang w:eastAsia="en-GB"/>
              </w:rPr>
            </w:pPr>
            <w:r w:rsidRPr="00B10162">
              <w:rPr>
                <w:rFonts w:cs="Calibri"/>
                <w:lang w:eastAsia="en-GB"/>
              </w:rPr>
              <w:t xml:space="preserve">MRG recommended that investigations into whether case ascertainment is the same for different age and sex breakdowns as selection bias could affect the calculation of the indicators.  </w:t>
            </w:r>
          </w:p>
        </w:tc>
        <w:tc>
          <w:tcPr>
            <w:tcW w:w="1276" w:type="dxa"/>
          </w:tcPr>
          <w:p w14:paraId="5F926ADF" w14:textId="77777777" w:rsidR="00805C20" w:rsidRPr="00B10162" w:rsidRDefault="00805C20" w:rsidP="00C70B3C">
            <w:pPr>
              <w:spacing w:after="0"/>
              <w:rPr>
                <w:rFonts w:cs="Calibri"/>
                <w:lang w:eastAsia="en-GB"/>
              </w:rPr>
            </w:pPr>
            <w:r w:rsidRPr="00B10162">
              <w:rPr>
                <w:rFonts w:cs="Calibri"/>
                <w:lang w:eastAsia="en-GB"/>
              </w:rPr>
              <w:t>MRG</w:t>
            </w:r>
          </w:p>
          <w:p w14:paraId="0F1AD1F2" w14:textId="77777777" w:rsidR="00805C20" w:rsidRPr="00B10162" w:rsidRDefault="00805C20" w:rsidP="00C70B3C">
            <w:pPr>
              <w:spacing w:after="0"/>
              <w:rPr>
                <w:rFonts w:cs="Calibri"/>
                <w:lang w:eastAsia="en-GB"/>
              </w:rPr>
            </w:pPr>
          </w:p>
          <w:p w14:paraId="12F4D7BB" w14:textId="77777777" w:rsidR="00805C20" w:rsidRPr="00B10162" w:rsidRDefault="00805C20" w:rsidP="00C70B3C">
            <w:pPr>
              <w:spacing w:after="0"/>
              <w:rPr>
                <w:rFonts w:cs="Calibri"/>
                <w:lang w:eastAsia="en-GB"/>
              </w:rPr>
            </w:pPr>
            <w:r w:rsidRPr="00B10162">
              <w:rPr>
                <w:rFonts w:cs="Calibri"/>
                <w:lang w:eastAsia="en-GB"/>
              </w:rPr>
              <w:t>6/9/12</w:t>
            </w:r>
          </w:p>
        </w:tc>
        <w:tc>
          <w:tcPr>
            <w:tcW w:w="4678" w:type="dxa"/>
          </w:tcPr>
          <w:p w14:paraId="5604D7DB" w14:textId="77777777" w:rsidR="00805C20" w:rsidRPr="00B10162" w:rsidRDefault="00805C20" w:rsidP="00C70B3C">
            <w:pPr>
              <w:spacing w:before="120" w:after="120"/>
              <w:rPr>
                <w:rFonts w:cs="Calibri"/>
                <w:lang w:eastAsia="en-GB"/>
              </w:rPr>
            </w:pPr>
            <w:r w:rsidRPr="00B10162">
              <w:rPr>
                <w:rFonts w:cs="Calibri"/>
                <w:lang w:eastAsia="en-GB"/>
              </w:rPr>
              <w:t xml:space="preserve">The age and sex breakdowns were investigated by the RCP in 2012 and found to be comparable with published literature and therefore not felt to represent a selection bias. </w:t>
            </w:r>
          </w:p>
          <w:p w14:paraId="12D9CBDF" w14:textId="77777777" w:rsidR="00805C20" w:rsidRPr="00B10162" w:rsidRDefault="00805C20" w:rsidP="00C70B3C">
            <w:pPr>
              <w:spacing w:before="120" w:after="120"/>
              <w:rPr>
                <w:rFonts w:cs="Calibri"/>
                <w:lang w:eastAsia="en-GB"/>
              </w:rPr>
            </w:pPr>
            <w:r w:rsidRPr="00B10162">
              <w:rPr>
                <w:rFonts w:cs="Calibri"/>
                <w:lang w:eastAsia="en-GB"/>
              </w:rPr>
              <w:lastRenderedPageBreak/>
              <w:t xml:space="preserve">The SSNAP annual report provides some overall demographic details of patients included in the SSNAP </w:t>
            </w:r>
            <w:hyperlink r:id="rId27" w:history="1">
              <w:r w:rsidRPr="00B10162">
                <w:rPr>
                  <w:rFonts w:cs="Calibri"/>
                  <w:u w:val="single"/>
                  <w:lang w:eastAsia="en-GB"/>
                </w:rPr>
                <w:t>https://www.strokeaudit.org/Documents/Newspress/SSNAP-Annual-Report-(April-2013-March-2014).pdf</w:t>
              </w:r>
            </w:hyperlink>
            <w:r w:rsidRPr="00B10162">
              <w:rPr>
                <w:rFonts w:cs="Calibri"/>
                <w:lang w:eastAsia="en-GB"/>
              </w:rPr>
              <w:t xml:space="preserve"> </w:t>
            </w:r>
          </w:p>
          <w:p w14:paraId="486EDF49" w14:textId="77777777" w:rsidR="00805C20" w:rsidRPr="00B10162" w:rsidRDefault="00805C20" w:rsidP="00C70B3C">
            <w:pPr>
              <w:spacing w:before="120" w:after="120"/>
              <w:rPr>
                <w:rFonts w:cs="Calibri"/>
                <w:lang w:eastAsia="en-GB"/>
              </w:rPr>
            </w:pPr>
            <w:r w:rsidRPr="00B10162">
              <w:rPr>
                <w:rFonts w:cs="Calibri"/>
                <w:lang w:eastAsia="en-GB"/>
              </w:rPr>
              <w:t xml:space="preserve">Along with a host of other detailed audit information, the quarterly SSNAP public report provides specific details on the casemix breakdowns, including patient numbers, gender, age, co-morbidities, stroke type, Modified Rankin Scales scores, NIHSS and the onset of symptoms (Section 2: Casemix, p48) </w:t>
            </w:r>
            <w:hyperlink r:id="rId28" w:history="1">
              <w:r w:rsidRPr="00B10162">
                <w:rPr>
                  <w:rStyle w:val="Hyperlink"/>
                  <w:rFonts w:cs="Calibri"/>
                  <w:color w:val="auto"/>
                  <w:lang w:eastAsia="en-GB"/>
                </w:rPr>
                <w:t>https://www.strokeaudit.org/Documents/Results/National/OctDec2014/OctDec2014-PublicReport.aspx</w:t>
              </w:r>
            </w:hyperlink>
          </w:p>
        </w:tc>
        <w:tc>
          <w:tcPr>
            <w:tcW w:w="1399" w:type="dxa"/>
          </w:tcPr>
          <w:p w14:paraId="6078D2FA" w14:textId="77777777" w:rsidR="00805C20" w:rsidRPr="00B10162" w:rsidRDefault="00805C20" w:rsidP="00C70B3C">
            <w:pPr>
              <w:spacing w:after="0"/>
              <w:jc w:val="center"/>
              <w:rPr>
                <w:rFonts w:cs="Calibri"/>
                <w:lang w:eastAsia="en-GB"/>
              </w:rPr>
            </w:pPr>
            <w:r w:rsidRPr="00B10162">
              <w:rPr>
                <w:rFonts w:cs="Calibri"/>
              </w:rPr>
              <w:lastRenderedPageBreak/>
              <w:t>13/08/15</w:t>
            </w:r>
          </w:p>
        </w:tc>
        <w:tc>
          <w:tcPr>
            <w:tcW w:w="1152" w:type="dxa"/>
          </w:tcPr>
          <w:p w14:paraId="1642AA66" w14:textId="77777777" w:rsidR="00805C20" w:rsidRPr="00B10162" w:rsidRDefault="00805C20" w:rsidP="00C70B3C">
            <w:pPr>
              <w:spacing w:after="0"/>
              <w:jc w:val="center"/>
              <w:rPr>
                <w:rFonts w:cs="Calibri"/>
              </w:rPr>
            </w:pPr>
            <w:r w:rsidRPr="00B10162">
              <w:rPr>
                <w:rFonts w:cs="Calibri"/>
              </w:rPr>
              <w:sym w:font="Wingdings" w:char="F0FE"/>
            </w:r>
          </w:p>
        </w:tc>
        <w:tc>
          <w:tcPr>
            <w:tcW w:w="936" w:type="dxa"/>
          </w:tcPr>
          <w:p w14:paraId="168FBBE9" w14:textId="77777777" w:rsidR="00805C20" w:rsidRPr="00B10162" w:rsidRDefault="00805C20" w:rsidP="00C70B3C">
            <w:pPr>
              <w:spacing w:after="0"/>
              <w:rPr>
                <w:rFonts w:cs="Calibri"/>
              </w:rPr>
            </w:pPr>
            <w:r w:rsidRPr="00B10162">
              <w:rPr>
                <w:rFonts w:cs="Calibri"/>
              </w:rPr>
              <w:t>MRG</w:t>
            </w:r>
          </w:p>
          <w:p w14:paraId="23289D9B" w14:textId="77777777" w:rsidR="00805C20" w:rsidRPr="00B10162" w:rsidRDefault="00805C20" w:rsidP="00C70B3C">
            <w:pPr>
              <w:spacing w:after="0"/>
              <w:rPr>
                <w:rFonts w:cs="Calibri"/>
                <w:lang w:eastAsia="en-GB"/>
              </w:rPr>
            </w:pPr>
            <w:r w:rsidRPr="00B10162">
              <w:rPr>
                <w:rFonts w:cs="Calibri"/>
              </w:rPr>
              <w:t>10/09/15</w:t>
            </w:r>
          </w:p>
        </w:tc>
      </w:tr>
      <w:tr w:rsidR="00B10162" w:rsidRPr="00B10162" w14:paraId="0C41AD0D" w14:textId="77777777" w:rsidTr="008A440F">
        <w:tc>
          <w:tcPr>
            <w:tcW w:w="959" w:type="dxa"/>
          </w:tcPr>
          <w:p w14:paraId="0A7F3D2A" w14:textId="77777777" w:rsidR="00805C20" w:rsidRPr="00B10162" w:rsidRDefault="00805C20" w:rsidP="00C70B3C">
            <w:pPr>
              <w:spacing w:after="0"/>
              <w:rPr>
                <w:rFonts w:cs="Calibri"/>
                <w:lang w:eastAsia="en-GB"/>
              </w:rPr>
            </w:pPr>
            <w:r w:rsidRPr="00B10162">
              <w:rPr>
                <w:rFonts w:cs="Calibri"/>
                <w:lang w:eastAsia="en-GB"/>
              </w:rPr>
              <w:t>3f</w:t>
            </w:r>
          </w:p>
        </w:tc>
        <w:tc>
          <w:tcPr>
            <w:tcW w:w="4394" w:type="dxa"/>
          </w:tcPr>
          <w:p w14:paraId="4E5A21D0" w14:textId="77777777" w:rsidR="00805C20" w:rsidRPr="00B10162" w:rsidRDefault="00805C20" w:rsidP="00C70B3C">
            <w:pPr>
              <w:spacing w:after="0"/>
              <w:rPr>
                <w:rFonts w:cs="Calibri"/>
                <w:lang w:eastAsia="en-GB"/>
              </w:rPr>
            </w:pPr>
            <w:r w:rsidRPr="00B10162">
              <w:rPr>
                <w:rFonts w:cs="Calibri"/>
                <w:lang w:eastAsia="en-GB"/>
              </w:rPr>
              <w:t>The narrative around why SSNAP is being used as opposed to HES should be strengthened.  The application states that over-coding occurs in HES, however the results in section 5.9 show that case “ascertainment” against HES is over 100%.</w:t>
            </w:r>
          </w:p>
        </w:tc>
        <w:tc>
          <w:tcPr>
            <w:tcW w:w="1276" w:type="dxa"/>
          </w:tcPr>
          <w:p w14:paraId="72D0132F" w14:textId="77777777" w:rsidR="00805C20" w:rsidRPr="00B10162" w:rsidRDefault="00805C20" w:rsidP="00C70B3C">
            <w:pPr>
              <w:spacing w:after="0"/>
              <w:rPr>
                <w:rFonts w:cs="Calibri"/>
                <w:lang w:eastAsia="en-GB"/>
              </w:rPr>
            </w:pPr>
            <w:r w:rsidRPr="00B10162">
              <w:rPr>
                <w:rFonts w:cs="Calibri"/>
                <w:lang w:eastAsia="en-GB"/>
              </w:rPr>
              <w:t>MRG</w:t>
            </w:r>
          </w:p>
          <w:p w14:paraId="337CDE1F" w14:textId="77777777" w:rsidR="00805C20" w:rsidRPr="00B10162" w:rsidRDefault="00805C20" w:rsidP="00C70B3C">
            <w:pPr>
              <w:spacing w:after="0"/>
              <w:rPr>
                <w:rFonts w:cs="Calibri"/>
                <w:lang w:eastAsia="en-GB"/>
              </w:rPr>
            </w:pPr>
          </w:p>
          <w:p w14:paraId="58622267" w14:textId="77777777" w:rsidR="00805C20" w:rsidRPr="00B10162" w:rsidRDefault="00805C20" w:rsidP="00C70B3C">
            <w:pPr>
              <w:spacing w:after="0"/>
              <w:rPr>
                <w:rFonts w:cs="Calibri"/>
                <w:lang w:eastAsia="en-GB"/>
              </w:rPr>
            </w:pPr>
            <w:r w:rsidRPr="00B10162">
              <w:rPr>
                <w:rFonts w:cs="Calibri"/>
                <w:lang w:eastAsia="en-GB"/>
              </w:rPr>
              <w:t>10/09/15</w:t>
            </w:r>
          </w:p>
        </w:tc>
        <w:tc>
          <w:tcPr>
            <w:tcW w:w="4678" w:type="dxa"/>
          </w:tcPr>
          <w:p w14:paraId="47CEACC6" w14:textId="77777777" w:rsidR="00805C20" w:rsidRPr="00B10162" w:rsidRDefault="00805C20" w:rsidP="00C70B3C">
            <w:pPr>
              <w:spacing w:before="120" w:after="120"/>
              <w:rPr>
                <w:rFonts w:cs="Calibri"/>
                <w:lang w:eastAsia="en-GB"/>
              </w:rPr>
            </w:pPr>
            <w:r w:rsidRPr="00B10162">
              <w:rPr>
                <w:rFonts w:cs="Calibri"/>
                <w:lang w:eastAsia="en-GB"/>
              </w:rPr>
              <w:t>The application for this indicator did not state that over-coding occurs in HES. The application stated that HES does not contain the necessary detail required to measure this indicator.</w:t>
            </w:r>
          </w:p>
        </w:tc>
        <w:tc>
          <w:tcPr>
            <w:tcW w:w="1399" w:type="dxa"/>
          </w:tcPr>
          <w:p w14:paraId="5EC6FC39" w14:textId="77777777" w:rsidR="00805C20" w:rsidRPr="00B10162" w:rsidRDefault="00805C20" w:rsidP="00C70B3C">
            <w:pPr>
              <w:spacing w:after="0"/>
              <w:jc w:val="center"/>
              <w:rPr>
                <w:rFonts w:cs="Calibri"/>
                <w:lang w:eastAsia="en-GB"/>
              </w:rPr>
            </w:pPr>
            <w:r w:rsidRPr="00B10162">
              <w:rPr>
                <w:rFonts w:cs="Calibri"/>
              </w:rPr>
              <w:t>29/10/15</w:t>
            </w:r>
          </w:p>
        </w:tc>
        <w:tc>
          <w:tcPr>
            <w:tcW w:w="1152" w:type="dxa"/>
          </w:tcPr>
          <w:p w14:paraId="12C6FDD0" w14:textId="77777777" w:rsidR="00805C20" w:rsidRPr="00B10162" w:rsidRDefault="00805C20" w:rsidP="00C70B3C">
            <w:pPr>
              <w:spacing w:after="0"/>
              <w:jc w:val="center"/>
              <w:rPr>
                <w:rFonts w:cs="Calibri"/>
              </w:rPr>
            </w:pPr>
            <w:r w:rsidRPr="00B10162">
              <w:rPr>
                <w:rFonts w:cs="Calibri"/>
              </w:rPr>
              <w:sym w:font="Wingdings" w:char="F0FE"/>
            </w:r>
          </w:p>
        </w:tc>
        <w:tc>
          <w:tcPr>
            <w:tcW w:w="936" w:type="dxa"/>
          </w:tcPr>
          <w:p w14:paraId="7703C5A3" w14:textId="77777777" w:rsidR="00805C20" w:rsidRPr="00B10162" w:rsidRDefault="00805C20" w:rsidP="00C70B3C">
            <w:pPr>
              <w:spacing w:after="0"/>
              <w:rPr>
                <w:rFonts w:cs="Calibri"/>
                <w:lang w:eastAsia="en-GB"/>
              </w:rPr>
            </w:pPr>
            <w:r w:rsidRPr="00B10162">
              <w:rPr>
                <w:rFonts w:cs="Calibri"/>
                <w:lang w:eastAsia="en-GB"/>
              </w:rPr>
              <w:t>MRG</w:t>
            </w:r>
          </w:p>
          <w:p w14:paraId="66C1FD71" w14:textId="77777777" w:rsidR="00805C20" w:rsidRPr="00B10162" w:rsidRDefault="00805C20" w:rsidP="00C70B3C">
            <w:pPr>
              <w:spacing w:after="0"/>
              <w:rPr>
                <w:rFonts w:cs="Calibri"/>
                <w:lang w:eastAsia="en-GB"/>
              </w:rPr>
            </w:pPr>
          </w:p>
          <w:p w14:paraId="3B24C260" w14:textId="77777777" w:rsidR="00805C20" w:rsidRPr="00B10162" w:rsidRDefault="00805C20" w:rsidP="00C70B3C">
            <w:pPr>
              <w:spacing w:after="0"/>
              <w:rPr>
                <w:rFonts w:cs="Calibri"/>
                <w:lang w:eastAsia="en-GB"/>
              </w:rPr>
            </w:pPr>
            <w:r w:rsidRPr="00B10162">
              <w:rPr>
                <w:rFonts w:cs="Calibri"/>
                <w:lang w:eastAsia="en-GB"/>
              </w:rPr>
              <w:t>12/11/15</w:t>
            </w:r>
          </w:p>
        </w:tc>
      </w:tr>
      <w:tr w:rsidR="00805C20" w:rsidRPr="00B10162" w14:paraId="4203A153" w14:textId="77777777" w:rsidTr="008A440F">
        <w:tc>
          <w:tcPr>
            <w:tcW w:w="959" w:type="dxa"/>
          </w:tcPr>
          <w:p w14:paraId="4E988CD6" w14:textId="77777777" w:rsidR="00805C20" w:rsidRPr="00B10162" w:rsidRDefault="00805C20" w:rsidP="00C70B3C">
            <w:pPr>
              <w:spacing w:after="0"/>
              <w:rPr>
                <w:rFonts w:cs="Calibri"/>
                <w:lang w:eastAsia="en-GB"/>
              </w:rPr>
            </w:pPr>
            <w:r w:rsidRPr="00B10162">
              <w:rPr>
                <w:rFonts w:cs="Calibri"/>
                <w:lang w:eastAsia="en-GB"/>
              </w:rPr>
              <w:t>3g</w:t>
            </w:r>
          </w:p>
        </w:tc>
        <w:tc>
          <w:tcPr>
            <w:tcW w:w="4394" w:type="dxa"/>
          </w:tcPr>
          <w:p w14:paraId="4D5FC1A9" w14:textId="77777777" w:rsidR="00805C20" w:rsidRPr="00B10162" w:rsidRDefault="00805C20" w:rsidP="00C70B3C">
            <w:pPr>
              <w:spacing w:after="0"/>
              <w:rPr>
                <w:rFonts w:cs="Calibri"/>
                <w:lang w:eastAsia="en-GB"/>
              </w:rPr>
            </w:pPr>
            <w:r w:rsidRPr="00B10162">
              <w:rPr>
                <w:rFonts w:cs="Calibri"/>
                <w:lang w:eastAsia="en-GB"/>
              </w:rPr>
              <w:t xml:space="preserve">The applicant should consider how useful it is to provide case ascertainment against HES data, since it is recognised that over-coding occurs in HES, making the figure hard to interpret. If the figure is to be presented, MRG recommend changing the name from “case ascertainment” to </w:t>
            </w:r>
            <w:r w:rsidRPr="00B10162">
              <w:rPr>
                <w:rFonts w:cs="Calibri"/>
                <w:lang w:eastAsia="en-GB"/>
              </w:rPr>
              <w:lastRenderedPageBreak/>
              <w:t>“case comparison” and to present bands above 90+%.</w:t>
            </w:r>
          </w:p>
        </w:tc>
        <w:tc>
          <w:tcPr>
            <w:tcW w:w="1276" w:type="dxa"/>
          </w:tcPr>
          <w:p w14:paraId="6D955B04" w14:textId="77777777" w:rsidR="00805C20" w:rsidRPr="00B10162" w:rsidRDefault="00805C20" w:rsidP="00C70B3C">
            <w:pPr>
              <w:spacing w:after="0"/>
              <w:rPr>
                <w:rFonts w:cs="Calibri"/>
                <w:lang w:eastAsia="en-GB"/>
              </w:rPr>
            </w:pPr>
            <w:r w:rsidRPr="00B10162">
              <w:rPr>
                <w:rFonts w:cs="Calibri"/>
                <w:lang w:eastAsia="en-GB"/>
              </w:rPr>
              <w:lastRenderedPageBreak/>
              <w:t>MRG</w:t>
            </w:r>
          </w:p>
          <w:p w14:paraId="15D19481" w14:textId="77777777" w:rsidR="00805C20" w:rsidRPr="00B10162" w:rsidRDefault="00805C20" w:rsidP="00C70B3C">
            <w:pPr>
              <w:spacing w:after="0"/>
              <w:rPr>
                <w:rFonts w:cs="Calibri"/>
                <w:lang w:eastAsia="en-GB"/>
              </w:rPr>
            </w:pPr>
          </w:p>
          <w:p w14:paraId="243AC9A5" w14:textId="77777777" w:rsidR="00805C20" w:rsidRPr="00B10162" w:rsidRDefault="00805C20" w:rsidP="00C70B3C">
            <w:pPr>
              <w:spacing w:after="0"/>
              <w:rPr>
                <w:rFonts w:cs="Calibri"/>
                <w:lang w:eastAsia="en-GB"/>
              </w:rPr>
            </w:pPr>
            <w:r w:rsidRPr="00B10162">
              <w:rPr>
                <w:rFonts w:cs="Calibri"/>
                <w:lang w:eastAsia="en-GB"/>
              </w:rPr>
              <w:t>10/09/15</w:t>
            </w:r>
          </w:p>
        </w:tc>
        <w:tc>
          <w:tcPr>
            <w:tcW w:w="4678" w:type="dxa"/>
          </w:tcPr>
          <w:p w14:paraId="7E567BEE" w14:textId="77777777" w:rsidR="00805C20" w:rsidRPr="00B10162" w:rsidRDefault="00805C20" w:rsidP="00C70B3C">
            <w:pPr>
              <w:spacing w:before="120" w:after="120"/>
              <w:rPr>
                <w:rFonts w:cs="Calibri"/>
                <w:lang w:eastAsia="en-GB"/>
              </w:rPr>
            </w:pPr>
            <w:r w:rsidRPr="00B10162">
              <w:rPr>
                <w:rFonts w:cs="Calibri"/>
                <w:lang w:eastAsia="en-GB"/>
              </w:rPr>
              <w:t xml:space="preserve">This contextual case ascertainment information aligns to the information and bandings presented in the RCP SSNAP publication. The RCP view is that it is not case comparison as it is not comparing the same year’s HES with SSNAP. Since the purpose of including case ascertainment is to highlight CCGs with low case ascertainment indicating that </w:t>
            </w:r>
            <w:r w:rsidRPr="00B10162">
              <w:rPr>
                <w:rFonts w:cs="Calibri"/>
                <w:lang w:eastAsia="en-GB"/>
              </w:rPr>
              <w:lastRenderedPageBreak/>
              <w:t xml:space="preserve">hospitals within the CCG have not been entering in all their patients onto SSNAP (and the results may therefore not reflect the care that all the CCGs patients received), having bands above 100% would not be useful. HES is not the ‘gold standard’, but it is a useful indication of case selection. </w:t>
            </w:r>
          </w:p>
          <w:p w14:paraId="56DD541E" w14:textId="77777777" w:rsidR="00805C20" w:rsidRPr="00B10162" w:rsidRDefault="00805C20" w:rsidP="00C70B3C">
            <w:pPr>
              <w:spacing w:before="120" w:after="120"/>
              <w:rPr>
                <w:rFonts w:cs="Calibri"/>
                <w:lang w:eastAsia="en-GB"/>
              </w:rPr>
            </w:pPr>
            <w:r w:rsidRPr="00B10162">
              <w:rPr>
                <w:rFonts w:cs="Calibri"/>
                <w:lang w:eastAsia="en-GB"/>
              </w:rPr>
              <w:t>The HES case ascertainment figure (‘Estimated expected number of patients from HES’) is the number of patients who have been coded as a primary diagnosis of stroke during their admission in a year’s worth of HES, split by the patient’s CCG recorded in the HES record. The indicator is not reported for CCGs with less than 50% case ascertainment.</w:t>
            </w:r>
          </w:p>
        </w:tc>
        <w:tc>
          <w:tcPr>
            <w:tcW w:w="1399" w:type="dxa"/>
          </w:tcPr>
          <w:p w14:paraId="03F0EA14" w14:textId="77777777" w:rsidR="00805C20" w:rsidRPr="00B10162" w:rsidRDefault="00805C20" w:rsidP="00C70B3C">
            <w:pPr>
              <w:spacing w:after="0"/>
              <w:jc w:val="center"/>
              <w:rPr>
                <w:rFonts w:cs="Calibri"/>
                <w:lang w:eastAsia="en-GB"/>
              </w:rPr>
            </w:pPr>
            <w:r w:rsidRPr="00B10162">
              <w:rPr>
                <w:rFonts w:cs="Calibri"/>
              </w:rPr>
              <w:lastRenderedPageBreak/>
              <w:t>29/10/15</w:t>
            </w:r>
          </w:p>
        </w:tc>
        <w:tc>
          <w:tcPr>
            <w:tcW w:w="1152" w:type="dxa"/>
          </w:tcPr>
          <w:p w14:paraId="4C50B950" w14:textId="77777777" w:rsidR="00805C20" w:rsidRPr="00B10162" w:rsidRDefault="00805C20" w:rsidP="00C70B3C">
            <w:pPr>
              <w:spacing w:after="0"/>
              <w:jc w:val="center"/>
              <w:rPr>
                <w:rFonts w:cs="Calibri"/>
              </w:rPr>
            </w:pPr>
            <w:r w:rsidRPr="00B10162">
              <w:rPr>
                <w:rFonts w:cs="Calibri"/>
              </w:rPr>
              <w:sym w:font="Wingdings" w:char="F0FE"/>
            </w:r>
          </w:p>
        </w:tc>
        <w:tc>
          <w:tcPr>
            <w:tcW w:w="936" w:type="dxa"/>
          </w:tcPr>
          <w:p w14:paraId="4FE206CE" w14:textId="77777777" w:rsidR="00805C20" w:rsidRPr="00B10162" w:rsidRDefault="00805C20" w:rsidP="00C70B3C">
            <w:pPr>
              <w:spacing w:after="0"/>
              <w:rPr>
                <w:rFonts w:cs="Calibri"/>
                <w:lang w:eastAsia="en-GB"/>
              </w:rPr>
            </w:pPr>
            <w:r w:rsidRPr="00B10162">
              <w:rPr>
                <w:rFonts w:cs="Calibri"/>
                <w:lang w:eastAsia="en-GB"/>
              </w:rPr>
              <w:t>MRG</w:t>
            </w:r>
          </w:p>
          <w:p w14:paraId="2D2BF763" w14:textId="77777777" w:rsidR="00805C20" w:rsidRPr="00B10162" w:rsidRDefault="00805C20" w:rsidP="00C70B3C">
            <w:pPr>
              <w:spacing w:after="0"/>
              <w:rPr>
                <w:rFonts w:cs="Calibri"/>
                <w:lang w:eastAsia="en-GB"/>
              </w:rPr>
            </w:pPr>
          </w:p>
          <w:p w14:paraId="0ABE4FAF" w14:textId="77777777" w:rsidR="00805C20" w:rsidRPr="00B10162" w:rsidRDefault="00805C20" w:rsidP="00C70B3C">
            <w:pPr>
              <w:spacing w:after="0"/>
              <w:rPr>
                <w:rFonts w:cs="Calibri"/>
                <w:lang w:eastAsia="en-GB"/>
              </w:rPr>
            </w:pPr>
            <w:r w:rsidRPr="00B10162">
              <w:rPr>
                <w:rFonts w:cs="Calibri"/>
                <w:lang w:eastAsia="en-GB"/>
              </w:rPr>
              <w:t>12/11/15</w:t>
            </w:r>
          </w:p>
        </w:tc>
      </w:tr>
    </w:tbl>
    <w:p w14:paraId="2050C233" w14:textId="77777777" w:rsidR="00805C20" w:rsidRPr="00B10162" w:rsidRDefault="00805C20" w:rsidP="00C70B3C"/>
    <w:tbl>
      <w:tblPr>
        <w:tblStyle w:val="TableGrid"/>
        <w:tblW w:w="5000" w:type="pct"/>
        <w:tblLayout w:type="fixed"/>
        <w:tblLook w:val="04A0" w:firstRow="1" w:lastRow="0" w:firstColumn="1" w:lastColumn="0" w:noHBand="0" w:noVBand="1"/>
      </w:tblPr>
      <w:tblGrid>
        <w:gridCol w:w="905"/>
        <w:gridCol w:w="4365"/>
        <w:gridCol w:w="1259"/>
        <w:gridCol w:w="4606"/>
        <w:gridCol w:w="1396"/>
        <w:gridCol w:w="1116"/>
        <w:gridCol w:w="921"/>
      </w:tblGrid>
      <w:tr w:rsidR="008A440F" w:rsidRPr="00B10162" w14:paraId="4E6EB222" w14:textId="77777777" w:rsidTr="00082EE9">
        <w:tc>
          <w:tcPr>
            <w:tcW w:w="311" w:type="pct"/>
          </w:tcPr>
          <w:p w14:paraId="3D997F32" w14:textId="77777777" w:rsidR="008A440F" w:rsidRPr="00B10162" w:rsidRDefault="008A440F" w:rsidP="00C70B3C">
            <w:pPr>
              <w:spacing w:after="0"/>
              <w:rPr>
                <w:b/>
                <w:i/>
              </w:rPr>
            </w:pPr>
          </w:p>
        </w:tc>
        <w:tc>
          <w:tcPr>
            <w:tcW w:w="1498" w:type="pct"/>
          </w:tcPr>
          <w:p w14:paraId="44B187AB" w14:textId="100BA807" w:rsidR="008A440F" w:rsidRPr="00B10162" w:rsidRDefault="008A440F" w:rsidP="00C70B3C">
            <w:pPr>
              <w:spacing w:after="0"/>
              <w:rPr>
                <w:b/>
                <w:i/>
              </w:rPr>
            </w:pPr>
            <w:r w:rsidRPr="00B10162">
              <w:rPr>
                <w:b/>
                <w:sz w:val="28"/>
                <w:szCs w:val="28"/>
              </w:rPr>
              <w:t>Construction</w:t>
            </w:r>
          </w:p>
        </w:tc>
        <w:tc>
          <w:tcPr>
            <w:tcW w:w="432" w:type="pct"/>
          </w:tcPr>
          <w:p w14:paraId="69AE7CA4" w14:textId="77777777" w:rsidR="008A440F" w:rsidRPr="00B10162" w:rsidRDefault="008A440F" w:rsidP="00C70B3C">
            <w:pPr>
              <w:spacing w:after="0"/>
              <w:rPr>
                <w:b/>
                <w:i/>
              </w:rPr>
            </w:pPr>
          </w:p>
        </w:tc>
        <w:tc>
          <w:tcPr>
            <w:tcW w:w="1581" w:type="pct"/>
          </w:tcPr>
          <w:p w14:paraId="65F09164" w14:textId="77777777" w:rsidR="008A440F" w:rsidRPr="00B10162" w:rsidRDefault="008A440F" w:rsidP="00C70B3C">
            <w:pPr>
              <w:spacing w:after="0"/>
              <w:rPr>
                <w:b/>
                <w:i/>
              </w:rPr>
            </w:pPr>
          </w:p>
        </w:tc>
        <w:tc>
          <w:tcPr>
            <w:tcW w:w="479" w:type="pct"/>
          </w:tcPr>
          <w:p w14:paraId="5906A628" w14:textId="77777777" w:rsidR="008A440F" w:rsidRPr="00B10162" w:rsidRDefault="008A440F" w:rsidP="00C70B3C">
            <w:pPr>
              <w:spacing w:after="0"/>
              <w:rPr>
                <w:b/>
                <w:i/>
              </w:rPr>
            </w:pPr>
          </w:p>
        </w:tc>
        <w:tc>
          <w:tcPr>
            <w:tcW w:w="383" w:type="pct"/>
          </w:tcPr>
          <w:p w14:paraId="6F213DE5" w14:textId="77777777" w:rsidR="008A440F" w:rsidRPr="00B10162" w:rsidRDefault="008A440F" w:rsidP="00C70B3C">
            <w:pPr>
              <w:spacing w:after="0"/>
              <w:rPr>
                <w:b/>
                <w:i/>
              </w:rPr>
            </w:pPr>
          </w:p>
        </w:tc>
        <w:tc>
          <w:tcPr>
            <w:tcW w:w="316" w:type="pct"/>
          </w:tcPr>
          <w:p w14:paraId="69507393" w14:textId="77777777" w:rsidR="008A440F" w:rsidRPr="00B10162" w:rsidRDefault="008A440F" w:rsidP="00C70B3C">
            <w:pPr>
              <w:spacing w:after="0"/>
              <w:rPr>
                <w:b/>
                <w:i/>
              </w:rPr>
            </w:pPr>
          </w:p>
        </w:tc>
      </w:tr>
      <w:tr w:rsidR="00B10162" w:rsidRPr="00B10162" w14:paraId="36A1C2A0" w14:textId="77777777" w:rsidTr="00082EE9">
        <w:tc>
          <w:tcPr>
            <w:tcW w:w="311" w:type="pct"/>
          </w:tcPr>
          <w:p w14:paraId="2B7D8196" w14:textId="77777777" w:rsidR="00805C20" w:rsidRPr="00B10162" w:rsidRDefault="00805C20" w:rsidP="00C70B3C">
            <w:pPr>
              <w:spacing w:after="0"/>
              <w:rPr>
                <w:b/>
                <w:i/>
              </w:rPr>
            </w:pPr>
            <w:r w:rsidRPr="00B10162">
              <w:rPr>
                <w:b/>
                <w:i/>
              </w:rPr>
              <w:t>Rec. no</w:t>
            </w:r>
          </w:p>
        </w:tc>
        <w:tc>
          <w:tcPr>
            <w:tcW w:w="1498" w:type="pct"/>
          </w:tcPr>
          <w:p w14:paraId="08E11E74" w14:textId="77777777" w:rsidR="00805C20" w:rsidRPr="00B10162" w:rsidRDefault="00805C20" w:rsidP="00C70B3C">
            <w:pPr>
              <w:spacing w:after="0"/>
              <w:rPr>
                <w:b/>
                <w:i/>
              </w:rPr>
            </w:pPr>
            <w:r w:rsidRPr="00B10162">
              <w:rPr>
                <w:b/>
                <w:i/>
              </w:rPr>
              <w:t>Issue or recommendation</w:t>
            </w:r>
          </w:p>
        </w:tc>
        <w:tc>
          <w:tcPr>
            <w:tcW w:w="432" w:type="pct"/>
          </w:tcPr>
          <w:p w14:paraId="3F59FC24" w14:textId="77777777" w:rsidR="00805C20" w:rsidRPr="00B10162" w:rsidRDefault="00805C20" w:rsidP="00C70B3C">
            <w:pPr>
              <w:spacing w:after="0"/>
              <w:rPr>
                <w:b/>
                <w:i/>
              </w:rPr>
            </w:pPr>
            <w:r w:rsidRPr="00B10162">
              <w:rPr>
                <w:b/>
                <w:i/>
              </w:rPr>
              <w:t>Raised by / Date</w:t>
            </w:r>
          </w:p>
        </w:tc>
        <w:tc>
          <w:tcPr>
            <w:tcW w:w="1581" w:type="pct"/>
          </w:tcPr>
          <w:p w14:paraId="7A2ACD29" w14:textId="77777777" w:rsidR="00805C20" w:rsidRPr="00B10162" w:rsidRDefault="00805C20" w:rsidP="00C70B3C">
            <w:pPr>
              <w:spacing w:after="0"/>
              <w:rPr>
                <w:b/>
                <w:i/>
              </w:rPr>
            </w:pPr>
            <w:r w:rsidRPr="00B10162">
              <w:rPr>
                <w:b/>
                <w:i/>
              </w:rPr>
              <w:t>Response or Action taken by applicant</w:t>
            </w:r>
          </w:p>
        </w:tc>
        <w:tc>
          <w:tcPr>
            <w:tcW w:w="479" w:type="pct"/>
          </w:tcPr>
          <w:p w14:paraId="570DA729" w14:textId="77777777" w:rsidR="00805C20" w:rsidRPr="00B10162" w:rsidRDefault="00805C20" w:rsidP="00C70B3C">
            <w:pPr>
              <w:spacing w:after="0"/>
              <w:rPr>
                <w:b/>
                <w:i/>
              </w:rPr>
            </w:pPr>
            <w:r w:rsidRPr="00B10162">
              <w:rPr>
                <w:b/>
                <w:i/>
              </w:rPr>
              <w:t>Response date</w:t>
            </w:r>
          </w:p>
        </w:tc>
        <w:tc>
          <w:tcPr>
            <w:tcW w:w="383" w:type="pct"/>
          </w:tcPr>
          <w:p w14:paraId="41D2C71B" w14:textId="77777777" w:rsidR="00805C20" w:rsidRPr="00B10162" w:rsidRDefault="00805C20" w:rsidP="00C70B3C">
            <w:pPr>
              <w:spacing w:after="0"/>
              <w:rPr>
                <w:b/>
                <w:i/>
              </w:rPr>
            </w:pPr>
            <w:r w:rsidRPr="00B10162">
              <w:rPr>
                <w:b/>
                <w:i/>
              </w:rPr>
              <w:t>Resolved</w:t>
            </w:r>
          </w:p>
        </w:tc>
        <w:tc>
          <w:tcPr>
            <w:tcW w:w="316" w:type="pct"/>
          </w:tcPr>
          <w:p w14:paraId="4E2D3046" w14:textId="77777777" w:rsidR="00805C20" w:rsidRPr="00B10162" w:rsidRDefault="00805C20" w:rsidP="00C70B3C">
            <w:pPr>
              <w:spacing w:after="0"/>
              <w:rPr>
                <w:b/>
                <w:i/>
              </w:rPr>
            </w:pPr>
            <w:r w:rsidRPr="00B10162">
              <w:rPr>
                <w:b/>
                <w:i/>
              </w:rPr>
              <w:t>Sign off by / Date</w:t>
            </w:r>
          </w:p>
        </w:tc>
      </w:tr>
      <w:tr w:rsidR="00B10162" w:rsidRPr="00B10162" w14:paraId="37049087" w14:textId="77777777" w:rsidTr="00082EE9">
        <w:tc>
          <w:tcPr>
            <w:tcW w:w="311" w:type="pct"/>
          </w:tcPr>
          <w:p w14:paraId="76B43BC1" w14:textId="77777777" w:rsidR="00805C20" w:rsidRPr="00B10162" w:rsidRDefault="00805C20" w:rsidP="00C70B3C">
            <w:pPr>
              <w:spacing w:after="0"/>
              <w:rPr>
                <w:rFonts w:cs="Calibri"/>
                <w:lang w:eastAsia="en-GB"/>
              </w:rPr>
            </w:pPr>
            <w:r w:rsidRPr="00B10162">
              <w:rPr>
                <w:rFonts w:cs="Calibri"/>
                <w:lang w:eastAsia="en-GB"/>
              </w:rPr>
              <w:t>4ai</w:t>
            </w:r>
          </w:p>
        </w:tc>
        <w:tc>
          <w:tcPr>
            <w:tcW w:w="1498" w:type="pct"/>
          </w:tcPr>
          <w:p w14:paraId="7B654DD3" w14:textId="77777777" w:rsidR="00805C20" w:rsidRPr="00B10162" w:rsidRDefault="00805C20" w:rsidP="00C70B3C">
            <w:pPr>
              <w:spacing w:after="0"/>
              <w:rPr>
                <w:rFonts w:cs="Calibri"/>
                <w:lang w:eastAsia="en-GB"/>
              </w:rPr>
            </w:pPr>
            <w:r w:rsidRPr="00B10162">
              <w:rPr>
                <w:rFonts w:cs="Calibri"/>
                <w:lang w:eastAsia="en-GB"/>
              </w:rPr>
              <w:t xml:space="preserve">The denominator for this indicator is all patients with stroke rather than all patients considered suitable for thrombolysis, as there are many clinical reasons for which patients might not be considered suitable which may not be captured by the data.  MRG recommended that the accompanying documentation for the indicator should explain why this treatment isn’t suitable for all patients, </w:t>
            </w:r>
            <w:r w:rsidRPr="00B10162">
              <w:rPr>
                <w:rFonts w:cs="Calibri"/>
                <w:lang w:eastAsia="en-GB"/>
              </w:rPr>
              <w:lastRenderedPageBreak/>
              <w:t>along with an indication of what might represent good practice.</w:t>
            </w:r>
          </w:p>
        </w:tc>
        <w:tc>
          <w:tcPr>
            <w:tcW w:w="432" w:type="pct"/>
          </w:tcPr>
          <w:p w14:paraId="78679B73" w14:textId="77777777" w:rsidR="00805C20" w:rsidRPr="00B10162" w:rsidRDefault="00805C20" w:rsidP="00C70B3C">
            <w:pPr>
              <w:spacing w:after="0"/>
              <w:rPr>
                <w:rFonts w:cs="Calibri"/>
                <w:lang w:eastAsia="en-GB"/>
              </w:rPr>
            </w:pPr>
            <w:r w:rsidRPr="00B10162">
              <w:rPr>
                <w:rFonts w:cs="Calibri"/>
                <w:lang w:eastAsia="en-GB"/>
              </w:rPr>
              <w:lastRenderedPageBreak/>
              <w:t>MRG</w:t>
            </w:r>
          </w:p>
          <w:p w14:paraId="39C37819" w14:textId="77777777" w:rsidR="00805C20" w:rsidRPr="00B10162" w:rsidRDefault="00805C20" w:rsidP="00C70B3C">
            <w:pPr>
              <w:spacing w:after="0"/>
              <w:rPr>
                <w:rFonts w:cs="Calibri"/>
                <w:lang w:eastAsia="en-GB"/>
              </w:rPr>
            </w:pPr>
          </w:p>
          <w:p w14:paraId="1AE33186" w14:textId="77777777" w:rsidR="00805C20" w:rsidRPr="00B10162" w:rsidRDefault="00805C20" w:rsidP="00C70B3C">
            <w:pPr>
              <w:spacing w:after="0"/>
              <w:rPr>
                <w:rFonts w:cs="Calibri"/>
                <w:lang w:eastAsia="en-GB"/>
              </w:rPr>
            </w:pPr>
            <w:r w:rsidRPr="00B10162">
              <w:rPr>
                <w:rFonts w:cs="Calibri"/>
                <w:lang w:eastAsia="en-GB"/>
              </w:rPr>
              <w:t>6/9/12</w:t>
            </w:r>
          </w:p>
          <w:p w14:paraId="18EF9E60" w14:textId="77777777" w:rsidR="00805C20" w:rsidRPr="00B10162" w:rsidRDefault="00805C20" w:rsidP="00C70B3C">
            <w:pPr>
              <w:spacing w:after="0"/>
              <w:rPr>
                <w:rFonts w:cs="Calibri"/>
                <w:lang w:eastAsia="en-GB"/>
              </w:rPr>
            </w:pPr>
          </w:p>
        </w:tc>
        <w:tc>
          <w:tcPr>
            <w:tcW w:w="1581" w:type="pct"/>
          </w:tcPr>
          <w:p w14:paraId="3B9B814C" w14:textId="77777777" w:rsidR="00805C20" w:rsidRPr="00B10162" w:rsidRDefault="00805C20" w:rsidP="00C70B3C">
            <w:pPr>
              <w:spacing w:after="0"/>
              <w:rPr>
                <w:rFonts w:cs="Calibri"/>
              </w:rPr>
            </w:pPr>
          </w:p>
        </w:tc>
        <w:tc>
          <w:tcPr>
            <w:tcW w:w="479" w:type="pct"/>
          </w:tcPr>
          <w:p w14:paraId="57BC11D5" w14:textId="77777777" w:rsidR="00805C20" w:rsidRPr="00B10162" w:rsidRDefault="00805C20" w:rsidP="00C70B3C">
            <w:pPr>
              <w:spacing w:after="0"/>
              <w:rPr>
                <w:rFonts w:cs="Calibri"/>
              </w:rPr>
            </w:pPr>
          </w:p>
        </w:tc>
        <w:tc>
          <w:tcPr>
            <w:tcW w:w="383" w:type="pct"/>
          </w:tcPr>
          <w:p w14:paraId="6504EE52" w14:textId="77777777" w:rsidR="00805C20" w:rsidRPr="00B10162" w:rsidRDefault="00805C20" w:rsidP="00C70B3C">
            <w:pPr>
              <w:spacing w:after="0"/>
              <w:jc w:val="center"/>
              <w:rPr>
                <w:rFonts w:cs="Calibri"/>
              </w:rPr>
            </w:pPr>
            <w:r w:rsidRPr="00B10162">
              <w:rPr>
                <w:rFonts w:cs="Calibri"/>
              </w:rPr>
              <w:sym w:font="Wingdings" w:char="F06F"/>
            </w:r>
          </w:p>
        </w:tc>
        <w:tc>
          <w:tcPr>
            <w:tcW w:w="316" w:type="pct"/>
          </w:tcPr>
          <w:p w14:paraId="0937A6BF" w14:textId="77777777" w:rsidR="00805C20" w:rsidRPr="00B10162" w:rsidRDefault="00805C20" w:rsidP="00C70B3C">
            <w:pPr>
              <w:spacing w:after="0"/>
              <w:rPr>
                <w:rFonts w:cs="Calibri"/>
              </w:rPr>
            </w:pPr>
          </w:p>
        </w:tc>
      </w:tr>
      <w:tr w:rsidR="00B10162" w:rsidRPr="00B10162" w14:paraId="242360C6" w14:textId="77777777" w:rsidTr="00082EE9">
        <w:tc>
          <w:tcPr>
            <w:tcW w:w="311" w:type="pct"/>
          </w:tcPr>
          <w:p w14:paraId="45296C26" w14:textId="77777777" w:rsidR="00805C20" w:rsidRPr="00B10162" w:rsidRDefault="00805C20" w:rsidP="00C70B3C">
            <w:pPr>
              <w:spacing w:after="0"/>
              <w:rPr>
                <w:rFonts w:cs="Calibri"/>
                <w:lang w:eastAsia="en-GB"/>
              </w:rPr>
            </w:pPr>
            <w:r w:rsidRPr="00B10162">
              <w:rPr>
                <w:rFonts w:cs="Calibri"/>
                <w:lang w:eastAsia="en-GB"/>
              </w:rPr>
              <w:t>4aii</w:t>
            </w:r>
          </w:p>
        </w:tc>
        <w:tc>
          <w:tcPr>
            <w:tcW w:w="1498" w:type="pct"/>
          </w:tcPr>
          <w:p w14:paraId="6126D73A" w14:textId="77777777" w:rsidR="00805C20" w:rsidRPr="00B10162" w:rsidRDefault="00805C20" w:rsidP="00C70B3C">
            <w:pPr>
              <w:spacing w:after="0"/>
              <w:rPr>
                <w:rFonts w:cs="Calibri"/>
                <w:lang w:eastAsia="en-GB"/>
              </w:rPr>
            </w:pPr>
            <w:r w:rsidRPr="00B10162">
              <w:rPr>
                <w:rFonts w:cs="Calibri"/>
                <w:lang w:eastAsia="en-GB"/>
              </w:rPr>
              <w:t xml:space="preserve">Update: </w:t>
            </w:r>
          </w:p>
          <w:p w14:paraId="2A1BBBB7" w14:textId="77777777" w:rsidR="00805C20" w:rsidRPr="00B10162" w:rsidRDefault="00805C20" w:rsidP="00C70B3C">
            <w:pPr>
              <w:spacing w:after="0"/>
              <w:rPr>
                <w:rFonts w:cs="Calibri"/>
                <w:lang w:eastAsia="en-GB"/>
              </w:rPr>
            </w:pPr>
            <w:r w:rsidRPr="00B10162">
              <w:rPr>
                <w:rFonts w:cs="Calibri"/>
                <w:lang w:eastAsia="en-GB"/>
              </w:rPr>
              <w:t>MRG recommend that the applicant should reconsider whether including patients who are not eligible for thrombolysis is advantageous. As a minimum, contextual information should be provided alongside the indicator showing the number of eligible patients who receive thrombolysis.</w:t>
            </w:r>
          </w:p>
        </w:tc>
        <w:tc>
          <w:tcPr>
            <w:tcW w:w="432" w:type="pct"/>
          </w:tcPr>
          <w:p w14:paraId="04FD27B0" w14:textId="77777777" w:rsidR="00805C20" w:rsidRPr="00B10162" w:rsidRDefault="00805C20" w:rsidP="00C70B3C">
            <w:pPr>
              <w:spacing w:after="0"/>
              <w:rPr>
                <w:rFonts w:cs="Calibri"/>
                <w:lang w:eastAsia="en-GB"/>
              </w:rPr>
            </w:pPr>
            <w:r w:rsidRPr="00B10162">
              <w:rPr>
                <w:rFonts w:cs="Calibri"/>
                <w:lang w:eastAsia="en-GB"/>
              </w:rPr>
              <w:t>MRG</w:t>
            </w:r>
          </w:p>
          <w:p w14:paraId="7EE833FF" w14:textId="77777777" w:rsidR="00805C20" w:rsidRPr="00B10162" w:rsidRDefault="00805C20" w:rsidP="00C70B3C">
            <w:pPr>
              <w:spacing w:after="0"/>
              <w:rPr>
                <w:rFonts w:cs="Calibri"/>
                <w:lang w:eastAsia="en-GB"/>
              </w:rPr>
            </w:pPr>
          </w:p>
          <w:p w14:paraId="2D1FAC28" w14:textId="77777777" w:rsidR="00805C20" w:rsidRPr="00B10162" w:rsidRDefault="00805C20" w:rsidP="00C70B3C">
            <w:pPr>
              <w:spacing w:after="0"/>
              <w:rPr>
                <w:rFonts w:cs="Calibri"/>
                <w:lang w:eastAsia="en-GB"/>
              </w:rPr>
            </w:pPr>
            <w:r w:rsidRPr="00B10162">
              <w:rPr>
                <w:rFonts w:cs="Calibri"/>
                <w:lang w:eastAsia="en-GB"/>
              </w:rPr>
              <w:t>10/09/15</w:t>
            </w:r>
          </w:p>
          <w:p w14:paraId="331C5160" w14:textId="77777777" w:rsidR="00805C20" w:rsidRPr="00B10162" w:rsidRDefault="00805C20" w:rsidP="00C70B3C">
            <w:pPr>
              <w:spacing w:after="0"/>
              <w:rPr>
                <w:rFonts w:cs="Calibri"/>
                <w:lang w:eastAsia="en-GB"/>
              </w:rPr>
            </w:pPr>
          </w:p>
        </w:tc>
        <w:tc>
          <w:tcPr>
            <w:tcW w:w="1581" w:type="pct"/>
          </w:tcPr>
          <w:p w14:paraId="606A975B" w14:textId="77777777" w:rsidR="00805C20" w:rsidRPr="00B10162" w:rsidRDefault="00805C20" w:rsidP="00C70B3C">
            <w:pPr>
              <w:spacing w:after="0"/>
              <w:rPr>
                <w:rFonts w:cs="Calibri"/>
              </w:rPr>
            </w:pPr>
          </w:p>
        </w:tc>
        <w:tc>
          <w:tcPr>
            <w:tcW w:w="479" w:type="pct"/>
          </w:tcPr>
          <w:p w14:paraId="743D62D6" w14:textId="77777777" w:rsidR="00805C20" w:rsidRPr="00B10162" w:rsidRDefault="00805C20" w:rsidP="00C70B3C">
            <w:pPr>
              <w:spacing w:after="0"/>
              <w:rPr>
                <w:rFonts w:cs="Calibri"/>
              </w:rPr>
            </w:pPr>
          </w:p>
        </w:tc>
        <w:tc>
          <w:tcPr>
            <w:tcW w:w="383" w:type="pct"/>
          </w:tcPr>
          <w:p w14:paraId="72059158" w14:textId="77777777" w:rsidR="00805C20" w:rsidRPr="00B10162" w:rsidRDefault="00805C20" w:rsidP="00C70B3C">
            <w:pPr>
              <w:spacing w:after="0"/>
              <w:jc w:val="center"/>
              <w:rPr>
                <w:rFonts w:cs="Calibri"/>
              </w:rPr>
            </w:pPr>
            <w:r w:rsidRPr="00B10162">
              <w:rPr>
                <w:rFonts w:cs="Calibri"/>
              </w:rPr>
              <w:sym w:font="Wingdings" w:char="F06F"/>
            </w:r>
          </w:p>
        </w:tc>
        <w:tc>
          <w:tcPr>
            <w:tcW w:w="316" w:type="pct"/>
          </w:tcPr>
          <w:p w14:paraId="5AA5C27F" w14:textId="77777777" w:rsidR="00805C20" w:rsidRPr="00B10162" w:rsidRDefault="00805C20" w:rsidP="00C70B3C">
            <w:pPr>
              <w:spacing w:after="0"/>
              <w:rPr>
                <w:rFonts w:cs="Calibri"/>
              </w:rPr>
            </w:pPr>
          </w:p>
        </w:tc>
      </w:tr>
      <w:tr w:rsidR="00B10162" w:rsidRPr="00B10162" w14:paraId="4AA6897E" w14:textId="77777777" w:rsidTr="00082EE9">
        <w:tc>
          <w:tcPr>
            <w:tcW w:w="311" w:type="pct"/>
          </w:tcPr>
          <w:p w14:paraId="7C444F36" w14:textId="77777777" w:rsidR="00805C20" w:rsidRPr="00B10162" w:rsidRDefault="00805C20" w:rsidP="00C70B3C">
            <w:pPr>
              <w:spacing w:after="0"/>
              <w:rPr>
                <w:rFonts w:cs="Calibri"/>
                <w:lang w:eastAsia="en-GB"/>
              </w:rPr>
            </w:pPr>
            <w:r w:rsidRPr="00B10162">
              <w:rPr>
                <w:rFonts w:cs="Calibri"/>
                <w:lang w:eastAsia="en-GB"/>
              </w:rPr>
              <w:t>4aiii</w:t>
            </w:r>
          </w:p>
        </w:tc>
        <w:tc>
          <w:tcPr>
            <w:tcW w:w="1498" w:type="pct"/>
          </w:tcPr>
          <w:p w14:paraId="639FCF2A" w14:textId="77777777" w:rsidR="00805C20" w:rsidRPr="00B10162" w:rsidRDefault="00805C20" w:rsidP="00C70B3C">
            <w:pPr>
              <w:spacing w:after="0"/>
              <w:rPr>
                <w:rFonts w:cs="Calibri"/>
                <w:lang w:eastAsia="en-GB"/>
              </w:rPr>
            </w:pPr>
            <w:r w:rsidRPr="00B10162">
              <w:rPr>
                <w:rFonts w:cs="Calibri"/>
                <w:lang w:eastAsia="en-GB"/>
              </w:rPr>
              <w:t>Update:</w:t>
            </w:r>
          </w:p>
          <w:p w14:paraId="04DB648A" w14:textId="77777777" w:rsidR="00805C20" w:rsidRPr="00B10162" w:rsidRDefault="00805C20" w:rsidP="00C70B3C">
            <w:pPr>
              <w:spacing w:after="0"/>
              <w:rPr>
                <w:rFonts w:cs="Calibri"/>
                <w:lang w:eastAsia="en-GB"/>
              </w:rPr>
            </w:pPr>
            <w:r w:rsidRPr="00B10162">
              <w:rPr>
                <w:rFonts w:cs="Calibri"/>
                <w:lang w:eastAsia="en-GB"/>
              </w:rPr>
              <w:t xml:space="preserve">MRG were provided with a verbal update from Professor Tony Rudd, who outlined that the way in which eligible patients could be identified in the data was not reliable and may be gamed. Furthermore, as a user of the indicator, he informed the group that indicator that includes all patients is of use, as opposed to the indicator that uses the eligible population, which is not. </w:t>
            </w:r>
            <w:proofErr w:type="gramStart"/>
            <w:r w:rsidRPr="00B10162">
              <w:rPr>
                <w:rFonts w:cs="Calibri"/>
                <w:lang w:eastAsia="en-GB"/>
              </w:rPr>
              <w:t>Therefore</w:t>
            </w:r>
            <w:proofErr w:type="gramEnd"/>
            <w:r w:rsidRPr="00B10162">
              <w:rPr>
                <w:rFonts w:cs="Calibri"/>
                <w:lang w:eastAsia="en-GB"/>
              </w:rPr>
              <w:t xml:space="preserve"> MRG agree with decision to not use the eligible patient population in this indicator or its contextual information until the data quality improves.</w:t>
            </w:r>
          </w:p>
        </w:tc>
        <w:tc>
          <w:tcPr>
            <w:tcW w:w="432" w:type="pct"/>
          </w:tcPr>
          <w:p w14:paraId="6FACB348" w14:textId="77777777" w:rsidR="00805C20" w:rsidRPr="00B10162" w:rsidRDefault="00805C20" w:rsidP="00C70B3C">
            <w:pPr>
              <w:spacing w:after="0"/>
              <w:rPr>
                <w:rFonts w:cs="Calibri"/>
                <w:lang w:eastAsia="en-GB"/>
              </w:rPr>
            </w:pPr>
            <w:r w:rsidRPr="00B10162">
              <w:rPr>
                <w:rFonts w:cs="Calibri"/>
                <w:lang w:eastAsia="en-GB"/>
              </w:rPr>
              <w:t>MRG</w:t>
            </w:r>
          </w:p>
          <w:p w14:paraId="4F66D75A" w14:textId="77777777" w:rsidR="00805C20" w:rsidRPr="00B10162" w:rsidRDefault="00805C20" w:rsidP="00C70B3C">
            <w:pPr>
              <w:spacing w:after="0"/>
              <w:rPr>
                <w:rFonts w:cs="Calibri"/>
                <w:lang w:eastAsia="en-GB"/>
              </w:rPr>
            </w:pPr>
          </w:p>
          <w:p w14:paraId="37607DD3" w14:textId="77777777" w:rsidR="00805C20" w:rsidRPr="00B10162" w:rsidRDefault="00805C20" w:rsidP="00C70B3C">
            <w:pPr>
              <w:spacing w:after="0"/>
              <w:rPr>
                <w:rFonts w:cs="Calibri"/>
                <w:lang w:eastAsia="en-GB"/>
              </w:rPr>
            </w:pPr>
            <w:r w:rsidRPr="00B10162">
              <w:rPr>
                <w:rFonts w:cs="Calibri"/>
                <w:lang w:eastAsia="en-GB"/>
              </w:rPr>
              <w:t>12/11/15</w:t>
            </w:r>
          </w:p>
        </w:tc>
        <w:tc>
          <w:tcPr>
            <w:tcW w:w="1581" w:type="pct"/>
          </w:tcPr>
          <w:p w14:paraId="0BC7D13C" w14:textId="77777777" w:rsidR="00805C20" w:rsidRPr="00B10162" w:rsidRDefault="00805C20" w:rsidP="00C70B3C">
            <w:pPr>
              <w:spacing w:before="120" w:after="120"/>
              <w:rPr>
                <w:rFonts w:cs="Calibri"/>
              </w:rPr>
            </w:pPr>
            <w:r w:rsidRPr="00B10162">
              <w:rPr>
                <w:rFonts w:cs="Calibri"/>
              </w:rPr>
              <w:t xml:space="preserve">The indicator is to be published in December 2015 in the same way it was published last year. The denominator will remain as the overall stroke patient population. </w:t>
            </w:r>
          </w:p>
        </w:tc>
        <w:tc>
          <w:tcPr>
            <w:tcW w:w="479" w:type="pct"/>
          </w:tcPr>
          <w:p w14:paraId="0BB2AC83" w14:textId="77777777" w:rsidR="00805C20" w:rsidRPr="00B10162" w:rsidRDefault="00805C20" w:rsidP="00C70B3C">
            <w:pPr>
              <w:spacing w:after="0"/>
              <w:rPr>
                <w:rFonts w:cs="Calibri"/>
              </w:rPr>
            </w:pPr>
          </w:p>
        </w:tc>
        <w:tc>
          <w:tcPr>
            <w:tcW w:w="383" w:type="pct"/>
          </w:tcPr>
          <w:p w14:paraId="6090DC87" w14:textId="77777777" w:rsidR="00805C20" w:rsidRPr="00B10162" w:rsidRDefault="00805C20" w:rsidP="00C70B3C">
            <w:pPr>
              <w:spacing w:after="0"/>
              <w:jc w:val="center"/>
              <w:rPr>
                <w:rFonts w:cs="Calibri"/>
              </w:rPr>
            </w:pPr>
            <w:r w:rsidRPr="00B10162">
              <w:rPr>
                <w:rFonts w:cs="Calibri"/>
              </w:rPr>
              <w:sym w:font="Wingdings" w:char="F06F"/>
            </w:r>
          </w:p>
        </w:tc>
        <w:tc>
          <w:tcPr>
            <w:tcW w:w="316" w:type="pct"/>
          </w:tcPr>
          <w:p w14:paraId="30691710" w14:textId="77777777" w:rsidR="00805C20" w:rsidRPr="00B10162" w:rsidRDefault="00805C20" w:rsidP="00C70B3C">
            <w:pPr>
              <w:spacing w:after="0"/>
              <w:rPr>
                <w:rFonts w:cs="Calibri"/>
              </w:rPr>
            </w:pPr>
          </w:p>
        </w:tc>
      </w:tr>
      <w:tr w:rsidR="00805C20" w:rsidRPr="00B10162" w14:paraId="51309F1C" w14:textId="77777777" w:rsidTr="00082EE9">
        <w:tc>
          <w:tcPr>
            <w:tcW w:w="311" w:type="pct"/>
          </w:tcPr>
          <w:p w14:paraId="71F587F4" w14:textId="77777777" w:rsidR="00805C20" w:rsidRPr="00B10162" w:rsidRDefault="00805C20" w:rsidP="00C70B3C">
            <w:pPr>
              <w:spacing w:after="0"/>
              <w:rPr>
                <w:rFonts w:cs="Calibri"/>
                <w:lang w:eastAsia="en-GB"/>
              </w:rPr>
            </w:pPr>
            <w:r w:rsidRPr="00B10162">
              <w:rPr>
                <w:rFonts w:cs="Calibri"/>
                <w:lang w:eastAsia="en-GB"/>
              </w:rPr>
              <w:t>4b</w:t>
            </w:r>
          </w:p>
        </w:tc>
        <w:tc>
          <w:tcPr>
            <w:tcW w:w="1498" w:type="pct"/>
          </w:tcPr>
          <w:p w14:paraId="736D8C08" w14:textId="77777777" w:rsidR="00805C20" w:rsidRPr="00B10162" w:rsidRDefault="00805C20" w:rsidP="00C70B3C">
            <w:pPr>
              <w:spacing w:after="0"/>
              <w:rPr>
                <w:rFonts w:cs="Calibri"/>
                <w:lang w:eastAsia="en-GB"/>
              </w:rPr>
            </w:pPr>
            <w:r w:rsidRPr="00B10162">
              <w:rPr>
                <w:rFonts w:cs="Calibri"/>
                <w:lang w:eastAsia="en-GB"/>
              </w:rPr>
              <w:t xml:space="preserve">It was suggested in the meeting that ineligible patients, those where use of thrombolysis is contraindicated, were evenly distributed and as such there is no need to adjust for case mix or </w:t>
            </w:r>
            <w:r w:rsidRPr="00B10162">
              <w:rPr>
                <w:rFonts w:cs="Calibri"/>
                <w:lang w:eastAsia="en-GB"/>
              </w:rPr>
              <w:lastRenderedPageBreak/>
              <w:t>attempt to adjust the denominator to remove these patients.</w:t>
            </w:r>
          </w:p>
        </w:tc>
        <w:tc>
          <w:tcPr>
            <w:tcW w:w="432" w:type="pct"/>
          </w:tcPr>
          <w:p w14:paraId="4CA1FA6E" w14:textId="77777777" w:rsidR="00805C20" w:rsidRPr="00B10162" w:rsidRDefault="00805C20" w:rsidP="00C70B3C">
            <w:pPr>
              <w:spacing w:after="0"/>
              <w:rPr>
                <w:rFonts w:cs="Calibri"/>
                <w:lang w:eastAsia="en-GB"/>
              </w:rPr>
            </w:pPr>
            <w:r w:rsidRPr="00B10162">
              <w:rPr>
                <w:rFonts w:cs="Calibri"/>
                <w:lang w:eastAsia="en-GB"/>
              </w:rPr>
              <w:lastRenderedPageBreak/>
              <w:t>MRG</w:t>
            </w:r>
          </w:p>
          <w:p w14:paraId="7D111A9C" w14:textId="77777777" w:rsidR="00805C20" w:rsidRPr="00B10162" w:rsidRDefault="00805C20" w:rsidP="00C70B3C">
            <w:pPr>
              <w:spacing w:after="0"/>
              <w:rPr>
                <w:rFonts w:cs="Calibri"/>
                <w:lang w:eastAsia="en-GB"/>
              </w:rPr>
            </w:pPr>
          </w:p>
          <w:p w14:paraId="1436CBE9" w14:textId="77777777" w:rsidR="00805C20" w:rsidRPr="00B10162" w:rsidRDefault="00805C20" w:rsidP="00C70B3C">
            <w:pPr>
              <w:spacing w:after="0"/>
              <w:rPr>
                <w:rFonts w:cs="Calibri"/>
                <w:lang w:eastAsia="en-GB"/>
              </w:rPr>
            </w:pPr>
            <w:r w:rsidRPr="00B10162">
              <w:rPr>
                <w:rFonts w:cs="Calibri"/>
                <w:lang w:eastAsia="en-GB"/>
              </w:rPr>
              <w:t>6/9/12</w:t>
            </w:r>
          </w:p>
        </w:tc>
        <w:tc>
          <w:tcPr>
            <w:tcW w:w="1581" w:type="pct"/>
          </w:tcPr>
          <w:p w14:paraId="1539593A" w14:textId="77777777" w:rsidR="00805C20" w:rsidRPr="00B10162" w:rsidRDefault="00805C20" w:rsidP="00C70B3C">
            <w:pPr>
              <w:spacing w:after="0"/>
              <w:rPr>
                <w:rFonts w:cs="Calibri"/>
                <w:lang w:eastAsia="en-GB"/>
              </w:rPr>
            </w:pPr>
          </w:p>
          <w:p w14:paraId="5420C6A8" w14:textId="77777777" w:rsidR="00805C20" w:rsidRPr="00B10162" w:rsidRDefault="00805C20" w:rsidP="00C70B3C">
            <w:pPr>
              <w:spacing w:after="0"/>
              <w:rPr>
                <w:rFonts w:cs="Calibri"/>
                <w:lang w:eastAsia="en-GB"/>
              </w:rPr>
            </w:pPr>
            <w:r w:rsidRPr="00B10162">
              <w:rPr>
                <w:rFonts w:cs="Calibri"/>
                <w:lang w:eastAsia="en-GB"/>
              </w:rPr>
              <w:t xml:space="preserve">Some initial analysis at PCT level performed in 2012 and presented to MRG (below) suggested that the case mix of stroke admissions is an important factor and is by no means uniform. For </w:t>
            </w:r>
            <w:r w:rsidRPr="00B10162">
              <w:rPr>
                <w:rFonts w:cs="Calibri"/>
                <w:lang w:eastAsia="en-GB"/>
              </w:rPr>
              <w:lastRenderedPageBreak/>
              <w:t xml:space="preserve">example, ICD-10 code I61 which includes a lot of haemorrhagic strokes ranged from 6% in some PCTs to 21% in others. </w:t>
            </w:r>
          </w:p>
          <w:p w14:paraId="08720AE7" w14:textId="77777777" w:rsidR="00805C20" w:rsidRPr="00B10162" w:rsidRDefault="00805C20" w:rsidP="00C70B3C">
            <w:pPr>
              <w:spacing w:after="0"/>
              <w:rPr>
                <w:rFonts w:cs="Calibri"/>
                <w:lang w:eastAsia="en-GB"/>
              </w:rPr>
            </w:pPr>
          </w:p>
          <w:p w14:paraId="1A18FAAA" w14:textId="71C837C9" w:rsidR="00805C20" w:rsidRPr="00B10162" w:rsidRDefault="001125D7" w:rsidP="00C70B3C">
            <w:pPr>
              <w:spacing w:after="0"/>
              <w:rPr>
                <w:rFonts w:cs="Calibri"/>
                <w:lang w:eastAsia="en-GB"/>
              </w:rPr>
            </w:pPr>
            <w:r w:rsidRPr="00B10162">
              <w:rPr>
                <w:rFonts w:cs="Calibri"/>
                <w:noProof/>
                <w:lang w:eastAsia="en-GB"/>
              </w:rPr>
              <w:drawing>
                <wp:inline distT="0" distB="0" distL="0" distR="0" wp14:anchorId="536EC985" wp14:editId="33A1F004">
                  <wp:extent cx="2615565" cy="1573530"/>
                  <wp:effectExtent l="0" t="0" r="0" b="0"/>
                  <wp:docPr id="45" name="Picture 24" descr="Graph showing range of the distribution by PCT of HES stroke ad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15565" cy="1573530"/>
                          </a:xfrm>
                          <a:prstGeom prst="rect">
                            <a:avLst/>
                          </a:prstGeom>
                          <a:noFill/>
                          <a:ln>
                            <a:noFill/>
                          </a:ln>
                        </pic:spPr>
                      </pic:pic>
                    </a:graphicData>
                  </a:graphic>
                </wp:inline>
              </w:drawing>
            </w:r>
            <w:r w:rsidR="00805C20" w:rsidRPr="00B10162">
              <w:rPr>
                <w:rFonts w:cs="Calibri"/>
                <w:lang w:eastAsia="en-GB"/>
              </w:rPr>
              <w:t xml:space="preserve"> </w:t>
            </w:r>
          </w:p>
          <w:p w14:paraId="4B550ED1" w14:textId="77777777" w:rsidR="00805C20" w:rsidRPr="00B10162" w:rsidRDefault="00805C20" w:rsidP="00C70B3C">
            <w:pPr>
              <w:spacing w:after="0"/>
              <w:rPr>
                <w:rFonts w:cs="Calibri"/>
                <w:lang w:eastAsia="en-GB"/>
              </w:rPr>
            </w:pPr>
          </w:p>
          <w:p w14:paraId="19265792" w14:textId="77777777" w:rsidR="00805C20" w:rsidRPr="00B10162" w:rsidRDefault="00805C20" w:rsidP="00C70B3C">
            <w:pPr>
              <w:spacing w:after="0"/>
              <w:rPr>
                <w:rFonts w:cs="Calibri"/>
                <w:lang w:eastAsia="en-GB"/>
              </w:rPr>
            </w:pPr>
            <w:r w:rsidRPr="00B10162">
              <w:rPr>
                <w:rFonts w:cs="Calibri"/>
                <w:lang w:eastAsia="en-GB"/>
              </w:rPr>
              <w:t xml:space="preserve">In order to contextualise this indicator, the SSNAP also reports on the percentage of eligible patients </w:t>
            </w:r>
            <w:proofErr w:type="spellStart"/>
            <w:r w:rsidRPr="00B10162">
              <w:rPr>
                <w:rFonts w:cs="Calibri"/>
                <w:lang w:eastAsia="en-GB"/>
              </w:rPr>
              <w:t>thrombolysed</w:t>
            </w:r>
            <w:proofErr w:type="spellEnd"/>
            <w:r w:rsidRPr="00B10162">
              <w:rPr>
                <w:rFonts w:cs="Calibri"/>
                <w:lang w:eastAsia="en-GB"/>
              </w:rPr>
              <w:t xml:space="preserve"> as a key CCG level indicator. In addition, the SSNAP reports on several factors which could affect thrombolysis rates such as the haemorrhage rate and onset-to-arrival timings. </w:t>
            </w:r>
          </w:p>
          <w:p w14:paraId="6EFA483D" w14:textId="77777777" w:rsidR="00805C20" w:rsidRPr="00B10162" w:rsidRDefault="00805C20" w:rsidP="00C70B3C">
            <w:pPr>
              <w:spacing w:after="0"/>
              <w:rPr>
                <w:rFonts w:cs="Calibri"/>
                <w:lang w:eastAsia="en-GB"/>
              </w:rPr>
            </w:pPr>
          </w:p>
          <w:p w14:paraId="12B241F3" w14:textId="77777777" w:rsidR="00805C20" w:rsidRPr="00B10162" w:rsidRDefault="00805C20" w:rsidP="00C70B3C">
            <w:pPr>
              <w:spacing w:after="0"/>
              <w:rPr>
                <w:rFonts w:cs="Calibri"/>
                <w:lang w:eastAsia="en-GB"/>
              </w:rPr>
            </w:pPr>
            <w:r w:rsidRPr="00B10162">
              <w:rPr>
                <w:rFonts w:cs="Calibri"/>
                <w:lang w:eastAsia="en-GB"/>
              </w:rPr>
              <w:t xml:space="preserve">The Indicator Quality Statement currently advises users to interpret the indicator ‘alongside information from other indicators and sources such as the SSNAP’, however this will be improved to include more detail on which specific measures can be used. </w:t>
            </w:r>
          </w:p>
          <w:p w14:paraId="5B98CF6F" w14:textId="77777777" w:rsidR="00805C20" w:rsidRPr="00B10162" w:rsidRDefault="00805C20" w:rsidP="00C70B3C">
            <w:pPr>
              <w:spacing w:after="0"/>
              <w:rPr>
                <w:rFonts w:cs="Calibri"/>
                <w:lang w:eastAsia="en-GB"/>
              </w:rPr>
            </w:pPr>
          </w:p>
        </w:tc>
        <w:tc>
          <w:tcPr>
            <w:tcW w:w="479" w:type="pct"/>
          </w:tcPr>
          <w:p w14:paraId="105AAC18" w14:textId="77777777" w:rsidR="00805C20" w:rsidRPr="00B10162" w:rsidRDefault="00805C20" w:rsidP="00C70B3C">
            <w:pPr>
              <w:spacing w:after="0"/>
              <w:rPr>
                <w:rFonts w:cs="Calibri"/>
              </w:rPr>
            </w:pPr>
          </w:p>
        </w:tc>
        <w:tc>
          <w:tcPr>
            <w:tcW w:w="383" w:type="pct"/>
          </w:tcPr>
          <w:p w14:paraId="0188D53C" w14:textId="77777777" w:rsidR="00805C20" w:rsidRPr="00B10162" w:rsidRDefault="00805C20" w:rsidP="00C70B3C">
            <w:pPr>
              <w:spacing w:after="0"/>
              <w:jc w:val="center"/>
              <w:rPr>
                <w:rFonts w:cs="Calibri"/>
              </w:rPr>
            </w:pPr>
          </w:p>
        </w:tc>
        <w:tc>
          <w:tcPr>
            <w:tcW w:w="316" w:type="pct"/>
          </w:tcPr>
          <w:p w14:paraId="79692154" w14:textId="77777777" w:rsidR="00805C20" w:rsidRPr="00B10162" w:rsidRDefault="00805C20" w:rsidP="00C70B3C">
            <w:pPr>
              <w:spacing w:after="0"/>
              <w:rPr>
                <w:rFonts w:cs="Calibri"/>
              </w:rPr>
            </w:pPr>
          </w:p>
        </w:tc>
      </w:tr>
    </w:tbl>
    <w:p w14:paraId="5154C379" w14:textId="77777777" w:rsidR="00805C20" w:rsidRPr="00B10162" w:rsidRDefault="00805C20" w:rsidP="00C70B3C"/>
    <w:p w14:paraId="3BDBCBAE" w14:textId="77777777" w:rsidR="00805C20" w:rsidRPr="00B10162" w:rsidRDefault="00805C20" w:rsidP="00C70B3C">
      <w:r w:rsidRPr="00B10162">
        <w:lastRenderedPageBreak/>
        <w:br w:type="page"/>
      </w:r>
    </w:p>
    <w:tbl>
      <w:tblPr>
        <w:tblStyle w:val="TableGrid"/>
        <w:tblW w:w="5000" w:type="pct"/>
        <w:tblLayout w:type="fixed"/>
        <w:tblLook w:val="04A0" w:firstRow="1" w:lastRow="0" w:firstColumn="1" w:lastColumn="0" w:noHBand="0" w:noVBand="1"/>
      </w:tblPr>
      <w:tblGrid>
        <w:gridCol w:w="943"/>
        <w:gridCol w:w="4327"/>
        <w:gridCol w:w="1256"/>
        <w:gridCol w:w="4609"/>
        <w:gridCol w:w="1396"/>
        <w:gridCol w:w="1116"/>
        <w:gridCol w:w="921"/>
      </w:tblGrid>
      <w:tr w:rsidR="008A440F" w:rsidRPr="00B10162" w14:paraId="7AFB8B32" w14:textId="77777777" w:rsidTr="00082EE9">
        <w:tc>
          <w:tcPr>
            <w:tcW w:w="324" w:type="pct"/>
          </w:tcPr>
          <w:p w14:paraId="75C24A0A" w14:textId="77777777" w:rsidR="008A440F" w:rsidRPr="00B10162" w:rsidRDefault="008A440F" w:rsidP="00C70B3C">
            <w:pPr>
              <w:spacing w:after="0"/>
              <w:rPr>
                <w:b/>
                <w:i/>
              </w:rPr>
            </w:pPr>
          </w:p>
        </w:tc>
        <w:tc>
          <w:tcPr>
            <w:tcW w:w="1485" w:type="pct"/>
          </w:tcPr>
          <w:p w14:paraId="399F6475" w14:textId="47C92C5B" w:rsidR="008A440F" w:rsidRPr="00B10162" w:rsidRDefault="008A440F" w:rsidP="00C70B3C">
            <w:pPr>
              <w:spacing w:after="0"/>
              <w:rPr>
                <w:b/>
                <w:i/>
              </w:rPr>
            </w:pPr>
            <w:r w:rsidRPr="00B10162">
              <w:rPr>
                <w:b/>
                <w:sz w:val="28"/>
                <w:szCs w:val="28"/>
              </w:rPr>
              <w:t>Presentation and Interpretation</w:t>
            </w:r>
          </w:p>
        </w:tc>
        <w:tc>
          <w:tcPr>
            <w:tcW w:w="431" w:type="pct"/>
          </w:tcPr>
          <w:p w14:paraId="32DDBC0A" w14:textId="77777777" w:rsidR="008A440F" w:rsidRPr="00B10162" w:rsidRDefault="008A440F" w:rsidP="00C70B3C">
            <w:pPr>
              <w:spacing w:after="0"/>
              <w:rPr>
                <w:b/>
                <w:i/>
              </w:rPr>
            </w:pPr>
          </w:p>
        </w:tc>
        <w:tc>
          <w:tcPr>
            <w:tcW w:w="1582" w:type="pct"/>
          </w:tcPr>
          <w:p w14:paraId="7F8395CF" w14:textId="77777777" w:rsidR="008A440F" w:rsidRPr="00B10162" w:rsidRDefault="008A440F" w:rsidP="00C70B3C">
            <w:pPr>
              <w:spacing w:after="0"/>
              <w:rPr>
                <w:b/>
                <w:i/>
              </w:rPr>
            </w:pPr>
          </w:p>
        </w:tc>
        <w:tc>
          <w:tcPr>
            <w:tcW w:w="479" w:type="pct"/>
          </w:tcPr>
          <w:p w14:paraId="76171FA8" w14:textId="77777777" w:rsidR="008A440F" w:rsidRPr="00B10162" w:rsidRDefault="008A440F" w:rsidP="00C70B3C">
            <w:pPr>
              <w:spacing w:after="0"/>
              <w:rPr>
                <w:b/>
                <w:i/>
              </w:rPr>
            </w:pPr>
          </w:p>
        </w:tc>
        <w:tc>
          <w:tcPr>
            <w:tcW w:w="383" w:type="pct"/>
          </w:tcPr>
          <w:p w14:paraId="70265ACD" w14:textId="77777777" w:rsidR="008A440F" w:rsidRPr="00B10162" w:rsidRDefault="008A440F" w:rsidP="00C70B3C">
            <w:pPr>
              <w:spacing w:after="0"/>
              <w:rPr>
                <w:b/>
                <w:i/>
              </w:rPr>
            </w:pPr>
          </w:p>
        </w:tc>
        <w:tc>
          <w:tcPr>
            <w:tcW w:w="316" w:type="pct"/>
          </w:tcPr>
          <w:p w14:paraId="0A766489" w14:textId="77777777" w:rsidR="008A440F" w:rsidRPr="00B10162" w:rsidRDefault="008A440F" w:rsidP="00C70B3C">
            <w:pPr>
              <w:spacing w:after="0"/>
              <w:rPr>
                <w:b/>
                <w:i/>
              </w:rPr>
            </w:pPr>
          </w:p>
        </w:tc>
      </w:tr>
      <w:tr w:rsidR="00B10162" w:rsidRPr="00B10162" w14:paraId="152A76EE" w14:textId="77777777" w:rsidTr="00082EE9">
        <w:tc>
          <w:tcPr>
            <w:tcW w:w="324" w:type="pct"/>
          </w:tcPr>
          <w:p w14:paraId="52F9F679" w14:textId="77777777" w:rsidR="00805C20" w:rsidRPr="00B10162" w:rsidRDefault="00805C20" w:rsidP="00C70B3C">
            <w:pPr>
              <w:spacing w:after="0"/>
              <w:rPr>
                <w:b/>
                <w:i/>
              </w:rPr>
            </w:pPr>
            <w:r w:rsidRPr="00B10162">
              <w:rPr>
                <w:b/>
                <w:i/>
              </w:rPr>
              <w:t>Rec. no</w:t>
            </w:r>
          </w:p>
        </w:tc>
        <w:tc>
          <w:tcPr>
            <w:tcW w:w="1485" w:type="pct"/>
          </w:tcPr>
          <w:p w14:paraId="5A714F01" w14:textId="77777777" w:rsidR="00805C20" w:rsidRPr="00B10162" w:rsidRDefault="00805C20" w:rsidP="00C70B3C">
            <w:pPr>
              <w:spacing w:after="0"/>
              <w:rPr>
                <w:b/>
                <w:i/>
              </w:rPr>
            </w:pPr>
            <w:r w:rsidRPr="00B10162">
              <w:rPr>
                <w:b/>
                <w:i/>
              </w:rPr>
              <w:t>Issue or recommendation</w:t>
            </w:r>
          </w:p>
        </w:tc>
        <w:tc>
          <w:tcPr>
            <w:tcW w:w="431" w:type="pct"/>
          </w:tcPr>
          <w:p w14:paraId="47F0CB67" w14:textId="77777777" w:rsidR="00805C20" w:rsidRPr="00B10162" w:rsidRDefault="00805C20" w:rsidP="00C70B3C">
            <w:pPr>
              <w:spacing w:after="0"/>
              <w:rPr>
                <w:b/>
                <w:i/>
              </w:rPr>
            </w:pPr>
            <w:r w:rsidRPr="00B10162">
              <w:rPr>
                <w:b/>
                <w:i/>
              </w:rPr>
              <w:t>Raised by / Date</w:t>
            </w:r>
          </w:p>
        </w:tc>
        <w:tc>
          <w:tcPr>
            <w:tcW w:w="1582" w:type="pct"/>
          </w:tcPr>
          <w:p w14:paraId="7BB819C9" w14:textId="77777777" w:rsidR="00805C20" w:rsidRPr="00B10162" w:rsidRDefault="00805C20" w:rsidP="00C70B3C">
            <w:pPr>
              <w:spacing w:after="0"/>
              <w:rPr>
                <w:b/>
                <w:i/>
              </w:rPr>
            </w:pPr>
            <w:r w:rsidRPr="00B10162">
              <w:rPr>
                <w:b/>
                <w:i/>
              </w:rPr>
              <w:t>Response or Action taken by applicant</w:t>
            </w:r>
          </w:p>
        </w:tc>
        <w:tc>
          <w:tcPr>
            <w:tcW w:w="479" w:type="pct"/>
          </w:tcPr>
          <w:p w14:paraId="60C23F62" w14:textId="77777777" w:rsidR="00805C20" w:rsidRPr="00B10162" w:rsidRDefault="00805C20" w:rsidP="00C70B3C">
            <w:pPr>
              <w:spacing w:after="0"/>
              <w:rPr>
                <w:b/>
                <w:i/>
              </w:rPr>
            </w:pPr>
            <w:r w:rsidRPr="00B10162">
              <w:rPr>
                <w:b/>
                <w:i/>
              </w:rPr>
              <w:t>Response date</w:t>
            </w:r>
          </w:p>
        </w:tc>
        <w:tc>
          <w:tcPr>
            <w:tcW w:w="383" w:type="pct"/>
          </w:tcPr>
          <w:p w14:paraId="17068D1D" w14:textId="77777777" w:rsidR="00805C20" w:rsidRPr="00B10162" w:rsidRDefault="00805C20" w:rsidP="00C70B3C">
            <w:pPr>
              <w:spacing w:after="0"/>
              <w:rPr>
                <w:b/>
                <w:i/>
              </w:rPr>
            </w:pPr>
            <w:r w:rsidRPr="00B10162">
              <w:rPr>
                <w:b/>
                <w:i/>
              </w:rPr>
              <w:t>Resolved</w:t>
            </w:r>
          </w:p>
        </w:tc>
        <w:tc>
          <w:tcPr>
            <w:tcW w:w="316" w:type="pct"/>
          </w:tcPr>
          <w:p w14:paraId="71604455" w14:textId="77777777" w:rsidR="00805C20" w:rsidRPr="00B10162" w:rsidRDefault="00805C20" w:rsidP="00C70B3C">
            <w:pPr>
              <w:spacing w:after="0"/>
              <w:rPr>
                <w:b/>
                <w:i/>
              </w:rPr>
            </w:pPr>
            <w:r w:rsidRPr="00B10162">
              <w:rPr>
                <w:b/>
                <w:i/>
              </w:rPr>
              <w:t>Sign off by / Date</w:t>
            </w:r>
          </w:p>
        </w:tc>
      </w:tr>
      <w:tr w:rsidR="00B10162" w:rsidRPr="00B10162" w14:paraId="70D2C43B" w14:textId="77777777" w:rsidTr="00082EE9">
        <w:tc>
          <w:tcPr>
            <w:tcW w:w="324" w:type="pct"/>
          </w:tcPr>
          <w:p w14:paraId="19213A4A" w14:textId="77777777" w:rsidR="00805C20" w:rsidRPr="00B10162" w:rsidRDefault="00805C20" w:rsidP="00C70B3C">
            <w:pPr>
              <w:spacing w:after="0"/>
              <w:rPr>
                <w:rFonts w:cs="Calibri"/>
                <w:lang w:eastAsia="en-GB"/>
              </w:rPr>
            </w:pPr>
            <w:r w:rsidRPr="00B10162">
              <w:rPr>
                <w:rFonts w:cs="Calibri"/>
                <w:lang w:eastAsia="en-GB"/>
              </w:rPr>
              <w:t>5a</w:t>
            </w:r>
          </w:p>
        </w:tc>
        <w:tc>
          <w:tcPr>
            <w:tcW w:w="1485" w:type="pct"/>
          </w:tcPr>
          <w:p w14:paraId="2AC5FAB5" w14:textId="77777777" w:rsidR="00805C20" w:rsidRPr="00B10162" w:rsidRDefault="00805C20" w:rsidP="00C70B3C">
            <w:pPr>
              <w:spacing w:after="0"/>
              <w:rPr>
                <w:rFonts w:cs="Calibri"/>
                <w:lang w:eastAsia="en-GB"/>
              </w:rPr>
            </w:pPr>
            <w:r w:rsidRPr="00B10162">
              <w:rPr>
                <w:rFonts w:cs="Calibri"/>
                <w:lang w:eastAsia="en-GB"/>
              </w:rPr>
              <w:t>MRG recommended that the metadata for the indicator include some indication that there isn’t a variation between CCGs in contraindications such as haemorrhage</w:t>
            </w:r>
          </w:p>
        </w:tc>
        <w:tc>
          <w:tcPr>
            <w:tcW w:w="431" w:type="pct"/>
          </w:tcPr>
          <w:p w14:paraId="082FB2B8" w14:textId="77777777" w:rsidR="00805C20" w:rsidRPr="00B10162" w:rsidRDefault="00805C20" w:rsidP="00C70B3C">
            <w:pPr>
              <w:spacing w:after="0"/>
              <w:rPr>
                <w:rFonts w:cs="Calibri"/>
                <w:lang w:eastAsia="en-GB"/>
              </w:rPr>
            </w:pPr>
            <w:r w:rsidRPr="00B10162">
              <w:rPr>
                <w:rFonts w:cs="Calibri"/>
                <w:lang w:eastAsia="en-GB"/>
              </w:rPr>
              <w:t>MRG</w:t>
            </w:r>
          </w:p>
          <w:p w14:paraId="28E802D4" w14:textId="77777777" w:rsidR="00805C20" w:rsidRPr="00B10162" w:rsidRDefault="00805C20" w:rsidP="00C70B3C">
            <w:pPr>
              <w:spacing w:after="0"/>
              <w:rPr>
                <w:rFonts w:cs="Calibri"/>
                <w:lang w:eastAsia="en-GB"/>
              </w:rPr>
            </w:pPr>
          </w:p>
          <w:p w14:paraId="67C14B84" w14:textId="77777777" w:rsidR="00805C20" w:rsidRPr="00B10162" w:rsidRDefault="00805C20" w:rsidP="00C70B3C">
            <w:pPr>
              <w:spacing w:after="0"/>
              <w:rPr>
                <w:rFonts w:cs="Calibri"/>
                <w:lang w:eastAsia="en-GB"/>
              </w:rPr>
            </w:pPr>
            <w:r w:rsidRPr="00B10162">
              <w:rPr>
                <w:rFonts w:cs="Calibri"/>
                <w:lang w:eastAsia="en-GB"/>
              </w:rPr>
              <w:t>6/9/12</w:t>
            </w:r>
          </w:p>
        </w:tc>
        <w:tc>
          <w:tcPr>
            <w:tcW w:w="1582" w:type="pct"/>
          </w:tcPr>
          <w:p w14:paraId="7D7AF23F" w14:textId="77777777" w:rsidR="00805C20" w:rsidRPr="00B10162" w:rsidRDefault="00805C20" w:rsidP="00C70B3C">
            <w:pPr>
              <w:spacing w:after="0"/>
              <w:rPr>
                <w:rFonts w:cs="Calibri"/>
                <w:lang w:eastAsia="en-GB"/>
              </w:rPr>
            </w:pPr>
            <w:r w:rsidRPr="00B10162">
              <w:rPr>
                <w:rFonts w:cs="Calibri"/>
                <w:lang w:eastAsia="en-GB"/>
              </w:rPr>
              <w:t>See section 4b.</w:t>
            </w:r>
          </w:p>
        </w:tc>
        <w:tc>
          <w:tcPr>
            <w:tcW w:w="479" w:type="pct"/>
          </w:tcPr>
          <w:p w14:paraId="70AC5F48" w14:textId="77777777" w:rsidR="00805C20" w:rsidRPr="00B10162" w:rsidRDefault="00805C20" w:rsidP="00C70B3C">
            <w:pPr>
              <w:spacing w:after="0"/>
              <w:rPr>
                <w:rFonts w:cs="Calibri"/>
                <w:lang w:eastAsia="en-GB"/>
              </w:rPr>
            </w:pPr>
            <w:r w:rsidRPr="00B10162">
              <w:rPr>
                <w:rFonts w:cs="Calibri"/>
              </w:rPr>
              <w:t>13/08/15</w:t>
            </w:r>
          </w:p>
        </w:tc>
        <w:tc>
          <w:tcPr>
            <w:tcW w:w="383" w:type="pct"/>
          </w:tcPr>
          <w:p w14:paraId="1FD04BDD" w14:textId="77777777" w:rsidR="00805C20" w:rsidRPr="00B10162" w:rsidRDefault="00805C20" w:rsidP="00C70B3C">
            <w:pPr>
              <w:spacing w:after="0"/>
              <w:jc w:val="center"/>
              <w:rPr>
                <w:rFonts w:cs="Calibri"/>
                <w:lang w:eastAsia="en-GB"/>
              </w:rPr>
            </w:pPr>
            <w:r w:rsidRPr="00B10162">
              <w:rPr>
                <w:rFonts w:cs="Calibri"/>
              </w:rPr>
              <w:sym w:font="Wingdings" w:char="F0FE"/>
            </w:r>
          </w:p>
        </w:tc>
        <w:tc>
          <w:tcPr>
            <w:tcW w:w="316" w:type="pct"/>
          </w:tcPr>
          <w:p w14:paraId="14FB16C2" w14:textId="77777777" w:rsidR="00805C20" w:rsidRPr="00B10162" w:rsidRDefault="00805C20" w:rsidP="00C70B3C">
            <w:pPr>
              <w:spacing w:after="0"/>
              <w:rPr>
                <w:rFonts w:cs="Calibri"/>
              </w:rPr>
            </w:pPr>
            <w:r w:rsidRPr="00B10162">
              <w:rPr>
                <w:rFonts w:cs="Calibri"/>
              </w:rPr>
              <w:t>MRG</w:t>
            </w:r>
          </w:p>
          <w:p w14:paraId="7FA4D029" w14:textId="77777777" w:rsidR="00805C20" w:rsidRPr="00B10162" w:rsidRDefault="00805C20" w:rsidP="00C70B3C">
            <w:pPr>
              <w:spacing w:after="0"/>
              <w:rPr>
                <w:rFonts w:cs="Calibri"/>
                <w:lang w:eastAsia="en-GB"/>
              </w:rPr>
            </w:pPr>
            <w:r w:rsidRPr="00B10162">
              <w:rPr>
                <w:rFonts w:cs="Calibri"/>
              </w:rPr>
              <w:t>10/09/15</w:t>
            </w:r>
          </w:p>
        </w:tc>
      </w:tr>
      <w:tr w:rsidR="00B10162" w:rsidRPr="00B10162" w14:paraId="39541A89" w14:textId="77777777" w:rsidTr="00082EE9">
        <w:tc>
          <w:tcPr>
            <w:tcW w:w="324" w:type="pct"/>
          </w:tcPr>
          <w:p w14:paraId="60BEF7B4" w14:textId="77777777" w:rsidR="00805C20" w:rsidRPr="00B10162" w:rsidRDefault="00805C20" w:rsidP="00C70B3C">
            <w:pPr>
              <w:spacing w:after="0"/>
              <w:rPr>
                <w:rFonts w:cs="Calibri"/>
                <w:lang w:eastAsia="en-GB"/>
              </w:rPr>
            </w:pPr>
            <w:r w:rsidRPr="00B10162">
              <w:rPr>
                <w:rFonts w:cs="Calibri"/>
                <w:lang w:eastAsia="en-GB"/>
              </w:rPr>
              <w:t>5bi</w:t>
            </w:r>
          </w:p>
        </w:tc>
        <w:tc>
          <w:tcPr>
            <w:tcW w:w="1485" w:type="pct"/>
          </w:tcPr>
          <w:p w14:paraId="1931A05D" w14:textId="77777777" w:rsidR="00805C20" w:rsidRPr="00B10162" w:rsidRDefault="00805C20" w:rsidP="00C70B3C">
            <w:pPr>
              <w:spacing w:after="0"/>
              <w:rPr>
                <w:rFonts w:cs="Calibri"/>
                <w:lang w:eastAsia="en-GB"/>
              </w:rPr>
            </w:pPr>
            <w:r w:rsidRPr="00B10162">
              <w:rPr>
                <w:rFonts w:cs="Calibri"/>
                <w:lang w:eastAsia="en-GB"/>
              </w:rPr>
              <w:t>MRG questioned how useful the indicator is and whether it can be interpreted by users, as it is not clear what “good” would look like. Furthermore, it would not be known whether thrombolysis was being administered to appropriate cases.</w:t>
            </w:r>
          </w:p>
        </w:tc>
        <w:tc>
          <w:tcPr>
            <w:tcW w:w="431" w:type="pct"/>
          </w:tcPr>
          <w:p w14:paraId="1FE1DFD0" w14:textId="77777777" w:rsidR="00805C20" w:rsidRPr="00B10162" w:rsidRDefault="00805C20" w:rsidP="00C70B3C">
            <w:pPr>
              <w:spacing w:after="0"/>
              <w:rPr>
                <w:rFonts w:cs="Calibri"/>
                <w:lang w:eastAsia="en-GB"/>
              </w:rPr>
            </w:pPr>
            <w:r w:rsidRPr="00B10162">
              <w:rPr>
                <w:rFonts w:cs="Calibri"/>
                <w:lang w:eastAsia="en-GB"/>
              </w:rPr>
              <w:t>MRG</w:t>
            </w:r>
          </w:p>
          <w:p w14:paraId="3753E1BD" w14:textId="77777777" w:rsidR="00805C20" w:rsidRPr="00B10162" w:rsidRDefault="00805C20" w:rsidP="00C70B3C">
            <w:pPr>
              <w:spacing w:after="0"/>
              <w:rPr>
                <w:rFonts w:cs="Calibri"/>
                <w:lang w:eastAsia="en-GB"/>
              </w:rPr>
            </w:pPr>
          </w:p>
          <w:p w14:paraId="2807EBD3" w14:textId="77777777" w:rsidR="00805C20" w:rsidRPr="00B10162" w:rsidRDefault="00805C20" w:rsidP="00C70B3C">
            <w:pPr>
              <w:spacing w:after="0"/>
              <w:rPr>
                <w:rFonts w:cs="Calibri"/>
                <w:lang w:eastAsia="en-GB"/>
              </w:rPr>
            </w:pPr>
            <w:r w:rsidRPr="00B10162">
              <w:rPr>
                <w:rFonts w:cs="Calibri"/>
                <w:lang w:eastAsia="en-GB"/>
              </w:rPr>
              <w:t>10/09/15</w:t>
            </w:r>
          </w:p>
          <w:p w14:paraId="52EEC129" w14:textId="77777777" w:rsidR="00805C20" w:rsidRPr="00B10162" w:rsidRDefault="00805C20" w:rsidP="00C70B3C">
            <w:pPr>
              <w:spacing w:after="0"/>
              <w:rPr>
                <w:rFonts w:cs="Calibri"/>
                <w:lang w:eastAsia="en-GB"/>
              </w:rPr>
            </w:pPr>
          </w:p>
        </w:tc>
        <w:tc>
          <w:tcPr>
            <w:tcW w:w="1582" w:type="pct"/>
          </w:tcPr>
          <w:p w14:paraId="2C7534FC" w14:textId="77777777" w:rsidR="00805C20" w:rsidRPr="00B10162" w:rsidRDefault="00805C20" w:rsidP="00C70B3C">
            <w:pPr>
              <w:spacing w:before="120" w:after="120"/>
              <w:rPr>
                <w:rFonts w:cs="Calibri"/>
                <w:lang w:eastAsia="en-GB"/>
              </w:rPr>
            </w:pPr>
          </w:p>
        </w:tc>
        <w:tc>
          <w:tcPr>
            <w:tcW w:w="479" w:type="pct"/>
          </w:tcPr>
          <w:p w14:paraId="277E8163" w14:textId="77777777" w:rsidR="00805C20" w:rsidRPr="00B10162" w:rsidRDefault="00805C20" w:rsidP="00C70B3C">
            <w:pPr>
              <w:spacing w:after="0"/>
              <w:rPr>
                <w:rFonts w:cs="Calibri"/>
              </w:rPr>
            </w:pPr>
          </w:p>
        </w:tc>
        <w:tc>
          <w:tcPr>
            <w:tcW w:w="383" w:type="pct"/>
          </w:tcPr>
          <w:p w14:paraId="3B3684A3" w14:textId="77777777" w:rsidR="00805C20" w:rsidRPr="00B10162" w:rsidRDefault="00805C20" w:rsidP="00C70B3C">
            <w:pPr>
              <w:spacing w:after="0"/>
              <w:jc w:val="center"/>
              <w:rPr>
                <w:rFonts w:cs="Calibri"/>
              </w:rPr>
            </w:pPr>
            <w:r w:rsidRPr="00B10162">
              <w:rPr>
                <w:rFonts w:cs="Calibri"/>
              </w:rPr>
              <w:sym w:font="Wingdings" w:char="F06F"/>
            </w:r>
          </w:p>
        </w:tc>
        <w:tc>
          <w:tcPr>
            <w:tcW w:w="316" w:type="pct"/>
          </w:tcPr>
          <w:p w14:paraId="358B3A9B" w14:textId="77777777" w:rsidR="00805C20" w:rsidRPr="00B10162" w:rsidRDefault="00805C20" w:rsidP="00C70B3C">
            <w:pPr>
              <w:spacing w:after="0"/>
              <w:rPr>
                <w:rFonts w:cs="Calibri"/>
              </w:rPr>
            </w:pPr>
          </w:p>
        </w:tc>
      </w:tr>
      <w:tr w:rsidR="00B10162" w:rsidRPr="00B10162" w14:paraId="5B6EBEE0" w14:textId="77777777" w:rsidTr="00082EE9">
        <w:tc>
          <w:tcPr>
            <w:tcW w:w="324" w:type="pct"/>
          </w:tcPr>
          <w:p w14:paraId="6A8AC585" w14:textId="77777777" w:rsidR="00805C20" w:rsidRPr="00B10162" w:rsidRDefault="00805C20" w:rsidP="00C70B3C">
            <w:pPr>
              <w:spacing w:after="0"/>
              <w:rPr>
                <w:rFonts w:cs="Calibri"/>
                <w:lang w:eastAsia="en-GB"/>
              </w:rPr>
            </w:pPr>
            <w:r w:rsidRPr="00B10162">
              <w:rPr>
                <w:rFonts w:cs="Calibri"/>
                <w:lang w:eastAsia="en-GB"/>
              </w:rPr>
              <w:t>5bii</w:t>
            </w:r>
          </w:p>
        </w:tc>
        <w:tc>
          <w:tcPr>
            <w:tcW w:w="1485" w:type="pct"/>
          </w:tcPr>
          <w:p w14:paraId="68C871A8" w14:textId="77777777" w:rsidR="00805C20" w:rsidRPr="00B10162" w:rsidRDefault="00805C20" w:rsidP="00C70B3C">
            <w:pPr>
              <w:spacing w:after="0"/>
              <w:rPr>
                <w:rFonts w:cs="Calibri"/>
                <w:lang w:eastAsia="en-GB"/>
              </w:rPr>
            </w:pPr>
            <w:r w:rsidRPr="00B10162">
              <w:rPr>
                <w:rFonts w:cs="Calibri"/>
                <w:lang w:eastAsia="en-GB"/>
              </w:rPr>
              <w:t xml:space="preserve">It was explained in the meeting by Professor Tony Rudd that although this indicator is hard to interpret, it is of use. </w:t>
            </w:r>
            <w:proofErr w:type="gramStart"/>
            <w:r w:rsidRPr="00B10162">
              <w:rPr>
                <w:rFonts w:cs="Calibri"/>
                <w:lang w:eastAsia="en-GB"/>
              </w:rPr>
              <w:t>However</w:t>
            </w:r>
            <w:proofErr w:type="gramEnd"/>
            <w:r w:rsidRPr="00B10162">
              <w:rPr>
                <w:rFonts w:cs="Calibri"/>
                <w:lang w:eastAsia="en-GB"/>
              </w:rPr>
              <w:t xml:space="preserve"> the group feel that only expert users would be able to interpret the indicator as it currently stands.</w:t>
            </w:r>
          </w:p>
        </w:tc>
        <w:tc>
          <w:tcPr>
            <w:tcW w:w="431" w:type="pct"/>
          </w:tcPr>
          <w:p w14:paraId="6CBD1AE9" w14:textId="77777777" w:rsidR="00805C20" w:rsidRPr="00B10162" w:rsidRDefault="00805C20" w:rsidP="00C70B3C">
            <w:pPr>
              <w:spacing w:after="0"/>
              <w:rPr>
                <w:rFonts w:cs="Calibri"/>
                <w:lang w:eastAsia="en-GB"/>
              </w:rPr>
            </w:pPr>
            <w:r w:rsidRPr="00B10162">
              <w:rPr>
                <w:rFonts w:cs="Calibri"/>
                <w:lang w:eastAsia="en-GB"/>
              </w:rPr>
              <w:t>MRG</w:t>
            </w:r>
          </w:p>
          <w:p w14:paraId="2DBE5787" w14:textId="77777777" w:rsidR="00805C20" w:rsidRPr="00B10162" w:rsidRDefault="00805C20" w:rsidP="00C70B3C">
            <w:pPr>
              <w:spacing w:after="0"/>
              <w:rPr>
                <w:rFonts w:cs="Calibri"/>
                <w:lang w:eastAsia="en-GB"/>
              </w:rPr>
            </w:pPr>
          </w:p>
          <w:p w14:paraId="7A30ABAF" w14:textId="77777777" w:rsidR="00805C20" w:rsidRPr="00B10162" w:rsidRDefault="00805C20" w:rsidP="00C70B3C">
            <w:pPr>
              <w:spacing w:after="0"/>
              <w:rPr>
                <w:rFonts w:cs="Calibri"/>
                <w:lang w:eastAsia="en-GB"/>
              </w:rPr>
            </w:pPr>
            <w:r w:rsidRPr="00B10162">
              <w:rPr>
                <w:rFonts w:cs="Calibri"/>
                <w:lang w:eastAsia="en-GB"/>
              </w:rPr>
              <w:t>12/11/15</w:t>
            </w:r>
          </w:p>
        </w:tc>
        <w:tc>
          <w:tcPr>
            <w:tcW w:w="1582" w:type="pct"/>
          </w:tcPr>
          <w:p w14:paraId="38374A04" w14:textId="77777777" w:rsidR="00805C20" w:rsidRPr="00B10162" w:rsidRDefault="00805C20" w:rsidP="00C70B3C">
            <w:pPr>
              <w:spacing w:before="120" w:after="120"/>
              <w:rPr>
                <w:rFonts w:cs="Calibri"/>
                <w:lang w:eastAsia="en-GB"/>
              </w:rPr>
            </w:pPr>
          </w:p>
        </w:tc>
        <w:tc>
          <w:tcPr>
            <w:tcW w:w="479" w:type="pct"/>
          </w:tcPr>
          <w:p w14:paraId="3C1F5598" w14:textId="77777777" w:rsidR="00805C20" w:rsidRPr="00B10162" w:rsidRDefault="00805C20" w:rsidP="00C70B3C">
            <w:pPr>
              <w:spacing w:after="0"/>
              <w:rPr>
                <w:rFonts w:cs="Calibri"/>
              </w:rPr>
            </w:pPr>
          </w:p>
        </w:tc>
        <w:tc>
          <w:tcPr>
            <w:tcW w:w="383" w:type="pct"/>
          </w:tcPr>
          <w:p w14:paraId="19236F67" w14:textId="77777777" w:rsidR="00805C20" w:rsidRPr="00B10162" w:rsidRDefault="00805C20" w:rsidP="00C70B3C">
            <w:pPr>
              <w:spacing w:after="0"/>
              <w:jc w:val="center"/>
              <w:rPr>
                <w:rFonts w:cs="Calibri"/>
              </w:rPr>
            </w:pPr>
            <w:r w:rsidRPr="00B10162">
              <w:rPr>
                <w:rFonts w:cs="Calibri"/>
              </w:rPr>
              <w:sym w:font="Wingdings" w:char="F06F"/>
            </w:r>
          </w:p>
        </w:tc>
        <w:tc>
          <w:tcPr>
            <w:tcW w:w="316" w:type="pct"/>
          </w:tcPr>
          <w:p w14:paraId="7F758B52" w14:textId="77777777" w:rsidR="00805C20" w:rsidRPr="00B10162" w:rsidRDefault="00805C20" w:rsidP="00C70B3C">
            <w:pPr>
              <w:spacing w:after="0"/>
              <w:rPr>
                <w:rFonts w:cs="Calibri"/>
              </w:rPr>
            </w:pPr>
          </w:p>
        </w:tc>
      </w:tr>
      <w:tr w:rsidR="00B10162" w:rsidRPr="00B10162" w14:paraId="43BB34EA" w14:textId="77777777" w:rsidTr="00082EE9">
        <w:tc>
          <w:tcPr>
            <w:tcW w:w="324" w:type="pct"/>
          </w:tcPr>
          <w:p w14:paraId="429D7B68" w14:textId="77777777" w:rsidR="00805C20" w:rsidRPr="00B10162" w:rsidRDefault="00805C20" w:rsidP="00C70B3C">
            <w:pPr>
              <w:spacing w:after="0"/>
              <w:rPr>
                <w:rFonts w:cs="Calibri"/>
                <w:lang w:eastAsia="en-GB"/>
              </w:rPr>
            </w:pPr>
            <w:r w:rsidRPr="00B10162">
              <w:rPr>
                <w:rFonts w:cs="Calibri"/>
                <w:lang w:eastAsia="en-GB"/>
              </w:rPr>
              <w:t>5c</w:t>
            </w:r>
          </w:p>
        </w:tc>
        <w:tc>
          <w:tcPr>
            <w:tcW w:w="1485" w:type="pct"/>
          </w:tcPr>
          <w:p w14:paraId="2E940B11" w14:textId="77777777" w:rsidR="00805C20" w:rsidRPr="00B10162" w:rsidRDefault="00805C20" w:rsidP="00C70B3C">
            <w:pPr>
              <w:spacing w:after="0"/>
              <w:rPr>
                <w:rFonts w:cs="Calibri"/>
                <w:lang w:eastAsia="en-GB"/>
              </w:rPr>
            </w:pPr>
            <w:r w:rsidRPr="00B10162">
              <w:rPr>
                <w:rFonts w:cs="Calibri"/>
                <w:lang w:eastAsia="en-GB"/>
              </w:rPr>
              <w:t xml:space="preserve">It has been highlighted to MRG that the way in which eligible patients can be identified in the data is not reliable.  </w:t>
            </w:r>
            <w:proofErr w:type="gramStart"/>
            <w:r w:rsidRPr="00B10162">
              <w:rPr>
                <w:rFonts w:cs="Calibri"/>
                <w:lang w:eastAsia="en-GB"/>
              </w:rPr>
              <w:t>Therefore</w:t>
            </w:r>
            <w:proofErr w:type="gramEnd"/>
            <w:r w:rsidRPr="00B10162">
              <w:rPr>
                <w:rFonts w:cs="Calibri"/>
                <w:lang w:eastAsia="en-GB"/>
              </w:rPr>
              <w:t xml:space="preserve"> the group understand and support the decision to include all stroke patients in the indicator at the present time, and to not present the eligible patients who receive thrombolysis as contextual information. However, the applicant should consider whether as contextual </w:t>
            </w:r>
            <w:r w:rsidRPr="00B10162">
              <w:rPr>
                <w:rFonts w:cs="Calibri"/>
                <w:lang w:eastAsia="en-GB"/>
              </w:rPr>
              <w:lastRenderedPageBreak/>
              <w:t>information presenting the proportion of ischaemic stroke cases who receive thrombolysis would add value.</w:t>
            </w:r>
          </w:p>
        </w:tc>
        <w:tc>
          <w:tcPr>
            <w:tcW w:w="431" w:type="pct"/>
          </w:tcPr>
          <w:p w14:paraId="00794D31" w14:textId="77777777" w:rsidR="00805C20" w:rsidRPr="00B10162" w:rsidRDefault="00805C20" w:rsidP="00C70B3C">
            <w:pPr>
              <w:spacing w:after="0"/>
              <w:rPr>
                <w:rFonts w:cs="Calibri"/>
                <w:lang w:eastAsia="en-GB"/>
              </w:rPr>
            </w:pPr>
            <w:r w:rsidRPr="00B10162">
              <w:rPr>
                <w:rFonts w:cs="Calibri"/>
                <w:lang w:eastAsia="en-GB"/>
              </w:rPr>
              <w:lastRenderedPageBreak/>
              <w:t>MRG</w:t>
            </w:r>
          </w:p>
          <w:p w14:paraId="48930540" w14:textId="77777777" w:rsidR="00805C20" w:rsidRPr="00B10162" w:rsidRDefault="00805C20" w:rsidP="00C70B3C">
            <w:pPr>
              <w:spacing w:after="0"/>
              <w:rPr>
                <w:rFonts w:cs="Calibri"/>
                <w:lang w:eastAsia="en-GB"/>
              </w:rPr>
            </w:pPr>
          </w:p>
          <w:p w14:paraId="4B3D47C9" w14:textId="77777777" w:rsidR="00805C20" w:rsidRPr="00B10162" w:rsidRDefault="00805C20" w:rsidP="00C70B3C">
            <w:pPr>
              <w:spacing w:after="0"/>
              <w:rPr>
                <w:rFonts w:cs="Calibri"/>
                <w:lang w:eastAsia="en-GB"/>
              </w:rPr>
            </w:pPr>
            <w:r w:rsidRPr="00B10162">
              <w:rPr>
                <w:rFonts w:cs="Calibri"/>
                <w:lang w:eastAsia="en-GB"/>
              </w:rPr>
              <w:t>12/11/15</w:t>
            </w:r>
          </w:p>
        </w:tc>
        <w:tc>
          <w:tcPr>
            <w:tcW w:w="1582" w:type="pct"/>
          </w:tcPr>
          <w:p w14:paraId="08F7BFAB" w14:textId="77777777" w:rsidR="00805C20" w:rsidRPr="00B10162" w:rsidRDefault="00805C20" w:rsidP="00C70B3C">
            <w:pPr>
              <w:spacing w:before="120" w:after="120"/>
              <w:rPr>
                <w:rFonts w:cs="Calibri"/>
              </w:rPr>
            </w:pPr>
            <w:r w:rsidRPr="00B10162">
              <w:rPr>
                <w:rFonts w:cs="Calibri"/>
              </w:rPr>
              <w:t>The indicator is to be published in December 2015 in the same way it was published last year. The denominator will remain as the overall stroke patient population.</w:t>
            </w:r>
          </w:p>
          <w:p w14:paraId="2380A7D7" w14:textId="77777777" w:rsidR="00805C20" w:rsidRPr="00B10162" w:rsidRDefault="00805C20" w:rsidP="00C70B3C">
            <w:pPr>
              <w:spacing w:before="120" w:after="120"/>
              <w:rPr>
                <w:rFonts w:cs="Calibri"/>
                <w:lang w:eastAsia="en-GB"/>
              </w:rPr>
            </w:pPr>
            <w:r w:rsidRPr="00B10162">
              <w:rPr>
                <w:rFonts w:cs="Calibri"/>
              </w:rPr>
              <w:t xml:space="preserve">Providing contextual information relating to cases of ischaemic stroke will be investigated with the RCP. </w:t>
            </w:r>
          </w:p>
        </w:tc>
        <w:tc>
          <w:tcPr>
            <w:tcW w:w="479" w:type="pct"/>
          </w:tcPr>
          <w:p w14:paraId="19B396BC" w14:textId="77777777" w:rsidR="00805C20" w:rsidRPr="00B10162" w:rsidRDefault="00805C20" w:rsidP="00C70B3C">
            <w:pPr>
              <w:spacing w:after="0"/>
              <w:rPr>
                <w:rFonts w:cs="Calibri"/>
              </w:rPr>
            </w:pPr>
          </w:p>
        </w:tc>
        <w:tc>
          <w:tcPr>
            <w:tcW w:w="383" w:type="pct"/>
          </w:tcPr>
          <w:p w14:paraId="19AA638B" w14:textId="77777777" w:rsidR="00805C20" w:rsidRPr="00B10162" w:rsidRDefault="00805C20" w:rsidP="00C70B3C">
            <w:pPr>
              <w:spacing w:after="0"/>
              <w:jc w:val="center"/>
              <w:rPr>
                <w:rFonts w:cs="Calibri"/>
              </w:rPr>
            </w:pPr>
            <w:r w:rsidRPr="00B10162">
              <w:rPr>
                <w:rFonts w:cs="Calibri"/>
              </w:rPr>
              <w:sym w:font="Wingdings" w:char="F06F"/>
            </w:r>
          </w:p>
        </w:tc>
        <w:tc>
          <w:tcPr>
            <w:tcW w:w="316" w:type="pct"/>
          </w:tcPr>
          <w:p w14:paraId="38B99CA5" w14:textId="77777777" w:rsidR="00805C20" w:rsidRPr="00B10162" w:rsidRDefault="00805C20" w:rsidP="00C70B3C">
            <w:pPr>
              <w:spacing w:after="0"/>
              <w:rPr>
                <w:rFonts w:cs="Calibri"/>
              </w:rPr>
            </w:pPr>
          </w:p>
        </w:tc>
      </w:tr>
      <w:tr w:rsidR="00805C20" w:rsidRPr="00B10162" w14:paraId="1C887886" w14:textId="77777777" w:rsidTr="00082EE9">
        <w:tc>
          <w:tcPr>
            <w:tcW w:w="324" w:type="pct"/>
          </w:tcPr>
          <w:p w14:paraId="7FE9E014" w14:textId="77777777" w:rsidR="00805C20" w:rsidRPr="00B10162" w:rsidRDefault="00805C20" w:rsidP="00C70B3C">
            <w:pPr>
              <w:spacing w:after="0"/>
              <w:rPr>
                <w:rFonts w:cs="Calibri"/>
                <w:lang w:eastAsia="en-GB"/>
              </w:rPr>
            </w:pPr>
            <w:r w:rsidRPr="00B10162">
              <w:rPr>
                <w:rFonts w:cs="Calibri"/>
                <w:lang w:eastAsia="en-GB"/>
              </w:rPr>
              <w:t>5d</w:t>
            </w:r>
          </w:p>
        </w:tc>
        <w:tc>
          <w:tcPr>
            <w:tcW w:w="1485" w:type="pct"/>
          </w:tcPr>
          <w:p w14:paraId="4A464EC2" w14:textId="77777777" w:rsidR="00805C20" w:rsidRPr="00B10162" w:rsidRDefault="00805C20" w:rsidP="00C70B3C">
            <w:pPr>
              <w:spacing w:after="0"/>
              <w:rPr>
                <w:rFonts w:cs="Calibri"/>
                <w:lang w:eastAsia="en-GB"/>
              </w:rPr>
            </w:pPr>
            <w:r w:rsidRPr="00B10162">
              <w:rPr>
                <w:rFonts w:cs="Calibri"/>
                <w:lang w:val="en-US" w:eastAsia="en-GB"/>
              </w:rPr>
              <w:t>IGB members have asked for clarification from the developer as to whether the indicator could be reasonably interpreted and understood beyond the purpose of the stroke audit.</w:t>
            </w:r>
          </w:p>
        </w:tc>
        <w:tc>
          <w:tcPr>
            <w:tcW w:w="431" w:type="pct"/>
          </w:tcPr>
          <w:p w14:paraId="06484D1C" w14:textId="77777777" w:rsidR="00805C20" w:rsidRPr="00B10162" w:rsidRDefault="00805C20" w:rsidP="00C70B3C">
            <w:pPr>
              <w:spacing w:after="0"/>
              <w:rPr>
                <w:rFonts w:cs="Calibri"/>
                <w:lang w:eastAsia="en-GB"/>
              </w:rPr>
            </w:pPr>
            <w:r w:rsidRPr="00B10162">
              <w:rPr>
                <w:rFonts w:cs="Calibri"/>
                <w:lang w:eastAsia="en-GB"/>
              </w:rPr>
              <w:t xml:space="preserve">IGB – 14/12/15 </w:t>
            </w:r>
          </w:p>
        </w:tc>
        <w:tc>
          <w:tcPr>
            <w:tcW w:w="1582" w:type="pct"/>
          </w:tcPr>
          <w:p w14:paraId="1EC2DC7A" w14:textId="77777777" w:rsidR="00805C20" w:rsidRPr="00B10162" w:rsidRDefault="00805C20" w:rsidP="00C70B3C">
            <w:pPr>
              <w:spacing w:before="120" w:after="120"/>
              <w:rPr>
                <w:rFonts w:cs="Calibri"/>
              </w:rPr>
            </w:pPr>
          </w:p>
        </w:tc>
        <w:tc>
          <w:tcPr>
            <w:tcW w:w="479" w:type="pct"/>
          </w:tcPr>
          <w:p w14:paraId="3490FBBA" w14:textId="77777777" w:rsidR="00805C20" w:rsidRPr="00B10162" w:rsidRDefault="00805C20" w:rsidP="00C70B3C">
            <w:pPr>
              <w:spacing w:after="0"/>
              <w:rPr>
                <w:rFonts w:cs="Calibri"/>
              </w:rPr>
            </w:pPr>
          </w:p>
        </w:tc>
        <w:tc>
          <w:tcPr>
            <w:tcW w:w="383" w:type="pct"/>
          </w:tcPr>
          <w:p w14:paraId="3915EC62" w14:textId="77777777" w:rsidR="00805C20" w:rsidRPr="00B10162" w:rsidRDefault="00805C20" w:rsidP="00C70B3C">
            <w:pPr>
              <w:spacing w:after="0"/>
              <w:jc w:val="center"/>
              <w:rPr>
                <w:rFonts w:cs="Calibri"/>
              </w:rPr>
            </w:pPr>
            <w:r w:rsidRPr="00B10162">
              <w:rPr>
                <w:rFonts w:cs="Calibri"/>
              </w:rPr>
              <w:sym w:font="Wingdings" w:char="F06F"/>
            </w:r>
          </w:p>
        </w:tc>
        <w:tc>
          <w:tcPr>
            <w:tcW w:w="316" w:type="pct"/>
          </w:tcPr>
          <w:p w14:paraId="191A2EF7" w14:textId="77777777" w:rsidR="00805C20" w:rsidRPr="00B10162" w:rsidRDefault="00805C20" w:rsidP="00C70B3C">
            <w:pPr>
              <w:spacing w:after="0"/>
              <w:rPr>
                <w:rFonts w:cs="Calibri"/>
              </w:rPr>
            </w:pPr>
          </w:p>
        </w:tc>
      </w:tr>
    </w:tbl>
    <w:p w14:paraId="3A846866" w14:textId="77777777" w:rsidR="00805C20" w:rsidRPr="00B10162" w:rsidRDefault="00805C20" w:rsidP="00C70B3C"/>
    <w:tbl>
      <w:tblPr>
        <w:tblStyle w:val="TableGrid"/>
        <w:tblW w:w="5000" w:type="pct"/>
        <w:tblLayout w:type="fixed"/>
        <w:tblLook w:val="04A0" w:firstRow="1" w:lastRow="0" w:firstColumn="1" w:lastColumn="0" w:noHBand="0" w:noVBand="1"/>
      </w:tblPr>
      <w:tblGrid>
        <w:gridCol w:w="943"/>
        <w:gridCol w:w="4327"/>
        <w:gridCol w:w="1256"/>
        <w:gridCol w:w="4609"/>
        <w:gridCol w:w="1396"/>
        <w:gridCol w:w="1116"/>
        <w:gridCol w:w="921"/>
      </w:tblGrid>
      <w:tr w:rsidR="008A440F" w:rsidRPr="00B10162" w14:paraId="526BDCF7" w14:textId="77777777" w:rsidTr="00082EE9">
        <w:tc>
          <w:tcPr>
            <w:tcW w:w="324" w:type="pct"/>
          </w:tcPr>
          <w:p w14:paraId="1BC7693F" w14:textId="77777777" w:rsidR="008A440F" w:rsidRPr="00B10162" w:rsidRDefault="008A440F" w:rsidP="00C70B3C">
            <w:pPr>
              <w:spacing w:after="0"/>
              <w:rPr>
                <w:b/>
                <w:i/>
              </w:rPr>
            </w:pPr>
          </w:p>
        </w:tc>
        <w:tc>
          <w:tcPr>
            <w:tcW w:w="1485" w:type="pct"/>
          </w:tcPr>
          <w:p w14:paraId="4C1D65D6" w14:textId="6AC0E197" w:rsidR="008A440F" w:rsidRPr="00B10162" w:rsidRDefault="008A440F" w:rsidP="00C70B3C">
            <w:pPr>
              <w:spacing w:after="0"/>
              <w:rPr>
                <w:b/>
                <w:i/>
              </w:rPr>
            </w:pPr>
            <w:r w:rsidRPr="00B10162">
              <w:rPr>
                <w:b/>
                <w:sz w:val="28"/>
                <w:szCs w:val="28"/>
              </w:rPr>
              <w:t>Risks and Usefulness</w:t>
            </w:r>
          </w:p>
        </w:tc>
        <w:tc>
          <w:tcPr>
            <w:tcW w:w="431" w:type="pct"/>
          </w:tcPr>
          <w:p w14:paraId="1ED89551" w14:textId="77777777" w:rsidR="008A440F" w:rsidRPr="00B10162" w:rsidRDefault="008A440F" w:rsidP="00C70B3C">
            <w:pPr>
              <w:spacing w:after="0"/>
              <w:rPr>
                <w:b/>
                <w:i/>
              </w:rPr>
            </w:pPr>
          </w:p>
        </w:tc>
        <w:tc>
          <w:tcPr>
            <w:tcW w:w="1582" w:type="pct"/>
          </w:tcPr>
          <w:p w14:paraId="75E4FE58" w14:textId="77777777" w:rsidR="008A440F" w:rsidRPr="00B10162" w:rsidRDefault="008A440F" w:rsidP="00C70B3C">
            <w:pPr>
              <w:spacing w:after="0"/>
              <w:rPr>
                <w:b/>
                <w:i/>
              </w:rPr>
            </w:pPr>
          </w:p>
        </w:tc>
        <w:tc>
          <w:tcPr>
            <w:tcW w:w="479" w:type="pct"/>
          </w:tcPr>
          <w:p w14:paraId="6CFE5F77" w14:textId="77777777" w:rsidR="008A440F" w:rsidRPr="00B10162" w:rsidRDefault="008A440F" w:rsidP="00C70B3C">
            <w:pPr>
              <w:spacing w:after="0"/>
              <w:rPr>
                <w:b/>
                <w:i/>
              </w:rPr>
            </w:pPr>
          </w:p>
        </w:tc>
        <w:tc>
          <w:tcPr>
            <w:tcW w:w="383" w:type="pct"/>
          </w:tcPr>
          <w:p w14:paraId="75A14ED7" w14:textId="77777777" w:rsidR="008A440F" w:rsidRPr="00B10162" w:rsidRDefault="008A440F" w:rsidP="00C70B3C">
            <w:pPr>
              <w:spacing w:after="0"/>
              <w:rPr>
                <w:b/>
                <w:i/>
              </w:rPr>
            </w:pPr>
          </w:p>
        </w:tc>
        <w:tc>
          <w:tcPr>
            <w:tcW w:w="316" w:type="pct"/>
          </w:tcPr>
          <w:p w14:paraId="485A7CA0" w14:textId="77777777" w:rsidR="008A440F" w:rsidRPr="00B10162" w:rsidRDefault="008A440F" w:rsidP="00C70B3C">
            <w:pPr>
              <w:spacing w:after="0"/>
              <w:rPr>
                <w:b/>
                <w:i/>
              </w:rPr>
            </w:pPr>
          </w:p>
        </w:tc>
      </w:tr>
      <w:tr w:rsidR="00B10162" w:rsidRPr="00B10162" w14:paraId="4A94B522" w14:textId="77777777" w:rsidTr="00082EE9">
        <w:tc>
          <w:tcPr>
            <w:tcW w:w="324" w:type="pct"/>
          </w:tcPr>
          <w:p w14:paraId="71A4D2AF" w14:textId="77777777" w:rsidR="00805C20" w:rsidRPr="00B10162" w:rsidRDefault="00805C20" w:rsidP="00C70B3C">
            <w:pPr>
              <w:spacing w:after="0"/>
              <w:rPr>
                <w:b/>
                <w:i/>
              </w:rPr>
            </w:pPr>
            <w:r w:rsidRPr="00B10162">
              <w:rPr>
                <w:b/>
                <w:i/>
              </w:rPr>
              <w:t>Rec. no</w:t>
            </w:r>
          </w:p>
        </w:tc>
        <w:tc>
          <w:tcPr>
            <w:tcW w:w="1485" w:type="pct"/>
          </w:tcPr>
          <w:p w14:paraId="5B337218" w14:textId="77777777" w:rsidR="00805C20" w:rsidRPr="00B10162" w:rsidRDefault="00805C20" w:rsidP="00C70B3C">
            <w:pPr>
              <w:spacing w:after="0"/>
              <w:rPr>
                <w:b/>
                <w:i/>
              </w:rPr>
            </w:pPr>
            <w:r w:rsidRPr="00B10162">
              <w:rPr>
                <w:b/>
                <w:i/>
              </w:rPr>
              <w:t>Issue or recommendation</w:t>
            </w:r>
          </w:p>
        </w:tc>
        <w:tc>
          <w:tcPr>
            <w:tcW w:w="431" w:type="pct"/>
          </w:tcPr>
          <w:p w14:paraId="5FACD98F" w14:textId="77777777" w:rsidR="00805C20" w:rsidRPr="00B10162" w:rsidRDefault="00805C20" w:rsidP="00C70B3C">
            <w:pPr>
              <w:spacing w:after="0"/>
              <w:rPr>
                <w:b/>
                <w:i/>
              </w:rPr>
            </w:pPr>
            <w:r w:rsidRPr="00B10162">
              <w:rPr>
                <w:b/>
                <w:i/>
              </w:rPr>
              <w:t>Raised by / Date</w:t>
            </w:r>
          </w:p>
        </w:tc>
        <w:tc>
          <w:tcPr>
            <w:tcW w:w="1582" w:type="pct"/>
          </w:tcPr>
          <w:p w14:paraId="052330CC" w14:textId="77777777" w:rsidR="00805C20" w:rsidRPr="00B10162" w:rsidRDefault="00805C20" w:rsidP="00C70B3C">
            <w:pPr>
              <w:spacing w:after="0"/>
              <w:rPr>
                <w:b/>
                <w:i/>
              </w:rPr>
            </w:pPr>
            <w:r w:rsidRPr="00B10162">
              <w:rPr>
                <w:b/>
                <w:i/>
              </w:rPr>
              <w:t>Response or Action taken by applicant</w:t>
            </w:r>
          </w:p>
        </w:tc>
        <w:tc>
          <w:tcPr>
            <w:tcW w:w="479" w:type="pct"/>
          </w:tcPr>
          <w:p w14:paraId="3213C087" w14:textId="77777777" w:rsidR="00805C20" w:rsidRPr="00B10162" w:rsidRDefault="00805C20" w:rsidP="00C70B3C">
            <w:pPr>
              <w:spacing w:after="0"/>
              <w:rPr>
                <w:b/>
                <w:i/>
              </w:rPr>
            </w:pPr>
            <w:r w:rsidRPr="00B10162">
              <w:rPr>
                <w:b/>
                <w:i/>
              </w:rPr>
              <w:t>Response date</w:t>
            </w:r>
          </w:p>
        </w:tc>
        <w:tc>
          <w:tcPr>
            <w:tcW w:w="383" w:type="pct"/>
          </w:tcPr>
          <w:p w14:paraId="3ACDBA48" w14:textId="77777777" w:rsidR="00805C20" w:rsidRPr="00B10162" w:rsidRDefault="00805C20" w:rsidP="00C70B3C">
            <w:pPr>
              <w:spacing w:after="0"/>
              <w:rPr>
                <w:b/>
                <w:i/>
              </w:rPr>
            </w:pPr>
            <w:r w:rsidRPr="00B10162">
              <w:rPr>
                <w:b/>
                <w:i/>
              </w:rPr>
              <w:t>Resolved</w:t>
            </w:r>
          </w:p>
        </w:tc>
        <w:tc>
          <w:tcPr>
            <w:tcW w:w="316" w:type="pct"/>
          </w:tcPr>
          <w:p w14:paraId="017041B0" w14:textId="77777777" w:rsidR="00805C20" w:rsidRPr="00B10162" w:rsidRDefault="00805C20" w:rsidP="00C70B3C">
            <w:pPr>
              <w:spacing w:after="0"/>
              <w:rPr>
                <w:b/>
                <w:i/>
              </w:rPr>
            </w:pPr>
            <w:r w:rsidRPr="00B10162">
              <w:rPr>
                <w:b/>
                <w:i/>
              </w:rPr>
              <w:t>Sign off by / Date</w:t>
            </w:r>
          </w:p>
        </w:tc>
      </w:tr>
      <w:tr w:rsidR="00B10162" w:rsidRPr="00B10162" w14:paraId="56FA79CF" w14:textId="77777777" w:rsidTr="00082EE9">
        <w:tc>
          <w:tcPr>
            <w:tcW w:w="324" w:type="pct"/>
          </w:tcPr>
          <w:p w14:paraId="45F5BC09" w14:textId="77777777" w:rsidR="00805C20" w:rsidRPr="00B10162" w:rsidRDefault="00805C20" w:rsidP="00C70B3C">
            <w:pPr>
              <w:spacing w:after="0"/>
              <w:rPr>
                <w:rFonts w:cs="Calibri"/>
                <w:lang w:eastAsia="en-GB"/>
              </w:rPr>
            </w:pPr>
            <w:r w:rsidRPr="00B10162">
              <w:rPr>
                <w:rFonts w:cs="Calibri"/>
                <w:lang w:eastAsia="en-GB"/>
              </w:rPr>
              <w:t>6a</w:t>
            </w:r>
          </w:p>
        </w:tc>
        <w:tc>
          <w:tcPr>
            <w:tcW w:w="1485" w:type="pct"/>
          </w:tcPr>
          <w:p w14:paraId="7F3B6CAC" w14:textId="77777777" w:rsidR="00805C20" w:rsidRPr="00B10162" w:rsidRDefault="00805C20" w:rsidP="00C70B3C">
            <w:pPr>
              <w:spacing w:after="0"/>
              <w:rPr>
                <w:rFonts w:cs="Calibri"/>
                <w:lang w:eastAsia="en-GB"/>
              </w:rPr>
            </w:pPr>
            <w:r w:rsidRPr="00B10162">
              <w:rPr>
                <w:rFonts w:cs="Calibri"/>
                <w:lang w:eastAsia="en-GB"/>
              </w:rPr>
              <w:t xml:space="preserve">MRG recommended that work on </w:t>
            </w:r>
            <w:proofErr w:type="gramStart"/>
            <w:r w:rsidRPr="00B10162">
              <w:rPr>
                <w:rFonts w:cs="Calibri"/>
                <w:lang w:eastAsia="en-GB"/>
              </w:rPr>
              <w:t>cross-validating</w:t>
            </w:r>
            <w:proofErr w:type="gramEnd"/>
            <w:r w:rsidRPr="00B10162">
              <w:rPr>
                <w:rFonts w:cs="Calibri"/>
                <w:lang w:eastAsia="en-GB"/>
              </w:rPr>
              <w:t xml:space="preserve"> the audit data set with HES data should continue, as the credibility of the indicators could be impacted by conflicting sources.  MRG recommended including a contextual indicator on the relationship between the audit and HES data as this would also encourage improvements in data quality.  </w:t>
            </w:r>
          </w:p>
        </w:tc>
        <w:tc>
          <w:tcPr>
            <w:tcW w:w="431" w:type="pct"/>
          </w:tcPr>
          <w:p w14:paraId="25C506A9" w14:textId="77777777" w:rsidR="00805C20" w:rsidRPr="00B10162" w:rsidRDefault="00805C20" w:rsidP="00C70B3C">
            <w:pPr>
              <w:spacing w:after="0"/>
              <w:rPr>
                <w:rFonts w:cs="Calibri"/>
                <w:lang w:eastAsia="en-GB"/>
              </w:rPr>
            </w:pPr>
            <w:r w:rsidRPr="00B10162">
              <w:rPr>
                <w:rFonts w:cs="Calibri"/>
                <w:lang w:eastAsia="en-GB"/>
              </w:rPr>
              <w:t>MRG</w:t>
            </w:r>
          </w:p>
          <w:p w14:paraId="129D44C2" w14:textId="77777777" w:rsidR="00805C20" w:rsidRPr="00B10162" w:rsidRDefault="00805C20" w:rsidP="00C70B3C">
            <w:pPr>
              <w:spacing w:after="0"/>
              <w:rPr>
                <w:rFonts w:cs="Calibri"/>
                <w:lang w:eastAsia="en-GB"/>
              </w:rPr>
            </w:pPr>
          </w:p>
          <w:p w14:paraId="36638544" w14:textId="77777777" w:rsidR="00805C20" w:rsidRPr="00B10162" w:rsidRDefault="00805C20" w:rsidP="00C70B3C">
            <w:pPr>
              <w:spacing w:after="0"/>
              <w:rPr>
                <w:rFonts w:cs="Calibri"/>
                <w:lang w:eastAsia="en-GB"/>
              </w:rPr>
            </w:pPr>
            <w:r w:rsidRPr="00B10162">
              <w:rPr>
                <w:rFonts w:cs="Calibri"/>
                <w:lang w:eastAsia="en-GB"/>
              </w:rPr>
              <w:t>6/9/12</w:t>
            </w:r>
          </w:p>
        </w:tc>
        <w:tc>
          <w:tcPr>
            <w:tcW w:w="1582" w:type="pct"/>
          </w:tcPr>
          <w:p w14:paraId="22FC63C9" w14:textId="77777777" w:rsidR="00805C20" w:rsidRPr="00B10162" w:rsidRDefault="00805C20" w:rsidP="00C70B3C">
            <w:pPr>
              <w:spacing w:before="120" w:after="120"/>
              <w:rPr>
                <w:rFonts w:cs="Calibri"/>
                <w:lang w:eastAsia="en-GB"/>
              </w:rPr>
            </w:pPr>
            <w:r w:rsidRPr="00B10162">
              <w:rPr>
                <w:rFonts w:cs="Calibri"/>
                <w:lang w:eastAsia="en-GB"/>
              </w:rPr>
              <w:t>The SSNAP is a mandatory collection and overall case ascertainment increased from 72% in Quarter 1 to 95% in Quarter 4, 2013/14 (Quarter 2: 83%, Quarter 3: 90%). It has further improved to 97% by Quarter 4, 2014/15.</w:t>
            </w:r>
          </w:p>
          <w:p w14:paraId="478CE6F1" w14:textId="77777777" w:rsidR="00805C20" w:rsidRPr="00B10162" w:rsidRDefault="00805C20" w:rsidP="00C70B3C">
            <w:pPr>
              <w:spacing w:before="120" w:after="120"/>
              <w:rPr>
                <w:rFonts w:cs="Calibri"/>
                <w:lang w:eastAsia="en-GB"/>
              </w:rPr>
            </w:pPr>
            <w:r w:rsidRPr="00B10162">
              <w:rPr>
                <w:rFonts w:cs="Calibri"/>
                <w:lang w:eastAsia="en-GB"/>
              </w:rPr>
              <w:t>The indicator is published in the context of case ascertainment between SSNAP and HES. This is the percentage of patients per CCG with primary ICD-10 codes I61, I63 and I64 in HES who are included in SSNAP for the same time period. Case ascertainment is reported alongside the indicator for all CCGs in the published CCG OIS data files. The indicator is not reported for any CCGs with lower than 50% case ascertainment or for those with fewer than 20 patients.</w:t>
            </w:r>
          </w:p>
        </w:tc>
        <w:tc>
          <w:tcPr>
            <w:tcW w:w="479" w:type="pct"/>
          </w:tcPr>
          <w:p w14:paraId="03848BFD" w14:textId="77777777" w:rsidR="00805C20" w:rsidRPr="00B10162" w:rsidRDefault="00805C20" w:rsidP="00C70B3C">
            <w:pPr>
              <w:spacing w:after="0"/>
              <w:rPr>
                <w:rFonts w:cs="Calibri"/>
                <w:lang w:eastAsia="en-GB"/>
              </w:rPr>
            </w:pPr>
            <w:r w:rsidRPr="00B10162">
              <w:rPr>
                <w:rFonts w:cs="Calibri"/>
              </w:rPr>
              <w:t>13/08/15</w:t>
            </w:r>
          </w:p>
        </w:tc>
        <w:tc>
          <w:tcPr>
            <w:tcW w:w="383" w:type="pct"/>
          </w:tcPr>
          <w:p w14:paraId="0EFB139F" w14:textId="77777777" w:rsidR="00805C20" w:rsidRPr="00B10162" w:rsidRDefault="00805C20" w:rsidP="00C70B3C">
            <w:pPr>
              <w:spacing w:after="0"/>
              <w:jc w:val="center"/>
              <w:rPr>
                <w:rFonts w:cs="Calibri"/>
                <w:lang w:eastAsia="en-GB"/>
              </w:rPr>
            </w:pPr>
            <w:r w:rsidRPr="00B10162">
              <w:rPr>
                <w:rFonts w:cs="Calibri"/>
              </w:rPr>
              <w:sym w:font="Wingdings" w:char="F0FE"/>
            </w:r>
          </w:p>
        </w:tc>
        <w:tc>
          <w:tcPr>
            <w:tcW w:w="316" w:type="pct"/>
          </w:tcPr>
          <w:p w14:paraId="512C82C4" w14:textId="77777777" w:rsidR="00805C20" w:rsidRPr="00B10162" w:rsidRDefault="00805C20" w:rsidP="00C70B3C">
            <w:pPr>
              <w:spacing w:after="0"/>
              <w:rPr>
                <w:rFonts w:cs="Calibri"/>
              </w:rPr>
            </w:pPr>
            <w:r w:rsidRPr="00B10162">
              <w:rPr>
                <w:rFonts w:cs="Calibri"/>
              </w:rPr>
              <w:t>MRG</w:t>
            </w:r>
          </w:p>
          <w:p w14:paraId="33A18866" w14:textId="77777777" w:rsidR="00805C20" w:rsidRPr="00B10162" w:rsidRDefault="00805C20" w:rsidP="00C70B3C">
            <w:pPr>
              <w:spacing w:after="0"/>
              <w:rPr>
                <w:rFonts w:cs="Calibri"/>
                <w:lang w:eastAsia="en-GB"/>
              </w:rPr>
            </w:pPr>
            <w:r w:rsidRPr="00B10162">
              <w:rPr>
                <w:rFonts w:cs="Calibri"/>
              </w:rPr>
              <w:t>10/09/15</w:t>
            </w:r>
          </w:p>
        </w:tc>
      </w:tr>
      <w:tr w:rsidR="00B10162" w:rsidRPr="00B10162" w14:paraId="0A3A454E" w14:textId="77777777" w:rsidTr="00082EE9">
        <w:tc>
          <w:tcPr>
            <w:tcW w:w="324" w:type="pct"/>
          </w:tcPr>
          <w:p w14:paraId="621FE259" w14:textId="77777777" w:rsidR="00805C20" w:rsidRPr="00B10162" w:rsidRDefault="00805C20" w:rsidP="00C70B3C">
            <w:pPr>
              <w:spacing w:after="0"/>
              <w:rPr>
                <w:rFonts w:cs="Calibri"/>
                <w:lang w:eastAsia="en-GB"/>
              </w:rPr>
            </w:pPr>
            <w:r w:rsidRPr="00B10162">
              <w:rPr>
                <w:rFonts w:cs="Calibri"/>
                <w:lang w:eastAsia="en-GB"/>
              </w:rPr>
              <w:lastRenderedPageBreak/>
              <w:t>6bi</w:t>
            </w:r>
          </w:p>
        </w:tc>
        <w:tc>
          <w:tcPr>
            <w:tcW w:w="1485" w:type="pct"/>
          </w:tcPr>
          <w:p w14:paraId="7C3B5C9A" w14:textId="77777777" w:rsidR="00805C20" w:rsidRPr="00B10162" w:rsidRDefault="00805C20" w:rsidP="00C70B3C">
            <w:pPr>
              <w:spacing w:after="0"/>
              <w:rPr>
                <w:rFonts w:cs="Calibri"/>
                <w:lang w:eastAsia="en-GB"/>
              </w:rPr>
            </w:pPr>
            <w:r w:rsidRPr="00B10162">
              <w:rPr>
                <w:rFonts w:cs="Calibri"/>
                <w:lang w:eastAsia="en-GB"/>
              </w:rPr>
              <w:t xml:space="preserve">As all patients are included in the indicator (as opposed to only eligible patients), there is a risk that results may be misinterpreted and used to influence future policy or practice. MRG recommend the applicant </w:t>
            </w:r>
            <w:proofErr w:type="spellStart"/>
            <w:r w:rsidRPr="00B10162">
              <w:rPr>
                <w:rFonts w:cs="Calibri"/>
                <w:lang w:eastAsia="en-GB"/>
              </w:rPr>
              <w:t>reconsders</w:t>
            </w:r>
            <w:proofErr w:type="spellEnd"/>
            <w:r w:rsidRPr="00B10162">
              <w:rPr>
                <w:rFonts w:cs="Calibri"/>
                <w:lang w:eastAsia="en-GB"/>
              </w:rPr>
              <w:t xml:space="preserve"> whether measuring only eligible patients would be more appropriate.</w:t>
            </w:r>
          </w:p>
        </w:tc>
        <w:tc>
          <w:tcPr>
            <w:tcW w:w="431" w:type="pct"/>
          </w:tcPr>
          <w:p w14:paraId="0C5C6BD8" w14:textId="77777777" w:rsidR="00805C20" w:rsidRPr="00B10162" w:rsidRDefault="00805C20" w:rsidP="00C70B3C">
            <w:pPr>
              <w:spacing w:after="0"/>
              <w:rPr>
                <w:rFonts w:cs="Calibri"/>
                <w:lang w:eastAsia="en-GB"/>
              </w:rPr>
            </w:pPr>
            <w:r w:rsidRPr="00B10162">
              <w:rPr>
                <w:rFonts w:cs="Calibri"/>
                <w:lang w:eastAsia="en-GB"/>
              </w:rPr>
              <w:t>MRG</w:t>
            </w:r>
          </w:p>
          <w:p w14:paraId="50A20686" w14:textId="77777777" w:rsidR="00805C20" w:rsidRPr="00B10162" w:rsidRDefault="00805C20" w:rsidP="00C70B3C">
            <w:pPr>
              <w:spacing w:after="0"/>
              <w:rPr>
                <w:rFonts w:cs="Calibri"/>
                <w:lang w:eastAsia="en-GB"/>
              </w:rPr>
            </w:pPr>
          </w:p>
          <w:p w14:paraId="72E12056" w14:textId="77777777" w:rsidR="00805C20" w:rsidRPr="00B10162" w:rsidRDefault="00805C20" w:rsidP="00C70B3C">
            <w:pPr>
              <w:spacing w:after="0"/>
              <w:rPr>
                <w:rFonts w:cs="Calibri"/>
                <w:lang w:eastAsia="en-GB"/>
              </w:rPr>
            </w:pPr>
            <w:r w:rsidRPr="00B10162">
              <w:rPr>
                <w:rFonts w:cs="Calibri"/>
                <w:lang w:eastAsia="en-GB"/>
              </w:rPr>
              <w:t>10/09/15</w:t>
            </w:r>
          </w:p>
          <w:p w14:paraId="41A28565" w14:textId="77777777" w:rsidR="00805C20" w:rsidRPr="00B10162" w:rsidRDefault="00805C20" w:rsidP="00C70B3C">
            <w:pPr>
              <w:spacing w:after="0"/>
              <w:rPr>
                <w:rFonts w:cs="Calibri"/>
                <w:lang w:eastAsia="en-GB"/>
              </w:rPr>
            </w:pPr>
          </w:p>
          <w:p w14:paraId="12E43ACD" w14:textId="77777777" w:rsidR="00805C20" w:rsidRPr="00B10162" w:rsidRDefault="00805C20" w:rsidP="00C70B3C">
            <w:pPr>
              <w:spacing w:after="0"/>
              <w:rPr>
                <w:rFonts w:cs="Calibri"/>
                <w:lang w:eastAsia="en-GB"/>
              </w:rPr>
            </w:pPr>
          </w:p>
        </w:tc>
        <w:tc>
          <w:tcPr>
            <w:tcW w:w="1582" w:type="pct"/>
          </w:tcPr>
          <w:p w14:paraId="58B08C69" w14:textId="77777777" w:rsidR="00805C20" w:rsidRPr="00B10162" w:rsidRDefault="00805C20" w:rsidP="00C70B3C">
            <w:pPr>
              <w:spacing w:before="120" w:after="120"/>
              <w:rPr>
                <w:rFonts w:cs="Calibri"/>
                <w:lang w:eastAsia="en-GB"/>
              </w:rPr>
            </w:pPr>
          </w:p>
        </w:tc>
        <w:tc>
          <w:tcPr>
            <w:tcW w:w="479" w:type="pct"/>
          </w:tcPr>
          <w:p w14:paraId="08076BFE" w14:textId="77777777" w:rsidR="00805C20" w:rsidRPr="00B10162" w:rsidRDefault="00805C20" w:rsidP="00C70B3C">
            <w:pPr>
              <w:spacing w:after="0"/>
              <w:rPr>
                <w:rFonts w:cs="Calibri"/>
              </w:rPr>
            </w:pPr>
          </w:p>
        </w:tc>
        <w:tc>
          <w:tcPr>
            <w:tcW w:w="383" w:type="pct"/>
          </w:tcPr>
          <w:p w14:paraId="1FC6AC91" w14:textId="77777777" w:rsidR="00805C20" w:rsidRPr="00B10162" w:rsidRDefault="00805C20" w:rsidP="00C70B3C">
            <w:pPr>
              <w:spacing w:after="0"/>
              <w:jc w:val="center"/>
              <w:rPr>
                <w:rFonts w:cs="Calibri"/>
              </w:rPr>
            </w:pPr>
            <w:r w:rsidRPr="00B10162">
              <w:rPr>
                <w:rFonts w:cs="Calibri"/>
              </w:rPr>
              <w:sym w:font="Wingdings" w:char="F06F"/>
            </w:r>
          </w:p>
        </w:tc>
        <w:tc>
          <w:tcPr>
            <w:tcW w:w="316" w:type="pct"/>
          </w:tcPr>
          <w:p w14:paraId="23D7007B" w14:textId="77777777" w:rsidR="00805C20" w:rsidRPr="00B10162" w:rsidRDefault="00805C20" w:rsidP="00C70B3C">
            <w:pPr>
              <w:spacing w:after="0"/>
              <w:rPr>
                <w:rFonts w:cs="Calibri"/>
              </w:rPr>
            </w:pPr>
          </w:p>
        </w:tc>
      </w:tr>
      <w:tr w:rsidR="00B10162" w:rsidRPr="00B10162" w14:paraId="3B71A275" w14:textId="77777777" w:rsidTr="00082EE9">
        <w:tc>
          <w:tcPr>
            <w:tcW w:w="324" w:type="pct"/>
          </w:tcPr>
          <w:p w14:paraId="788173E9" w14:textId="77777777" w:rsidR="00805C20" w:rsidRPr="00B10162" w:rsidRDefault="00805C20" w:rsidP="00C70B3C">
            <w:pPr>
              <w:spacing w:after="0"/>
              <w:rPr>
                <w:rFonts w:cs="Calibri"/>
                <w:lang w:eastAsia="en-GB"/>
              </w:rPr>
            </w:pPr>
            <w:r w:rsidRPr="00B10162">
              <w:rPr>
                <w:rFonts w:cs="Calibri"/>
                <w:lang w:eastAsia="en-GB"/>
              </w:rPr>
              <w:t>6bii</w:t>
            </w:r>
          </w:p>
        </w:tc>
        <w:tc>
          <w:tcPr>
            <w:tcW w:w="1485" w:type="pct"/>
          </w:tcPr>
          <w:p w14:paraId="1948A2CA" w14:textId="77777777" w:rsidR="00805C20" w:rsidRPr="00B10162" w:rsidRDefault="00805C20" w:rsidP="00C70B3C">
            <w:pPr>
              <w:spacing w:after="0"/>
              <w:rPr>
                <w:rFonts w:cs="Calibri"/>
                <w:lang w:eastAsia="en-GB"/>
              </w:rPr>
            </w:pPr>
            <w:r w:rsidRPr="00B10162">
              <w:rPr>
                <w:rFonts w:cs="Calibri"/>
                <w:lang w:eastAsia="en-GB"/>
              </w:rPr>
              <w:t xml:space="preserve">Update: It was explained that the way in which the eligible population may be identified is unreliable and the group agree with the decision not to base the indicator on this population. </w:t>
            </w:r>
            <w:proofErr w:type="gramStart"/>
            <w:r w:rsidRPr="00B10162">
              <w:rPr>
                <w:rFonts w:cs="Calibri"/>
                <w:lang w:eastAsia="en-GB"/>
              </w:rPr>
              <w:t>However</w:t>
            </w:r>
            <w:proofErr w:type="gramEnd"/>
            <w:r w:rsidRPr="00B10162">
              <w:rPr>
                <w:rFonts w:cs="Calibri"/>
                <w:lang w:eastAsia="en-GB"/>
              </w:rPr>
              <w:t xml:space="preserve"> the initial risk highlighted above still stands.</w:t>
            </w:r>
          </w:p>
        </w:tc>
        <w:tc>
          <w:tcPr>
            <w:tcW w:w="431" w:type="pct"/>
          </w:tcPr>
          <w:p w14:paraId="1299DDA7" w14:textId="77777777" w:rsidR="00805C20" w:rsidRPr="00B10162" w:rsidRDefault="00805C20" w:rsidP="00C70B3C">
            <w:pPr>
              <w:spacing w:after="0"/>
              <w:rPr>
                <w:rFonts w:cs="Calibri"/>
                <w:lang w:eastAsia="en-GB"/>
              </w:rPr>
            </w:pPr>
            <w:r w:rsidRPr="00B10162">
              <w:rPr>
                <w:rFonts w:cs="Calibri"/>
                <w:lang w:eastAsia="en-GB"/>
              </w:rPr>
              <w:t>MRG</w:t>
            </w:r>
          </w:p>
          <w:p w14:paraId="33D900F9" w14:textId="77777777" w:rsidR="00805C20" w:rsidRPr="00B10162" w:rsidRDefault="00805C20" w:rsidP="00C70B3C">
            <w:pPr>
              <w:spacing w:after="0"/>
              <w:rPr>
                <w:rFonts w:cs="Calibri"/>
                <w:lang w:eastAsia="en-GB"/>
              </w:rPr>
            </w:pPr>
          </w:p>
          <w:p w14:paraId="270717DE" w14:textId="77777777" w:rsidR="00805C20" w:rsidRPr="00B10162" w:rsidRDefault="00805C20" w:rsidP="00C70B3C">
            <w:pPr>
              <w:spacing w:after="0"/>
              <w:rPr>
                <w:rFonts w:cs="Calibri"/>
                <w:lang w:eastAsia="en-GB"/>
              </w:rPr>
            </w:pPr>
            <w:r w:rsidRPr="00B10162">
              <w:rPr>
                <w:rFonts w:cs="Calibri"/>
                <w:lang w:eastAsia="en-GB"/>
              </w:rPr>
              <w:t>12/11/15</w:t>
            </w:r>
          </w:p>
        </w:tc>
        <w:tc>
          <w:tcPr>
            <w:tcW w:w="1582" w:type="pct"/>
          </w:tcPr>
          <w:p w14:paraId="562B5718" w14:textId="77777777" w:rsidR="00805C20" w:rsidRPr="00B10162" w:rsidRDefault="00805C20" w:rsidP="00C70B3C">
            <w:pPr>
              <w:spacing w:before="120" w:after="120"/>
              <w:rPr>
                <w:rFonts w:cs="Calibri"/>
                <w:lang w:eastAsia="en-GB"/>
              </w:rPr>
            </w:pPr>
            <w:r w:rsidRPr="00B10162">
              <w:rPr>
                <w:rFonts w:cs="Calibri"/>
                <w:lang w:eastAsia="en-GB"/>
              </w:rPr>
              <w:t xml:space="preserve">The Indicator Quality Statement includes details on the interpretation of this indicator. It also provides a link to the SSNAP reports which include measures on several factors which could affect thrombolysis rates such as the haemorrhage rate and onset-to-arrival timings, as well as other CCG level indicators which may be useful to aid interpretation.  </w:t>
            </w:r>
          </w:p>
        </w:tc>
        <w:tc>
          <w:tcPr>
            <w:tcW w:w="479" w:type="pct"/>
          </w:tcPr>
          <w:p w14:paraId="57B91D71" w14:textId="77777777" w:rsidR="00805C20" w:rsidRPr="00B10162" w:rsidRDefault="00805C20" w:rsidP="00C70B3C">
            <w:pPr>
              <w:spacing w:after="0"/>
              <w:rPr>
                <w:rFonts w:cs="Calibri"/>
              </w:rPr>
            </w:pPr>
          </w:p>
        </w:tc>
        <w:tc>
          <w:tcPr>
            <w:tcW w:w="383" w:type="pct"/>
          </w:tcPr>
          <w:p w14:paraId="73AB5D33" w14:textId="77777777" w:rsidR="00805C20" w:rsidRPr="00B10162" w:rsidRDefault="00805C20" w:rsidP="00C70B3C">
            <w:pPr>
              <w:spacing w:after="0"/>
              <w:jc w:val="center"/>
              <w:rPr>
                <w:rFonts w:cs="Calibri"/>
              </w:rPr>
            </w:pPr>
            <w:r w:rsidRPr="00B10162">
              <w:rPr>
                <w:rFonts w:cs="Calibri"/>
              </w:rPr>
              <w:sym w:font="Wingdings" w:char="F06F"/>
            </w:r>
          </w:p>
        </w:tc>
        <w:tc>
          <w:tcPr>
            <w:tcW w:w="316" w:type="pct"/>
          </w:tcPr>
          <w:p w14:paraId="102375FA" w14:textId="77777777" w:rsidR="00805C20" w:rsidRPr="00B10162" w:rsidRDefault="00805C20" w:rsidP="00C70B3C">
            <w:pPr>
              <w:spacing w:after="0"/>
              <w:rPr>
                <w:rFonts w:cs="Calibri"/>
              </w:rPr>
            </w:pPr>
          </w:p>
        </w:tc>
      </w:tr>
    </w:tbl>
    <w:p w14:paraId="1172238B" w14:textId="77777777" w:rsidR="00805C20" w:rsidRPr="00B10162" w:rsidRDefault="00805C20" w:rsidP="00C70B3C">
      <w:pPr>
        <w:spacing w:after="0"/>
        <w:rPr>
          <w:sz w:val="20"/>
          <w:szCs w:val="20"/>
        </w:rPr>
        <w:sectPr w:rsidR="00805C20" w:rsidRPr="00B10162" w:rsidSect="00C70B3C">
          <w:headerReference w:type="default" r:id="rId30"/>
          <w:pgSz w:w="16838" w:h="11906" w:orient="landscape"/>
          <w:pgMar w:top="851" w:right="820" w:bottom="426" w:left="1440" w:header="851" w:footer="709" w:gutter="0"/>
          <w:cols w:space="708"/>
          <w:docGrid w:linePitch="360"/>
        </w:sectPr>
      </w:pPr>
    </w:p>
    <w:p w14:paraId="62CA5872" w14:textId="77777777" w:rsidR="00805C20" w:rsidRPr="00B10162" w:rsidRDefault="00805C20" w:rsidP="00C70B3C">
      <w:pPr>
        <w:spacing w:after="0"/>
        <w:rPr>
          <w:rFonts w:cs="Calibri"/>
          <w:b/>
        </w:rPr>
      </w:pPr>
    </w:p>
    <w:p w14:paraId="07AFFC29" w14:textId="50423173" w:rsidR="00805C20" w:rsidRPr="00B10162" w:rsidRDefault="001125D7" w:rsidP="00C70B3C">
      <w:pPr>
        <w:spacing w:after="0"/>
        <w:rPr>
          <w:rFonts w:cs="Calibri"/>
          <w:b/>
        </w:rPr>
      </w:pPr>
      <w:r w:rsidRPr="00B10162">
        <w:rPr>
          <w:noProof/>
        </w:rPr>
        <mc:AlternateContent>
          <mc:Choice Requires="wps">
            <w:drawing>
              <wp:inline distT="0" distB="0" distL="0" distR="0" wp14:anchorId="593EA87E" wp14:editId="0C9BCE33">
                <wp:extent cx="6219825" cy="2545080"/>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45080"/>
                        </a:xfrm>
                        <a:prstGeom prst="rect">
                          <a:avLst/>
                        </a:prstGeom>
                        <a:solidFill>
                          <a:srgbClr val="4F81BD">
                            <a:lumMod val="20000"/>
                            <a:lumOff val="80000"/>
                          </a:srgbClr>
                        </a:solidFill>
                        <a:ln w="9525">
                          <a:noFill/>
                          <a:miter lim="800000"/>
                          <a:headEnd/>
                          <a:tailEnd/>
                        </a:ln>
                      </wps:spPr>
                      <wps:txbx>
                        <w:txbxContent>
                          <w:p w14:paraId="4FD9A306" w14:textId="77777777" w:rsidR="00B10162" w:rsidRPr="00CC2CE1" w:rsidRDefault="00B10162" w:rsidP="00C70B3C">
                            <w:pPr>
                              <w:spacing w:after="0"/>
                              <w:rPr>
                                <w:rFonts w:cs="Calibri"/>
                                <w:b/>
                                <w:color w:val="1F497D"/>
                              </w:rPr>
                            </w:pPr>
                            <w:r w:rsidRPr="00CC2CE1">
                              <w:rPr>
                                <w:rFonts w:cs="Calibri"/>
                                <w:b/>
                                <w:color w:val="1F497D"/>
                              </w:rPr>
                              <w:t>Any complaints or appeals against the decisions made during the assurance process should be made to the Indicator &amp; Methodology Assurance Service (IMAS) Team at HSCIC. Likewise, if you are unclear regarding any of the recommendations in this report, or have any queries about the assurance process in general, please contact the IMAS team.</w:t>
                            </w:r>
                          </w:p>
                          <w:p w14:paraId="6B5005B4" w14:textId="77777777" w:rsidR="00B10162" w:rsidRPr="00CC2CE1" w:rsidRDefault="00B10162" w:rsidP="00C70B3C">
                            <w:pPr>
                              <w:spacing w:after="0"/>
                              <w:rPr>
                                <w:rFonts w:cs="Calibri"/>
                                <w:b/>
                                <w:color w:val="1F497D"/>
                              </w:rPr>
                            </w:pPr>
                          </w:p>
                          <w:p w14:paraId="77F7B323" w14:textId="77777777" w:rsidR="00B10162" w:rsidRPr="00CC2CE1" w:rsidRDefault="00B10162" w:rsidP="00C70B3C">
                            <w:pPr>
                              <w:spacing w:after="0"/>
                              <w:rPr>
                                <w:rFonts w:cs="Calibri"/>
                                <w:b/>
                                <w:color w:val="1F497D"/>
                              </w:rPr>
                            </w:pPr>
                            <w:r w:rsidRPr="00CC2CE1">
                              <w:rPr>
                                <w:rFonts w:cs="Calibri"/>
                                <w:b/>
                                <w:color w:val="1F497D"/>
                              </w:rPr>
                              <w:t>Indicator and Methodology Assurance Service</w:t>
                            </w:r>
                          </w:p>
                          <w:p w14:paraId="74A04384" w14:textId="77777777" w:rsidR="00B10162" w:rsidRPr="00CC2CE1" w:rsidRDefault="00B10162" w:rsidP="00C70B3C">
                            <w:pPr>
                              <w:spacing w:after="0"/>
                              <w:rPr>
                                <w:rFonts w:cs="Calibri"/>
                                <w:b/>
                                <w:color w:val="1F497D"/>
                              </w:rPr>
                            </w:pPr>
                            <w:r w:rsidRPr="00CC2CE1">
                              <w:rPr>
                                <w:rFonts w:cs="Calibri"/>
                                <w:b/>
                                <w:color w:val="1F497D"/>
                              </w:rPr>
                              <w:t>Health and Social Care Information Centre</w:t>
                            </w:r>
                          </w:p>
                          <w:p w14:paraId="434B1E42" w14:textId="77777777" w:rsidR="00B10162" w:rsidRPr="00CC2CE1" w:rsidRDefault="00B10162" w:rsidP="00C70B3C">
                            <w:pPr>
                              <w:spacing w:after="0"/>
                              <w:rPr>
                                <w:rFonts w:cs="Calibri"/>
                                <w:b/>
                                <w:color w:val="1F497D"/>
                              </w:rPr>
                            </w:pPr>
                            <w:r w:rsidRPr="00CC2CE1">
                              <w:rPr>
                                <w:rFonts w:cs="Calibri"/>
                                <w:b/>
                                <w:color w:val="1F497D"/>
                              </w:rPr>
                              <w:t>1 Trevelyan Square, Boar Lane,</w:t>
                            </w:r>
                          </w:p>
                          <w:p w14:paraId="33D494D5" w14:textId="77777777" w:rsidR="00B10162" w:rsidRPr="00CC2CE1" w:rsidRDefault="00B10162" w:rsidP="00C70B3C">
                            <w:pPr>
                              <w:spacing w:after="0"/>
                              <w:rPr>
                                <w:rFonts w:cs="Calibri"/>
                                <w:b/>
                                <w:color w:val="1F497D"/>
                              </w:rPr>
                            </w:pPr>
                            <w:r w:rsidRPr="00CC2CE1">
                              <w:rPr>
                                <w:rFonts w:cs="Calibri"/>
                                <w:b/>
                                <w:color w:val="1F497D"/>
                              </w:rPr>
                              <w:t xml:space="preserve">LEEDS </w:t>
                            </w:r>
                          </w:p>
                          <w:p w14:paraId="7D5E7476" w14:textId="77777777" w:rsidR="00B10162" w:rsidRPr="00CC2CE1" w:rsidRDefault="00B10162" w:rsidP="00C70B3C">
                            <w:pPr>
                              <w:spacing w:after="0"/>
                              <w:rPr>
                                <w:rFonts w:cs="Calibri"/>
                                <w:b/>
                                <w:color w:val="1F497D"/>
                              </w:rPr>
                            </w:pPr>
                            <w:r w:rsidRPr="00CC2CE1">
                              <w:rPr>
                                <w:rFonts w:cs="Calibri"/>
                                <w:b/>
                                <w:color w:val="1F497D"/>
                              </w:rPr>
                              <w:t>LS1 6AE.</w:t>
                            </w:r>
                          </w:p>
                          <w:p w14:paraId="2BA6BED7" w14:textId="77777777" w:rsidR="00B10162" w:rsidRPr="00CC2CE1" w:rsidRDefault="00B10162" w:rsidP="00C70B3C">
                            <w:pPr>
                              <w:spacing w:after="0"/>
                              <w:rPr>
                                <w:rFonts w:cs="Calibri"/>
                                <w:b/>
                                <w:color w:val="1F497D"/>
                              </w:rPr>
                            </w:pPr>
                          </w:p>
                          <w:p w14:paraId="36F40E34" w14:textId="77777777" w:rsidR="00B10162" w:rsidRPr="00CC2CE1" w:rsidRDefault="00B10162" w:rsidP="00C70B3C">
                            <w:pPr>
                              <w:spacing w:after="0"/>
                              <w:rPr>
                                <w:rFonts w:cs="Calibri"/>
                                <w:b/>
                                <w:color w:val="1F497D"/>
                              </w:rPr>
                            </w:pPr>
                            <w:r w:rsidRPr="00CC2CE1">
                              <w:rPr>
                                <w:rFonts w:cs="Calibri"/>
                                <w:b/>
                                <w:color w:val="1F497D"/>
                              </w:rPr>
                              <w:t xml:space="preserve">Email: </w:t>
                            </w:r>
                            <w:hyperlink r:id="rId31" w:history="1">
                              <w:r w:rsidRPr="00CC2CE1">
                                <w:rPr>
                                  <w:rStyle w:val="Hyperlink"/>
                                  <w:rFonts w:cs="Calibri"/>
                                  <w:b/>
                                </w:rPr>
                                <w:t>indicator.assurance@hscic.gov.uk</w:t>
                              </w:r>
                            </w:hyperlink>
                          </w:p>
                          <w:p w14:paraId="4BD1C166" w14:textId="77777777" w:rsidR="00B10162" w:rsidRPr="00CC2CE1" w:rsidRDefault="00B10162" w:rsidP="00C70B3C">
                            <w:pPr>
                              <w:spacing w:after="0"/>
                              <w:rPr>
                                <w:rFonts w:cs="Calibri"/>
                                <w:b/>
                                <w:color w:val="1F497D"/>
                              </w:rPr>
                            </w:pPr>
                            <w:r w:rsidRPr="00CC2CE1">
                              <w:rPr>
                                <w:rFonts w:cs="Calibri"/>
                                <w:b/>
                                <w:color w:val="1F497D"/>
                              </w:rPr>
                              <w:t xml:space="preserve">Website: </w:t>
                            </w:r>
                            <w:hyperlink r:id="rId32" w:history="1">
                              <w:r w:rsidRPr="00CC2CE1">
                                <w:rPr>
                                  <w:rStyle w:val="Hyperlink"/>
                                  <w:rFonts w:cs="Calibri"/>
                                  <w:b/>
                                </w:rPr>
                                <w:t>http://www.hscic.gov.uk/article/1674/Indicator-Assurance-Service</w:t>
                              </w:r>
                            </w:hyperlink>
                          </w:p>
                        </w:txbxContent>
                      </wps:txbx>
                      <wps:bodyPr rot="0" vert="horz" wrap="square" lIns="91440" tIns="45720" rIns="91440" bIns="45720" anchor="t" anchorCtr="0">
                        <a:spAutoFit/>
                      </wps:bodyPr>
                    </wps:wsp>
                  </a:graphicData>
                </a:graphic>
              </wp:inline>
            </w:drawing>
          </mc:Choice>
          <mc:Fallback>
            <w:pict>
              <v:shapetype w14:anchorId="593EA87E" id="_x0000_t202" coordsize="21600,21600" o:spt="202" path="m,l,21600r21600,l21600,xe">
                <v:stroke joinstyle="miter"/>
                <v:path gradientshapeok="t" o:connecttype="rect"/>
              </v:shapetype>
              <v:shape id="Text Box 2" o:spid="_x0000_s1026" type="#_x0000_t202" style="width:489.75pt;height:20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" fillcolor="#dce6f2" stroked="f">
                <v:textbox style="mso-fit-shape-to-text:t">
                  <w:txbxContent>
                    <w:p w14:paraId="4FD9A306" w14:textId="77777777" w:rsidR="00B10162" w:rsidRPr="00CC2CE1" w:rsidRDefault="00B10162" w:rsidP="00C70B3C">
                      <w:pPr>
                        <w:spacing w:after="0"/>
                        <w:rPr>
                          <w:rFonts w:cs="Calibri"/>
                          <w:b/>
                          <w:color w:val="1F497D"/>
                        </w:rPr>
                      </w:pPr>
                      <w:r w:rsidRPr="00CC2CE1">
                        <w:rPr>
                          <w:rFonts w:cs="Calibri"/>
                          <w:b/>
                          <w:color w:val="1F497D"/>
                        </w:rPr>
                        <w:t xml:space="preserve">Any complaints or appeals against the decisions made during the assurance process should be made to the Indicator &amp; Methodology Assurance Service (IMAS) Team at HSCIC. Likewise, if you are unclear regarding any of the recommendations in this </w:t>
                      </w:r>
                      <w:proofErr w:type="gramStart"/>
                      <w:r w:rsidRPr="00CC2CE1">
                        <w:rPr>
                          <w:rFonts w:cs="Calibri"/>
                          <w:b/>
                          <w:color w:val="1F497D"/>
                        </w:rPr>
                        <w:t>report, or</w:t>
                      </w:r>
                      <w:proofErr w:type="gramEnd"/>
                      <w:r w:rsidRPr="00CC2CE1">
                        <w:rPr>
                          <w:rFonts w:cs="Calibri"/>
                          <w:b/>
                          <w:color w:val="1F497D"/>
                        </w:rPr>
                        <w:t xml:space="preserve"> have any queries about the assurance process in general, please contact the IMAS team.</w:t>
                      </w:r>
                    </w:p>
                    <w:p w14:paraId="6B5005B4" w14:textId="77777777" w:rsidR="00B10162" w:rsidRPr="00CC2CE1" w:rsidRDefault="00B10162" w:rsidP="00C70B3C">
                      <w:pPr>
                        <w:spacing w:after="0"/>
                        <w:rPr>
                          <w:rFonts w:cs="Calibri"/>
                          <w:b/>
                          <w:color w:val="1F497D"/>
                        </w:rPr>
                      </w:pPr>
                    </w:p>
                    <w:p w14:paraId="77F7B323" w14:textId="77777777" w:rsidR="00B10162" w:rsidRPr="00CC2CE1" w:rsidRDefault="00B10162" w:rsidP="00C70B3C">
                      <w:pPr>
                        <w:spacing w:after="0"/>
                        <w:rPr>
                          <w:rFonts w:cs="Calibri"/>
                          <w:b/>
                          <w:color w:val="1F497D"/>
                        </w:rPr>
                      </w:pPr>
                      <w:r w:rsidRPr="00CC2CE1">
                        <w:rPr>
                          <w:rFonts w:cs="Calibri"/>
                          <w:b/>
                          <w:color w:val="1F497D"/>
                        </w:rPr>
                        <w:t>Indicator and Methodology Assurance Service</w:t>
                      </w:r>
                    </w:p>
                    <w:p w14:paraId="74A04384" w14:textId="77777777" w:rsidR="00B10162" w:rsidRPr="00CC2CE1" w:rsidRDefault="00B10162" w:rsidP="00C70B3C">
                      <w:pPr>
                        <w:spacing w:after="0"/>
                        <w:rPr>
                          <w:rFonts w:cs="Calibri"/>
                          <w:b/>
                          <w:color w:val="1F497D"/>
                        </w:rPr>
                      </w:pPr>
                      <w:r w:rsidRPr="00CC2CE1">
                        <w:rPr>
                          <w:rFonts w:cs="Calibri"/>
                          <w:b/>
                          <w:color w:val="1F497D"/>
                        </w:rPr>
                        <w:t>Health and Social Care Information Centre</w:t>
                      </w:r>
                    </w:p>
                    <w:p w14:paraId="434B1E42" w14:textId="77777777" w:rsidR="00B10162" w:rsidRPr="00CC2CE1" w:rsidRDefault="00B10162" w:rsidP="00C70B3C">
                      <w:pPr>
                        <w:spacing w:after="0"/>
                        <w:rPr>
                          <w:rFonts w:cs="Calibri"/>
                          <w:b/>
                          <w:color w:val="1F497D"/>
                        </w:rPr>
                      </w:pPr>
                      <w:r w:rsidRPr="00CC2CE1">
                        <w:rPr>
                          <w:rFonts w:cs="Calibri"/>
                          <w:b/>
                          <w:color w:val="1F497D"/>
                        </w:rPr>
                        <w:t>1 Trevelyan Square, Boar Lane,</w:t>
                      </w:r>
                    </w:p>
                    <w:p w14:paraId="33D494D5" w14:textId="77777777" w:rsidR="00B10162" w:rsidRPr="00CC2CE1" w:rsidRDefault="00B10162" w:rsidP="00C70B3C">
                      <w:pPr>
                        <w:spacing w:after="0"/>
                        <w:rPr>
                          <w:rFonts w:cs="Calibri"/>
                          <w:b/>
                          <w:color w:val="1F497D"/>
                        </w:rPr>
                      </w:pPr>
                      <w:r w:rsidRPr="00CC2CE1">
                        <w:rPr>
                          <w:rFonts w:cs="Calibri"/>
                          <w:b/>
                          <w:color w:val="1F497D"/>
                        </w:rPr>
                        <w:t xml:space="preserve">LEEDS </w:t>
                      </w:r>
                    </w:p>
                    <w:p w14:paraId="7D5E7476" w14:textId="77777777" w:rsidR="00B10162" w:rsidRPr="00CC2CE1" w:rsidRDefault="00B10162" w:rsidP="00C70B3C">
                      <w:pPr>
                        <w:spacing w:after="0"/>
                        <w:rPr>
                          <w:rFonts w:cs="Calibri"/>
                          <w:b/>
                          <w:color w:val="1F497D"/>
                        </w:rPr>
                      </w:pPr>
                      <w:r w:rsidRPr="00CC2CE1">
                        <w:rPr>
                          <w:rFonts w:cs="Calibri"/>
                          <w:b/>
                          <w:color w:val="1F497D"/>
                        </w:rPr>
                        <w:t>LS1 6AE.</w:t>
                      </w:r>
                    </w:p>
                    <w:p w14:paraId="2BA6BED7" w14:textId="77777777" w:rsidR="00B10162" w:rsidRPr="00CC2CE1" w:rsidRDefault="00B10162" w:rsidP="00C70B3C">
                      <w:pPr>
                        <w:spacing w:after="0"/>
                        <w:rPr>
                          <w:rFonts w:cs="Calibri"/>
                          <w:b/>
                          <w:color w:val="1F497D"/>
                        </w:rPr>
                      </w:pPr>
                    </w:p>
                    <w:p w14:paraId="36F40E34" w14:textId="77777777" w:rsidR="00B10162" w:rsidRPr="00CC2CE1" w:rsidRDefault="00B10162" w:rsidP="00C70B3C">
                      <w:pPr>
                        <w:spacing w:after="0"/>
                        <w:rPr>
                          <w:rFonts w:cs="Calibri"/>
                          <w:b/>
                          <w:color w:val="1F497D"/>
                        </w:rPr>
                      </w:pPr>
                      <w:r w:rsidRPr="00CC2CE1">
                        <w:rPr>
                          <w:rFonts w:cs="Calibri"/>
                          <w:b/>
                          <w:color w:val="1F497D"/>
                        </w:rPr>
                        <w:t xml:space="preserve">Email: </w:t>
                      </w:r>
                      <w:hyperlink r:id="rId37" w:history="1">
                        <w:r w:rsidRPr="00CC2CE1">
                          <w:rPr>
                            <w:rStyle w:val="Hyperlink"/>
                            <w:rFonts w:cs="Calibri"/>
                            <w:b/>
                          </w:rPr>
                          <w:t>indicator.assurance@hscic.gov.uk</w:t>
                        </w:r>
                      </w:hyperlink>
                    </w:p>
                    <w:p w14:paraId="4BD1C166" w14:textId="77777777" w:rsidR="00B10162" w:rsidRPr="00CC2CE1" w:rsidRDefault="00B10162" w:rsidP="00C70B3C">
                      <w:pPr>
                        <w:spacing w:after="0"/>
                        <w:rPr>
                          <w:rFonts w:cs="Calibri"/>
                          <w:b/>
                          <w:color w:val="1F497D"/>
                        </w:rPr>
                      </w:pPr>
                      <w:r w:rsidRPr="00CC2CE1">
                        <w:rPr>
                          <w:rFonts w:cs="Calibri"/>
                          <w:b/>
                          <w:color w:val="1F497D"/>
                        </w:rPr>
                        <w:t xml:space="preserve">Website: </w:t>
                      </w:r>
                      <w:hyperlink r:id="rId38" w:history="1">
                        <w:r w:rsidRPr="00CC2CE1">
                          <w:rPr>
                            <w:rStyle w:val="Hyperlink"/>
                            <w:rFonts w:cs="Calibri"/>
                            <w:b/>
                          </w:rPr>
                          <w:t>http://www.hscic.gov.uk/article/1674/Indicator-Assurance-Service</w:t>
                        </w:r>
                      </w:hyperlink>
                    </w:p>
                  </w:txbxContent>
                </v:textbox>
                <w10:anchorlock/>
              </v:shape>
            </w:pict>
          </mc:Fallback>
        </mc:AlternateContent>
      </w:r>
    </w:p>
    <w:p w14:paraId="05697635" w14:textId="77777777" w:rsidR="00805C20" w:rsidRPr="00B10162" w:rsidRDefault="00805C20" w:rsidP="00C70B3C">
      <w:pPr>
        <w:spacing w:after="0"/>
        <w:rPr>
          <w:rFonts w:cs="Calibri"/>
          <w:b/>
        </w:rPr>
      </w:pPr>
    </w:p>
    <w:p w14:paraId="39E88368" w14:textId="77777777" w:rsidR="00805C20" w:rsidRPr="00B10162" w:rsidRDefault="00805C20">
      <w:pPr>
        <w:spacing w:after="0"/>
        <w:rPr>
          <w:rFonts w:cs="Calibri"/>
          <w:b/>
        </w:rPr>
      </w:pPr>
    </w:p>
    <w:p w14:paraId="2805F071" w14:textId="77777777" w:rsidR="00805C20" w:rsidRPr="00B10162" w:rsidRDefault="00805C20" w:rsidP="00785BE7"/>
    <w:sectPr w:rsidR="00805C20" w:rsidRPr="00B10162" w:rsidSect="000C24AF">
      <w:headerReference w:type="default" r:id="rId39"/>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A0CF6" w14:textId="77777777" w:rsidR="00B10162" w:rsidRDefault="00B10162" w:rsidP="000C24AF">
      <w:pPr>
        <w:spacing w:after="0"/>
      </w:pPr>
      <w:r>
        <w:separator/>
      </w:r>
    </w:p>
  </w:endnote>
  <w:endnote w:type="continuationSeparator" w:id="0">
    <w:p w14:paraId="6B3ACA0E" w14:textId="77777777" w:rsidR="00B10162" w:rsidRDefault="00B10162"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861506761"/>
      <w:docPartObj>
        <w:docPartGallery w:val="Page Numbers (Bottom of Page)"/>
        <w:docPartUnique/>
      </w:docPartObj>
    </w:sdtPr>
    <w:sdtEndPr>
      <w:rPr>
        <w:noProof/>
      </w:rPr>
    </w:sdtEndPr>
    <w:sdtContent>
      <w:p w14:paraId="63B9BA70" w14:textId="77777777" w:rsidR="00B10162" w:rsidRDefault="00B10162" w:rsidP="00B10162">
        <w:pPr>
          <w:pStyle w:val="Footer"/>
          <w:tabs>
            <w:tab w:val="left" w:pos="426"/>
          </w:tabs>
          <w:rPr>
            <w:rFonts w:cs="Arial"/>
            <w:sz w:val="18"/>
            <w:szCs w:val="18"/>
          </w:rPr>
        </w:pPr>
      </w:p>
      <w:p w14:paraId="3FCFDFB7" w14:textId="5E10798F" w:rsidR="00B10162" w:rsidRPr="00FD6413" w:rsidRDefault="00B10162" w:rsidP="00B10162">
        <w:pPr>
          <w:pStyle w:val="Footer"/>
          <w:tabs>
            <w:tab w:val="left" w:pos="426"/>
          </w:tabs>
          <w:rPr>
            <w:rFonts w:cs="Arial"/>
            <w:sz w:val="18"/>
            <w:szCs w:val="18"/>
          </w:rPr>
        </w:pPr>
        <w:r w:rsidRPr="00FD6413">
          <w:rPr>
            <w:rFonts w:cs="Arial"/>
            <w:sz w:val="18"/>
            <w:szCs w:val="18"/>
          </w:rPr>
          <w:t>IAP00</w:t>
        </w:r>
        <w:r>
          <w:rPr>
            <w:rFonts w:cs="Arial"/>
            <w:sz w:val="18"/>
            <w:szCs w:val="18"/>
          </w:rPr>
          <w:t>093</w:t>
        </w:r>
        <w:r w:rsidRPr="00FD6413">
          <w:rPr>
            <w:rFonts w:cs="Arial"/>
            <w:sz w:val="18"/>
            <w:szCs w:val="18"/>
          </w:rPr>
          <w:t xml:space="preserve"> Supporting documentation</w:t>
        </w:r>
      </w:p>
      <w:p w14:paraId="26D8E39A" w14:textId="2AE7F44F" w:rsidR="00B10162" w:rsidRPr="00B10162" w:rsidRDefault="00B10162" w:rsidP="00B10162">
        <w:pPr>
          <w:pStyle w:val="Footer"/>
          <w:tabs>
            <w:tab w:val="left" w:pos="426"/>
          </w:tabs>
          <w:rPr>
            <w:rFonts w:cs="Arial"/>
            <w:noProof/>
            <w:sz w:val="18"/>
            <w:szCs w:val="18"/>
          </w:rPr>
        </w:pPr>
        <w:r w:rsidRPr="00FD6413">
          <w:rPr>
            <w:rFonts w:cs="Arial"/>
            <w:sz w:val="18"/>
            <w:szCs w:val="18"/>
          </w:rPr>
          <w:t>Copyright © 2019 NHS Digital</w:t>
        </w:r>
        <w:r w:rsidRPr="00FD6413">
          <w:rPr>
            <w:rFonts w:cs="Arial"/>
            <w:sz w:val="18"/>
            <w:szCs w:val="18"/>
          </w:rPr>
          <w:tab/>
        </w:r>
        <w:r w:rsidRPr="00FD6413">
          <w:rPr>
            <w:rFonts w:cs="Arial"/>
            <w:sz w:val="18"/>
            <w:szCs w:val="18"/>
          </w:rPr>
          <w:fldChar w:fldCharType="begin"/>
        </w:r>
        <w:r w:rsidRPr="00FD6413">
          <w:rPr>
            <w:rFonts w:cs="Arial"/>
            <w:sz w:val="18"/>
            <w:szCs w:val="18"/>
          </w:rPr>
          <w:instrText xml:space="preserve"> PAGE   \* MERGEFORMAT </w:instrText>
        </w:r>
        <w:r w:rsidRPr="00FD6413">
          <w:rPr>
            <w:rFonts w:cs="Arial"/>
            <w:sz w:val="18"/>
            <w:szCs w:val="18"/>
          </w:rPr>
          <w:fldChar w:fldCharType="separate"/>
        </w:r>
        <w:r>
          <w:rPr>
            <w:rFonts w:cs="Arial"/>
            <w:sz w:val="18"/>
            <w:szCs w:val="18"/>
          </w:rPr>
          <w:t>41</w:t>
        </w:r>
        <w:r w:rsidRPr="00FD6413">
          <w:rPr>
            <w:rFonts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9FD0E" w14:textId="77777777" w:rsidR="00B10162" w:rsidRDefault="00B10162">
    <w:pPr>
      <w:pStyle w:val="Footer"/>
      <w:jc w:val="right"/>
    </w:pPr>
  </w:p>
  <w:p w14:paraId="354DE1FF" w14:textId="77777777" w:rsidR="00B10162" w:rsidRDefault="00B10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5B13" w14:textId="77777777" w:rsidR="00B10162" w:rsidRDefault="00B10162">
    <w:pPr>
      <w:pStyle w:val="Footer"/>
      <w:jc w:val="right"/>
    </w:pPr>
  </w:p>
  <w:p w14:paraId="7463C6D5" w14:textId="77777777" w:rsidR="00B10162" w:rsidRDefault="00B1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2CF00" w14:textId="77777777" w:rsidR="00B10162" w:rsidRDefault="00B10162" w:rsidP="000C24AF">
      <w:pPr>
        <w:spacing w:after="0"/>
      </w:pPr>
      <w:r>
        <w:separator/>
      </w:r>
    </w:p>
  </w:footnote>
  <w:footnote w:type="continuationSeparator" w:id="0">
    <w:p w14:paraId="3DACEB86" w14:textId="77777777" w:rsidR="00B10162" w:rsidRDefault="00B10162"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42C4" w14:textId="2C1F5A14" w:rsidR="00B10162" w:rsidRPr="00B10162" w:rsidRDefault="00B10162" w:rsidP="00B10162">
    <w:pPr>
      <w:pStyle w:val="Header"/>
      <w:jc w:val="center"/>
    </w:pPr>
    <w:r w:rsidRPr="00B10162">
      <w:rPr>
        <w:rFonts w:cs="Arial"/>
        <w:bCs/>
      </w:rPr>
      <w:t>NICE inherited this indicator and all its supporting documentation from NHS Digital on 1 April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D6BE" w14:textId="77777777" w:rsidR="00B10162" w:rsidRPr="00805C20" w:rsidRDefault="00B10162" w:rsidP="00805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B419" w14:textId="77777777" w:rsidR="00B10162" w:rsidRPr="00CC2CE1" w:rsidRDefault="00B10162" w:rsidP="00C70B3C">
    <w:pPr>
      <w:pStyle w:val="NormalWeb"/>
      <w:spacing w:before="0" w:beforeAutospacing="0" w:after="0" w:afterAutospacing="0"/>
      <w:rPr>
        <w:rFonts w:ascii="Arial" w:eastAsia="+mn-ea" w:hAnsi="Arial" w:cs="Arial"/>
        <w:b/>
        <w:color w:val="1F497D"/>
        <w:position w:val="1"/>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11C4" w14:textId="77777777" w:rsidR="00B10162" w:rsidRPr="00805C20" w:rsidRDefault="00B10162" w:rsidP="00805C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F5D6" w14:textId="77777777" w:rsidR="00B10162" w:rsidRPr="001D243C" w:rsidRDefault="00B10162" w:rsidP="001D2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EE0"/>
    <w:multiLevelType w:val="hybridMultilevel"/>
    <w:tmpl w:val="061A62DE"/>
    <w:lvl w:ilvl="0" w:tplc="5C664EE6">
      <w:start w:val="1"/>
      <w:numFmt w:val="bullet"/>
      <w:lvlText w:val=""/>
      <w:lvlJc w:val="left"/>
      <w:pPr>
        <w:ind w:left="720" w:hanging="360"/>
      </w:pPr>
      <w:rPr>
        <w:rFonts w:ascii="Symbol" w:hAnsi="Symbol" w:hint="default"/>
        <w:color w:val="0033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A506B"/>
    <w:multiLevelType w:val="hybridMultilevel"/>
    <w:tmpl w:val="B05E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780E77"/>
    <w:multiLevelType w:val="hybridMultilevel"/>
    <w:tmpl w:val="21CA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E643B"/>
    <w:multiLevelType w:val="hybridMultilevel"/>
    <w:tmpl w:val="F180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31C32"/>
    <w:multiLevelType w:val="hybridMultilevel"/>
    <w:tmpl w:val="E172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300C7"/>
    <w:multiLevelType w:val="hybridMultilevel"/>
    <w:tmpl w:val="F626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7393B"/>
    <w:multiLevelType w:val="hybridMultilevel"/>
    <w:tmpl w:val="B78862B0"/>
    <w:lvl w:ilvl="0" w:tplc="FAD2F24E">
      <w:start w:val="9"/>
      <w:numFmt w:val="decimal"/>
      <w:lvlText w:val="%1."/>
      <w:lvlJc w:val="left"/>
      <w:pPr>
        <w:ind w:left="752"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971278"/>
    <w:multiLevelType w:val="hybridMultilevel"/>
    <w:tmpl w:val="6324B0B8"/>
    <w:lvl w:ilvl="0" w:tplc="70B679BA">
      <w:start w:val="5"/>
      <w:numFmt w:val="decimal"/>
      <w:lvlText w:val="%1."/>
      <w:lvlJc w:val="left"/>
      <w:pPr>
        <w:ind w:left="752" w:hanging="360"/>
      </w:pPr>
      <w:rPr>
        <w:rFonts w:hint="default"/>
      </w:r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10"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8D10F8"/>
    <w:multiLevelType w:val="hybridMultilevel"/>
    <w:tmpl w:val="60FE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C63D7"/>
    <w:multiLevelType w:val="hybridMultilevel"/>
    <w:tmpl w:val="3B22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B7CDD"/>
    <w:multiLevelType w:val="hybridMultilevel"/>
    <w:tmpl w:val="161C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400451"/>
    <w:multiLevelType w:val="hybridMultilevel"/>
    <w:tmpl w:val="F050F120"/>
    <w:lvl w:ilvl="0" w:tplc="2FF2BF6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DE6669"/>
    <w:multiLevelType w:val="hybridMultilevel"/>
    <w:tmpl w:val="B5F04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0"/>
  </w:num>
  <w:num w:numId="4">
    <w:abstractNumId w:val="16"/>
  </w:num>
  <w:num w:numId="5">
    <w:abstractNumId w:val="12"/>
  </w:num>
  <w:num w:numId="6">
    <w:abstractNumId w:val="15"/>
  </w:num>
  <w:num w:numId="7">
    <w:abstractNumId w:val="8"/>
  </w:num>
  <w:num w:numId="8">
    <w:abstractNumId w:val="11"/>
  </w:num>
  <w:num w:numId="9">
    <w:abstractNumId w:val="9"/>
  </w:num>
  <w:num w:numId="10">
    <w:abstractNumId w:val="1"/>
  </w:num>
  <w:num w:numId="11">
    <w:abstractNumId w:val="0"/>
  </w:num>
  <w:num w:numId="12">
    <w:abstractNumId w:val="17"/>
  </w:num>
  <w:num w:numId="13">
    <w:abstractNumId w:val="7"/>
  </w:num>
  <w:num w:numId="14">
    <w:abstractNumId w:val="14"/>
  </w:num>
  <w:num w:numId="15">
    <w:abstractNumId w:val="5"/>
  </w:num>
  <w:num w:numId="16">
    <w:abstractNumId w:val="6"/>
  </w:num>
  <w:num w:numId="17">
    <w:abstractNumId w:val="3"/>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ocumentProtection w:edit="readOnly" w:enforcement="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00ED9"/>
    <w:rsid w:val="00007CE5"/>
    <w:rsid w:val="000124F8"/>
    <w:rsid w:val="000154EF"/>
    <w:rsid w:val="00023816"/>
    <w:rsid w:val="00025D12"/>
    <w:rsid w:val="00026859"/>
    <w:rsid w:val="000277F8"/>
    <w:rsid w:val="000460B6"/>
    <w:rsid w:val="00066F5D"/>
    <w:rsid w:val="00070094"/>
    <w:rsid w:val="00082EE9"/>
    <w:rsid w:val="0008372D"/>
    <w:rsid w:val="0009438E"/>
    <w:rsid w:val="00095621"/>
    <w:rsid w:val="000A0D38"/>
    <w:rsid w:val="000A3378"/>
    <w:rsid w:val="000A3625"/>
    <w:rsid w:val="000B0C32"/>
    <w:rsid w:val="000C24AF"/>
    <w:rsid w:val="000C5C17"/>
    <w:rsid w:val="000E0BFB"/>
    <w:rsid w:val="0010192E"/>
    <w:rsid w:val="00110985"/>
    <w:rsid w:val="001125D7"/>
    <w:rsid w:val="00144F81"/>
    <w:rsid w:val="001453B1"/>
    <w:rsid w:val="0015258C"/>
    <w:rsid w:val="00153B13"/>
    <w:rsid w:val="00157A44"/>
    <w:rsid w:val="00165352"/>
    <w:rsid w:val="001757E3"/>
    <w:rsid w:val="00182C0E"/>
    <w:rsid w:val="00183189"/>
    <w:rsid w:val="00186164"/>
    <w:rsid w:val="00194319"/>
    <w:rsid w:val="001A00FA"/>
    <w:rsid w:val="001A02F1"/>
    <w:rsid w:val="001A1672"/>
    <w:rsid w:val="001A5F3E"/>
    <w:rsid w:val="001B6F4B"/>
    <w:rsid w:val="001C3565"/>
    <w:rsid w:val="001D243C"/>
    <w:rsid w:val="001D76A4"/>
    <w:rsid w:val="001E7E05"/>
    <w:rsid w:val="00200008"/>
    <w:rsid w:val="00200F72"/>
    <w:rsid w:val="0021066A"/>
    <w:rsid w:val="00215659"/>
    <w:rsid w:val="002173C2"/>
    <w:rsid w:val="00230D79"/>
    <w:rsid w:val="00234C25"/>
    <w:rsid w:val="00246744"/>
    <w:rsid w:val="00251AC3"/>
    <w:rsid w:val="00251EC7"/>
    <w:rsid w:val="0025302C"/>
    <w:rsid w:val="00253BAD"/>
    <w:rsid w:val="0025484B"/>
    <w:rsid w:val="00260938"/>
    <w:rsid w:val="00274F7A"/>
    <w:rsid w:val="00290DBB"/>
    <w:rsid w:val="00294208"/>
    <w:rsid w:val="002949E5"/>
    <w:rsid w:val="002A7E9E"/>
    <w:rsid w:val="002B5210"/>
    <w:rsid w:val="002C1D57"/>
    <w:rsid w:val="002C446A"/>
    <w:rsid w:val="002D474F"/>
    <w:rsid w:val="002E50A5"/>
    <w:rsid w:val="003075FB"/>
    <w:rsid w:val="0031313C"/>
    <w:rsid w:val="00313143"/>
    <w:rsid w:val="00316434"/>
    <w:rsid w:val="003168DF"/>
    <w:rsid w:val="00330450"/>
    <w:rsid w:val="0033715E"/>
    <w:rsid w:val="00345310"/>
    <w:rsid w:val="00352100"/>
    <w:rsid w:val="00372D79"/>
    <w:rsid w:val="0038365C"/>
    <w:rsid w:val="003C4894"/>
    <w:rsid w:val="003C5089"/>
    <w:rsid w:val="003D3A42"/>
    <w:rsid w:val="003F5C1B"/>
    <w:rsid w:val="004000F3"/>
    <w:rsid w:val="004060F4"/>
    <w:rsid w:val="00407ABF"/>
    <w:rsid w:val="00420E7F"/>
    <w:rsid w:val="00423017"/>
    <w:rsid w:val="00442483"/>
    <w:rsid w:val="0044722A"/>
    <w:rsid w:val="00450000"/>
    <w:rsid w:val="00455E89"/>
    <w:rsid w:val="00460803"/>
    <w:rsid w:val="0046381E"/>
    <w:rsid w:val="00482C9A"/>
    <w:rsid w:val="0048492E"/>
    <w:rsid w:val="004D4EFA"/>
    <w:rsid w:val="004E445F"/>
    <w:rsid w:val="00502EB4"/>
    <w:rsid w:val="00504AE4"/>
    <w:rsid w:val="00521B18"/>
    <w:rsid w:val="005243F9"/>
    <w:rsid w:val="005279FE"/>
    <w:rsid w:val="00531A3F"/>
    <w:rsid w:val="0054545A"/>
    <w:rsid w:val="005461D3"/>
    <w:rsid w:val="0054639B"/>
    <w:rsid w:val="00553897"/>
    <w:rsid w:val="00553F15"/>
    <w:rsid w:val="005576E9"/>
    <w:rsid w:val="005828DF"/>
    <w:rsid w:val="00586901"/>
    <w:rsid w:val="00595A6F"/>
    <w:rsid w:val="005C3A1F"/>
    <w:rsid w:val="005C75E9"/>
    <w:rsid w:val="005E1286"/>
    <w:rsid w:val="005E2424"/>
    <w:rsid w:val="005F10CE"/>
    <w:rsid w:val="0060206B"/>
    <w:rsid w:val="00616632"/>
    <w:rsid w:val="0062039B"/>
    <w:rsid w:val="00623617"/>
    <w:rsid w:val="00624BE0"/>
    <w:rsid w:val="0062740C"/>
    <w:rsid w:val="00633D20"/>
    <w:rsid w:val="0067549C"/>
    <w:rsid w:val="00684277"/>
    <w:rsid w:val="00684910"/>
    <w:rsid w:val="0068756F"/>
    <w:rsid w:val="006B3E0F"/>
    <w:rsid w:val="006B771B"/>
    <w:rsid w:val="006C7961"/>
    <w:rsid w:val="006D0584"/>
    <w:rsid w:val="006D60D0"/>
    <w:rsid w:val="006E2789"/>
    <w:rsid w:val="006E5B2A"/>
    <w:rsid w:val="006E6A48"/>
    <w:rsid w:val="006F7358"/>
    <w:rsid w:val="00702B4D"/>
    <w:rsid w:val="00703E33"/>
    <w:rsid w:val="00704DD8"/>
    <w:rsid w:val="00706C3A"/>
    <w:rsid w:val="0071497F"/>
    <w:rsid w:val="007153E9"/>
    <w:rsid w:val="00720C89"/>
    <w:rsid w:val="0075120F"/>
    <w:rsid w:val="00752B18"/>
    <w:rsid w:val="00755805"/>
    <w:rsid w:val="00763FA3"/>
    <w:rsid w:val="00772A5C"/>
    <w:rsid w:val="00773B31"/>
    <w:rsid w:val="00777E55"/>
    <w:rsid w:val="00780825"/>
    <w:rsid w:val="00780BF9"/>
    <w:rsid w:val="00785BE7"/>
    <w:rsid w:val="00792716"/>
    <w:rsid w:val="007958B0"/>
    <w:rsid w:val="007A0965"/>
    <w:rsid w:val="007A3DF1"/>
    <w:rsid w:val="007B2A41"/>
    <w:rsid w:val="007B5B75"/>
    <w:rsid w:val="007D6E37"/>
    <w:rsid w:val="007E38A3"/>
    <w:rsid w:val="007E4138"/>
    <w:rsid w:val="008022CE"/>
    <w:rsid w:val="00802AF5"/>
    <w:rsid w:val="008034B4"/>
    <w:rsid w:val="008052F5"/>
    <w:rsid w:val="00805C20"/>
    <w:rsid w:val="0082147A"/>
    <w:rsid w:val="0082246C"/>
    <w:rsid w:val="00831F14"/>
    <w:rsid w:val="00854AB6"/>
    <w:rsid w:val="00856C94"/>
    <w:rsid w:val="00865AC6"/>
    <w:rsid w:val="008733F3"/>
    <w:rsid w:val="008A200A"/>
    <w:rsid w:val="008A440F"/>
    <w:rsid w:val="008B1655"/>
    <w:rsid w:val="008D5953"/>
    <w:rsid w:val="008E7A26"/>
    <w:rsid w:val="00927A51"/>
    <w:rsid w:val="00933248"/>
    <w:rsid w:val="00964A3E"/>
    <w:rsid w:val="00964D00"/>
    <w:rsid w:val="0096696C"/>
    <w:rsid w:val="009A3F4B"/>
    <w:rsid w:val="009A4473"/>
    <w:rsid w:val="009A6CAF"/>
    <w:rsid w:val="009B26E9"/>
    <w:rsid w:val="009B4AB9"/>
    <w:rsid w:val="009C5E29"/>
    <w:rsid w:val="009D1E7E"/>
    <w:rsid w:val="009D6EC1"/>
    <w:rsid w:val="009E7616"/>
    <w:rsid w:val="00A03CC5"/>
    <w:rsid w:val="00A1092C"/>
    <w:rsid w:val="00A1454C"/>
    <w:rsid w:val="00A1591E"/>
    <w:rsid w:val="00A20ED3"/>
    <w:rsid w:val="00A243EE"/>
    <w:rsid w:val="00A268E2"/>
    <w:rsid w:val="00A3544E"/>
    <w:rsid w:val="00A35D85"/>
    <w:rsid w:val="00A37A8A"/>
    <w:rsid w:val="00A44984"/>
    <w:rsid w:val="00A462C3"/>
    <w:rsid w:val="00A56714"/>
    <w:rsid w:val="00A6349C"/>
    <w:rsid w:val="00A64D8A"/>
    <w:rsid w:val="00A6670F"/>
    <w:rsid w:val="00A73E11"/>
    <w:rsid w:val="00A91C75"/>
    <w:rsid w:val="00AA3414"/>
    <w:rsid w:val="00AC31E2"/>
    <w:rsid w:val="00AC74F4"/>
    <w:rsid w:val="00AD2BEF"/>
    <w:rsid w:val="00AD6629"/>
    <w:rsid w:val="00AE0598"/>
    <w:rsid w:val="00AF6155"/>
    <w:rsid w:val="00B10162"/>
    <w:rsid w:val="00B14D53"/>
    <w:rsid w:val="00B150D4"/>
    <w:rsid w:val="00B30BC9"/>
    <w:rsid w:val="00B34C50"/>
    <w:rsid w:val="00B42181"/>
    <w:rsid w:val="00B55775"/>
    <w:rsid w:val="00B77C41"/>
    <w:rsid w:val="00B86E36"/>
    <w:rsid w:val="00BA09EB"/>
    <w:rsid w:val="00BA3769"/>
    <w:rsid w:val="00BB373F"/>
    <w:rsid w:val="00BD2300"/>
    <w:rsid w:val="00C03718"/>
    <w:rsid w:val="00C22AB3"/>
    <w:rsid w:val="00C4007E"/>
    <w:rsid w:val="00C50451"/>
    <w:rsid w:val="00C572D7"/>
    <w:rsid w:val="00C635B1"/>
    <w:rsid w:val="00C70B3C"/>
    <w:rsid w:val="00C910A3"/>
    <w:rsid w:val="00CA1CDF"/>
    <w:rsid w:val="00CA463A"/>
    <w:rsid w:val="00CA54AE"/>
    <w:rsid w:val="00CB5AC4"/>
    <w:rsid w:val="00CC7B81"/>
    <w:rsid w:val="00CE03C1"/>
    <w:rsid w:val="00CE3A3C"/>
    <w:rsid w:val="00D10FE1"/>
    <w:rsid w:val="00D21D0B"/>
    <w:rsid w:val="00D45F13"/>
    <w:rsid w:val="00D50C5C"/>
    <w:rsid w:val="00D663E0"/>
    <w:rsid w:val="00D71840"/>
    <w:rsid w:val="00D831C6"/>
    <w:rsid w:val="00D90C5F"/>
    <w:rsid w:val="00D93D0D"/>
    <w:rsid w:val="00DA5DAA"/>
    <w:rsid w:val="00DB3644"/>
    <w:rsid w:val="00DB7133"/>
    <w:rsid w:val="00DC7D44"/>
    <w:rsid w:val="00DD0FB8"/>
    <w:rsid w:val="00DD1FE2"/>
    <w:rsid w:val="00DD7C30"/>
    <w:rsid w:val="00DE41DC"/>
    <w:rsid w:val="00E00BB7"/>
    <w:rsid w:val="00E051B0"/>
    <w:rsid w:val="00E15EF0"/>
    <w:rsid w:val="00E261A7"/>
    <w:rsid w:val="00E45C31"/>
    <w:rsid w:val="00E50506"/>
    <w:rsid w:val="00E5704B"/>
    <w:rsid w:val="00E60528"/>
    <w:rsid w:val="00E60E30"/>
    <w:rsid w:val="00E713D8"/>
    <w:rsid w:val="00E74C28"/>
    <w:rsid w:val="00E842C2"/>
    <w:rsid w:val="00EB00E0"/>
    <w:rsid w:val="00EB1195"/>
    <w:rsid w:val="00EB4524"/>
    <w:rsid w:val="00ED3649"/>
    <w:rsid w:val="00ED6505"/>
    <w:rsid w:val="00ED7DEC"/>
    <w:rsid w:val="00EE79D0"/>
    <w:rsid w:val="00EF517B"/>
    <w:rsid w:val="00F02A7E"/>
    <w:rsid w:val="00F03752"/>
    <w:rsid w:val="00F0646C"/>
    <w:rsid w:val="00F20B26"/>
    <w:rsid w:val="00F30AE7"/>
    <w:rsid w:val="00F34EE2"/>
    <w:rsid w:val="00F4175E"/>
    <w:rsid w:val="00F41D5B"/>
    <w:rsid w:val="00F518C5"/>
    <w:rsid w:val="00F52E84"/>
    <w:rsid w:val="00F61D14"/>
    <w:rsid w:val="00F92F5E"/>
    <w:rsid w:val="00FC610E"/>
    <w:rsid w:val="00FD3DA2"/>
    <w:rsid w:val="00FD75F1"/>
    <w:rsid w:val="00FF2B5C"/>
    <w:rsid w:val="00FF2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379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lang w:eastAsia="en-US"/>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spacing w:val="-14"/>
      <w:kern w:val="28"/>
      <w:sz w:val="42"/>
      <w:szCs w:val="32"/>
      <w:lang w:eastAsia="en-US"/>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spacing w:val="-8"/>
      <w:kern w:val="28"/>
      <w:sz w:val="35"/>
      <w:szCs w:val="28"/>
      <w:lang w:eastAsia="en-US"/>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D5953"/>
    <w:rPr>
      <w:rFonts w:ascii="Arial" w:eastAsia="MS Mincho" w:hAnsi="Arial"/>
      <w:b/>
      <w:color w:val="003360"/>
      <w:spacing w:val="-8"/>
      <w:kern w:val="28"/>
      <w:sz w:val="35"/>
      <w:szCs w:val="28"/>
    </w:rPr>
  </w:style>
  <w:style w:type="character" w:customStyle="1" w:styleId="Heading1Char">
    <w:name w:val="Heading 1 Char"/>
    <w:link w:val="Heading1"/>
    <w:rsid w:val="000C24AF"/>
    <w:rPr>
      <w:rFonts w:ascii="Arial" w:hAnsi="Arial" w:cs="Arial"/>
      <w:b/>
      <w:bCs/>
      <w:color w:val="003360"/>
      <w:spacing w:val="-14"/>
      <w:kern w:val="28"/>
      <w:sz w:val="42"/>
      <w:szCs w:val="32"/>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link w:val="Heading3"/>
    <w:rsid w:val="000C24AF"/>
    <w:rPr>
      <w:rFonts w:ascii="Arial" w:eastAsia="MS Mincho" w:hAnsi="Arial" w:cs="Arial"/>
      <w:b/>
      <w:bCs/>
      <w:color w:val="003360"/>
      <w:spacing w:val="-8"/>
      <w:kern w:val="28"/>
      <w:sz w:val="28"/>
      <w:szCs w:val="26"/>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link w:val="Footnote-hanging"/>
    <w:rsid w:val="008D5953"/>
    <w:rPr>
      <w:rFonts w:ascii="Arial" w:hAnsi="Arial" w:cs="FrutigerLTStd-Light"/>
      <w:sz w:val="18"/>
      <w:szCs w:val="18"/>
    </w:rPr>
  </w:style>
  <w:style w:type="character" w:customStyle="1" w:styleId="Heading4Char">
    <w:name w:val="Heading 4 Char"/>
    <w:link w:val="Heading4"/>
    <w:rsid w:val="000C24AF"/>
    <w:rPr>
      <w:rFonts w:ascii="Arial" w:hAnsi="Arial"/>
      <w:b/>
      <w:color w:val="003360"/>
      <w:sz w:val="24"/>
    </w:rPr>
  </w:style>
  <w:style w:type="character" w:styleId="Hyperlink">
    <w:name w:val="Hyperlink"/>
    <w:uiPriority w:val="99"/>
    <w:unhideWhenUsed/>
    <w:qFormat/>
    <w:rsid w:val="000C24AF"/>
    <w:rPr>
      <w:rFonts w:ascii="Arial" w:hAnsi="Arial"/>
      <w:color w:val="0051A3"/>
      <w:u w:val="none"/>
    </w:rPr>
  </w:style>
  <w:style w:type="paragraph" w:customStyle="1" w:styleId="Standfirst">
    <w:name w:val="Standfirst"/>
    <w:basedOn w:val="Heading4"/>
    <w:link w:val="StandfirstChar"/>
    <w:autoRedefine/>
    <w:qFormat/>
    <w:rsid w:val="000C24AF"/>
    <w:pPr>
      <w:spacing w:before="0" w:after="140" w:line="420" w:lineRule="atLeast"/>
    </w:pPr>
    <w:rPr>
      <w:color w:val="505050"/>
      <w:spacing w:val="4"/>
      <w:kern w:val="28"/>
      <w:sz w:val="28"/>
      <w:szCs w:val="28"/>
    </w:rPr>
  </w:style>
  <w:style w:type="character" w:customStyle="1" w:styleId="StandfirstChar">
    <w:name w:val="Standfirst Char"/>
    <w:link w:val="Standfirst"/>
    <w:rsid w:val="000C24AF"/>
    <w:rPr>
      <w:rFonts w:ascii="Arial" w:hAnsi="Arial"/>
      <w:b/>
      <w:color w:val="505050"/>
      <w:spacing w:val="4"/>
      <w:kern w:val="28"/>
      <w:sz w:val="28"/>
      <w:szCs w:val="28"/>
    </w:rPr>
  </w:style>
  <w:style w:type="paragraph" w:styleId="TOC1">
    <w:name w:val="toc 1"/>
    <w:basedOn w:val="Normal"/>
    <w:next w:val="Normal"/>
    <w:autoRedefine/>
    <w:uiPriority w:val="39"/>
    <w:unhideWhenUsed/>
    <w:qFormat/>
    <w:rsid w:val="008D5953"/>
    <w:pPr>
      <w:pBdr>
        <w:top w:val="single" w:sz="4" w:space="4" w:color="B9B9B9"/>
        <w:bottom w:val="single" w:sz="4" w:space="4" w:color="B9B9B9"/>
      </w:pBdr>
      <w:tabs>
        <w:tab w:val="right" w:pos="9854"/>
      </w:tabs>
    </w:pPr>
    <w:rPr>
      <w:b/>
      <w:noProof/>
      <w:color w:val="003360"/>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cs="Times New Roman"/>
      <w:kern w:val="0"/>
      <w:sz w:val="28"/>
      <w:szCs w:val="28"/>
      <w:lang w:val="en-US" w:eastAsia="ja-JP"/>
    </w:rPr>
  </w:style>
  <w:style w:type="paragraph" w:customStyle="1" w:styleId="FrontpageTitle">
    <w:name w:val="Frontpage_Title"/>
    <w:basedOn w:val="Normal"/>
    <w:link w:val="FrontpageTitleChar"/>
    <w:autoRedefine/>
    <w:qFormat/>
    <w:rsid w:val="00B10162"/>
    <w:rPr>
      <w:b/>
      <w:bCs/>
      <w:sz w:val="28"/>
      <w:szCs w:val="28"/>
    </w:rPr>
  </w:style>
  <w:style w:type="character" w:customStyle="1" w:styleId="FrontpageTitleChar">
    <w:name w:val="Frontpage_Title Char"/>
    <w:link w:val="FrontpageTitle"/>
    <w:rsid w:val="00B10162"/>
    <w:rPr>
      <w:rFonts w:ascii="Arial" w:hAnsi="Arial"/>
      <w:b/>
      <w:bCs/>
      <w:sz w:val="28"/>
      <w:szCs w:val="28"/>
      <w:lang w:eastAsia="en-US"/>
    </w:rPr>
  </w:style>
  <w:style w:type="paragraph" w:customStyle="1" w:styleId="Frontpagesubhead">
    <w:name w:val="Frontpage_subhead"/>
    <w:basedOn w:val="Normal"/>
    <w:link w:val="FrontpagesubheadChar"/>
    <w:autoRedefine/>
    <w:qFormat/>
    <w:rsid w:val="00E5704B"/>
    <w:rPr>
      <w:b/>
      <w:color w:val="003360"/>
      <w:sz w:val="35"/>
      <w:szCs w:val="42"/>
    </w:rPr>
  </w:style>
  <w:style w:type="character" w:customStyle="1" w:styleId="FrontpagesubheadChar">
    <w:name w:val="Frontpage_subhead Char"/>
    <w:link w:val="Frontpagesubhead"/>
    <w:rsid w:val="00E5704B"/>
    <w:rPr>
      <w:rFonts w:ascii="Arial" w:hAnsi="Arial"/>
      <w:b/>
      <w:color w:val="003360"/>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link w:val="Footnoteseparator"/>
    <w:rsid w:val="000C24AF"/>
    <w:rPr>
      <w:rFonts w:ascii="Arial" w:eastAsia="MS Mincho" w:hAnsi="Arial" w:cs="Arial"/>
      <w:b/>
      <w:bCs/>
      <w:noProof/>
      <w:color w:val="003360"/>
      <w:spacing w:val="-8"/>
      <w:w w:val="200"/>
      <w:kern w:val="28"/>
      <w:sz w:val="16"/>
      <w:szCs w:val="16"/>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szCs w:val="22"/>
      <w:lang w:val="en-US" w:eastAsia="ja-JP"/>
    </w:rPr>
  </w:style>
  <w:style w:type="paragraph" w:styleId="Header">
    <w:name w:val="header"/>
    <w:basedOn w:val="Normal"/>
    <w:link w:val="HeaderChar"/>
    <w:uiPriority w:val="99"/>
    <w:unhideWhenUsed/>
    <w:qFormat/>
    <w:rsid w:val="00095621"/>
    <w:pPr>
      <w:pBdr>
        <w:bottom w:val="single" w:sz="6" w:space="4" w:color="505050"/>
      </w:pBdr>
      <w:tabs>
        <w:tab w:val="left" w:pos="9639"/>
      </w:tabs>
      <w:spacing w:after="0"/>
    </w:pPr>
    <w:rPr>
      <w:b/>
      <w:color w:val="505050"/>
      <w:sz w:val="20"/>
    </w:rPr>
  </w:style>
  <w:style w:type="character" w:customStyle="1" w:styleId="HeaderChar">
    <w:name w:val="Header Char"/>
    <w:link w:val="Header"/>
    <w:uiPriority w:val="99"/>
    <w:rsid w:val="00095621"/>
    <w:rPr>
      <w:rFonts w:ascii="Arial" w:hAnsi="Arial"/>
      <w:b/>
      <w:color w:val="505050"/>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sz w:val="17"/>
    </w:rPr>
  </w:style>
  <w:style w:type="character" w:customStyle="1" w:styleId="FooterChar">
    <w:name w:val="Footer Char"/>
    <w:link w:val="Footer"/>
    <w:uiPriority w:val="99"/>
    <w:rsid w:val="00095621"/>
    <w:rPr>
      <w:rFonts w:ascii="Arial" w:hAnsi="Arial"/>
      <w:color w:val="505050"/>
      <w:sz w:val="17"/>
      <w:szCs w:val="24"/>
    </w:rPr>
  </w:style>
  <w:style w:type="character" w:styleId="Strong">
    <w:name w:val="Strong"/>
    <w:aliases w:val="Bold"/>
    <w:qFormat/>
    <w:rsid w:val="000C24AF"/>
    <w:rPr>
      <w:rFonts w:ascii="Arial" w:hAnsi="Arial"/>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sz w:val="35"/>
    </w:rPr>
  </w:style>
  <w:style w:type="character" w:customStyle="1" w:styleId="QuoteChar">
    <w:name w:val="Quote Char"/>
    <w:link w:val="Quote"/>
    <w:uiPriority w:val="29"/>
    <w:rsid w:val="000C24AF"/>
    <w:rPr>
      <w:rFonts w:ascii="Goudy Old Style" w:hAnsi="Goudy Old Style"/>
      <w:i/>
      <w:iCs/>
      <w:color w:val="003360"/>
      <w:sz w:val="35"/>
      <w:szCs w:val="24"/>
    </w:rPr>
  </w:style>
  <w:style w:type="character" w:customStyle="1" w:styleId="ListParagraphChar">
    <w:name w:val="List Paragraph Char"/>
    <w:link w:val="ListParagraph"/>
    <w:uiPriority w:val="34"/>
    <w:rsid w:val="001D243C"/>
    <w:rPr>
      <w:rFonts w:ascii="Arial" w:hAnsi="Arial"/>
      <w:sz w:val="24"/>
      <w:szCs w:val="24"/>
    </w:rPr>
  </w:style>
  <w:style w:type="character" w:styleId="FootnoteReference">
    <w:name w:val="footnote reference"/>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link w:val="BalloonText"/>
    <w:uiPriority w:val="99"/>
    <w:semiHidden/>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5258C"/>
    <w:rPr>
      <w:color w:val="808080"/>
    </w:rPr>
  </w:style>
  <w:style w:type="character" w:styleId="CommentReference">
    <w:name w:val="annotation reference"/>
    <w:uiPriority w:val="99"/>
    <w:semiHidden/>
    <w:unhideWhenUsed/>
    <w:rsid w:val="00684910"/>
    <w:rPr>
      <w:sz w:val="16"/>
      <w:szCs w:val="16"/>
    </w:rPr>
  </w:style>
  <w:style w:type="paragraph" w:styleId="CommentText">
    <w:name w:val="annotation text"/>
    <w:basedOn w:val="Normal"/>
    <w:link w:val="CommentTextChar"/>
    <w:uiPriority w:val="99"/>
    <w:semiHidden/>
    <w:unhideWhenUsed/>
    <w:rsid w:val="00684910"/>
    <w:rPr>
      <w:sz w:val="20"/>
      <w:szCs w:val="20"/>
    </w:rPr>
  </w:style>
  <w:style w:type="character" w:customStyle="1" w:styleId="CommentTextChar">
    <w:name w:val="Comment Text Char"/>
    <w:link w:val="CommentText"/>
    <w:uiPriority w:val="99"/>
    <w:semiHidden/>
    <w:rsid w:val="00684910"/>
    <w:rPr>
      <w:rFonts w:ascii="Arial" w:hAnsi="Arial"/>
    </w:rPr>
  </w:style>
  <w:style w:type="paragraph" w:styleId="CommentSubject">
    <w:name w:val="annotation subject"/>
    <w:basedOn w:val="CommentText"/>
    <w:next w:val="CommentText"/>
    <w:link w:val="CommentSubjectChar"/>
    <w:uiPriority w:val="99"/>
    <w:semiHidden/>
    <w:unhideWhenUsed/>
    <w:rsid w:val="00684910"/>
    <w:rPr>
      <w:b/>
      <w:bCs/>
    </w:rPr>
  </w:style>
  <w:style w:type="character" w:customStyle="1" w:styleId="CommentSubjectChar">
    <w:name w:val="Comment Subject Char"/>
    <w:link w:val="CommentSubject"/>
    <w:uiPriority w:val="99"/>
    <w:semiHidden/>
    <w:rsid w:val="00684910"/>
    <w:rPr>
      <w:rFonts w:ascii="Arial" w:hAnsi="Arial"/>
      <w:b/>
      <w:bCs/>
    </w:rPr>
  </w:style>
  <w:style w:type="paragraph" w:customStyle="1" w:styleId="Default">
    <w:name w:val="Default"/>
    <w:rsid w:val="00251AC3"/>
    <w:pPr>
      <w:autoSpaceDE w:val="0"/>
      <w:autoSpaceDN w:val="0"/>
      <w:adjustRightInd w:val="0"/>
    </w:pPr>
    <w:rPr>
      <w:rFonts w:ascii="Arial" w:hAnsi="Arial" w:cs="Arial"/>
      <w:color w:val="000000"/>
      <w:sz w:val="24"/>
      <w:szCs w:val="24"/>
      <w:lang w:eastAsia="en-US"/>
    </w:rPr>
  </w:style>
  <w:style w:type="character" w:styleId="FollowedHyperlink">
    <w:name w:val="FollowedHyperlink"/>
    <w:uiPriority w:val="99"/>
    <w:semiHidden/>
    <w:unhideWhenUsed/>
    <w:rsid w:val="00F03752"/>
    <w:rPr>
      <w:color w:val="701870"/>
      <w:u w:val="single"/>
    </w:rPr>
  </w:style>
  <w:style w:type="paragraph" w:styleId="NormalWeb">
    <w:name w:val="Normal (Web)"/>
    <w:basedOn w:val="Normal"/>
    <w:uiPriority w:val="99"/>
    <w:unhideWhenUsed/>
    <w:rsid w:val="00805C20"/>
    <w:pPr>
      <w:spacing w:before="100" w:beforeAutospacing="1" w:after="100" w:afterAutospacing="1"/>
      <w:textboxTightWrap w:val="none"/>
    </w:pPr>
    <w:rPr>
      <w:rFonts w:ascii="Times New Roman" w:hAnsi="Times New Roman"/>
      <w:lang w:eastAsia="en-GB"/>
    </w:rPr>
  </w:style>
  <w:style w:type="paragraph" w:styleId="NoSpacing">
    <w:name w:val="No Spacing"/>
    <w:link w:val="NoSpacingChar"/>
    <w:uiPriority w:val="1"/>
    <w:qFormat/>
    <w:rsid w:val="00805C20"/>
    <w:rPr>
      <w:rFonts w:ascii="Calibri" w:hAnsi="Calibri"/>
      <w:sz w:val="22"/>
      <w:szCs w:val="22"/>
      <w:lang w:val="en-US" w:eastAsia="ja-JP"/>
    </w:rPr>
  </w:style>
  <w:style w:type="character" w:customStyle="1" w:styleId="NoSpacingChar">
    <w:name w:val="No Spacing Char"/>
    <w:link w:val="NoSpacing"/>
    <w:uiPriority w:val="1"/>
    <w:rsid w:val="00805C20"/>
    <w:rPr>
      <w:rFonts w:ascii="Calibri" w:hAnsi="Calibri"/>
      <w:sz w:val="22"/>
      <w:szCs w:val="22"/>
      <w:lang w:val="en-US" w:eastAsia="ja-JP"/>
    </w:rPr>
  </w:style>
  <w:style w:type="table" w:styleId="TableGridLight">
    <w:name w:val="Grid Table Light"/>
    <w:basedOn w:val="TableNormal"/>
    <w:uiPriority w:val="40"/>
    <w:rsid w:val="00082E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318375">
      <w:bodyDiv w:val="1"/>
      <w:marLeft w:val="0"/>
      <w:marRight w:val="0"/>
      <w:marTop w:val="0"/>
      <w:marBottom w:val="0"/>
      <w:divBdr>
        <w:top w:val="none" w:sz="0" w:space="0" w:color="auto"/>
        <w:left w:val="none" w:sz="0" w:space="0" w:color="auto"/>
        <w:bottom w:val="none" w:sz="0" w:space="0" w:color="auto"/>
        <w:right w:val="none" w:sz="0" w:space="0" w:color="auto"/>
      </w:divBdr>
    </w:div>
    <w:div w:id="1101029627">
      <w:bodyDiv w:val="1"/>
      <w:marLeft w:val="0"/>
      <w:marRight w:val="0"/>
      <w:marTop w:val="0"/>
      <w:marBottom w:val="0"/>
      <w:divBdr>
        <w:top w:val="none" w:sz="0" w:space="0" w:color="auto"/>
        <w:left w:val="none" w:sz="0" w:space="0" w:color="auto"/>
        <w:bottom w:val="none" w:sz="0" w:space="0" w:color="auto"/>
        <w:right w:val="none" w:sz="0" w:space="0" w:color="auto"/>
      </w:divBdr>
    </w:div>
    <w:div w:id="1243904910">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 w:id="204481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rokeaudit.org/Documents/Results/National/JanMar2015/JanMar2015-PublicReport.aspx" TargetMode="External"/><Relationship Id="rId18" Type="http://schemas.openxmlformats.org/officeDocument/2006/relationships/hyperlink" Target="http://www.strokeaudit.org/results/Clinical-audit/National-Results.aspx" TargetMode="External"/><Relationship Id="rId26" Type="http://schemas.openxmlformats.org/officeDocument/2006/relationships/footer" Target="footer3.xm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1.emf"/><Relationship Id="rId7" Type="http://schemas.openxmlformats.org/officeDocument/2006/relationships/header" Target="header1.xml"/><Relationship Id="rId12" Type="http://schemas.openxmlformats.org/officeDocument/2006/relationships/hyperlink" Target="http://www.ncbi.nlm.nih.gov/pubmed/12917889" TargetMode="External"/><Relationship Id="rId17" Type="http://schemas.openxmlformats.org/officeDocument/2006/relationships/hyperlink" Target="http://www.england.nhs.uk/resources/resources-for-ccgs/ccg-out-tool/ccg-ois/" TargetMode="External"/><Relationship Id="rId25" Type="http://schemas.openxmlformats.org/officeDocument/2006/relationships/header" Target="header3.xml"/><Relationship Id="rId38" Type="http://schemas.openxmlformats.org/officeDocument/2006/relationships/hyperlink" Target="http://www.hscic.gov.uk/article/1674/Indicator-Assurance-Service" TargetMode="External"/><Relationship Id="rId2" Type="http://schemas.openxmlformats.org/officeDocument/2006/relationships/styles" Target="styles.xml"/><Relationship Id="rId16" Type="http://schemas.openxmlformats.org/officeDocument/2006/relationships/hyperlink" Target="http://indicators.ic.nhs.uk/webview/index.jsp?v=2&amp;submode=ddi&amp;study=http%3A%2F%2F172.16.9.26%3A80%2Fobj%2FfStudy%2FP01852&amp;mode=documentation&amp;top=yes" TargetMode="External"/><Relationship Id="rId20" Type="http://schemas.openxmlformats.org/officeDocument/2006/relationships/hyperlink" Target="mailto:ccgois@hscic.gov.uk" TargetMode="Externa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214895/9387-2900853-CVD-Outcomes_web1.pdf" TargetMode="External"/><Relationship Id="rId24" Type="http://schemas.openxmlformats.org/officeDocument/2006/relationships/footer" Target="footer2.xml"/><Relationship Id="rId32" Type="http://schemas.openxmlformats.org/officeDocument/2006/relationships/hyperlink" Target="http://www.hscic.gov.uk/article/1674/Indicator-Assurance-Service" TargetMode="External"/><Relationship Id="rId37" Type="http://schemas.openxmlformats.org/officeDocument/2006/relationships/hyperlink" Target="mailto:indicator.assurance@hscic.gov.uk"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pho.org.uk/resource/view.aspx?RID=48617" TargetMode="External"/><Relationship Id="rId23" Type="http://schemas.openxmlformats.org/officeDocument/2006/relationships/header" Target="header2.xml"/><Relationship Id="rId28" Type="http://schemas.openxmlformats.org/officeDocument/2006/relationships/hyperlink" Target="https://www.strokeaudit.org/Documents/Results/National/OctDec2014/OctDec2014-PublicReport.aspx" TargetMode="External"/><Relationship Id="rId10" Type="http://schemas.openxmlformats.org/officeDocument/2006/relationships/hyperlink" Target="https://www.nice.org.uk/guidance/qs2/chapter/Introduction-and-overview" TargetMode="External"/><Relationship Id="rId19" Type="http://schemas.openxmlformats.org/officeDocument/2006/relationships/hyperlink" Target="mailto:enquiries@hscic.gov.uk" TargetMode="External"/><Relationship Id="rId31" Type="http://schemas.openxmlformats.org/officeDocument/2006/relationships/hyperlink" Target="mailto:indicator.assurance@hscic.gov.uk" TargetMode="External"/><Relationship Id="rId4" Type="http://schemas.openxmlformats.org/officeDocument/2006/relationships/webSettings" Target="webSettings.xml"/><Relationship Id="rId9" Type="http://schemas.openxmlformats.org/officeDocument/2006/relationships/hyperlink" Target="mailto:ccgois@hscic.gov.uk" TargetMode="External"/><Relationship Id="rId14" Type="http://schemas.openxmlformats.org/officeDocument/2006/relationships/hyperlink" Target="http://www.rcplondon.ac.uk/projects/sentinel-stroke-national-audit-programme" TargetMode="External"/><Relationship Id="rId22" Type="http://schemas.openxmlformats.org/officeDocument/2006/relationships/image" Target="media/image2.png"/><Relationship Id="rId27" Type="http://schemas.openxmlformats.org/officeDocument/2006/relationships/hyperlink" Target="https://www.strokeaudit.org/Documents/Newspress/SSNAP-Annual-Report-(April-2013-March-2014).pdf"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4CB67390</Template>
  <TotalTime>0</TotalTime>
  <Pages>33</Pages>
  <Words>7295</Words>
  <Characters>41588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48786</CharactersWithSpaces>
  <SharedDoc>false</SharedDoc>
  <HLinks>
    <vt:vector size="96" baseType="variant">
      <vt:variant>
        <vt:i4>2097188</vt:i4>
      </vt:variant>
      <vt:variant>
        <vt:i4>39</vt:i4>
      </vt:variant>
      <vt:variant>
        <vt:i4>0</vt:i4>
      </vt:variant>
      <vt:variant>
        <vt:i4>5</vt:i4>
      </vt:variant>
      <vt:variant>
        <vt:lpwstr>https://www.strokeaudit.org/Documents/Results/National/OctDec2014/OctDec2014-PublicReport.aspx</vt:lpwstr>
      </vt:variant>
      <vt:variant>
        <vt:lpwstr/>
      </vt:variant>
      <vt:variant>
        <vt:i4>6291513</vt:i4>
      </vt:variant>
      <vt:variant>
        <vt:i4>36</vt:i4>
      </vt:variant>
      <vt:variant>
        <vt:i4>0</vt:i4>
      </vt:variant>
      <vt:variant>
        <vt:i4>5</vt:i4>
      </vt:variant>
      <vt:variant>
        <vt:lpwstr>https://www.strokeaudit.org/Documents/Newspress/SSNAP-Annual-Report-(April-2013-March-2014).pdf</vt:lpwstr>
      </vt:variant>
      <vt:variant>
        <vt:lpwstr/>
      </vt:variant>
      <vt:variant>
        <vt:i4>5308473</vt:i4>
      </vt:variant>
      <vt:variant>
        <vt:i4>33</vt:i4>
      </vt:variant>
      <vt:variant>
        <vt:i4>0</vt:i4>
      </vt:variant>
      <vt:variant>
        <vt:i4>5</vt:i4>
      </vt:variant>
      <vt:variant>
        <vt:lpwstr>mailto:ccgois@hscic.gov.uk</vt:lpwstr>
      </vt:variant>
      <vt:variant>
        <vt:lpwstr/>
      </vt:variant>
      <vt:variant>
        <vt:i4>589939</vt:i4>
      </vt:variant>
      <vt:variant>
        <vt:i4>30</vt:i4>
      </vt:variant>
      <vt:variant>
        <vt:i4>0</vt:i4>
      </vt:variant>
      <vt:variant>
        <vt:i4>5</vt:i4>
      </vt:variant>
      <vt:variant>
        <vt:lpwstr>mailto:enquiries@hscic.gov.uk</vt:lpwstr>
      </vt:variant>
      <vt:variant>
        <vt:lpwstr/>
      </vt:variant>
      <vt:variant>
        <vt:i4>4128886</vt:i4>
      </vt:variant>
      <vt:variant>
        <vt:i4>27</vt:i4>
      </vt:variant>
      <vt:variant>
        <vt:i4>0</vt:i4>
      </vt:variant>
      <vt:variant>
        <vt:i4>5</vt:i4>
      </vt:variant>
      <vt:variant>
        <vt:lpwstr>http://www.strokeaudit.org/results/Clinical-audit/National-Results.aspx</vt:lpwstr>
      </vt:variant>
      <vt:variant>
        <vt:lpwstr/>
      </vt:variant>
      <vt:variant>
        <vt:i4>1572877</vt:i4>
      </vt:variant>
      <vt:variant>
        <vt:i4>24</vt:i4>
      </vt:variant>
      <vt:variant>
        <vt:i4>0</vt:i4>
      </vt:variant>
      <vt:variant>
        <vt:i4>5</vt:i4>
      </vt:variant>
      <vt:variant>
        <vt:lpwstr>http://www.england.nhs.uk/resources/resources-for-ccgs/ccg-out-tool/ccg-ois/</vt:lpwstr>
      </vt:variant>
      <vt:variant>
        <vt:lpwstr/>
      </vt:variant>
      <vt:variant>
        <vt:i4>1966102</vt:i4>
      </vt:variant>
      <vt:variant>
        <vt:i4>21</vt:i4>
      </vt:variant>
      <vt:variant>
        <vt:i4>0</vt:i4>
      </vt:variant>
      <vt:variant>
        <vt:i4>5</vt:i4>
      </vt:variant>
      <vt:variant>
        <vt:lpwstr>http://indicators.ic.nhs.uk/webview/index.jsp?v=2&amp;submode=ddi&amp;study=http%3A%2F%2F172.16.9.26%3A80%2Fobj%2FfStudy%2FP01852&amp;mode=documentation&amp;top=yes</vt:lpwstr>
      </vt:variant>
      <vt:variant>
        <vt:lpwstr/>
      </vt:variant>
      <vt:variant>
        <vt:i4>7208994</vt:i4>
      </vt:variant>
      <vt:variant>
        <vt:i4>18</vt:i4>
      </vt:variant>
      <vt:variant>
        <vt:i4>0</vt:i4>
      </vt:variant>
      <vt:variant>
        <vt:i4>5</vt:i4>
      </vt:variant>
      <vt:variant>
        <vt:lpwstr>http://www.apho.org.uk/resource/view.aspx?RID=48617</vt:lpwstr>
      </vt:variant>
      <vt:variant>
        <vt:lpwstr/>
      </vt:variant>
      <vt:variant>
        <vt:i4>196626</vt:i4>
      </vt:variant>
      <vt:variant>
        <vt:i4>15</vt:i4>
      </vt:variant>
      <vt:variant>
        <vt:i4>0</vt:i4>
      </vt:variant>
      <vt:variant>
        <vt:i4>5</vt:i4>
      </vt:variant>
      <vt:variant>
        <vt:lpwstr>http://www.rcplondon.ac.uk/projects/sentinel-stroke-national-audit-programme</vt:lpwstr>
      </vt:variant>
      <vt:variant>
        <vt:lpwstr/>
      </vt:variant>
      <vt:variant>
        <vt:i4>2097188</vt:i4>
      </vt:variant>
      <vt:variant>
        <vt:i4>12</vt:i4>
      </vt:variant>
      <vt:variant>
        <vt:i4>0</vt:i4>
      </vt:variant>
      <vt:variant>
        <vt:i4>5</vt:i4>
      </vt:variant>
      <vt:variant>
        <vt:lpwstr>https://www.strokeaudit.org/Documents/Results/National/JanMar2015/JanMar2015-PublicReport.aspx</vt:lpwstr>
      </vt:variant>
      <vt:variant>
        <vt:lpwstr/>
      </vt:variant>
      <vt:variant>
        <vt:i4>3604525</vt:i4>
      </vt:variant>
      <vt:variant>
        <vt:i4>9</vt:i4>
      </vt:variant>
      <vt:variant>
        <vt:i4>0</vt:i4>
      </vt:variant>
      <vt:variant>
        <vt:i4>5</vt:i4>
      </vt:variant>
      <vt:variant>
        <vt:lpwstr>http://www.ncbi.nlm.nih.gov/pubmed/12917889</vt:lpwstr>
      </vt:variant>
      <vt:variant>
        <vt:lpwstr/>
      </vt:variant>
      <vt:variant>
        <vt:i4>1048644</vt:i4>
      </vt:variant>
      <vt:variant>
        <vt:i4>6</vt:i4>
      </vt:variant>
      <vt:variant>
        <vt:i4>0</vt:i4>
      </vt:variant>
      <vt:variant>
        <vt:i4>5</vt:i4>
      </vt:variant>
      <vt:variant>
        <vt:lpwstr>https://www.gov.uk/government/uploads/system/uploads/attachment_data/file/214895/9387-2900853-CVD-Outcomes_web1.pdf</vt:lpwstr>
      </vt:variant>
      <vt:variant>
        <vt:lpwstr/>
      </vt:variant>
      <vt:variant>
        <vt:i4>2293881</vt:i4>
      </vt:variant>
      <vt:variant>
        <vt:i4>3</vt:i4>
      </vt:variant>
      <vt:variant>
        <vt:i4>0</vt:i4>
      </vt:variant>
      <vt:variant>
        <vt:i4>5</vt:i4>
      </vt:variant>
      <vt:variant>
        <vt:lpwstr>https://www.nice.org.uk/guidance/qs2/chapter/Introduction-and-overview</vt:lpwstr>
      </vt:variant>
      <vt:variant>
        <vt:lpwstr/>
      </vt:variant>
      <vt:variant>
        <vt:i4>5308473</vt:i4>
      </vt:variant>
      <vt:variant>
        <vt:i4>0</vt:i4>
      </vt:variant>
      <vt:variant>
        <vt:i4>0</vt:i4>
      </vt:variant>
      <vt:variant>
        <vt:i4>5</vt:i4>
      </vt:variant>
      <vt:variant>
        <vt:lpwstr>mailto:ccgois@hscic.gov.uk</vt:lpwstr>
      </vt:variant>
      <vt:variant>
        <vt:lpwstr/>
      </vt:variant>
      <vt:variant>
        <vt:i4>6029321</vt:i4>
      </vt:variant>
      <vt:variant>
        <vt:i4>3</vt:i4>
      </vt:variant>
      <vt:variant>
        <vt:i4>0</vt:i4>
      </vt:variant>
      <vt:variant>
        <vt:i4>5</vt:i4>
      </vt:variant>
      <vt:variant>
        <vt:lpwstr>http://www.hscic.gov.uk/article/1674/Indicator-Assurance-Service</vt:lpwstr>
      </vt:variant>
      <vt:variant>
        <vt:lpwstr/>
      </vt:variant>
      <vt:variant>
        <vt:i4>7143516</vt:i4>
      </vt:variant>
      <vt:variant>
        <vt:i4>0</vt:i4>
      </vt:variant>
      <vt:variant>
        <vt:i4>0</vt:i4>
      </vt:variant>
      <vt:variant>
        <vt:i4>5</vt:i4>
      </vt:variant>
      <vt:variant>
        <vt:lpwstr>mailto:indicator.assurance@hscic.gov.uk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2020-03-12T13:30:00Z</dcterms:created>
  <dcterms:modified xsi:type="dcterms:W3CDTF">2020-03-13T17:00:00Z</dcterms:modified>
</cp:coreProperties>
</file>