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7E2F3375" w14:textId="77777777" w:rsidR="00074ABD" w:rsidRPr="000A4D29" w:rsidRDefault="00074ABD" w:rsidP="00074ABD">
      <w:pPr>
        <w:pStyle w:val="Heading1"/>
        <w:rPr>
          <w:b w:val="0"/>
          <w:bCs w:val="0"/>
          <w:sz w:val="24"/>
          <w:szCs w:val="24"/>
          <w:lang w:eastAsia="en-GB"/>
        </w:rPr>
      </w:pPr>
      <w:r w:rsidRPr="000A4D29">
        <w:rPr>
          <w:b w:val="0"/>
          <w:bCs w:val="0"/>
          <w:sz w:val="24"/>
          <w:szCs w:val="24"/>
          <w:lang w:eastAsia="en-GB"/>
        </w:rPr>
        <w:t xml:space="preserve">Assurance date: </w:t>
      </w:r>
      <w:r>
        <w:rPr>
          <w:b w:val="0"/>
          <w:bCs w:val="0"/>
          <w:sz w:val="24"/>
          <w:szCs w:val="24"/>
          <w:lang w:eastAsia="en-GB"/>
        </w:rPr>
        <w:t>March 2022</w:t>
      </w:r>
    </w:p>
    <w:p w14:paraId="73D604EA" w14:textId="7DEAAA88" w:rsidR="00074ABD" w:rsidRPr="000A4D29" w:rsidRDefault="00074ABD" w:rsidP="00074ABD">
      <w:pPr>
        <w:pStyle w:val="Heading1"/>
        <w:rPr>
          <w:b w:val="0"/>
          <w:bCs w:val="0"/>
          <w:sz w:val="24"/>
          <w:szCs w:val="24"/>
          <w:lang w:eastAsia="en-GB"/>
        </w:rPr>
      </w:pPr>
      <w:r w:rsidRPr="000A4D29">
        <w:rPr>
          <w:b w:val="0"/>
          <w:bCs w:val="0"/>
          <w:sz w:val="24"/>
          <w:szCs w:val="24"/>
          <w:lang w:eastAsia="en-GB"/>
        </w:rPr>
        <w:t xml:space="preserve">Review date: </w:t>
      </w:r>
      <w:r>
        <w:rPr>
          <w:b w:val="0"/>
          <w:bCs w:val="0"/>
          <w:sz w:val="24"/>
          <w:szCs w:val="24"/>
          <w:lang w:eastAsia="en-GB"/>
        </w:rPr>
        <w:t>March 202</w:t>
      </w:r>
      <w:r w:rsidR="00FA6BE6">
        <w:rPr>
          <w:b w:val="0"/>
          <w:bCs w:val="0"/>
          <w:sz w:val="24"/>
          <w:szCs w:val="24"/>
          <w:lang w:eastAsia="en-GB"/>
        </w:rPr>
        <w:t>3</w:t>
      </w:r>
    </w:p>
    <w:p w14:paraId="047E7BC9" w14:textId="52AA41AF"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6953F9">
        <w:rPr>
          <w:lang w:eastAsia="en-GB"/>
        </w:rPr>
        <w:t>0</w:t>
      </w:r>
      <w:r w:rsidR="00CF110E">
        <w:rPr>
          <w:lang w:eastAsia="en-GB"/>
        </w:rPr>
        <w:t>93</w:t>
      </w:r>
    </w:p>
    <w:p w14:paraId="0CE4DC00" w14:textId="24D00DB3" w:rsidR="004A287A" w:rsidRDefault="004A287A" w:rsidP="009B0E59">
      <w:pPr>
        <w:pStyle w:val="Heading1"/>
        <w:rPr>
          <w:b w:val="0"/>
          <w:bCs w:val="0"/>
          <w:kern w:val="0"/>
          <w:sz w:val="24"/>
          <w:szCs w:val="24"/>
          <w:lang w:eastAsia="en-GB"/>
        </w:rPr>
      </w:pPr>
      <w:r w:rsidRPr="004A287A">
        <w:rPr>
          <w:b w:val="0"/>
          <w:bCs w:val="0"/>
          <w:kern w:val="0"/>
          <w:sz w:val="24"/>
          <w:szCs w:val="24"/>
          <w:lang w:eastAsia="en-GB"/>
        </w:rPr>
        <w:t xml:space="preserve">People who have had an acute stroke </w:t>
      </w:r>
      <w:r>
        <w:rPr>
          <w:b w:val="0"/>
          <w:bCs w:val="0"/>
          <w:kern w:val="0"/>
          <w:sz w:val="24"/>
          <w:szCs w:val="24"/>
          <w:lang w:eastAsia="en-GB"/>
        </w:rPr>
        <w:t>that</w:t>
      </w:r>
      <w:r w:rsidRPr="004A287A">
        <w:rPr>
          <w:b w:val="0"/>
          <w:bCs w:val="0"/>
          <w:kern w:val="0"/>
          <w:sz w:val="24"/>
          <w:szCs w:val="24"/>
          <w:lang w:eastAsia="en-GB"/>
        </w:rPr>
        <w:t xml:space="preserve"> receive thrombolysis</w:t>
      </w:r>
    </w:p>
    <w:p w14:paraId="7C25BFBC" w14:textId="44DDD298"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B79423E"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A166AB">
              <w:rPr>
                <w:rFonts w:ascii="Arial" w:hAnsi="Arial" w:cs="Arial"/>
                <w:sz w:val="22"/>
                <w:szCs w:val="22"/>
              </w:rPr>
              <w:t>CCG</w:t>
            </w:r>
            <w:r w:rsidR="00402BFB">
              <w:rPr>
                <w:rFonts w:ascii="Arial" w:hAnsi="Arial" w:cs="Arial"/>
                <w:sz w:val="22"/>
                <w:szCs w:val="22"/>
              </w:rPr>
              <w:t xml:space="preserve"> Outcomes </w:t>
            </w:r>
            <w:r w:rsidR="00A166AB">
              <w:rPr>
                <w:rFonts w:ascii="Arial" w:hAnsi="Arial" w:cs="Arial"/>
                <w:sz w:val="22"/>
                <w:szCs w:val="22"/>
              </w:rPr>
              <w:t>Indicator Set domain</w:t>
            </w:r>
            <w:r w:rsidR="00F75B77">
              <w:rPr>
                <w:rFonts w:ascii="Arial" w:hAnsi="Arial" w:cs="Arial"/>
                <w:sz w:val="22"/>
                <w:szCs w:val="22"/>
              </w:rPr>
              <w:t xml:space="preserve"> </w:t>
            </w:r>
            <w:r w:rsidR="00244E9A">
              <w:rPr>
                <w:rFonts w:ascii="Arial" w:hAnsi="Arial" w:cs="Arial"/>
                <w:sz w:val="22"/>
                <w:szCs w:val="22"/>
              </w:rPr>
              <w:t>3</w:t>
            </w:r>
            <w:r w:rsidR="00F75B77">
              <w:rPr>
                <w:rFonts w:ascii="Arial" w:hAnsi="Arial" w:cs="Arial"/>
                <w:sz w:val="22"/>
                <w:szCs w:val="22"/>
              </w:rPr>
              <w:t xml:space="preserve"> – </w:t>
            </w:r>
            <w:r w:rsidR="00244E9A" w:rsidRPr="00244E9A">
              <w:rPr>
                <w:rFonts w:ascii="Arial" w:hAnsi="Arial" w:cs="Arial"/>
                <w:sz w:val="22"/>
                <w:szCs w:val="22"/>
              </w:rPr>
              <w:t>Helping people to recover from episodes of ill health or following</w:t>
            </w:r>
            <w:r w:rsidR="00244E9A">
              <w:rPr>
                <w:rFonts w:ascii="Arial" w:hAnsi="Arial" w:cs="Arial"/>
                <w:sz w:val="22"/>
                <w:szCs w:val="22"/>
              </w:rPr>
              <w:t xml:space="preserve"> injury</w:t>
            </w:r>
            <w:r w:rsidR="00402BFB">
              <w:rPr>
                <w:rFonts w:ascii="Arial" w:hAnsi="Arial" w:cs="Arial"/>
                <w:sz w:val="22"/>
                <w:szCs w:val="22"/>
              </w:rPr>
              <w:t>.</w:t>
            </w:r>
          </w:p>
          <w:p w14:paraId="05EF12AD" w14:textId="332EE135" w:rsidR="00CF110E" w:rsidRDefault="00CF110E" w:rsidP="00CF110E">
            <w:pPr>
              <w:spacing w:before="120" w:after="120"/>
              <w:rPr>
                <w:rFonts w:ascii="Arial" w:hAnsi="Arial" w:cs="Arial"/>
                <w:sz w:val="22"/>
                <w:szCs w:val="22"/>
              </w:rPr>
            </w:pPr>
            <w:r>
              <w:rPr>
                <w:rFonts w:ascii="Arial" w:hAnsi="Arial" w:cs="Arial"/>
                <w:sz w:val="22"/>
                <w:szCs w:val="22"/>
              </w:rPr>
              <w:t>Data has been published from 2013/14 to 2018/19, the national value has varied slightly but both the earliest and latest values are 11.6%.</w:t>
            </w:r>
          </w:p>
          <w:p w14:paraId="6A0AAFD7" w14:textId="4B39FFAE" w:rsidR="00645411" w:rsidRPr="006E1387" w:rsidRDefault="006953F9" w:rsidP="00161404">
            <w:pPr>
              <w:spacing w:before="120" w:after="120"/>
              <w:rPr>
                <w:rFonts w:ascii="Arial" w:hAnsi="Arial" w:cs="Arial"/>
                <w:sz w:val="22"/>
                <w:szCs w:val="22"/>
              </w:rPr>
            </w:pPr>
            <w:r>
              <w:rPr>
                <w:rFonts w:ascii="Arial" w:hAnsi="Arial" w:cs="Arial"/>
                <w:sz w:val="22"/>
                <w:szCs w:val="22"/>
              </w:rPr>
              <w:t xml:space="preserve">In the most recent period of data (2018/19) values range from </w:t>
            </w:r>
            <w:r w:rsidR="00CF110E">
              <w:rPr>
                <w:rFonts w:ascii="Arial" w:hAnsi="Arial" w:cs="Arial"/>
                <w:sz w:val="22"/>
                <w:szCs w:val="22"/>
              </w:rPr>
              <w:t>3.7%</w:t>
            </w:r>
            <w:r>
              <w:rPr>
                <w:rFonts w:ascii="Arial" w:hAnsi="Arial" w:cs="Arial"/>
                <w:sz w:val="22"/>
                <w:szCs w:val="22"/>
              </w:rPr>
              <w:t xml:space="preserve"> to </w:t>
            </w:r>
            <w:r w:rsidR="00CF110E">
              <w:rPr>
                <w:rFonts w:ascii="Arial" w:hAnsi="Arial" w:cs="Arial"/>
                <w:sz w:val="22"/>
                <w:szCs w:val="22"/>
              </w:rPr>
              <w:t>24.6% across CCGs</w:t>
            </w:r>
            <w:r>
              <w:rPr>
                <w:rFonts w:ascii="Arial" w:hAnsi="Arial" w:cs="Arial"/>
                <w:sz w:val="22"/>
                <w:szCs w:val="22"/>
              </w:rPr>
              <w:t>.</w:t>
            </w:r>
          </w:p>
        </w:tc>
        <w:tc>
          <w:tcPr>
            <w:tcW w:w="3047" w:type="dxa"/>
          </w:tcPr>
          <w:p w14:paraId="34B49690" w14:textId="0D0814FA"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w:t>
            </w:r>
            <w:r w:rsidR="00D92AEB">
              <w:rPr>
                <w:rFonts w:eastAsiaTheme="minorEastAsia" w:cs="Arial"/>
                <w:color w:val="000000" w:themeColor="dark1"/>
                <w:kern w:val="24"/>
                <w:sz w:val="22"/>
                <w:szCs w:val="22"/>
              </w:rPr>
              <w:t>s</w:t>
            </w:r>
            <w:r>
              <w:rPr>
                <w:rFonts w:eastAsiaTheme="minorEastAsia" w:cs="Arial"/>
                <w:color w:val="000000" w:themeColor="dark1"/>
                <w:kern w:val="24"/>
                <w:sz w:val="22"/>
                <w:szCs w:val="22"/>
              </w:rPr>
              <w:t>ed dataset.</w:t>
            </w:r>
          </w:p>
          <w:p w14:paraId="78280FB7" w14:textId="398F847A" w:rsidR="00E05AB5" w:rsidRPr="006E1387" w:rsidRDefault="00CF110E"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The national value has been fairly stable over the period collected, however variation does exist across CCGs.</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46FD2163" w14:textId="040432F7" w:rsidR="005F3926" w:rsidRPr="006E1387" w:rsidRDefault="0019550C" w:rsidP="00A166AB">
            <w:pPr>
              <w:spacing w:before="120" w:after="120"/>
              <w:rPr>
                <w:rFonts w:ascii="Arial" w:hAnsi="Arial" w:cs="Arial"/>
                <w:sz w:val="22"/>
                <w:szCs w:val="22"/>
              </w:rPr>
            </w:pPr>
            <w:r>
              <w:rPr>
                <w:rFonts w:ascii="Arial" w:hAnsi="Arial" w:cs="Arial"/>
                <w:sz w:val="22"/>
                <w:szCs w:val="22"/>
              </w:rPr>
              <w:t>“</w:t>
            </w:r>
            <w:r w:rsidR="00244E9A" w:rsidRPr="00244E9A">
              <w:rPr>
                <w:rFonts w:ascii="Arial" w:hAnsi="Arial" w:cs="Arial"/>
                <w:sz w:val="22"/>
                <w:szCs w:val="22"/>
              </w:rPr>
              <w:t xml:space="preserve">This indicator forms part of Domain 3: Helping people to recover from episodes of ill health or following injury. Patients with stroke are admitted directly to a specialist acute stroke unit and assessed for thrombolysis, receiving it if clinically indicated. There is no absolute rate of thrombolysis which is appropriate. Thrombolysis is a clot busting drug which can be a very effective way of treating ischaemic strokes (caused by blood clot). The eligibility criteria for thrombolysis are </w:t>
            </w:r>
            <w:r w:rsidR="00244E9A" w:rsidRPr="00244E9A">
              <w:rPr>
                <w:rFonts w:ascii="Arial" w:hAnsi="Arial" w:cs="Arial"/>
                <w:sz w:val="22"/>
                <w:szCs w:val="22"/>
              </w:rPr>
              <w:lastRenderedPageBreak/>
              <w:t>based on age, type of stroke and time lapse since stroke onset.</w:t>
            </w:r>
            <w:r w:rsidR="006953F9">
              <w:rPr>
                <w:rFonts w:ascii="Arial" w:hAnsi="Arial" w:cs="Arial"/>
                <w:sz w:val="22"/>
                <w:szCs w:val="22"/>
              </w:rPr>
              <w:t>”</w:t>
            </w:r>
          </w:p>
        </w:tc>
        <w:tc>
          <w:tcPr>
            <w:tcW w:w="3047" w:type="dxa"/>
          </w:tcPr>
          <w:p w14:paraId="695249B8" w14:textId="77777777" w:rsidR="00DF512E" w:rsidRDefault="006953F9"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This indicator </w:t>
            </w:r>
            <w:r w:rsidR="00CF110E">
              <w:rPr>
                <w:rFonts w:eastAsiaTheme="minorEastAsia" w:cs="Arial"/>
                <w:color w:val="000000" w:themeColor="dark1"/>
                <w:kern w:val="24"/>
                <w:sz w:val="22"/>
                <w:szCs w:val="22"/>
              </w:rPr>
              <w:t xml:space="preserve">is concerned with treatment of stroke </w:t>
            </w:r>
            <w:r>
              <w:rPr>
                <w:rFonts w:eastAsiaTheme="minorEastAsia" w:cs="Arial"/>
                <w:color w:val="000000" w:themeColor="dark1"/>
                <w:kern w:val="24"/>
                <w:sz w:val="22"/>
                <w:szCs w:val="22"/>
              </w:rPr>
              <w:t>and reflects NICE guidance (NG1</w:t>
            </w:r>
            <w:r w:rsidR="00244E9A">
              <w:rPr>
                <w:rFonts w:eastAsiaTheme="minorEastAsia" w:cs="Arial"/>
                <w:color w:val="000000" w:themeColor="dark1"/>
                <w:kern w:val="24"/>
                <w:sz w:val="22"/>
                <w:szCs w:val="22"/>
              </w:rPr>
              <w:t>28</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w:t>
            </w:r>
          </w:p>
          <w:p w14:paraId="2B119FBC" w14:textId="5C7E1BDC" w:rsidR="00ED13E9" w:rsidRDefault="00ED13E9" w:rsidP="006E2052">
            <w:pPr>
              <w:pStyle w:val="NICEnormal"/>
              <w:spacing w:before="120" w:after="120" w:line="240" w:lineRule="auto"/>
              <w:rPr>
                <w:rFonts w:eastAsiaTheme="minorEastAsia" w:cs="Arial"/>
                <w:color w:val="000000" w:themeColor="dark1"/>
                <w:kern w:val="24"/>
                <w:sz w:val="22"/>
                <w:szCs w:val="22"/>
              </w:rPr>
            </w:pPr>
            <w:r w:rsidRPr="00ED13E9">
              <w:rPr>
                <w:rFonts w:eastAsiaTheme="minorEastAsia" w:cs="Arial"/>
                <w:color w:val="000000" w:themeColor="dark1"/>
                <w:kern w:val="24"/>
                <w:sz w:val="22"/>
                <w:szCs w:val="22"/>
              </w:rPr>
              <w:t>The evidence base for treatment of acute ischaemic stroke has been changing, and</w:t>
            </w:r>
            <w:r w:rsidR="00137A88">
              <w:rPr>
                <w:rFonts w:eastAsiaTheme="minorEastAsia" w:cs="Arial"/>
                <w:color w:val="000000" w:themeColor="dark1"/>
                <w:kern w:val="24"/>
                <w:sz w:val="22"/>
                <w:szCs w:val="22"/>
              </w:rPr>
              <w:t>,</w:t>
            </w:r>
            <w:r w:rsidRPr="00ED13E9">
              <w:rPr>
                <w:rFonts w:eastAsiaTheme="minorEastAsia" w:cs="Arial"/>
                <w:color w:val="000000" w:themeColor="dark1"/>
                <w:kern w:val="24"/>
                <w:sz w:val="22"/>
                <w:szCs w:val="22"/>
              </w:rPr>
              <w:t xml:space="preserve"> following a review in May 2019</w:t>
            </w:r>
            <w:r w:rsidR="00137A88">
              <w:rPr>
                <w:rFonts w:eastAsiaTheme="minorEastAsia" w:cs="Arial"/>
                <w:color w:val="000000" w:themeColor="dark1"/>
                <w:kern w:val="24"/>
                <w:sz w:val="22"/>
                <w:szCs w:val="22"/>
              </w:rPr>
              <w:t>,</w:t>
            </w:r>
            <w:r w:rsidRPr="00ED13E9">
              <w:rPr>
                <w:rFonts w:eastAsiaTheme="minorEastAsia" w:cs="Arial"/>
                <w:color w:val="000000" w:themeColor="dark1"/>
                <w:kern w:val="24"/>
                <w:sz w:val="22"/>
                <w:szCs w:val="22"/>
              </w:rPr>
              <w:t xml:space="preserve"> NG128 contains new recommendations on thrombectomy, a new treatment for acute ischaemic stroke</w:t>
            </w:r>
            <w:r>
              <w:rPr>
                <w:rFonts w:eastAsiaTheme="minorEastAsia" w:cs="Arial"/>
                <w:color w:val="000000" w:themeColor="dark1"/>
                <w:kern w:val="24"/>
                <w:sz w:val="22"/>
                <w:szCs w:val="22"/>
              </w:rPr>
              <w:t>.</w:t>
            </w:r>
          </w:p>
          <w:p w14:paraId="12B8C1AB" w14:textId="3009D70F" w:rsidR="006E2052" w:rsidRPr="006E1387" w:rsidRDefault="006E2052" w:rsidP="003316EF">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The stroke national audit </w:t>
            </w:r>
            <w:r w:rsidR="003316EF">
              <w:rPr>
                <w:rFonts w:eastAsiaTheme="minorEastAsia" w:cs="Arial"/>
                <w:color w:val="000000" w:themeColor="dark1"/>
                <w:kern w:val="24"/>
                <w:sz w:val="22"/>
                <w:szCs w:val="22"/>
              </w:rPr>
              <w:t>currently</w:t>
            </w:r>
            <w:r>
              <w:rPr>
                <w:rFonts w:eastAsiaTheme="minorEastAsia" w:cs="Arial"/>
                <w:color w:val="000000" w:themeColor="dark1"/>
                <w:kern w:val="24"/>
                <w:sz w:val="22"/>
                <w:szCs w:val="22"/>
              </w:rPr>
              <w:t xml:space="preserve"> recommends that “</w:t>
            </w:r>
            <w:r w:rsidRPr="006E2052">
              <w:rPr>
                <w:rFonts w:eastAsiaTheme="minorEastAsia" w:cs="Arial"/>
                <w:color w:val="000000" w:themeColor="dark1"/>
                <w:kern w:val="24"/>
                <w:sz w:val="22"/>
                <w:szCs w:val="22"/>
                <w:lang w:val="en-GB"/>
              </w:rPr>
              <w:t>All patients who could benefit from thrombolysis (20%) receive it and expanding mechanical thrombectomy from 1% to 10% of all stroke patients</w:t>
            </w:r>
            <w:r w:rsidR="003E57D2">
              <w:rPr>
                <w:rFonts w:eastAsiaTheme="minorEastAsia" w:cs="Arial"/>
                <w:color w:val="000000" w:themeColor="dark1"/>
                <w:kern w:val="24"/>
                <w:sz w:val="22"/>
                <w:szCs w:val="22"/>
                <w:lang w:val="en-GB"/>
              </w:rPr>
              <w:t>.</w:t>
            </w:r>
            <w:r>
              <w:rPr>
                <w:rFonts w:eastAsiaTheme="minorEastAsia" w:cs="Arial"/>
                <w:color w:val="000000" w:themeColor="dark1"/>
                <w:kern w:val="24"/>
                <w:sz w:val="22"/>
                <w:szCs w:val="22"/>
                <w:lang w:val="en-GB"/>
              </w:rPr>
              <w:t>”</w:t>
            </w:r>
            <w:r>
              <w:rPr>
                <w:rStyle w:val="FootnoteReference"/>
                <w:rFonts w:eastAsiaTheme="minorEastAsia" w:cs="Arial"/>
                <w:color w:val="000000" w:themeColor="dark1"/>
                <w:kern w:val="24"/>
                <w:sz w:val="22"/>
                <w:szCs w:val="22"/>
                <w:lang w:val="en-GB"/>
              </w:rPr>
              <w:footnoteReference w:id="3"/>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092" w:type="dxa"/>
          </w:tcPr>
          <w:p w14:paraId="4F9B24A7" w14:textId="7D8AA8C3" w:rsidR="00BA478F" w:rsidRPr="006E1387" w:rsidRDefault="00F2277C"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CF110E" w:rsidRPr="00CF110E">
              <w:rPr>
                <w:rFonts w:ascii="Arial" w:hAnsi="Arial" w:cs="Arial"/>
                <w:color w:val="000000"/>
                <w:kern w:val="24"/>
                <w:sz w:val="22"/>
                <w:szCs w:val="22"/>
                <w:lang w:eastAsia="en-GB"/>
              </w:rPr>
              <w:t>The number of acute stroke patients who were given thrombolysis for stroke.</w:t>
            </w:r>
          </w:p>
          <w:p w14:paraId="4FC7B690" w14:textId="59E9D9E4"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CF110E" w:rsidRPr="00CF110E">
              <w:rPr>
                <w:rFonts w:ascii="Arial" w:hAnsi="Arial" w:cs="Arial"/>
                <w:color w:val="000000"/>
                <w:kern w:val="24"/>
                <w:sz w:val="22"/>
                <w:szCs w:val="22"/>
                <w:lang w:eastAsia="en-GB"/>
              </w:rPr>
              <w:t>All acute stroke patients, including those who were already in hospital at the time of new stroke occurrence.</w:t>
            </w:r>
          </w:p>
          <w:p w14:paraId="158FFEDA" w14:textId="670D9804"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607D7A">
              <w:rPr>
                <w:rFonts w:ascii="Arial" w:hAnsi="Arial" w:cs="Arial"/>
                <w:color w:val="000000"/>
                <w:kern w:val="24"/>
                <w:sz w:val="22"/>
                <w:szCs w:val="22"/>
                <w:lang w:eastAsia="en-GB"/>
              </w:rPr>
              <w:t>None</w:t>
            </w:r>
          </w:p>
          <w:p w14:paraId="46400236" w14:textId="5095C33F"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CF110E">
              <w:rPr>
                <w:rFonts w:ascii="Arial" w:hAnsi="Arial" w:cs="Arial"/>
                <w:color w:val="000000"/>
                <w:kern w:val="24"/>
                <w:sz w:val="22"/>
                <w:szCs w:val="22"/>
                <w:lang w:eastAsia="en-GB"/>
              </w:rPr>
              <w:t>Percentage</w:t>
            </w:r>
          </w:p>
          <w:p w14:paraId="241B73C2" w14:textId="14C713AA"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D92AEB">
              <w:rPr>
                <w:rFonts w:ascii="Arial" w:hAnsi="Arial" w:cs="Arial"/>
                <w:color w:val="000000"/>
                <w:kern w:val="24"/>
                <w:sz w:val="22"/>
                <w:szCs w:val="22"/>
                <w:lang w:eastAsia="en-GB"/>
              </w:rPr>
              <w:t>CCG</w:t>
            </w:r>
            <w:r w:rsidR="00161404">
              <w:rPr>
                <w:rFonts w:ascii="Arial" w:hAnsi="Arial" w:cs="Arial"/>
                <w:color w:val="000000"/>
                <w:kern w:val="24"/>
                <w:sz w:val="22"/>
                <w:szCs w:val="22"/>
                <w:lang w:eastAsia="en-GB"/>
              </w:rPr>
              <w:t>.</w:t>
            </w:r>
          </w:p>
          <w:p w14:paraId="5B155699" w14:textId="2C4DC42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CF110E" w:rsidRPr="00CF110E">
              <w:rPr>
                <w:rFonts w:ascii="Arial" w:hAnsi="Arial" w:cs="Arial"/>
                <w:color w:val="000000"/>
                <w:kern w:val="24"/>
                <w:sz w:val="22"/>
                <w:szCs w:val="22"/>
                <w:lang w:eastAsia="en-GB"/>
              </w:rPr>
              <w:t>The Royal College of Physicians (RCP) Sentinel Stroke National Audit Programme (SSNAP).</w:t>
            </w:r>
          </w:p>
          <w:p w14:paraId="134E4565" w14:textId="2B0142C0" w:rsidR="00A54F81" w:rsidRPr="006E1387" w:rsidRDefault="00873503" w:rsidP="0016140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CF110E">
              <w:rPr>
                <w:rFonts w:ascii="Arial" w:hAnsi="Arial" w:cs="Arial"/>
                <w:color w:val="000000"/>
                <w:kern w:val="24"/>
                <w:sz w:val="22"/>
                <w:szCs w:val="22"/>
                <w:lang w:eastAsia="en-GB"/>
              </w:rPr>
              <w:t>Values are not published for any CCG with fewer than 20 patients or case ascertainment (number of patients included in SSNAP compared to the estimated expected number of patients from Hospital Episode Statistics</w:t>
            </w:r>
            <w:r w:rsidR="00A611A1">
              <w:rPr>
                <w:rFonts w:ascii="Arial" w:hAnsi="Arial" w:cs="Arial"/>
                <w:color w:val="000000"/>
                <w:kern w:val="24"/>
                <w:sz w:val="22"/>
                <w:szCs w:val="22"/>
                <w:lang w:eastAsia="en-GB"/>
              </w:rPr>
              <w:t xml:space="preserve"> (HES)</w:t>
            </w:r>
            <w:r w:rsidR="00CF110E">
              <w:rPr>
                <w:rFonts w:ascii="Arial" w:hAnsi="Arial" w:cs="Arial"/>
                <w:color w:val="000000"/>
                <w:kern w:val="24"/>
                <w:sz w:val="22"/>
                <w:szCs w:val="22"/>
                <w:lang w:eastAsia="en-GB"/>
              </w:rPr>
              <w:t>) lower than 50%.</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53419211"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EC7278">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330FEE3A" w:rsidR="009F3187" w:rsidRPr="006E1387" w:rsidRDefault="001E693E" w:rsidP="001E693E">
            <w:pPr>
              <w:spacing w:before="120" w:after="120"/>
              <w:rPr>
                <w:rFonts w:cs="Arial"/>
                <w:sz w:val="22"/>
                <w:szCs w:val="22"/>
              </w:rPr>
            </w:pPr>
            <w:r>
              <w:rPr>
                <w:rFonts w:ascii="Arial" w:hAnsi="Arial" w:cs="Arial"/>
                <w:sz w:val="22"/>
                <w:szCs w:val="22"/>
              </w:rPr>
              <w:t>Indicator source data is robust</w:t>
            </w:r>
            <w:r w:rsidR="00A611A1">
              <w:rPr>
                <w:rFonts w:ascii="Arial" w:hAnsi="Arial" w:cs="Arial"/>
                <w:sz w:val="22"/>
                <w:szCs w:val="22"/>
              </w:rPr>
              <w:t xml:space="preserve"> and comparison with HES provides additional reassurance.</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32D8CF28" w14:textId="2A13B2C9" w:rsidR="00E072F4" w:rsidRDefault="00D010FB">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According to the indicator Appraisal Log provided by NICE</w:t>
            </w:r>
            <w:r w:rsidR="00ED13E9">
              <w:rPr>
                <w:rFonts w:ascii="Arial" w:eastAsiaTheme="minorEastAsia" w:hAnsi="Arial" w:cs="Arial"/>
                <w:color w:val="000000" w:themeColor="dark1"/>
                <w:kern w:val="24"/>
                <w:sz w:val="22"/>
                <w:szCs w:val="22"/>
                <w:lang w:eastAsia="en-GB"/>
              </w:rPr>
              <w:t>,</w:t>
            </w:r>
            <w:r>
              <w:rPr>
                <w:rFonts w:ascii="Arial" w:eastAsiaTheme="minorEastAsia" w:hAnsi="Arial" w:cs="Arial"/>
                <w:color w:val="000000" w:themeColor="dark1"/>
                <w:kern w:val="24"/>
                <w:sz w:val="22"/>
                <w:szCs w:val="22"/>
                <w:lang w:eastAsia="en-GB"/>
              </w:rPr>
              <w:t xml:space="preserve"> in</w:t>
            </w:r>
            <w:r w:rsidR="006E2052">
              <w:rPr>
                <w:rFonts w:ascii="Arial" w:eastAsiaTheme="minorEastAsia" w:hAnsi="Arial" w:cs="Arial"/>
                <w:color w:val="000000" w:themeColor="dark1"/>
                <w:kern w:val="24"/>
                <w:sz w:val="22"/>
                <w:szCs w:val="22"/>
                <w:lang w:eastAsia="en-GB"/>
              </w:rPr>
              <w:t xml:space="preserve"> 2015 the MRG concluded that this indicator was “not fit for purpose” and </w:t>
            </w:r>
            <w:r w:rsidR="00E072F4">
              <w:rPr>
                <w:rFonts w:ascii="Arial" w:eastAsiaTheme="minorEastAsia" w:hAnsi="Arial" w:cs="Arial"/>
                <w:color w:val="000000" w:themeColor="dark1"/>
                <w:kern w:val="24"/>
                <w:sz w:val="22"/>
                <w:szCs w:val="22"/>
                <w:lang w:eastAsia="en-GB"/>
              </w:rPr>
              <w:t>concluded that “</w:t>
            </w:r>
            <w:r w:rsidR="00E072F4" w:rsidRPr="00E072F4">
              <w:rPr>
                <w:rFonts w:ascii="Arial" w:eastAsiaTheme="minorEastAsia" w:hAnsi="Arial" w:cs="Arial"/>
                <w:color w:val="000000" w:themeColor="dark1"/>
                <w:kern w:val="24"/>
                <w:sz w:val="22"/>
                <w:szCs w:val="22"/>
                <w:lang w:eastAsia="en-GB"/>
              </w:rPr>
              <w:t xml:space="preserve">although they do not endorse the indicator for inclusion in the Library of Quality Assured </w:t>
            </w:r>
            <w:r w:rsidR="00E072F4" w:rsidRPr="00E072F4">
              <w:rPr>
                <w:rFonts w:ascii="Arial" w:eastAsiaTheme="minorEastAsia" w:hAnsi="Arial" w:cs="Arial"/>
                <w:color w:val="000000" w:themeColor="dark1"/>
                <w:kern w:val="24"/>
                <w:sz w:val="22"/>
                <w:szCs w:val="22"/>
                <w:lang w:eastAsia="en-GB"/>
              </w:rPr>
              <w:lastRenderedPageBreak/>
              <w:t xml:space="preserve">Indicators, they appreciate its value in this field. </w:t>
            </w:r>
            <w:r w:rsidR="007B5983" w:rsidRPr="00E072F4">
              <w:rPr>
                <w:rFonts w:ascii="Arial" w:eastAsiaTheme="minorEastAsia" w:hAnsi="Arial" w:cs="Arial"/>
                <w:color w:val="000000" w:themeColor="dark1"/>
                <w:kern w:val="24"/>
                <w:sz w:val="22"/>
                <w:szCs w:val="22"/>
                <w:lang w:eastAsia="en-GB"/>
              </w:rPr>
              <w:t>However,</w:t>
            </w:r>
            <w:r w:rsidR="00E072F4" w:rsidRPr="00E072F4">
              <w:rPr>
                <w:rFonts w:ascii="Arial" w:eastAsiaTheme="minorEastAsia" w:hAnsi="Arial" w:cs="Arial"/>
                <w:color w:val="000000" w:themeColor="dark1"/>
                <w:kern w:val="24"/>
                <w:sz w:val="22"/>
                <w:szCs w:val="22"/>
                <w:lang w:eastAsia="en-GB"/>
              </w:rPr>
              <w:t xml:space="preserve"> the group feel that only informed users would be able to interpret the indicator as it currently stands.</w:t>
            </w:r>
            <w:r w:rsidR="00E072F4">
              <w:rPr>
                <w:rFonts w:ascii="Arial" w:eastAsiaTheme="minorEastAsia" w:hAnsi="Arial" w:cs="Arial"/>
                <w:color w:val="000000" w:themeColor="dark1"/>
                <w:kern w:val="24"/>
                <w:sz w:val="22"/>
                <w:szCs w:val="22"/>
                <w:lang w:eastAsia="en-GB"/>
              </w:rPr>
              <w:t>”</w:t>
            </w:r>
          </w:p>
          <w:p w14:paraId="30E5E8BE" w14:textId="359EE133" w:rsidR="00E072F4" w:rsidRPr="00E072F4" w:rsidRDefault="00E072F4" w:rsidP="00E072F4">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Further to this recommendation to the IGB, there have been yet more changes in evidence and practice (see above)</w:t>
            </w:r>
            <w:r w:rsidR="00F15C62">
              <w:rPr>
                <w:rFonts w:ascii="Arial" w:eastAsiaTheme="minorEastAsia" w:hAnsi="Arial" w:cs="Arial"/>
                <w:color w:val="000000" w:themeColor="dark1"/>
                <w:kern w:val="24"/>
                <w:sz w:val="22"/>
                <w:szCs w:val="22"/>
                <w:lang w:eastAsia="en-GB"/>
              </w:rPr>
              <w:t>.</w:t>
            </w:r>
          </w:p>
          <w:p w14:paraId="50A77E2C" w14:textId="246F6A6F" w:rsidR="00AD05A5" w:rsidRPr="00AD05A5" w:rsidRDefault="00AD05A5" w:rsidP="00AD05A5">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Correspondence with the clinical lead for SSNAP and the National Clinical Director for Stroke confirm that both feel this remains valid. The latter stated that “</w:t>
            </w:r>
            <w:r w:rsidRPr="00AD05A5">
              <w:rPr>
                <w:rFonts w:ascii="Arial" w:eastAsiaTheme="minorEastAsia" w:hAnsi="Arial" w:cs="Arial"/>
                <w:color w:val="000000" w:themeColor="dark1"/>
                <w:kern w:val="24"/>
                <w:sz w:val="22"/>
                <w:szCs w:val="22"/>
                <w:lang w:eastAsia="en-GB"/>
              </w:rPr>
              <w:t>The thrombolysis metric is still important, but equally so is the thrombectomy indicator</w:t>
            </w:r>
            <w:r w:rsidR="00F15C62">
              <w:rPr>
                <w:rFonts w:ascii="Arial" w:eastAsiaTheme="minorEastAsia" w:hAnsi="Arial" w:cs="Arial"/>
                <w:color w:val="000000" w:themeColor="dark1"/>
                <w:kern w:val="24"/>
                <w:sz w:val="22"/>
                <w:szCs w:val="22"/>
                <w:lang w:eastAsia="en-GB"/>
              </w:rPr>
              <w:t>”</w:t>
            </w:r>
            <w:r w:rsidRPr="00AD05A5">
              <w:rPr>
                <w:rFonts w:ascii="Arial" w:eastAsiaTheme="minorEastAsia" w:hAnsi="Arial" w:cs="Arial"/>
                <w:color w:val="000000" w:themeColor="dark1"/>
                <w:kern w:val="24"/>
                <w:sz w:val="22"/>
                <w:szCs w:val="22"/>
                <w:lang w:eastAsia="en-GB"/>
              </w:rPr>
              <w:t>.</w:t>
            </w:r>
          </w:p>
          <w:p w14:paraId="472E62AD" w14:textId="28F53C2E" w:rsidR="00217BF3" w:rsidRPr="006E1387" w:rsidRDefault="00AD05A5" w:rsidP="00977CC2">
            <w:pPr>
              <w:spacing w:before="120" w:after="120"/>
              <w:rPr>
                <w:rFonts w:ascii="Arial" w:eastAsiaTheme="minorEastAsia" w:hAnsi="Arial" w:cs="Arial"/>
                <w:color w:val="000000" w:themeColor="dark1"/>
                <w:kern w:val="24"/>
                <w:sz w:val="22"/>
                <w:szCs w:val="22"/>
                <w:lang w:eastAsia="en-GB"/>
              </w:rPr>
            </w:pPr>
            <w:r w:rsidRPr="00AD05A5">
              <w:rPr>
                <w:rFonts w:ascii="Arial" w:eastAsiaTheme="minorEastAsia" w:hAnsi="Arial" w:cs="Arial"/>
                <w:color w:val="000000" w:themeColor="dark1"/>
                <w:kern w:val="24"/>
                <w:sz w:val="22"/>
                <w:szCs w:val="22"/>
                <w:lang w:eastAsia="en-GB"/>
              </w:rPr>
              <w:t xml:space="preserve">Although the </w:t>
            </w:r>
            <w:r w:rsidR="00FC3401">
              <w:rPr>
                <w:rFonts w:ascii="Arial" w:eastAsiaTheme="minorEastAsia" w:hAnsi="Arial" w:cs="Arial"/>
                <w:color w:val="000000" w:themeColor="dark1"/>
                <w:kern w:val="24"/>
                <w:sz w:val="22"/>
                <w:szCs w:val="22"/>
                <w:lang w:eastAsia="en-GB"/>
              </w:rPr>
              <w:t>L</w:t>
            </w:r>
            <w:r w:rsidRPr="00AD05A5">
              <w:rPr>
                <w:rFonts w:ascii="Arial" w:eastAsiaTheme="minorEastAsia" w:hAnsi="Arial" w:cs="Arial"/>
                <w:color w:val="000000" w:themeColor="dark1"/>
                <w:kern w:val="24"/>
                <w:sz w:val="22"/>
                <w:szCs w:val="22"/>
                <w:lang w:eastAsia="en-GB"/>
              </w:rPr>
              <w:t xml:space="preserve">ong </w:t>
            </w:r>
            <w:r w:rsidR="00FC3401">
              <w:rPr>
                <w:rFonts w:ascii="Arial" w:eastAsiaTheme="minorEastAsia" w:hAnsi="Arial" w:cs="Arial"/>
                <w:color w:val="000000" w:themeColor="dark1"/>
                <w:kern w:val="24"/>
                <w:sz w:val="22"/>
                <w:szCs w:val="22"/>
                <w:lang w:eastAsia="en-GB"/>
              </w:rPr>
              <w:t>T</w:t>
            </w:r>
            <w:r w:rsidRPr="00AD05A5">
              <w:rPr>
                <w:rFonts w:ascii="Arial" w:eastAsiaTheme="minorEastAsia" w:hAnsi="Arial" w:cs="Arial"/>
                <w:color w:val="000000" w:themeColor="dark1"/>
                <w:kern w:val="24"/>
                <w:sz w:val="22"/>
                <w:szCs w:val="22"/>
                <w:lang w:eastAsia="en-GB"/>
              </w:rPr>
              <w:t xml:space="preserve">erm </w:t>
            </w:r>
            <w:r w:rsidR="00FC3401">
              <w:rPr>
                <w:rFonts w:ascii="Arial" w:eastAsiaTheme="minorEastAsia" w:hAnsi="Arial" w:cs="Arial"/>
                <w:color w:val="000000" w:themeColor="dark1"/>
                <w:kern w:val="24"/>
                <w:sz w:val="22"/>
                <w:szCs w:val="22"/>
                <w:lang w:eastAsia="en-GB"/>
              </w:rPr>
              <w:t>P</w:t>
            </w:r>
            <w:r w:rsidRPr="00AD05A5">
              <w:rPr>
                <w:rFonts w:ascii="Arial" w:eastAsiaTheme="minorEastAsia" w:hAnsi="Arial" w:cs="Arial"/>
                <w:color w:val="000000" w:themeColor="dark1"/>
                <w:kern w:val="24"/>
                <w:sz w:val="22"/>
                <w:szCs w:val="22"/>
                <w:lang w:eastAsia="en-GB"/>
              </w:rPr>
              <w:t>lan</w:t>
            </w:r>
            <w:r w:rsidR="00FC3401">
              <w:rPr>
                <w:rFonts w:ascii="Arial" w:eastAsiaTheme="minorEastAsia" w:hAnsi="Arial" w:cs="Arial"/>
                <w:color w:val="000000" w:themeColor="dark1"/>
                <w:kern w:val="24"/>
                <w:sz w:val="22"/>
                <w:szCs w:val="22"/>
                <w:lang w:eastAsia="en-GB"/>
              </w:rPr>
              <w:t xml:space="preserve"> (LTP)</w:t>
            </w:r>
            <w:r w:rsidRPr="00AD05A5">
              <w:rPr>
                <w:rFonts w:ascii="Arial" w:eastAsiaTheme="minorEastAsia" w:hAnsi="Arial" w:cs="Arial"/>
                <w:color w:val="000000" w:themeColor="dark1"/>
                <w:kern w:val="24"/>
                <w:sz w:val="22"/>
                <w:szCs w:val="22"/>
                <w:lang w:eastAsia="en-GB"/>
              </w:rPr>
              <w:t xml:space="preserve"> states 20% (thrombolysis) and 10% (thrombectomy) targets, these are currently under review and may be revised this year based on emerging evidence secondary to advanced imaging.</w:t>
            </w:r>
            <w:r>
              <w:rPr>
                <w:rFonts w:ascii="Arial" w:eastAsiaTheme="minorEastAsia" w:hAnsi="Arial" w:cs="Arial"/>
                <w:color w:val="000000" w:themeColor="dark1"/>
                <w:kern w:val="24"/>
                <w:sz w:val="22"/>
                <w:szCs w:val="22"/>
                <w:lang w:eastAsia="en-GB"/>
              </w:rPr>
              <w:t>”</w:t>
            </w:r>
          </w:p>
        </w:tc>
      </w:tr>
      <w:tr w:rsidR="00041011" w:rsidRPr="006E1387" w14:paraId="515852F3" w14:textId="598C7331" w:rsidTr="00977CC2">
        <w:trPr>
          <w:trHeight w:val="1900"/>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4092" w:type="dxa"/>
          </w:tcPr>
          <w:p w14:paraId="6C854FEE" w14:textId="63128694" w:rsidR="00041011" w:rsidRPr="006E1387" w:rsidRDefault="001B5D21" w:rsidP="001B5D21">
            <w:pPr>
              <w:spacing w:before="120" w:after="120"/>
              <w:rPr>
                <w:rFonts w:ascii="Arial" w:hAnsi="Arial" w:cs="Arial"/>
                <w:color w:val="000000"/>
                <w:kern w:val="24"/>
                <w:sz w:val="22"/>
                <w:szCs w:val="22"/>
                <w:lang w:eastAsia="en-GB"/>
              </w:rPr>
            </w:pPr>
            <w:r>
              <w:rPr>
                <w:rFonts w:ascii="Arial" w:hAnsi="Arial" w:cs="Arial"/>
                <w:sz w:val="22"/>
                <w:szCs w:val="22"/>
              </w:rPr>
              <w:t>In light of ongoing review of targets and trajectories, the validity of the indic</w:t>
            </w:r>
            <w:r w:rsidR="00546304">
              <w:rPr>
                <w:rFonts w:ascii="Arial" w:hAnsi="Arial" w:cs="Arial"/>
                <w:sz w:val="22"/>
                <w:szCs w:val="22"/>
              </w:rPr>
              <w:t>a</w:t>
            </w:r>
            <w:r>
              <w:rPr>
                <w:rFonts w:ascii="Arial" w:hAnsi="Arial" w:cs="Arial"/>
                <w:sz w:val="22"/>
                <w:szCs w:val="22"/>
              </w:rPr>
              <w:t xml:space="preserve">tor may change. </w:t>
            </w:r>
          </w:p>
        </w:tc>
        <w:tc>
          <w:tcPr>
            <w:tcW w:w="3047" w:type="dxa"/>
          </w:tcPr>
          <w:p w14:paraId="7C2C11AA" w14:textId="3E1973D8" w:rsidR="00041011" w:rsidRPr="006E1387" w:rsidRDefault="00AD05A5" w:rsidP="001B5D21">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 xml:space="preserve">The targets for thrombolysis and thrombectomy in the Long Term Plan are under review in 2022 with an expectation of conclusions in summer 2022. </w:t>
            </w:r>
          </w:p>
        </w:tc>
      </w:tr>
    </w:tbl>
    <w:p w14:paraId="37D9A2F5" w14:textId="084C27AB" w:rsidR="004A517E" w:rsidRDefault="004A517E">
      <w:pPr>
        <w:rPr>
          <w:rFonts w:ascii="Arial" w:hAnsi="Arial"/>
          <w:lang w:val="en-US"/>
        </w:rPr>
      </w:pPr>
    </w:p>
    <w:p w14:paraId="2D4DA1F7" w14:textId="41A3EEF9" w:rsidR="00FA6BE6" w:rsidRDefault="00035000" w:rsidP="00937DDA">
      <w:pPr>
        <w:pStyle w:val="Paragraphnonumbers"/>
      </w:pPr>
      <w:r>
        <w:rPr>
          <w:b/>
        </w:rPr>
        <w:t>S</w:t>
      </w:r>
      <w:r w:rsidR="00937DDA" w:rsidRPr="00B12039">
        <w:rPr>
          <w:b/>
        </w:rPr>
        <w:t>ummary:</w:t>
      </w:r>
      <w:r w:rsidR="00937DDA">
        <w:t xml:space="preserve"> </w:t>
      </w:r>
      <w:r w:rsidR="00FA6BE6">
        <w:t>Indicator to be renewed</w:t>
      </w:r>
    </w:p>
    <w:p w14:paraId="55E62290" w14:textId="2641E39D" w:rsidR="00937DDA" w:rsidRDefault="00E12B77" w:rsidP="00937DDA">
      <w:pPr>
        <w:pStyle w:val="Paragraphnonumbers"/>
      </w:pPr>
      <w:r>
        <w:t>Potential</w:t>
      </w:r>
      <w:r w:rsidR="00A62592">
        <w:t xml:space="preserve"> change in evidence base and practice should be reviewed on this indicator’s</w:t>
      </w:r>
      <w:r w:rsidR="005009BC" w:rsidRPr="004E5059">
        <w:rPr>
          <w:bCs/>
        </w:rPr>
        <w:t xml:space="preserve"> </w:t>
      </w:r>
      <w:r w:rsidR="00A62592">
        <w:rPr>
          <w:bCs/>
        </w:rPr>
        <w:t>next assessment.</w:t>
      </w:r>
      <w:r w:rsidR="00AD05A5">
        <w:t xml:space="preserve"> </w:t>
      </w:r>
    </w:p>
    <w:p w14:paraId="5136322A" w14:textId="692113B0" w:rsidR="00D010FB" w:rsidRDefault="00D010FB" w:rsidP="00D010FB">
      <w:pPr>
        <w:pStyle w:val="Paragraphnonumbers"/>
        <w:rPr>
          <w:b/>
        </w:rPr>
      </w:pPr>
      <w:r>
        <w:rPr>
          <w:b/>
        </w:rPr>
        <w:t xml:space="preserve">NHS Digital Indicator reference: </w:t>
      </w:r>
    </w:p>
    <w:p w14:paraId="272F5565" w14:textId="2D57A412" w:rsidR="00D010FB" w:rsidRDefault="00D010FB" w:rsidP="00D010FB">
      <w:pPr>
        <w:pStyle w:val="Paragraphnonumbers"/>
      </w:pPr>
      <w:r>
        <w:t xml:space="preserve">CCG Outcomes Indicator Set - 3.6 </w:t>
      </w:r>
      <w:r w:rsidRPr="00D010FB">
        <w:t>People who have had an acute stroke who receive thrombolysis</w:t>
      </w:r>
    </w:p>
    <w:p w14:paraId="123085F8" w14:textId="2771EB07" w:rsidR="00D73835" w:rsidRDefault="00D73835" w:rsidP="00D92AEB">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2FE4D84D" w:rsidR="00BB14CA" w:rsidRPr="008C1C95" w:rsidRDefault="003A0226" w:rsidP="003A0226">
    <w:pPr>
      <w:pStyle w:val="Footer"/>
    </w:pPr>
    <w:r>
      <w:t>IAP00093</w:t>
    </w:r>
    <w:r w:rsidR="00D92AEB">
      <w:t xml:space="preserve">: </w:t>
    </w:r>
    <w:r w:rsidRPr="003A0226">
      <w:t>People who have had an acute stroke that receive thrombolysis</w:t>
    </w:r>
    <w:r>
      <w:t xml:space="preserve">: Validity Assessment March 2022 </w:t>
    </w:r>
    <w:r w:rsidR="009B0E59">
      <w:tab/>
    </w:r>
    <w:r w:rsidR="009B0E59">
      <w:tab/>
    </w:r>
    <w:r w:rsidR="00BB14CA">
      <w:fldChar w:fldCharType="begin"/>
    </w:r>
    <w:r w:rsidR="00BB14CA">
      <w:instrText xml:space="preserve"> PAGE </w:instrText>
    </w:r>
    <w:r w:rsidR="00BB14CA">
      <w:fldChar w:fldCharType="separate"/>
    </w:r>
    <w:r w:rsidR="0031127A">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31127A">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091AD689" w:rsidR="00521D6D" w:rsidRDefault="00521D6D">
      <w:pPr>
        <w:pStyle w:val="FootnoteText"/>
      </w:pPr>
      <w:r>
        <w:rPr>
          <w:rStyle w:val="FootnoteReference"/>
        </w:rPr>
        <w:footnoteRef/>
      </w:r>
      <w:r>
        <w:t xml:space="preserve"> NHS Digital. </w:t>
      </w:r>
      <w:r w:rsidR="00607D7A">
        <w:t>CCG</w:t>
      </w:r>
      <w:r>
        <w:t xml:space="preserve"> </w:t>
      </w:r>
      <w:r w:rsidR="00D92AEB">
        <w:t>outcomes indicator set</w:t>
      </w:r>
      <w:r>
        <w:t xml:space="preserve">, Indicator Quality Statement, Domain </w:t>
      </w:r>
      <w:r w:rsidR="00244E9A">
        <w:t>3</w:t>
      </w:r>
      <w:r>
        <w:t xml:space="preserve">. </w:t>
      </w:r>
      <w:r w:rsidR="00244E9A">
        <w:t>3.6</w:t>
      </w:r>
      <w:r w:rsidR="00607D7A">
        <w:t xml:space="preserve"> </w:t>
      </w:r>
      <w:r w:rsidR="00244E9A" w:rsidRPr="00244E9A">
        <w:t>People who have had an acute stroke who receive thrombolysis</w:t>
      </w:r>
      <w:r>
        <w:t xml:space="preserve">. Version </w:t>
      </w:r>
      <w:r w:rsidR="00244E9A">
        <w:t>1.5</w:t>
      </w:r>
      <w:r>
        <w:t xml:space="preserve">, </w:t>
      </w:r>
      <w:r w:rsidR="00D92AEB">
        <w:t>September</w:t>
      </w:r>
      <w:r>
        <w:t xml:space="preserve"> 201</w:t>
      </w:r>
      <w:r w:rsidR="00244E9A">
        <w:t>9</w:t>
      </w:r>
    </w:p>
  </w:footnote>
  <w:footnote w:id="2">
    <w:p w14:paraId="03BC7127" w14:textId="1EA1F560" w:rsidR="006953F9" w:rsidRDefault="006953F9" w:rsidP="006953F9">
      <w:pPr>
        <w:pStyle w:val="FootnoteText"/>
      </w:pPr>
      <w:r>
        <w:rPr>
          <w:rStyle w:val="FootnoteReference"/>
        </w:rPr>
        <w:footnoteRef/>
      </w:r>
      <w:r>
        <w:t xml:space="preserve"> </w:t>
      </w:r>
      <w:r w:rsidR="00244E9A" w:rsidRPr="00244E9A">
        <w:t>Stroke and transient ischaemic attack in over 16s: diagnosis and initial management</w:t>
      </w:r>
      <w:r>
        <w:t xml:space="preserve">, </w:t>
      </w:r>
      <w:r w:rsidR="00244E9A">
        <w:t>published</w:t>
      </w:r>
      <w:r>
        <w:t xml:space="preserve"> </w:t>
      </w:r>
      <w:r w:rsidR="00244E9A">
        <w:t>01</w:t>
      </w:r>
      <w:r>
        <w:t xml:space="preserve"> </w:t>
      </w:r>
      <w:r w:rsidR="00244E9A">
        <w:t>May</w:t>
      </w:r>
      <w:r>
        <w:t xml:space="preserve"> 20</w:t>
      </w:r>
      <w:r w:rsidR="00244E9A">
        <w:t>19</w:t>
      </w:r>
      <w:r>
        <w:t xml:space="preserve">. </w:t>
      </w:r>
      <w:hyperlink r:id="rId1" w:history="1">
        <w:r w:rsidR="00CF110E" w:rsidRPr="00CE172D">
          <w:rPr>
            <w:rStyle w:val="Hyperlink"/>
          </w:rPr>
          <w:t>https://www.nice.org.uk/guidance/ng128</w:t>
        </w:r>
      </w:hyperlink>
      <w:r w:rsidR="00CF110E">
        <w:t xml:space="preserve"> </w:t>
      </w:r>
    </w:p>
  </w:footnote>
  <w:footnote w:id="3">
    <w:p w14:paraId="5178E21F" w14:textId="03AF698A" w:rsidR="006E2052" w:rsidRDefault="006E2052">
      <w:pPr>
        <w:pStyle w:val="FootnoteText"/>
      </w:pPr>
      <w:r>
        <w:rPr>
          <w:rStyle w:val="FootnoteReference"/>
        </w:rPr>
        <w:footnoteRef/>
      </w:r>
      <w:r>
        <w:t xml:space="preserve"> </w:t>
      </w:r>
      <w:r w:rsidRPr="006E2052">
        <w:t>How is SSNAP supporting the NHS Long Term Plan?</w:t>
      </w:r>
      <w:r>
        <w:t xml:space="preserve"> </w:t>
      </w:r>
      <w:hyperlink r:id="rId2" w:history="1">
        <w:r w:rsidR="003A0226" w:rsidRPr="00FD3C2C">
          <w:rPr>
            <w:rStyle w:val="Hyperlink"/>
          </w:rPr>
          <w:t>https://www.strokeaudit.org/SupportFiles/Documents/miscellaneous/Impact_report_LTP.aspx</w:t>
        </w:r>
      </w:hyperlink>
      <w:r w:rsidR="003A022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000"/>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4ABD"/>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0EC1"/>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37A8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5D21"/>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93E"/>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44E9A"/>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6C83"/>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27A"/>
    <w:rsid w:val="00311ED0"/>
    <w:rsid w:val="00311FE4"/>
    <w:rsid w:val="003132FA"/>
    <w:rsid w:val="00314933"/>
    <w:rsid w:val="0031497D"/>
    <w:rsid w:val="00316D48"/>
    <w:rsid w:val="00320EE5"/>
    <w:rsid w:val="003236DA"/>
    <w:rsid w:val="003244E5"/>
    <w:rsid w:val="00324C60"/>
    <w:rsid w:val="00326131"/>
    <w:rsid w:val="00326482"/>
    <w:rsid w:val="00330EED"/>
    <w:rsid w:val="003316EF"/>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17C5"/>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226"/>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57D2"/>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00B2"/>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287A"/>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C47"/>
    <w:rsid w:val="004E0E78"/>
    <w:rsid w:val="004E4C4B"/>
    <w:rsid w:val="004E54B6"/>
    <w:rsid w:val="004F242D"/>
    <w:rsid w:val="004F3269"/>
    <w:rsid w:val="004F7D3A"/>
    <w:rsid w:val="005001FC"/>
    <w:rsid w:val="005009B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46304"/>
    <w:rsid w:val="00550783"/>
    <w:rsid w:val="005508EE"/>
    <w:rsid w:val="005533F8"/>
    <w:rsid w:val="005536FB"/>
    <w:rsid w:val="00555CC8"/>
    <w:rsid w:val="00556B58"/>
    <w:rsid w:val="005577FA"/>
    <w:rsid w:val="00561A27"/>
    <w:rsid w:val="00563415"/>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0F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07D7A"/>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46D7"/>
    <w:rsid w:val="00645411"/>
    <w:rsid w:val="0064588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3F9"/>
    <w:rsid w:val="00696325"/>
    <w:rsid w:val="006966FC"/>
    <w:rsid w:val="006A2C36"/>
    <w:rsid w:val="006A5E06"/>
    <w:rsid w:val="006B17FD"/>
    <w:rsid w:val="006B44E2"/>
    <w:rsid w:val="006B4804"/>
    <w:rsid w:val="006C0C61"/>
    <w:rsid w:val="006C3D61"/>
    <w:rsid w:val="006D4325"/>
    <w:rsid w:val="006D55A6"/>
    <w:rsid w:val="006D6BD0"/>
    <w:rsid w:val="006E09CB"/>
    <w:rsid w:val="006E1387"/>
    <w:rsid w:val="006E2052"/>
    <w:rsid w:val="006E2124"/>
    <w:rsid w:val="006E23A2"/>
    <w:rsid w:val="006E299B"/>
    <w:rsid w:val="006E303F"/>
    <w:rsid w:val="006E46C1"/>
    <w:rsid w:val="006E4E37"/>
    <w:rsid w:val="006E5D76"/>
    <w:rsid w:val="006F17D4"/>
    <w:rsid w:val="006F255A"/>
    <w:rsid w:val="006F273E"/>
    <w:rsid w:val="006F2843"/>
    <w:rsid w:val="006F3D8F"/>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3ADA"/>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1A3D"/>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B5983"/>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CC2"/>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65B8"/>
    <w:rsid w:val="009F7239"/>
    <w:rsid w:val="00A0249B"/>
    <w:rsid w:val="00A0479E"/>
    <w:rsid w:val="00A05C88"/>
    <w:rsid w:val="00A07644"/>
    <w:rsid w:val="00A11761"/>
    <w:rsid w:val="00A11ECD"/>
    <w:rsid w:val="00A12BE0"/>
    <w:rsid w:val="00A137EF"/>
    <w:rsid w:val="00A13A0D"/>
    <w:rsid w:val="00A14083"/>
    <w:rsid w:val="00A144F8"/>
    <w:rsid w:val="00A1592C"/>
    <w:rsid w:val="00A15A1F"/>
    <w:rsid w:val="00A166AB"/>
    <w:rsid w:val="00A16F4B"/>
    <w:rsid w:val="00A17B57"/>
    <w:rsid w:val="00A240EE"/>
    <w:rsid w:val="00A25B7F"/>
    <w:rsid w:val="00A264CE"/>
    <w:rsid w:val="00A27D39"/>
    <w:rsid w:val="00A3050E"/>
    <w:rsid w:val="00A305B3"/>
    <w:rsid w:val="00A32C40"/>
    <w:rsid w:val="00A3325A"/>
    <w:rsid w:val="00A4094A"/>
    <w:rsid w:val="00A426B6"/>
    <w:rsid w:val="00A426BE"/>
    <w:rsid w:val="00A526EF"/>
    <w:rsid w:val="00A53E97"/>
    <w:rsid w:val="00A54F81"/>
    <w:rsid w:val="00A60794"/>
    <w:rsid w:val="00A611A1"/>
    <w:rsid w:val="00A611CE"/>
    <w:rsid w:val="00A614C6"/>
    <w:rsid w:val="00A62592"/>
    <w:rsid w:val="00A7018B"/>
    <w:rsid w:val="00A70A7A"/>
    <w:rsid w:val="00A71410"/>
    <w:rsid w:val="00A74AE2"/>
    <w:rsid w:val="00A756BB"/>
    <w:rsid w:val="00A77B63"/>
    <w:rsid w:val="00A80975"/>
    <w:rsid w:val="00A80F87"/>
    <w:rsid w:val="00A8249A"/>
    <w:rsid w:val="00A85968"/>
    <w:rsid w:val="00A866E2"/>
    <w:rsid w:val="00A879B5"/>
    <w:rsid w:val="00A9015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5A5"/>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4AF5"/>
    <w:rsid w:val="00C2539E"/>
    <w:rsid w:val="00C278DE"/>
    <w:rsid w:val="00C2796B"/>
    <w:rsid w:val="00C3004B"/>
    <w:rsid w:val="00C316E1"/>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10E"/>
    <w:rsid w:val="00CF1333"/>
    <w:rsid w:val="00CF1BB4"/>
    <w:rsid w:val="00CF2FF8"/>
    <w:rsid w:val="00CF3F6B"/>
    <w:rsid w:val="00CF4851"/>
    <w:rsid w:val="00CF58B7"/>
    <w:rsid w:val="00CF58D0"/>
    <w:rsid w:val="00CF5DD6"/>
    <w:rsid w:val="00D0069F"/>
    <w:rsid w:val="00D007C0"/>
    <w:rsid w:val="00D010FB"/>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2AEB"/>
    <w:rsid w:val="00D939B7"/>
    <w:rsid w:val="00D950D8"/>
    <w:rsid w:val="00D95477"/>
    <w:rsid w:val="00D959C3"/>
    <w:rsid w:val="00D961B8"/>
    <w:rsid w:val="00DA1511"/>
    <w:rsid w:val="00DA6FB8"/>
    <w:rsid w:val="00DA777A"/>
    <w:rsid w:val="00DB0188"/>
    <w:rsid w:val="00DB26A8"/>
    <w:rsid w:val="00DB3C58"/>
    <w:rsid w:val="00DB48A4"/>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512E"/>
    <w:rsid w:val="00DF67C3"/>
    <w:rsid w:val="00DF6CEB"/>
    <w:rsid w:val="00E0098A"/>
    <w:rsid w:val="00E009D9"/>
    <w:rsid w:val="00E027D1"/>
    <w:rsid w:val="00E03F71"/>
    <w:rsid w:val="00E045EE"/>
    <w:rsid w:val="00E05AB5"/>
    <w:rsid w:val="00E06ED0"/>
    <w:rsid w:val="00E072F4"/>
    <w:rsid w:val="00E1082D"/>
    <w:rsid w:val="00E12B77"/>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7425"/>
    <w:rsid w:val="00EB2FE6"/>
    <w:rsid w:val="00EB3CD8"/>
    <w:rsid w:val="00EB6F5F"/>
    <w:rsid w:val="00EC7278"/>
    <w:rsid w:val="00ED07B2"/>
    <w:rsid w:val="00ED13E9"/>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5C62"/>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775"/>
    <w:rsid w:val="00F87E9D"/>
    <w:rsid w:val="00F9034E"/>
    <w:rsid w:val="00F916DC"/>
    <w:rsid w:val="00F94BD6"/>
    <w:rsid w:val="00F958CC"/>
    <w:rsid w:val="00FA464E"/>
    <w:rsid w:val="00FA60EE"/>
    <w:rsid w:val="00FA6BE6"/>
    <w:rsid w:val="00FB2379"/>
    <w:rsid w:val="00FB25E5"/>
    <w:rsid w:val="00FB3848"/>
    <w:rsid w:val="00FB5293"/>
    <w:rsid w:val="00FB5446"/>
    <w:rsid w:val="00FC0D46"/>
    <w:rsid w:val="00FC10ED"/>
    <w:rsid w:val="00FC1841"/>
    <w:rsid w:val="00FC2D11"/>
    <w:rsid w:val="00FC340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90153"/>
    <w:rPr>
      <w:sz w:val="20"/>
      <w:szCs w:val="20"/>
    </w:rPr>
  </w:style>
  <w:style w:type="character" w:customStyle="1" w:styleId="EndnoteTextChar">
    <w:name w:val="Endnote Text Char"/>
    <w:basedOn w:val="DefaultParagraphFont"/>
    <w:link w:val="EndnoteText"/>
    <w:semiHidden/>
    <w:rsid w:val="00A90153"/>
    <w:rPr>
      <w:lang w:eastAsia="en-US"/>
    </w:rPr>
  </w:style>
  <w:style w:type="character" w:customStyle="1" w:styleId="UnresolvedMention2">
    <w:name w:val="Unresolved Mention2"/>
    <w:basedOn w:val="DefaultParagraphFont"/>
    <w:uiPriority w:val="99"/>
    <w:semiHidden/>
    <w:unhideWhenUsed/>
    <w:rsid w:val="00CF110E"/>
    <w:rPr>
      <w:color w:val="605E5C"/>
      <w:shd w:val="clear" w:color="auto" w:fill="E1DFDD"/>
    </w:rPr>
  </w:style>
  <w:style w:type="character" w:customStyle="1" w:styleId="UnresolvedMention3">
    <w:name w:val="Unresolved Mention3"/>
    <w:basedOn w:val="DefaultParagraphFont"/>
    <w:uiPriority w:val="99"/>
    <w:semiHidden/>
    <w:unhideWhenUsed/>
    <w:rsid w:val="003A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0821786">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30812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35027360">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trokeaudit.org/SupportFiles/Documents/miscellaneous/Impact_report_LTP.aspx" TargetMode="External"/><Relationship Id="rId1" Type="http://schemas.openxmlformats.org/officeDocument/2006/relationships/hyperlink" Target="https://www.nice.org.uk/guidance/ng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90B8-64C0-4600-9A5E-6CACEF78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2022-02-28T14:19:00Z</dcterms:created>
  <dcterms:modified xsi:type="dcterms:W3CDTF">2022-03-16T20:51:00Z</dcterms:modified>
</cp:coreProperties>
</file>