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95BB3" w14:textId="3A165FE6" w:rsidR="00D13771" w:rsidRPr="006A4205" w:rsidRDefault="00D13771" w:rsidP="00D13771">
      <w:pPr>
        <w:jc w:val="center"/>
        <w:rPr>
          <w:b/>
          <w:bCs/>
          <w:sz w:val="28"/>
          <w:szCs w:val="28"/>
        </w:rPr>
      </w:pPr>
      <w:bookmarkStart w:id="0" w:name="_GoBack"/>
      <w:r w:rsidRPr="006A4205">
        <w:rPr>
          <w:b/>
          <w:bCs/>
          <w:sz w:val="28"/>
          <w:szCs w:val="28"/>
        </w:rPr>
        <w:t>NHS Digital</w:t>
      </w:r>
    </w:p>
    <w:p w14:paraId="33BFEB86" w14:textId="77777777" w:rsidR="00D13771" w:rsidRPr="006A4205" w:rsidRDefault="00D13771" w:rsidP="00D13771">
      <w:pPr>
        <w:jc w:val="center"/>
        <w:rPr>
          <w:b/>
          <w:bCs/>
          <w:sz w:val="28"/>
          <w:szCs w:val="28"/>
        </w:rPr>
      </w:pPr>
      <w:r w:rsidRPr="006A4205">
        <w:rPr>
          <w:b/>
          <w:bCs/>
          <w:sz w:val="28"/>
          <w:szCs w:val="28"/>
        </w:rPr>
        <w:t>Indicator Supporting Documentation</w:t>
      </w:r>
    </w:p>
    <w:p w14:paraId="356B343A" w14:textId="6511E2A5" w:rsidR="00D13771" w:rsidRPr="006A4205" w:rsidRDefault="00D13771" w:rsidP="00D13771">
      <w:pPr>
        <w:jc w:val="center"/>
        <w:rPr>
          <w:b/>
          <w:bCs/>
          <w:sz w:val="28"/>
          <w:szCs w:val="28"/>
        </w:rPr>
      </w:pPr>
      <w:r w:rsidRPr="006A4205">
        <w:rPr>
          <w:b/>
          <w:bCs/>
          <w:sz w:val="28"/>
          <w:szCs w:val="28"/>
        </w:rPr>
        <w:t>IAP0009</w:t>
      </w:r>
      <w:r w:rsidR="0023137D" w:rsidRPr="006A4205">
        <w:rPr>
          <w:b/>
          <w:bCs/>
          <w:sz w:val="28"/>
          <w:szCs w:val="28"/>
        </w:rPr>
        <w:t>4 Patients with stroke admitted to an acute stroke unit within 4 hours of arrival to hospital</w:t>
      </w:r>
    </w:p>
    <w:p w14:paraId="02C0CFF6" w14:textId="77777777" w:rsidR="00D13771" w:rsidRPr="006A4205" w:rsidRDefault="00D13771" w:rsidP="00D13771"/>
    <w:tbl>
      <w:tblPr>
        <w:tblStyle w:val="TableGrid"/>
        <w:tblW w:w="9923" w:type="dxa"/>
        <w:tblLayout w:type="fixed"/>
        <w:tblLook w:val="04A0" w:firstRow="1" w:lastRow="0" w:firstColumn="1" w:lastColumn="0" w:noHBand="0" w:noVBand="1"/>
      </w:tblPr>
      <w:tblGrid>
        <w:gridCol w:w="2830"/>
        <w:gridCol w:w="7093"/>
      </w:tblGrid>
      <w:tr w:rsidR="0023137D" w:rsidRPr="006A4205" w14:paraId="5489D00F" w14:textId="77777777" w:rsidTr="00D13771">
        <w:tc>
          <w:tcPr>
            <w:tcW w:w="2830" w:type="dxa"/>
          </w:tcPr>
          <w:p w14:paraId="2C6EE05F" w14:textId="68E507DA" w:rsidR="00BD69FE" w:rsidRPr="006A4205" w:rsidRDefault="00BD69FE" w:rsidP="00D13771">
            <w:pPr>
              <w:rPr>
                <w:b/>
                <w:sz w:val="24"/>
                <w:szCs w:val="24"/>
              </w:rPr>
            </w:pPr>
            <w:r w:rsidRPr="006A4205">
              <w:rPr>
                <w:sz w:val="24"/>
                <w:szCs w:val="24"/>
              </w:rPr>
              <w:t>IAP</w:t>
            </w:r>
            <w:r w:rsidR="004C64BB" w:rsidRPr="006A4205">
              <w:rPr>
                <w:sz w:val="24"/>
                <w:szCs w:val="24"/>
              </w:rPr>
              <w:t xml:space="preserve"> </w:t>
            </w:r>
            <w:r w:rsidRPr="006A4205">
              <w:rPr>
                <w:sz w:val="24"/>
                <w:szCs w:val="24"/>
              </w:rPr>
              <w:t>Code</w:t>
            </w:r>
          </w:p>
        </w:tc>
        <w:tc>
          <w:tcPr>
            <w:tcW w:w="7093" w:type="dxa"/>
          </w:tcPr>
          <w:p w14:paraId="34A261AC" w14:textId="66712793" w:rsidR="00BD69FE" w:rsidRPr="006A4205" w:rsidRDefault="00F1531F" w:rsidP="00D13771">
            <w:pPr>
              <w:rPr>
                <w:sz w:val="24"/>
                <w:szCs w:val="24"/>
              </w:rPr>
            </w:pPr>
            <w:r w:rsidRPr="006A4205">
              <w:rPr>
                <w:sz w:val="24"/>
                <w:szCs w:val="24"/>
              </w:rPr>
              <w:t>IAP000</w:t>
            </w:r>
            <w:r w:rsidR="006E7857" w:rsidRPr="006A4205">
              <w:rPr>
                <w:sz w:val="24"/>
                <w:szCs w:val="24"/>
              </w:rPr>
              <w:t>91</w:t>
            </w:r>
          </w:p>
        </w:tc>
      </w:tr>
      <w:tr w:rsidR="0023137D" w:rsidRPr="006A4205" w14:paraId="6629A3E7" w14:textId="77777777" w:rsidTr="00D13771">
        <w:tc>
          <w:tcPr>
            <w:tcW w:w="2830" w:type="dxa"/>
          </w:tcPr>
          <w:p w14:paraId="23997C39" w14:textId="77777777" w:rsidR="00BD69FE" w:rsidRPr="006A4205" w:rsidRDefault="00BD69FE" w:rsidP="00D13771">
            <w:pPr>
              <w:rPr>
                <w:b/>
                <w:sz w:val="24"/>
                <w:szCs w:val="24"/>
              </w:rPr>
            </w:pPr>
            <w:r w:rsidRPr="006A4205">
              <w:rPr>
                <w:sz w:val="24"/>
                <w:szCs w:val="24"/>
              </w:rPr>
              <w:t>Title</w:t>
            </w:r>
          </w:p>
        </w:tc>
        <w:tc>
          <w:tcPr>
            <w:tcW w:w="7093" w:type="dxa"/>
          </w:tcPr>
          <w:p w14:paraId="523F6C46" w14:textId="5CEF366A" w:rsidR="00BD69FE" w:rsidRPr="006A4205" w:rsidRDefault="001B753E" w:rsidP="00D13771">
            <w:pPr>
              <w:rPr>
                <w:sz w:val="24"/>
                <w:szCs w:val="24"/>
              </w:rPr>
            </w:pPr>
            <w:r w:rsidRPr="006A4205">
              <w:rPr>
                <w:sz w:val="24"/>
                <w:szCs w:val="24"/>
              </w:rPr>
              <w:t>People with stroke admitted to an acute stroke unit within 4 hours of arrival at hospital</w:t>
            </w:r>
          </w:p>
        </w:tc>
      </w:tr>
      <w:tr w:rsidR="0023137D" w:rsidRPr="006A4205" w14:paraId="28621C46" w14:textId="77777777" w:rsidTr="00D13771">
        <w:tc>
          <w:tcPr>
            <w:tcW w:w="2830" w:type="dxa"/>
          </w:tcPr>
          <w:p w14:paraId="052110F3" w14:textId="77777777" w:rsidR="00BD69FE" w:rsidRPr="006A4205" w:rsidRDefault="00BD69FE" w:rsidP="00D13771">
            <w:pPr>
              <w:rPr>
                <w:b/>
                <w:sz w:val="24"/>
                <w:szCs w:val="24"/>
              </w:rPr>
            </w:pPr>
            <w:r w:rsidRPr="006A4205">
              <w:rPr>
                <w:sz w:val="24"/>
                <w:szCs w:val="24"/>
              </w:rPr>
              <w:t>Published by</w:t>
            </w:r>
          </w:p>
        </w:tc>
        <w:tc>
          <w:tcPr>
            <w:tcW w:w="7093" w:type="dxa"/>
          </w:tcPr>
          <w:p w14:paraId="6093FD1D" w14:textId="5B75D0FC" w:rsidR="00BD69FE" w:rsidRPr="006A4205" w:rsidRDefault="00E47E82" w:rsidP="00D13771">
            <w:pPr>
              <w:rPr>
                <w:sz w:val="24"/>
                <w:szCs w:val="24"/>
              </w:rPr>
            </w:pPr>
            <w:r w:rsidRPr="006A4205">
              <w:rPr>
                <w:sz w:val="24"/>
                <w:szCs w:val="24"/>
              </w:rPr>
              <w:t xml:space="preserve">Department of Health and Social </w:t>
            </w:r>
            <w:r w:rsidR="00E7285A" w:rsidRPr="006A4205">
              <w:rPr>
                <w:sz w:val="24"/>
                <w:szCs w:val="24"/>
              </w:rPr>
              <w:t>C</w:t>
            </w:r>
            <w:r w:rsidRPr="006A4205">
              <w:rPr>
                <w:sz w:val="24"/>
                <w:szCs w:val="24"/>
              </w:rPr>
              <w:t>are</w:t>
            </w:r>
          </w:p>
        </w:tc>
      </w:tr>
      <w:tr w:rsidR="0023137D" w:rsidRPr="006A4205" w14:paraId="5181966B" w14:textId="77777777" w:rsidTr="00D13771">
        <w:tc>
          <w:tcPr>
            <w:tcW w:w="2830" w:type="dxa"/>
          </w:tcPr>
          <w:p w14:paraId="7CFA607F" w14:textId="77777777" w:rsidR="00BD69FE" w:rsidRPr="006A4205" w:rsidRDefault="00BD69FE" w:rsidP="00D13771">
            <w:pPr>
              <w:rPr>
                <w:b/>
                <w:sz w:val="24"/>
                <w:szCs w:val="24"/>
              </w:rPr>
            </w:pPr>
            <w:r w:rsidRPr="006A4205">
              <w:rPr>
                <w:sz w:val="24"/>
                <w:szCs w:val="24"/>
              </w:rPr>
              <w:t>Reporting period</w:t>
            </w:r>
          </w:p>
        </w:tc>
        <w:tc>
          <w:tcPr>
            <w:tcW w:w="7093" w:type="dxa"/>
          </w:tcPr>
          <w:p w14:paraId="2C54EFD5" w14:textId="796FC58C" w:rsidR="00BD69FE" w:rsidRPr="006A4205" w:rsidRDefault="00117176" w:rsidP="00D13771">
            <w:pPr>
              <w:rPr>
                <w:sz w:val="24"/>
                <w:szCs w:val="24"/>
              </w:rPr>
            </w:pPr>
            <w:r w:rsidRPr="006A4205">
              <w:rPr>
                <w:sz w:val="24"/>
                <w:szCs w:val="24"/>
              </w:rPr>
              <w:t>Annua</w:t>
            </w:r>
            <w:r w:rsidR="00AB5C38" w:rsidRPr="006A4205">
              <w:rPr>
                <w:sz w:val="24"/>
                <w:szCs w:val="24"/>
              </w:rPr>
              <w:t>l</w:t>
            </w:r>
          </w:p>
        </w:tc>
      </w:tr>
      <w:tr w:rsidR="0023137D" w:rsidRPr="006A4205" w14:paraId="1B9AB236" w14:textId="77777777" w:rsidTr="00D13771">
        <w:tc>
          <w:tcPr>
            <w:tcW w:w="2830" w:type="dxa"/>
          </w:tcPr>
          <w:p w14:paraId="134ECB6F" w14:textId="77777777" w:rsidR="00BD69FE" w:rsidRPr="006A4205" w:rsidRDefault="00BD69FE" w:rsidP="00D13771">
            <w:pPr>
              <w:rPr>
                <w:b/>
                <w:sz w:val="24"/>
                <w:szCs w:val="24"/>
              </w:rPr>
            </w:pPr>
            <w:r w:rsidRPr="006A4205">
              <w:rPr>
                <w:sz w:val="24"/>
                <w:szCs w:val="24"/>
              </w:rPr>
              <w:t>Geographical Coverage</w:t>
            </w:r>
          </w:p>
        </w:tc>
        <w:tc>
          <w:tcPr>
            <w:tcW w:w="7093" w:type="dxa"/>
          </w:tcPr>
          <w:p w14:paraId="50DF24FC" w14:textId="57392D02" w:rsidR="00BD69FE" w:rsidRPr="006A4205" w:rsidRDefault="00AB5C38" w:rsidP="00D13771">
            <w:pPr>
              <w:rPr>
                <w:sz w:val="24"/>
                <w:szCs w:val="24"/>
              </w:rPr>
            </w:pPr>
            <w:r w:rsidRPr="006A4205">
              <w:rPr>
                <w:sz w:val="24"/>
                <w:szCs w:val="24"/>
              </w:rPr>
              <w:t>England</w:t>
            </w:r>
          </w:p>
        </w:tc>
      </w:tr>
      <w:tr w:rsidR="0023137D" w:rsidRPr="006A4205" w14:paraId="64620C9C" w14:textId="77777777" w:rsidTr="00D13771">
        <w:tc>
          <w:tcPr>
            <w:tcW w:w="2830" w:type="dxa"/>
          </w:tcPr>
          <w:p w14:paraId="55C73694" w14:textId="77777777" w:rsidR="00BD69FE" w:rsidRPr="006A4205" w:rsidRDefault="00BD69FE" w:rsidP="00D13771">
            <w:pPr>
              <w:rPr>
                <w:b/>
                <w:sz w:val="24"/>
                <w:szCs w:val="24"/>
              </w:rPr>
            </w:pPr>
            <w:r w:rsidRPr="006A4205">
              <w:rPr>
                <w:sz w:val="24"/>
                <w:szCs w:val="24"/>
              </w:rPr>
              <w:t>Reporting level(s)</w:t>
            </w:r>
          </w:p>
        </w:tc>
        <w:tc>
          <w:tcPr>
            <w:tcW w:w="7093" w:type="dxa"/>
          </w:tcPr>
          <w:p w14:paraId="5685C1A0" w14:textId="03937D4E" w:rsidR="00BD69FE" w:rsidRPr="006A4205" w:rsidRDefault="009A6A53" w:rsidP="00D13771">
            <w:pPr>
              <w:rPr>
                <w:sz w:val="24"/>
                <w:szCs w:val="24"/>
              </w:rPr>
            </w:pPr>
            <w:r w:rsidRPr="006A4205">
              <w:rPr>
                <w:sz w:val="24"/>
                <w:szCs w:val="24"/>
              </w:rPr>
              <w:t>National</w:t>
            </w:r>
          </w:p>
        </w:tc>
      </w:tr>
      <w:tr w:rsidR="0023137D" w:rsidRPr="006A4205" w14:paraId="7A68395C" w14:textId="77777777" w:rsidTr="00D13771">
        <w:tc>
          <w:tcPr>
            <w:tcW w:w="2830" w:type="dxa"/>
          </w:tcPr>
          <w:p w14:paraId="4C73D882" w14:textId="77777777" w:rsidR="005F36B2" w:rsidRPr="006A4205" w:rsidRDefault="005F36B2" w:rsidP="005F36B2">
            <w:pPr>
              <w:rPr>
                <w:b/>
                <w:sz w:val="24"/>
                <w:szCs w:val="24"/>
              </w:rPr>
            </w:pPr>
            <w:r w:rsidRPr="006A4205">
              <w:rPr>
                <w:sz w:val="24"/>
                <w:szCs w:val="24"/>
              </w:rPr>
              <w:t>Based on data from</w:t>
            </w:r>
          </w:p>
        </w:tc>
        <w:tc>
          <w:tcPr>
            <w:tcW w:w="7093" w:type="dxa"/>
          </w:tcPr>
          <w:p w14:paraId="1345DE27" w14:textId="27034FBF" w:rsidR="00CD39AF" w:rsidRPr="006A4205" w:rsidRDefault="001B753E" w:rsidP="000242E0">
            <w:pPr>
              <w:rPr>
                <w:sz w:val="24"/>
                <w:szCs w:val="24"/>
              </w:rPr>
            </w:pPr>
            <w:r w:rsidRPr="006A4205">
              <w:rPr>
                <w:sz w:val="24"/>
                <w:szCs w:val="24"/>
              </w:rPr>
              <w:t>Royal College of Physicians’ Sentinel Stroke National Audit Programme (RCP SSNAP)</w:t>
            </w:r>
          </w:p>
        </w:tc>
      </w:tr>
      <w:tr w:rsidR="0023137D" w:rsidRPr="006A4205" w14:paraId="1B0918A4" w14:textId="77777777" w:rsidTr="00D13771">
        <w:tc>
          <w:tcPr>
            <w:tcW w:w="2830" w:type="dxa"/>
          </w:tcPr>
          <w:p w14:paraId="137B4A4E" w14:textId="77777777" w:rsidR="00BD69FE" w:rsidRPr="006A4205" w:rsidRDefault="00BD69FE" w:rsidP="00D13771">
            <w:pPr>
              <w:rPr>
                <w:b/>
                <w:sz w:val="24"/>
                <w:szCs w:val="24"/>
              </w:rPr>
            </w:pPr>
            <w:r w:rsidRPr="006A4205">
              <w:rPr>
                <w:sz w:val="24"/>
                <w:szCs w:val="24"/>
              </w:rPr>
              <w:t>Contact Author Name</w:t>
            </w:r>
          </w:p>
        </w:tc>
        <w:tc>
          <w:tcPr>
            <w:tcW w:w="7093" w:type="dxa"/>
          </w:tcPr>
          <w:p w14:paraId="62CF1756" w14:textId="77777777" w:rsidR="001B753E" w:rsidRPr="006A4205" w:rsidRDefault="001B753E" w:rsidP="001B753E">
            <w:pPr>
              <w:spacing w:before="240"/>
              <w:rPr>
                <w:sz w:val="24"/>
                <w:szCs w:val="24"/>
              </w:rPr>
            </w:pPr>
            <w:r w:rsidRPr="006A4205">
              <w:rPr>
                <w:sz w:val="24"/>
                <w:szCs w:val="24"/>
              </w:rPr>
              <w:t>Alison Roe, Senior Service Delivery Manager, HSCIC</w:t>
            </w:r>
          </w:p>
          <w:p w14:paraId="7BDE5252" w14:textId="4385104C" w:rsidR="00BD69FE" w:rsidRPr="006A4205" w:rsidRDefault="00BD69FE" w:rsidP="00D13771">
            <w:pPr>
              <w:rPr>
                <w:sz w:val="24"/>
                <w:szCs w:val="24"/>
              </w:rPr>
            </w:pPr>
          </w:p>
        </w:tc>
      </w:tr>
      <w:tr w:rsidR="0023137D" w:rsidRPr="006A4205" w14:paraId="12572889" w14:textId="77777777" w:rsidTr="00D13771">
        <w:tc>
          <w:tcPr>
            <w:tcW w:w="2830" w:type="dxa"/>
          </w:tcPr>
          <w:p w14:paraId="46C94C25" w14:textId="77777777" w:rsidR="00BD69FE" w:rsidRPr="006A4205" w:rsidRDefault="00BD69FE" w:rsidP="00D13771">
            <w:pPr>
              <w:rPr>
                <w:b/>
                <w:sz w:val="24"/>
                <w:szCs w:val="24"/>
              </w:rPr>
            </w:pPr>
            <w:r w:rsidRPr="006A4205">
              <w:rPr>
                <w:sz w:val="24"/>
                <w:szCs w:val="24"/>
              </w:rPr>
              <w:t>Contact Author Email</w:t>
            </w:r>
          </w:p>
        </w:tc>
        <w:tc>
          <w:tcPr>
            <w:tcW w:w="7093" w:type="dxa"/>
          </w:tcPr>
          <w:p w14:paraId="337B0AB9" w14:textId="10D05C1F" w:rsidR="00BD69FE" w:rsidRPr="006A4205" w:rsidRDefault="0023137D" w:rsidP="00D13771">
            <w:pPr>
              <w:rPr>
                <w:sz w:val="24"/>
                <w:szCs w:val="24"/>
              </w:rPr>
            </w:pPr>
            <w:hyperlink r:id="rId7" w:history="1">
              <w:r w:rsidR="001B753E" w:rsidRPr="006A4205">
                <w:rPr>
                  <w:rStyle w:val="Hyperlink"/>
                  <w:color w:val="auto"/>
                  <w:sz w:val="24"/>
                  <w:szCs w:val="24"/>
                </w:rPr>
                <w:t>ccgois@hscic.gov.uk</w:t>
              </w:r>
            </w:hyperlink>
          </w:p>
        </w:tc>
      </w:tr>
      <w:tr w:rsidR="0023137D" w:rsidRPr="006A4205" w14:paraId="146CE663" w14:textId="77777777" w:rsidTr="00D13771">
        <w:tc>
          <w:tcPr>
            <w:tcW w:w="2830" w:type="dxa"/>
          </w:tcPr>
          <w:p w14:paraId="2471F2F3" w14:textId="77777777" w:rsidR="00BD69FE" w:rsidRPr="006A4205" w:rsidRDefault="00BD69FE" w:rsidP="00D13771">
            <w:pPr>
              <w:rPr>
                <w:b/>
                <w:sz w:val="24"/>
                <w:szCs w:val="24"/>
              </w:rPr>
            </w:pPr>
            <w:r w:rsidRPr="006A4205">
              <w:rPr>
                <w:sz w:val="24"/>
                <w:szCs w:val="24"/>
              </w:rPr>
              <w:t>Rating</w:t>
            </w:r>
          </w:p>
        </w:tc>
        <w:tc>
          <w:tcPr>
            <w:tcW w:w="7093" w:type="dxa"/>
          </w:tcPr>
          <w:p w14:paraId="42821BAF" w14:textId="07DCA116" w:rsidR="00BD69FE" w:rsidRPr="006A4205" w:rsidRDefault="00327C29" w:rsidP="00D13771">
            <w:pPr>
              <w:rPr>
                <w:sz w:val="24"/>
                <w:szCs w:val="24"/>
              </w:rPr>
            </w:pPr>
            <w:r w:rsidRPr="006A4205">
              <w:rPr>
                <w:sz w:val="24"/>
                <w:szCs w:val="24"/>
              </w:rPr>
              <w:t>Fit for use</w:t>
            </w:r>
            <w:r w:rsidR="006E7857" w:rsidRPr="006A4205">
              <w:rPr>
                <w:sz w:val="24"/>
                <w:szCs w:val="24"/>
              </w:rPr>
              <w:t xml:space="preserve"> with caveats</w:t>
            </w:r>
          </w:p>
        </w:tc>
      </w:tr>
      <w:tr w:rsidR="0023137D" w:rsidRPr="006A4205" w14:paraId="36C90CDC" w14:textId="77777777" w:rsidTr="00D13771">
        <w:tc>
          <w:tcPr>
            <w:tcW w:w="2830" w:type="dxa"/>
          </w:tcPr>
          <w:p w14:paraId="6DDE63CB" w14:textId="77777777" w:rsidR="00BD69FE" w:rsidRPr="006A4205" w:rsidRDefault="00BD69FE" w:rsidP="00D13771">
            <w:pPr>
              <w:rPr>
                <w:b/>
                <w:sz w:val="24"/>
                <w:szCs w:val="24"/>
              </w:rPr>
            </w:pPr>
            <w:r w:rsidRPr="006A4205">
              <w:rPr>
                <w:sz w:val="24"/>
                <w:szCs w:val="24"/>
              </w:rPr>
              <w:t>Assurance date</w:t>
            </w:r>
          </w:p>
        </w:tc>
        <w:tc>
          <w:tcPr>
            <w:tcW w:w="7093" w:type="dxa"/>
          </w:tcPr>
          <w:p w14:paraId="07A7432F" w14:textId="1C715B98" w:rsidR="00BD69FE" w:rsidRPr="006A4205" w:rsidRDefault="00455ABB" w:rsidP="00D13771">
            <w:pPr>
              <w:rPr>
                <w:sz w:val="24"/>
                <w:szCs w:val="24"/>
              </w:rPr>
            </w:pPr>
            <w:r w:rsidRPr="006A4205">
              <w:rPr>
                <w:sz w:val="24"/>
                <w:szCs w:val="24"/>
              </w:rPr>
              <w:t>14/12/201</w:t>
            </w:r>
            <w:r w:rsidR="006E7857" w:rsidRPr="006A4205">
              <w:rPr>
                <w:sz w:val="24"/>
                <w:szCs w:val="24"/>
              </w:rPr>
              <w:t>5</w:t>
            </w:r>
          </w:p>
        </w:tc>
      </w:tr>
      <w:tr w:rsidR="0023137D" w:rsidRPr="006A4205" w14:paraId="2FD2A140" w14:textId="77777777" w:rsidTr="00D13771">
        <w:tc>
          <w:tcPr>
            <w:tcW w:w="2830" w:type="dxa"/>
          </w:tcPr>
          <w:p w14:paraId="71690B01" w14:textId="77777777" w:rsidR="00BD69FE" w:rsidRPr="006A4205" w:rsidRDefault="00BD69FE" w:rsidP="00D13771">
            <w:pPr>
              <w:rPr>
                <w:b/>
                <w:sz w:val="24"/>
                <w:szCs w:val="24"/>
              </w:rPr>
            </w:pPr>
            <w:r w:rsidRPr="006A4205">
              <w:rPr>
                <w:sz w:val="24"/>
                <w:szCs w:val="24"/>
              </w:rPr>
              <w:t>Review date</w:t>
            </w:r>
          </w:p>
        </w:tc>
        <w:tc>
          <w:tcPr>
            <w:tcW w:w="7093" w:type="dxa"/>
          </w:tcPr>
          <w:p w14:paraId="65D82364" w14:textId="1912CC9D" w:rsidR="00BD69FE" w:rsidRPr="006A4205" w:rsidRDefault="005A0891" w:rsidP="00D13771">
            <w:pPr>
              <w:rPr>
                <w:sz w:val="24"/>
                <w:szCs w:val="24"/>
              </w:rPr>
            </w:pPr>
            <w:r w:rsidRPr="006A4205">
              <w:rPr>
                <w:sz w:val="24"/>
                <w:szCs w:val="24"/>
              </w:rPr>
              <w:t>14/12/201</w:t>
            </w:r>
            <w:r w:rsidR="001B753E" w:rsidRPr="006A4205">
              <w:rPr>
                <w:sz w:val="24"/>
                <w:szCs w:val="24"/>
              </w:rPr>
              <w:t>8</w:t>
            </w:r>
          </w:p>
        </w:tc>
      </w:tr>
      <w:tr w:rsidR="0023137D" w:rsidRPr="006A4205" w14:paraId="5F25EAD6" w14:textId="77777777" w:rsidTr="00D13771">
        <w:tc>
          <w:tcPr>
            <w:tcW w:w="2830" w:type="dxa"/>
          </w:tcPr>
          <w:p w14:paraId="154752B2" w14:textId="77777777" w:rsidR="00BD69FE" w:rsidRPr="006A4205" w:rsidRDefault="00BD69FE" w:rsidP="00D13771">
            <w:pPr>
              <w:rPr>
                <w:b/>
                <w:sz w:val="24"/>
                <w:szCs w:val="24"/>
              </w:rPr>
            </w:pPr>
            <w:r w:rsidRPr="006A4205">
              <w:rPr>
                <w:sz w:val="24"/>
                <w:szCs w:val="24"/>
              </w:rPr>
              <w:t>Indicator set</w:t>
            </w:r>
          </w:p>
        </w:tc>
        <w:tc>
          <w:tcPr>
            <w:tcW w:w="7093" w:type="dxa"/>
          </w:tcPr>
          <w:p w14:paraId="6C3C44BD" w14:textId="732EB927" w:rsidR="00BD69FE" w:rsidRPr="006A4205" w:rsidRDefault="001B753E" w:rsidP="00D13771">
            <w:pPr>
              <w:rPr>
                <w:sz w:val="24"/>
                <w:szCs w:val="24"/>
              </w:rPr>
            </w:pPr>
            <w:r w:rsidRPr="006A4205">
              <w:rPr>
                <w:sz w:val="24"/>
                <w:szCs w:val="24"/>
              </w:rPr>
              <w:t>CCG Outcomes Indicator Set (OIS) 3.5</w:t>
            </w:r>
          </w:p>
        </w:tc>
      </w:tr>
      <w:tr w:rsidR="0023137D" w:rsidRPr="006A4205" w14:paraId="6F4A3701" w14:textId="77777777" w:rsidTr="00D13771">
        <w:tc>
          <w:tcPr>
            <w:tcW w:w="2830" w:type="dxa"/>
          </w:tcPr>
          <w:p w14:paraId="42EBDFE1" w14:textId="77777777" w:rsidR="00BD69FE" w:rsidRPr="006A4205" w:rsidRDefault="00BD69FE" w:rsidP="00D13771">
            <w:pPr>
              <w:rPr>
                <w:b/>
                <w:sz w:val="24"/>
                <w:szCs w:val="24"/>
              </w:rPr>
            </w:pPr>
            <w:r w:rsidRPr="006A4205">
              <w:rPr>
                <w:sz w:val="24"/>
                <w:szCs w:val="24"/>
              </w:rPr>
              <w:t xml:space="preserve">Brief Description </w:t>
            </w:r>
          </w:p>
          <w:p w14:paraId="71948065" w14:textId="5A3CC882" w:rsidR="00BD69FE" w:rsidRPr="006A4205" w:rsidRDefault="00BD69FE" w:rsidP="00D13771">
            <w:pPr>
              <w:rPr>
                <w:b/>
                <w:sz w:val="24"/>
                <w:szCs w:val="24"/>
              </w:rPr>
            </w:pPr>
          </w:p>
        </w:tc>
        <w:tc>
          <w:tcPr>
            <w:tcW w:w="7093" w:type="dxa"/>
          </w:tcPr>
          <w:p w14:paraId="690E93D5" w14:textId="2A63BFD1" w:rsidR="00BD69FE" w:rsidRPr="006A4205" w:rsidRDefault="001B753E" w:rsidP="00A60CBB">
            <w:pPr>
              <w:rPr>
                <w:sz w:val="24"/>
                <w:szCs w:val="24"/>
              </w:rPr>
            </w:pPr>
            <w:r w:rsidRPr="006A4205">
              <w:rPr>
                <w:sz w:val="24"/>
                <w:szCs w:val="24"/>
                <w:shd w:val="clear" w:color="auto" w:fill="F0F4F5"/>
              </w:rPr>
              <w:t>This indicator measures the percentage of people who have had a stroke who were admitted to an acute stroke unit within 4 hours of arrival to hospital.</w:t>
            </w:r>
          </w:p>
        </w:tc>
      </w:tr>
      <w:tr w:rsidR="0023137D" w:rsidRPr="006A4205" w14:paraId="30049EB2" w14:textId="77777777" w:rsidTr="00D13771">
        <w:tc>
          <w:tcPr>
            <w:tcW w:w="2830" w:type="dxa"/>
          </w:tcPr>
          <w:p w14:paraId="4DB2E955" w14:textId="77777777" w:rsidR="00BD69FE" w:rsidRPr="006A4205" w:rsidRDefault="00BD69FE" w:rsidP="00D13771">
            <w:pPr>
              <w:rPr>
                <w:b/>
                <w:sz w:val="24"/>
                <w:szCs w:val="24"/>
              </w:rPr>
            </w:pPr>
            <w:r w:rsidRPr="006A4205">
              <w:rPr>
                <w:sz w:val="24"/>
                <w:szCs w:val="24"/>
              </w:rPr>
              <w:t>Purpose</w:t>
            </w:r>
          </w:p>
        </w:tc>
        <w:tc>
          <w:tcPr>
            <w:tcW w:w="7093" w:type="dxa"/>
          </w:tcPr>
          <w:p w14:paraId="63AE47C8" w14:textId="54E7CEEF" w:rsidR="00BD69FE" w:rsidRPr="006A4205" w:rsidRDefault="001B753E" w:rsidP="00AE3DF6">
            <w:pPr>
              <w:rPr>
                <w:sz w:val="24"/>
                <w:szCs w:val="24"/>
              </w:rPr>
            </w:pPr>
            <w:r w:rsidRPr="006A4205">
              <w:rPr>
                <w:sz w:val="24"/>
                <w:szCs w:val="24"/>
                <w:shd w:val="clear" w:color="auto" w:fill="F0F4F5"/>
              </w:rPr>
              <w:t>Patients who have had a stroke should be admitted directly to a specialist acute stroke unit. There is a clear link between getting patients to a stroke unit quickly and improved quality of care and improved outcomes for the patient.</w:t>
            </w:r>
            <w:r w:rsidRPr="006A4205">
              <w:rPr>
                <w:sz w:val="24"/>
                <w:szCs w:val="24"/>
              </w:rPr>
              <w:br/>
            </w:r>
            <w:r w:rsidRPr="006A4205">
              <w:rPr>
                <w:sz w:val="24"/>
                <w:szCs w:val="24"/>
              </w:rPr>
              <w:br/>
            </w:r>
            <w:r w:rsidRPr="006A4205">
              <w:rPr>
                <w:sz w:val="24"/>
                <w:szCs w:val="24"/>
                <w:shd w:val="clear" w:color="auto" w:fill="F0F4F5"/>
              </w:rPr>
              <w:t xml:space="preserve">This indicator is an important measure of the effectiveness of recognising the signs of a stroke, assessing the symptoms and getting the patient to a stroke unit as quickly as possible. Patients who have a stroke in hospital are included in the indicator to </w:t>
            </w:r>
            <w:proofErr w:type="gramStart"/>
            <w:r w:rsidRPr="006A4205">
              <w:rPr>
                <w:sz w:val="24"/>
                <w:szCs w:val="24"/>
                <w:shd w:val="clear" w:color="auto" w:fill="F0F4F5"/>
              </w:rPr>
              <w:t>take into account</w:t>
            </w:r>
            <w:proofErr w:type="gramEnd"/>
            <w:r w:rsidRPr="006A4205">
              <w:rPr>
                <w:sz w:val="24"/>
                <w:szCs w:val="24"/>
                <w:shd w:val="clear" w:color="auto" w:fill="F0F4F5"/>
              </w:rPr>
              <w:t xml:space="preserve"> the process of recognising a stroke has occurred and the systems in place for caring for the patient.</w:t>
            </w:r>
          </w:p>
        </w:tc>
      </w:tr>
      <w:tr w:rsidR="0023137D" w:rsidRPr="006A4205" w14:paraId="54849C45" w14:textId="77777777" w:rsidTr="00D13771">
        <w:tc>
          <w:tcPr>
            <w:tcW w:w="2830" w:type="dxa"/>
          </w:tcPr>
          <w:p w14:paraId="70E47248" w14:textId="77777777" w:rsidR="00BD69FE" w:rsidRPr="006A4205" w:rsidRDefault="00BD69FE" w:rsidP="00D13771">
            <w:pPr>
              <w:rPr>
                <w:bCs/>
                <w:sz w:val="24"/>
                <w:szCs w:val="24"/>
              </w:rPr>
            </w:pPr>
            <w:r w:rsidRPr="006A4205">
              <w:rPr>
                <w:sz w:val="24"/>
                <w:szCs w:val="24"/>
              </w:rPr>
              <w:t>Definition</w:t>
            </w:r>
          </w:p>
        </w:tc>
        <w:tc>
          <w:tcPr>
            <w:tcW w:w="7093" w:type="dxa"/>
          </w:tcPr>
          <w:p w14:paraId="07013616" w14:textId="38C27706" w:rsidR="00BD69FE" w:rsidRPr="006A4205" w:rsidRDefault="001B753E" w:rsidP="006E7857">
            <w:pPr>
              <w:rPr>
                <w:sz w:val="24"/>
                <w:szCs w:val="24"/>
              </w:rPr>
            </w:pPr>
            <w:r w:rsidRPr="006A4205">
              <w:rPr>
                <w:sz w:val="24"/>
                <w:szCs w:val="24"/>
                <w:shd w:val="clear" w:color="auto" w:fill="F0F4F5"/>
              </w:rPr>
              <w:t>The percentage of people who have had a stroke admitted to an acute stroke unit within 4 hours of arrival at hospital.</w:t>
            </w:r>
            <w:r w:rsidRPr="006A4205">
              <w:rPr>
                <w:sz w:val="24"/>
                <w:szCs w:val="24"/>
              </w:rPr>
              <w:br/>
            </w:r>
            <w:r w:rsidRPr="006A4205">
              <w:rPr>
                <w:sz w:val="24"/>
                <w:szCs w:val="24"/>
              </w:rPr>
              <w:br/>
            </w:r>
            <w:r w:rsidRPr="006A4205">
              <w:rPr>
                <w:sz w:val="24"/>
                <w:szCs w:val="24"/>
                <w:shd w:val="clear" w:color="auto" w:fill="F0F4F5"/>
              </w:rPr>
              <w:t>The indicator is published annually in December for each Clinical Commissioning Group (CCG) in England. It was published for the first time in December 2014 (2013/14 data).</w:t>
            </w:r>
          </w:p>
        </w:tc>
      </w:tr>
      <w:tr w:rsidR="0023137D" w:rsidRPr="006A4205" w14:paraId="6E1036B1" w14:textId="77777777" w:rsidTr="00D13771">
        <w:tc>
          <w:tcPr>
            <w:tcW w:w="2830" w:type="dxa"/>
          </w:tcPr>
          <w:p w14:paraId="3CE98FA2" w14:textId="77777777" w:rsidR="003F156D" w:rsidRPr="006A4205" w:rsidRDefault="003F156D" w:rsidP="003F156D">
            <w:pPr>
              <w:rPr>
                <w:b/>
                <w:sz w:val="24"/>
                <w:szCs w:val="24"/>
              </w:rPr>
            </w:pPr>
            <w:r w:rsidRPr="006A4205">
              <w:rPr>
                <w:sz w:val="24"/>
                <w:szCs w:val="24"/>
              </w:rPr>
              <w:t>Data Source</w:t>
            </w:r>
          </w:p>
        </w:tc>
        <w:tc>
          <w:tcPr>
            <w:tcW w:w="7093" w:type="dxa"/>
          </w:tcPr>
          <w:p w14:paraId="42CACB98" w14:textId="77777777" w:rsidR="001B753E" w:rsidRPr="006A4205" w:rsidRDefault="001B753E" w:rsidP="001B753E">
            <w:pPr>
              <w:spacing w:before="240"/>
              <w:rPr>
                <w:sz w:val="24"/>
                <w:szCs w:val="24"/>
              </w:rPr>
            </w:pPr>
            <w:r w:rsidRPr="006A4205">
              <w:rPr>
                <w:sz w:val="24"/>
                <w:szCs w:val="24"/>
              </w:rPr>
              <w:t xml:space="preserve">RCP SSNAP </w:t>
            </w:r>
          </w:p>
          <w:p w14:paraId="6738187C" w14:textId="5515DCF7" w:rsidR="003F156D" w:rsidRPr="006A4205" w:rsidRDefault="003F156D" w:rsidP="00BC310E">
            <w:pPr>
              <w:rPr>
                <w:sz w:val="24"/>
                <w:szCs w:val="24"/>
              </w:rPr>
            </w:pPr>
          </w:p>
        </w:tc>
      </w:tr>
      <w:tr w:rsidR="0023137D" w:rsidRPr="006A4205" w14:paraId="1EF5CCA7" w14:textId="77777777" w:rsidTr="00D13771">
        <w:tc>
          <w:tcPr>
            <w:tcW w:w="2830" w:type="dxa"/>
          </w:tcPr>
          <w:p w14:paraId="75E42FA3" w14:textId="77777777" w:rsidR="003F156D" w:rsidRPr="006A4205" w:rsidRDefault="003F156D" w:rsidP="003F156D">
            <w:pPr>
              <w:rPr>
                <w:b/>
                <w:sz w:val="24"/>
                <w:szCs w:val="24"/>
              </w:rPr>
            </w:pPr>
            <w:r w:rsidRPr="006A4205">
              <w:rPr>
                <w:sz w:val="24"/>
                <w:szCs w:val="24"/>
              </w:rPr>
              <w:lastRenderedPageBreak/>
              <w:t>Numerator</w:t>
            </w:r>
          </w:p>
        </w:tc>
        <w:tc>
          <w:tcPr>
            <w:tcW w:w="7093" w:type="dxa"/>
          </w:tcPr>
          <w:p w14:paraId="4E048882" w14:textId="5524D7A4" w:rsidR="003F156D" w:rsidRPr="006A4205" w:rsidRDefault="001B753E" w:rsidP="00F01683">
            <w:pPr>
              <w:rPr>
                <w:sz w:val="24"/>
                <w:szCs w:val="24"/>
              </w:rPr>
            </w:pPr>
            <w:r w:rsidRPr="006A4205">
              <w:rPr>
                <w:sz w:val="24"/>
                <w:szCs w:val="24"/>
              </w:rPr>
              <w:t>Of the denominator, the number of patients whose first ward of admission is a stroke unit AND who are admitted to the stroke unit within 4 hours of arrival at hospital, except for those patients who were already in hospital at the time of new stroke occurrence, who are admitted to a stroke unit within 4 hours of onset of stroke symptoms.</w:t>
            </w:r>
          </w:p>
        </w:tc>
      </w:tr>
      <w:tr w:rsidR="0023137D" w:rsidRPr="006A4205" w14:paraId="22216F2F" w14:textId="77777777" w:rsidTr="00D13771">
        <w:tc>
          <w:tcPr>
            <w:tcW w:w="2830" w:type="dxa"/>
          </w:tcPr>
          <w:p w14:paraId="6B547D53" w14:textId="77777777" w:rsidR="003F156D" w:rsidRPr="006A4205" w:rsidRDefault="003F156D" w:rsidP="003F156D">
            <w:pPr>
              <w:rPr>
                <w:b/>
                <w:sz w:val="24"/>
                <w:szCs w:val="24"/>
              </w:rPr>
            </w:pPr>
            <w:r w:rsidRPr="006A4205">
              <w:rPr>
                <w:sz w:val="24"/>
                <w:szCs w:val="24"/>
              </w:rPr>
              <w:t>Denominator</w:t>
            </w:r>
          </w:p>
        </w:tc>
        <w:tc>
          <w:tcPr>
            <w:tcW w:w="7093" w:type="dxa"/>
          </w:tcPr>
          <w:p w14:paraId="3E1471B1" w14:textId="77777777" w:rsidR="001B753E" w:rsidRPr="006A4205" w:rsidRDefault="001B753E" w:rsidP="001B753E">
            <w:pPr>
              <w:spacing w:before="240"/>
              <w:rPr>
                <w:sz w:val="24"/>
                <w:szCs w:val="24"/>
              </w:rPr>
            </w:pPr>
            <w:r w:rsidRPr="006A4205">
              <w:rPr>
                <w:sz w:val="24"/>
                <w:szCs w:val="24"/>
              </w:rPr>
              <w:t>All patients admitted to hospital with a primary diagnosis of stroke, except for those whose first ward of admission was ITU, CCU or HDU.</w:t>
            </w:r>
          </w:p>
          <w:p w14:paraId="2358D649" w14:textId="315A6B31" w:rsidR="003F156D" w:rsidRPr="006A4205" w:rsidRDefault="001B753E" w:rsidP="001B753E">
            <w:pPr>
              <w:rPr>
                <w:sz w:val="24"/>
                <w:szCs w:val="24"/>
              </w:rPr>
            </w:pPr>
            <w:r w:rsidRPr="006A4205">
              <w:rPr>
                <w:sz w:val="24"/>
                <w:szCs w:val="24"/>
              </w:rPr>
              <w:t>(ITU = Intensive Treatment Unit, CCU = Critical Care Unit, HDU = High Dependency Unit)</w:t>
            </w:r>
          </w:p>
        </w:tc>
      </w:tr>
      <w:tr w:rsidR="0023137D" w:rsidRPr="006A4205" w14:paraId="5FC03589" w14:textId="77777777" w:rsidTr="00D13771">
        <w:tc>
          <w:tcPr>
            <w:tcW w:w="2830" w:type="dxa"/>
          </w:tcPr>
          <w:p w14:paraId="21F9D9B3" w14:textId="6258CCEF" w:rsidR="003F156D" w:rsidRPr="006A4205" w:rsidRDefault="00F01683" w:rsidP="003F156D">
            <w:pPr>
              <w:rPr>
                <w:sz w:val="24"/>
                <w:szCs w:val="24"/>
              </w:rPr>
            </w:pPr>
            <w:r w:rsidRPr="006A4205">
              <w:rPr>
                <w:sz w:val="24"/>
                <w:szCs w:val="24"/>
              </w:rPr>
              <w:t>Calculation</w:t>
            </w:r>
          </w:p>
        </w:tc>
        <w:tc>
          <w:tcPr>
            <w:tcW w:w="7093" w:type="dxa"/>
          </w:tcPr>
          <w:p w14:paraId="5E60FB0C" w14:textId="77777777" w:rsidR="001B753E" w:rsidRPr="006A4205" w:rsidRDefault="001B753E" w:rsidP="001B753E">
            <w:pPr>
              <w:spacing w:before="240"/>
              <w:rPr>
                <w:sz w:val="24"/>
                <w:szCs w:val="24"/>
              </w:rPr>
            </w:pPr>
            <w:r w:rsidRPr="006A4205">
              <w:rPr>
                <w:sz w:val="24"/>
                <w:szCs w:val="24"/>
              </w:rPr>
              <w:t xml:space="preserve">The percentage </w:t>
            </w:r>
            <w:r w:rsidRPr="006A4205">
              <w:rPr>
                <w:i/>
                <w:sz w:val="24"/>
                <w:szCs w:val="24"/>
              </w:rPr>
              <w:t>p</w:t>
            </w:r>
            <w:r w:rsidRPr="006A4205">
              <w:rPr>
                <w:sz w:val="24"/>
                <w:szCs w:val="24"/>
              </w:rPr>
              <w:t xml:space="preserve"> is given by:</w:t>
            </w:r>
            <w:r w:rsidRPr="006A4205">
              <w:rPr>
                <w:sz w:val="24"/>
                <w:szCs w:val="24"/>
              </w:rPr>
              <w:tab/>
            </w:r>
            <w:r w:rsidRPr="006A4205">
              <w:rPr>
                <w:sz w:val="24"/>
                <w:szCs w:val="24"/>
              </w:rPr>
              <w:tab/>
            </w:r>
            <w:r w:rsidRPr="006A4205">
              <w:rPr>
                <w:sz w:val="24"/>
                <w:szCs w:val="24"/>
              </w:rPr>
              <w:tab/>
            </w:r>
          </w:p>
          <w:p w14:paraId="498BDD5E" w14:textId="77777777" w:rsidR="001B753E" w:rsidRPr="006A4205" w:rsidRDefault="001B753E" w:rsidP="001B753E">
            <w:pPr>
              <w:rPr>
                <w:i/>
                <w:sz w:val="24"/>
                <w:szCs w:val="24"/>
              </w:rPr>
            </w:pPr>
            <m:oMathPara>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O</m:t>
                    </m:r>
                  </m:num>
                  <m:den>
                    <m:r>
                      <w:rPr>
                        <w:rFonts w:ascii="Cambria Math" w:hAnsi="Cambria Math"/>
                        <w:sz w:val="24"/>
                        <w:szCs w:val="24"/>
                      </w:rPr>
                      <m:t>n</m:t>
                    </m:r>
                  </m:den>
                </m:f>
                <m:r>
                  <w:rPr>
                    <w:rFonts w:ascii="Cambria Math" w:hAnsi="Cambria Math"/>
                    <w:sz w:val="24"/>
                    <w:szCs w:val="24"/>
                  </w:rPr>
                  <m:t>×100</m:t>
                </m:r>
              </m:oMath>
            </m:oMathPara>
          </w:p>
          <w:p w14:paraId="15B8291B" w14:textId="77777777" w:rsidR="001B753E" w:rsidRPr="006A4205" w:rsidRDefault="001B753E" w:rsidP="001B753E">
            <w:pPr>
              <w:rPr>
                <w:sz w:val="24"/>
                <w:szCs w:val="24"/>
              </w:rPr>
            </w:pPr>
            <w:r w:rsidRPr="006A4205">
              <w:rPr>
                <w:sz w:val="24"/>
                <w:szCs w:val="24"/>
              </w:rPr>
              <w:t>where:</w:t>
            </w:r>
            <w:r w:rsidRPr="006A4205">
              <w:rPr>
                <w:sz w:val="24"/>
                <w:szCs w:val="24"/>
              </w:rPr>
              <w:tab/>
            </w:r>
            <w:r w:rsidRPr="006A4205">
              <w:rPr>
                <w:sz w:val="24"/>
                <w:szCs w:val="24"/>
              </w:rPr>
              <w:tab/>
            </w:r>
            <w:r w:rsidRPr="006A4205">
              <w:rPr>
                <w:sz w:val="24"/>
                <w:szCs w:val="24"/>
              </w:rPr>
              <w:tab/>
            </w:r>
          </w:p>
          <w:p w14:paraId="09215B82" w14:textId="550DAF00" w:rsidR="00C3717E" w:rsidRPr="006A4205" w:rsidRDefault="001B753E" w:rsidP="001B753E">
            <w:pPr>
              <w:rPr>
                <w:sz w:val="24"/>
                <w:szCs w:val="24"/>
              </w:rPr>
            </w:pPr>
            <w:r w:rsidRPr="006A4205">
              <w:rPr>
                <w:i/>
                <w:sz w:val="24"/>
                <w:szCs w:val="24"/>
              </w:rPr>
              <w:t>O</w:t>
            </w:r>
            <w:r w:rsidRPr="006A4205">
              <w:rPr>
                <w:sz w:val="24"/>
                <w:szCs w:val="24"/>
              </w:rPr>
              <w:t xml:space="preserve"> is the numerator and </w:t>
            </w:r>
            <w:r w:rsidRPr="006A4205">
              <w:rPr>
                <w:i/>
                <w:sz w:val="24"/>
                <w:szCs w:val="24"/>
              </w:rPr>
              <w:t>n</w:t>
            </w:r>
            <w:r w:rsidRPr="006A4205">
              <w:rPr>
                <w:sz w:val="24"/>
                <w:szCs w:val="24"/>
              </w:rPr>
              <w:t xml:space="preserve"> </w:t>
            </w:r>
            <w:proofErr w:type="gramStart"/>
            <w:r w:rsidRPr="006A4205">
              <w:rPr>
                <w:sz w:val="24"/>
                <w:szCs w:val="24"/>
              </w:rPr>
              <w:t>is</w:t>
            </w:r>
            <w:proofErr w:type="gramEnd"/>
            <w:r w:rsidRPr="006A4205">
              <w:rPr>
                <w:sz w:val="24"/>
                <w:szCs w:val="24"/>
              </w:rPr>
              <w:t xml:space="preserve"> the denominator.</w:t>
            </w:r>
          </w:p>
        </w:tc>
      </w:tr>
      <w:tr w:rsidR="0023137D" w:rsidRPr="006A4205" w14:paraId="4E697DFD" w14:textId="77777777" w:rsidTr="00D13771">
        <w:tc>
          <w:tcPr>
            <w:tcW w:w="2830" w:type="dxa"/>
          </w:tcPr>
          <w:p w14:paraId="431E676E" w14:textId="77777777" w:rsidR="003F156D" w:rsidRPr="006A4205" w:rsidRDefault="003F156D" w:rsidP="003F156D">
            <w:pPr>
              <w:rPr>
                <w:b/>
                <w:sz w:val="24"/>
                <w:szCs w:val="24"/>
              </w:rPr>
            </w:pPr>
            <w:r w:rsidRPr="006A4205">
              <w:rPr>
                <w:sz w:val="24"/>
                <w:szCs w:val="24"/>
              </w:rPr>
              <w:t>Interpretation Guidelines</w:t>
            </w:r>
          </w:p>
        </w:tc>
        <w:tc>
          <w:tcPr>
            <w:tcW w:w="7093" w:type="dxa"/>
          </w:tcPr>
          <w:p w14:paraId="0072C7D9" w14:textId="2035C385" w:rsidR="003F156D" w:rsidRPr="006A4205" w:rsidRDefault="001B753E" w:rsidP="008A2AC8">
            <w:pPr>
              <w:rPr>
                <w:sz w:val="24"/>
                <w:szCs w:val="24"/>
              </w:rPr>
            </w:pPr>
            <w:r w:rsidRPr="006A4205">
              <w:rPr>
                <w:sz w:val="24"/>
                <w:szCs w:val="24"/>
                <w:shd w:val="clear" w:color="auto" w:fill="F0F4F5"/>
              </w:rPr>
              <w:t>A high percentage indicator value is desirable.</w:t>
            </w:r>
            <w:r w:rsidRPr="006A4205">
              <w:rPr>
                <w:sz w:val="24"/>
                <w:szCs w:val="24"/>
              </w:rPr>
              <w:br/>
            </w:r>
            <w:r w:rsidRPr="006A4205">
              <w:rPr>
                <w:sz w:val="24"/>
                <w:szCs w:val="24"/>
              </w:rPr>
              <w:br/>
            </w:r>
            <w:r w:rsidRPr="006A4205">
              <w:rPr>
                <w:sz w:val="24"/>
                <w:szCs w:val="24"/>
                <w:shd w:val="clear" w:color="auto" w:fill="F0F4F5"/>
              </w:rPr>
              <w:t>For a small percentage of patients, direct admission to a stroke unit is not appropriate. It differentiates between acceptable locations for admission, for example intensive care, and non-acceptable locations, for example generic admissions units.</w:t>
            </w:r>
            <w:r w:rsidRPr="006A4205">
              <w:rPr>
                <w:sz w:val="24"/>
                <w:szCs w:val="24"/>
              </w:rPr>
              <w:br/>
            </w:r>
            <w:r w:rsidRPr="006A4205">
              <w:rPr>
                <w:sz w:val="24"/>
                <w:szCs w:val="24"/>
              </w:rPr>
              <w:br/>
            </w:r>
            <w:r w:rsidRPr="006A4205">
              <w:rPr>
                <w:sz w:val="24"/>
                <w:szCs w:val="24"/>
                <w:shd w:val="clear" w:color="auto" w:fill="F0F4F5"/>
              </w:rPr>
              <w:t>This indicator should be considered alongside information from other indicators and alternative sources, such as Clinical Commissioning Groups Outcomes Indicator Set (CCG OIS) 3.9 (People who have had an acute stroke who spend 90% or more of their stay on a stroke unit) and the CCG level Sentinel Stroke National Audit Programme (SSNAP) stroke unit key indicators. When evaluated together, these will help to provide a comprehensive view of CCG outcomes and provide a more complete overview of the impact of the CCGs’ processes on outcomes.</w:t>
            </w:r>
          </w:p>
        </w:tc>
      </w:tr>
      <w:tr w:rsidR="003F156D" w:rsidRPr="006A4205" w14:paraId="0E3B7774" w14:textId="77777777" w:rsidTr="00D13771">
        <w:tc>
          <w:tcPr>
            <w:tcW w:w="2830" w:type="dxa"/>
          </w:tcPr>
          <w:p w14:paraId="2326D945" w14:textId="77777777" w:rsidR="003F156D" w:rsidRPr="006A4205" w:rsidRDefault="003F156D" w:rsidP="003F156D">
            <w:pPr>
              <w:rPr>
                <w:b/>
                <w:sz w:val="24"/>
                <w:szCs w:val="24"/>
              </w:rPr>
            </w:pPr>
            <w:r w:rsidRPr="006A4205">
              <w:rPr>
                <w:sz w:val="24"/>
                <w:szCs w:val="24"/>
              </w:rPr>
              <w:t>Caveats</w:t>
            </w:r>
          </w:p>
        </w:tc>
        <w:tc>
          <w:tcPr>
            <w:tcW w:w="7093" w:type="dxa"/>
          </w:tcPr>
          <w:p w14:paraId="2469E9CF" w14:textId="1C0D3BD7" w:rsidR="003F156D" w:rsidRPr="006A4205" w:rsidRDefault="001B753E" w:rsidP="003F156D">
            <w:pPr>
              <w:rPr>
                <w:sz w:val="24"/>
                <w:szCs w:val="24"/>
              </w:rPr>
            </w:pPr>
            <w:r w:rsidRPr="006A4205">
              <w:rPr>
                <w:sz w:val="24"/>
                <w:szCs w:val="24"/>
                <w:shd w:val="clear" w:color="auto" w:fill="F0F4F5"/>
              </w:rPr>
              <w:t>The patterns of providing care may vary between organisations in terms of hospital inpatient admission practices and policies.</w:t>
            </w:r>
            <w:r w:rsidRPr="006A4205">
              <w:rPr>
                <w:sz w:val="24"/>
                <w:szCs w:val="24"/>
              </w:rPr>
              <w:br/>
            </w:r>
            <w:r w:rsidRPr="006A4205">
              <w:rPr>
                <w:sz w:val="24"/>
                <w:szCs w:val="24"/>
              </w:rPr>
              <w:br/>
            </w:r>
            <w:r w:rsidRPr="006A4205">
              <w:rPr>
                <w:sz w:val="24"/>
                <w:szCs w:val="24"/>
                <w:shd w:val="clear" w:color="auto" w:fill="F0F4F5"/>
              </w:rPr>
              <w:t>There may be variation in the prevalence of stroke due to differing levels of deprivation, for other regional or demographic reasons or between patients of different ethnic heritages.</w:t>
            </w:r>
          </w:p>
        </w:tc>
      </w:tr>
    </w:tbl>
    <w:p w14:paraId="0F0CA932" w14:textId="59C4E8C1" w:rsidR="00173180" w:rsidRPr="006A4205" w:rsidRDefault="00173180" w:rsidP="00BD69FE">
      <w:pPr>
        <w:rPr>
          <w:b/>
          <w:sz w:val="24"/>
          <w:szCs w:val="24"/>
        </w:rPr>
      </w:pPr>
    </w:p>
    <w:p w14:paraId="72220F26" w14:textId="1FAC193F" w:rsidR="00FC4450" w:rsidRPr="006A4205" w:rsidRDefault="00FC4450" w:rsidP="00BD69FE">
      <w:pPr>
        <w:rPr>
          <w:b/>
          <w:sz w:val="24"/>
          <w:szCs w:val="24"/>
        </w:rPr>
      </w:pPr>
    </w:p>
    <w:p w14:paraId="285143DB" w14:textId="50A4E45A" w:rsidR="00FC4450" w:rsidRPr="006A4205" w:rsidRDefault="00FC4450" w:rsidP="00BD69FE">
      <w:pPr>
        <w:rPr>
          <w:b/>
          <w:sz w:val="24"/>
          <w:szCs w:val="24"/>
        </w:rPr>
      </w:pPr>
    </w:p>
    <w:p w14:paraId="44D27512" w14:textId="77777777" w:rsidR="00FC4450" w:rsidRPr="006A4205" w:rsidRDefault="00FC4450" w:rsidP="00FC4450">
      <w:pPr>
        <w:pStyle w:val="Frontpagesubhead"/>
        <w:rPr>
          <w:rFonts w:cs="Arial"/>
          <w:noProof/>
          <w:color w:val="auto"/>
          <w:lang w:eastAsia="en-GB"/>
        </w:rPr>
      </w:pPr>
    </w:p>
    <w:p w14:paraId="58E1FB2B" w14:textId="77777777" w:rsidR="00FC4450" w:rsidRPr="006A4205" w:rsidRDefault="00FC4450" w:rsidP="00FC4450">
      <w:pPr>
        <w:pStyle w:val="Frontpagesubhead"/>
        <w:rPr>
          <w:rFonts w:cs="Arial"/>
          <w:noProof/>
          <w:color w:val="auto"/>
          <w:lang w:eastAsia="en-GB"/>
        </w:rPr>
      </w:pPr>
    </w:p>
    <w:p w14:paraId="706D9355" w14:textId="77777777" w:rsidR="00FC4450" w:rsidRPr="006A4205" w:rsidRDefault="00FC4450" w:rsidP="00FC4450">
      <w:pPr>
        <w:pStyle w:val="Frontpagesubhead"/>
        <w:rPr>
          <w:rFonts w:cs="Arial"/>
          <w:noProof/>
          <w:color w:val="auto"/>
          <w:lang w:eastAsia="en-GB"/>
        </w:rPr>
      </w:pPr>
    </w:p>
    <w:p w14:paraId="36BA279B" w14:textId="4F2665C8" w:rsidR="00FC4450" w:rsidRPr="006A4205" w:rsidRDefault="00FC4450" w:rsidP="00FC4450">
      <w:pPr>
        <w:pStyle w:val="Frontpagesubhead"/>
        <w:rPr>
          <w:rFonts w:cs="Arial"/>
          <w:color w:val="auto"/>
        </w:rPr>
      </w:pPr>
    </w:p>
    <w:p w14:paraId="1E8E2560" w14:textId="77777777" w:rsidR="00FC4450" w:rsidRPr="006A4205" w:rsidRDefault="00FC4450" w:rsidP="00FC4450">
      <w:pPr>
        <w:pStyle w:val="Frontpagesubhead"/>
        <w:rPr>
          <w:rFonts w:cs="Arial"/>
          <w:color w:val="auto"/>
        </w:rPr>
        <w:sectPr w:rsidR="00FC4450" w:rsidRPr="006A4205" w:rsidSect="00D13771">
          <w:headerReference w:type="default" r:id="rId8"/>
          <w:footerReference w:type="default" r:id="rId9"/>
          <w:pgSz w:w="11906" w:h="16838"/>
          <w:pgMar w:top="1021" w:right="1021" w:bottom="1021" w:left="1021" w:header="454" w:footer="680" w:gutter="0"/>
          <w:cols w:space="708"/>
          <w:docGrid w:linePitch="360"/>
        </w:sectPr>
      </w:pPr>
    </w:p>
    <w:p w14:paraId="4E3C92F7" w14:textId="77777777" w:rsidR="00FC4450" w:rsidRPr="006A4205" w:rsidRDefault="00FC4450" w:rsidP="00FC4450">
      <w:pPr>
        <w:pStyle w:val="Heading1"/>
        <w:rPr>
          <w:rFonts w:eastAsia="MS Mincho"/>
          <w:color w:val="auto"/>
        </w:rPr>
      </w:pPr>
      <w:r w:rsidRPr="006A4205">
        <w:rPr>
          <w:rFonts w:eastAsia="MS Mincho"/>
          <w:color w:val="auto"/>
        </w:rPr>
        <w:lastRenderedPageBreak/>
        <w:t>Application Form</w:t>
      </w:r>
    </w:p>
    <w:p w14:paraId="2A686227" w14:textId="2397F4C7" w:rsidR="0023137D" w:rsidRPr="006A4205" w:rsidRDefault="0023137D">
      <w:r w:rsidRPr="006A4205">
        <w:t>Section 1 Introduction / Overview</w:t>
      </w:r>
    </w:p>
    <w:tbl>
      <w:tblPr>
        <w:tblStyle w:val="TableGrid1"/>
        <w:tblW w:w="0" w:type="auto"/>
        <w:tblLayout w:type="fixed"/>
        <w:tblLook w:val="04A0" w:firstRow="1" w:lastRow="0" w:firstColumn="1" w:lastColumn="0" w:noHBand="0" w:noVBand="1"/>
      </w:tblPr>
      <w:tblGrid>
        <w:gridCol w:w="2607"/>
        <w:gridCol w:w="6853"/>
      </w:tblGrid>
      <w:tr w:rsidR="006A4205" w:rsidRPr="006A4205" w14:paraId="7B5101BC" w14:textId="77777777" w:rsidTr="0023137D">
        <w:tc>
          <w:tcPr>
            <w:tcW w:w="2607" w:type="dxa"/>
          </w:tcPr>
          <w:p w14:paraId="65D66B71" w14:textId="53EE6D2A" w:rsidR="00F83902" w:rsidRPr="006A4205" w:rsidRDefault="00F83902" w:rsidP="00D13771">
            <w:pPr>
              <w:spacing w:before="240"/>
              <w:rPr>
                <w:b/>
              </w:rPr>
            </w:pPr>
            <w:permStart w:id="147876557" w:edGrp="everyone" w:colFirst="1" w:colLast="1"/>
            <w:r w:rsidRPr="006A4205">
              <w:rPr>
                <w:b/>
              </w:rPr>
              <w:t>1.1 Title</w:t>
            </w:r>
          </w:p>
        </w:tc>
        <w:tc>
          <w:tcPr>
            <w:tcW w:w="6853" w:type="dxa"/>
          </w:tcPr>
          <w:p w14:paraId="6DE4BDC4" w14:textId="0574C059" w:rsidR="00F83902" w:rsidRPr="006A4205" w:rsidRDefault="00F83902" w:rsidP="00D13771">
            <w:pPr>
              <w:spacing w:before="240"/>
            </w:pPr>
          </w:p>
        </w:tc>
      </w:tr>
      <w:tr w:rsidR="006A4205" w:rsidRPr="006A4205" w14:paraId="0FD50E02" w14:textId="77777777" w:rsidTr="0023137D">
        <w:tc>
          <w:tcPr>
            <w:tcW w:w="2607" w:type="dxa"/>
          </w:tcPr>
          <w:p w14:paraId="72CBDE13" w14:textId="2B4A5122" w:rsidR="00F83902" w:rsidRPr="006A4205" w:rsidRDefault="00F83902" w:rsidP="00D13771">
            <w:pPr>
              <w:spacing w:before="240"/>
              <w:rPr>
                <w:b/>
              </w:rPr>
            </w:pPr>
            <w:permStart w:id="1499812614" w:edGrp="everyone" w:colFirst="1" w:colLast="1"/>
            <w:permEnd w:id="147876557"/>
            <w:r w:rsidRPr="006A4205">
              <w:rPr>
                <w:b/>
              </w:rPr>
              <w:t>1.2 Set or domain</w:t>
            </w:r>
          </w:p>
        </w:tc>
        <w:tc>
          <w:tcPr>
            <w:tcW w:w="6853" w:type="dxa"/>
          </w:tcPr>
          <w:p w14:paraId="12137751" w14:textId="77777777" w:rsidR="00F83902" w:rsidRPr="006A4205" w:rsidRDefault="00F83902" w:rsidP="00D13771">
            <w:pPr>
              <w:spacing w:before="240"/>
            </w:pPr>
            <w:r w:rsidRPr="006A4205">
              <w:t>CCG Outcomes Indicator Set (OIS) 3.5</w:t>
            </w:r>
          </w:p>
        </w:tc>
      </w:tr>
      <w:tr w:rsidR="006A4205" w:rsidRPr="006A4205" w14:paraId="4732FDF8" w14:textId="77777777" w:rsidTr="0023137D">
        <w:tc>
          <w:tcPr>
            <w:tcW w:w="2607" w:type="dxa"/>
          </w:tcPr>
          <w:p w14:paraId="0A62A3EF" w14:textId="1543D760" w:rsidR="00F83902" w:rsidRPr="006A4205" w:rsidRDefault="00F83902" w:rsidP="00D13771">
            <w:pPr>
              <w:spacing w:before="240"/>
              <w:rPr>
                <w:b/>
              </w:rPr>
            </w:pPr>
            <w:permStart w:id="1818309941" w:edGrp="everyone" w:colFirst="1" w:colLast="1"/>
            <w:permEnd w:id="1499812614"/>
            <w:r w:rsidRPr="006A4205">
              <w:rPr>
                <w:b/>
              </w:rPr>
              <w:t>1.3 Topic area</w:t>
            </w:r>
          </w:p>
        </w:tc>
        <w:tc>
          <w:tcPr>
            <w:tcW w:w="6853" w:type="dxa"/>
          </w:tcPr>
          <w:p w14:paraId="0537C2A6" w14:textId="77777777" w:rsidR="00F83902" w:rsidRPr="006A4205" w:rsidRDefault="00F83902" w:rsidP="00D13771">
            <w:pPr>
              <w:spacing w:before="240"/>
            </w:pPr>
            <w:r w:rsidRPr="006A4205">
              <w:t>Cardiovascular</w:t>
            </w:r>
          </w:p>
        </w:tc>
      </w:tr>
      <w:tr w:rsidR="006A4205" w:rsidRPr="006A4205" w14:paraId="36BDC7DD" w14:textId="77777777" w:rsidTr="0023137D">
        <w:tc>
          <w:tcPr>
            <w:tcW w:w="2607" w:type="dxa"/>
          </w:tcPr>
          <w:p w14:paraId="3A45BFFA" w14:textId="42EEA2CD" w:rsidR="00F83902" w:rsidRPr="006A4205" w:rsidRDefault="00F83902" w:rsidP="00D13771">
            <w:pPr>
              <w:spacing w:before="240"/>
              <w:rPr>
                <w:b/>
              </w:rPr>
            </w:pPr>
            <w:permStart w:id="293996277" w:edGrp="everyone" w:colFirst="1" w:colLast="1"/>
            <w:permEnd w:id="1818309941"/>
            <w:r w:rsidRPr="006A4205">
              <w:rPr>
                <w:b/>
              </w:rPr>
              <w:t>1.4 Definition</w:t>
            </w:r>
          </w:p>
        </w:tc>
        <w:tc>
          <w:tcPr>
            <w:tcW w:w="6853" w:type="dxa"/>
          </w:tcPr>
          <w:p w14:paraId="20E2A5BA" w14:textId="77777777" w:rsidR="00F83902" w:rsidRPr="006A4205" w:rsidRDefault="00F83902" w:rsidP="00D13771">
            <w:pPr>
              <w:spacing w:before="240"/>
            </w:pPr>
            <w:r w:rsidRPr="006A4205">
              <w:t>The percentage of people with stroke admitted to an acute stroke unit within 4 hours of arrival to hospital.</w:t>
            </w:r>
          </w:p>
          <w:p w14:paraId="31FC841F" w14:textId="77777777" w:rsidR="00F83902" w:rsidRPr="006A4205" w:rsidRDefault="00F83902" w:rsidP="00D13771">
            <w:pPr>
              <w:spacing w:before="240"/>
            </w:pPr>
            <w:r w:rsidRPr="006A4205">
              <w:t>Technical description: Of all patients admitted to hospital with a primary diagnosis of stroke (except for those whose first ward of admission was ITU, CCU or HDU), the percentage whose first ward of admission is a stroke unit AND who arrive on the stroke unit within 4 hours of arrival at hospital (except for those patients who were already in hospital at the time of new stroke occurrence, who should instead be admitted to a stroke unit within 4 hours of onset of stroke symptoms).</w:t>
            </w:r>
          </w:p>
          <w:p w14:paraId="3F6571E7" w14:textId="77777777" w:rsidR="00F83902" w:rsidRPr="006A4205" w:rsidRDefault="00F83902" w:rsidP="00D13771">
            <w:pPr>
              <w:spacing w:before="240"/>
            </w:pPr>
            <w:r w:rsidRPr="006A4205">
              <w:t>(ITU = Intensive Treatment Unit, CCU = Critical Care Unit, HDU = High Dependency Unit)</w:t>
            </w:r>
          </w:p>
          <w:p w14:paraId="31CF8030" w14:textId="77777777" w:rsidR="00F83902" w:rsidRPr="006A4205" w:rsidRDefault="00F83902" w:rsidP="00D13771">
            <w:pPr>
              <w:spacing w:before="240"/>
            </w:pPr>
            <w:r w:rsidRPr="006A4205">
              <w:t>Stroke is defined within this indicator as intracerebral haemorrhage (ICD-10 code: I61), cerebral infarction (I63) and stroke, not specified as haemorrhage or infarction (I64).</w:t>
            </w:r>
          </w:p>
          <w:p w14:paraId="0075800B" w14:textId="77777777" w:rsidR="00F83902" w:rsidRPr="006A4205" w:rsidRDefault="00F83902" w:rsidP="00D13771">
            <w:pPr>
              <w:spacing w:before="240"/>
            </w:pPr>
            <w:r w:rsidRPr="006A4205">
              <w:t>The indicator is published annually in December for each CCG in England. It was published for the first time in December 2014 (2013/14 data).</w:t>
            </w:r>
          </w:p>
        </w:tc>
      </w:tr>
      <w:tr w:rsidR="006A4205" w:rsidRPr="006A4205" w14:paraId="02CDAA0A" w14:textId="77777777" w:rsidTr="0023137D">
        <w:tc>
          <w:tcPr>
            <w:tcW w:w="2607" w:type="dxa"/>
          </w:tcPr>
          <w:p w14:paraId="5E167909" w14:textId="4BED137C" w:rsidR="00F83902" w:rsidRPr="006A4205" w:rsidRDefault="00F83902" w:rsidP="00D13771">
            <w:pPr>
              <w:spacing w:before="240"/>
              <w:rPr>
                <w:b/>
              </w:rPr>
            </w:pPr>
            <w:permStart w:id="1233413218" w:edGrp="everyone" w:colFirst="1" w:colLast="1"/>
            <w:permEnd w:id="293996277"/>
            <w:r w:rsidRPr="006A4205">
              <w:rPr>
                <w:b/>
              </w:rPr>
              <w:t>1.5 Indicator owner &amp; contact details</w:t>
            </w:r>
          </w:p>
        </w:tc>
        <w:tc>
          <w:tcPr>
            <w:tcW w:w="6853" w:type="dxa"/>
          </w:tcPr>
          <w:p w14:paraId="1F2E2F87" w14:textId="77777777" w:rsidR="00F83902" w:rsidRPr="006A4205" w:rsidRDefault="00F83902" w:rsidP="00D13771">
            <w:pPr>
              <w:spacing w:before="240"/>
            </w:pPr>
            <w:r w:rsidRPr="006A4205">
              <w:t>Alison Roe, Senior Service Delivery Manager, HSCIC</w:t>
            </w:r>
          </w:p>
          <w:p w14:paraId="49E21F0A" w14:textId="77777777" w:rsidR="00F83902" w:rsidRPr="006A4205" w:rsidRDefault="00F83902" w:rsidP="00D13771">
            <w:pPr>
              <w:spacing w:before="240"/>
            </w:pPr>
            <w:hyperlink r:id="rId10" w:history="1">
              <w:r w:rsidRPr="006A4205">
                <w:rPr>
                  <w:rStyle w:val="Hyperlink"/>
                  <w:color w:val="auto"/>
                </w:rPr>
                <w:t>ccgois@hscic.gov.uk</w:t>
              </w:r>
            </w:hyperlink>
          </w:p>
        </w:tc>
      </w:tr>
      <w:tr w:rsidR="006A4205" w:rsidRPr="006A4205" w14:paraId="7AF07A91" w14:textId="77777777" w:rsidTr="0023137D">
        <w:tc>
          <w:tcPr>
            <w:tcW w:w="2607" w:type="dxa"/>
          </w:tcPr>
          <w:p w14:paraId="68D99B17" w14:textId="0BB6D633" w:rsidR="00F83902" w:rsidRPr="006A4205" w:rsidRDefault="00F83902" w:rsidP="00D13771">
            <w:pPr>
              <w:spacing w:before="240"/>
              <w:rPr>
                <w:b/>
              </w:rPr>
            </w:pPr>
            <w:permStart w:id="1243381356" w:edGrp="everyone" w:colFirst="1" w:colLast="1"/>
            <w:permEnd w:id="1233413218"/>
            <w:r w:rsidRPr="006A4205">
              <w:rPr>
                <w:b/>
              </w:rPr>
              <w:t>1.6 Publication status</w:t>
            </w:r>
          </w:p>
        </w:tc>
        <w:sdt>
          <w:sdtPr>
            <w:alias w:val="Publication status"/>
            <w:tag w:val="Publication status"/>
            <w:id w:val="-694159432"/>
            <w:placeholder>
              <w:docPart w:val="D489C16BE5804C558A972328340A091F"/>
            </w:placeholder>
            <w:comboBox>
              <w:listItem w:value="Choose an item."/>
              <w:listItem w:displayText="Currently in publication" w:value="Currently in publication"/>
              <w:listItem w:displayText="Not currently in publication" w:value="Not currently in publication"/>
            </w:comboBox>
          </w:sdtPr>
          <w:sdtContent>
            <w:tc>
              <w:tcPr>
                <w:tcW w:w="6853" w:type="dxa"/>
              </w:tcPr>
              <w:p w14:paraId="7F1F9DAA" w14:textId="77777777" w:rsidR="00F83902" w:rsidRPr="006A4205" w:rsidRDefault="00F83902" w:rsidP="00D13771">
                <w:pPr>
                  <w:spacing w:before="240"/>
                </w:pPr>
                <w:r w:rsidRPr="006A4205">
                  <w:t>Currently in publication</w:t>
                </w:r>
              </w:p>
            </w:tc>
          </w:sdtContent>
        </w:sdt>
      </w:tr>
    </w:tbl>
    <w:permEnd w:id="1243381356"/>
    <w:p w14:paraId="00442046" w14:textId="390E1C93" w:rsidR="0023137D" w:rsidRPr="006A4205" w:rsidRDefault="0023137D">
      <w:r w:rsidRPr="006A4205">
        <w:t>Section 2 Rationale</w:t>
      </w:r>
    </w:p>
    <w:tbl>
      <w:tblPr>
        <w:tblStyle w:val="TableGrid1"/>
        <w:tblW w:w="0" w:type="auto"/>
        <w:tblLayout w:type="fixed"/>
        <w:tblLook w:val="04A0" w:firstRow="1" w:lastRow="0" w:firstColumn="1" w:lastColumn="0" w:noHBand="0" w:noVBand="1"/>
      </w:tblPr>
      <w:tblGrid>
        <w:gridCol w:w="2607"/>
        <w:gridCol w:w="6853"/>
      </w:tblGrid>
      <w:tr w:rsidR="006A4205" w:rsidRPr="006A4205" w14:paraId="22C50B73" w14:textId="77777777" w:rsidTr="0023137D">
        <w:tc>
          <w:tcPr>
            <w:tcW w:w="2607" w:type="dxa"/>
          </w:tcPr>
          <w:p w14:paraId="3857942C" w14:textId="1DF993C9" w:rsidR="00F83902" w:rsidRPr="006A4205" w:rsidRDefault="00F83902" w:rsidP="00D13771">
            <w:pPr>
              <w:spacing w:before="240"/>
              <w:rPr>
                <w:b/>
              </w:rPr>
            </w:pPr>
            <w:permStart w:id="620717283" w:edGrp="everyone" w:colFirst="1" w:colLast="1"/>
            <w:r w:rsidRPr="006A4205">
              <w:rPr>
                <w:b/>
              </w:rPr>
              <w:t>2.1 Purpose</w:t>
            </w:r>
          </w:p>
        </w:tc>
        <w:tc>
          <w:tcPr>
            <w:tcW w:w="6853" w:type="dxa"/>
          </w:tcPr>
          <w:p w14:paraId="12DC26B1" w14:textId="77777777" w:rsidR="00F83902" w:rsidRPr="006A4205" w:rsidRDefault="00F83902" w:rsidP="00D13771">
            <w:pPr>
              <w:spacing w:before="240"/>
            </w:pPr>
            <w:r w:rsidRPr="006A4205">
              <w:t xml:space="preserve">Patients who have had a stroke should be admitted directly to a specialist acute stroke unit. Getting patients to a stroke unit quickly is a strong indicator of eventual outcomes and is also closely linked to improved quality of care across other stroke care markers. The indicator is therefore an important measure of the effectiveness of recognition and assessment of the symptoms of stroke, and the process to transfer people to a stroke unit in a timely manner. Patients who have a stroke in hospital are included in the indicator to </w:t>
            </w:r>
            <w:proofErr w:type="gramStart"/>
            <w:r w:rsidRPr="006A4205">
              <w:t>take into account</w:t>
            </w:r>
            <w:proofErr w:type="gramEnd"/>
            <w:r w:rsidRPr="006A4205">
              <w:t xml:space="preserve"> the process of recognising the stroke has occurred and the systems in place for in-hospital pathways.</w:t>
            </w:r>
          </w:p>
        </w:tc>
      </w:tr>
      <w:tr w:rsidR="006A4205" w:rsidRPr="006A4205" w14:paraId="127FB1FD" w14:textId="77777777" w:rsidTr="0023137D">
        <w:tc>
          <w:tcPr>
            <w:tcW w:w="2607" w:type="dxa"/>
          </w:tcPr>
          <w:p w14:paraId="6538D7C3" w14:textId="6D06D98C" w:rsidR="00F83902" w:rsidRPr="006A4205" w:rsidRDefault="00F83902" w:rsidP="00D13771">
            <w:pPr>
              <w:spacing w:before="240"/>
              <w:rPr>
                <w:b/>
              </w:rPr>
            </w:pPr>
            <w:permStart w:id="498012748" w:edGrp="everyone" w:colFirst="2" w:colLast="2"/>
            <w:permEnd w:id="620717283"/>
            <w:r w:rsidRPr="006A4205">
              <w:rPr>
                <w:b/>
              </w:rPr>
              <w:t>2.2 Sponsor</w:t>
            </w:r>
          </w:p>
        </w:tc>
        <w:tc>
          <w:tcPr>
            <w:tcW w:w="6853" w:type="dxa"/>
          </w:tcPr>
          <w:p w14:paraId="50BA3492" w14:textId="77777777" w:rsidR="00F83902" w:rsidRPr="006A4205" w:rsidRDefault="00F83902" w:rsidP="00D13771">
            <w:pPr>
              <w:spacing w:before="240"/>
            </w:pPr>
            <w:r w:rsidRPr="006A4205">
              <w:t>Richard Owen, Outcomes Strategy Lead, NHS Medical Directorate, NHS England.</w:t>
            </w:r>
          </w:p>
        </w:tc>
      </w:tr>
      <w:tr w:rsidR="006A4205" w:rsidRPr="006A4205" w14:paraId="7E8CE440" w14:textId="77777777" w:rsidTr="0023137D">
        <w:tc>
          <w:tcPr>
            <w:tcW w:w="2607" w:type="dxa"/>
          </w:tcPr>
          <w:p w14:paraId="5B56E2A7" w14:textId="23055671" w:rsidR="00F83902" w:rsidRPr="006A4205" w:rsidRDefault="00F83902" w:rsidP="00D13771">
            <w:pPr>
              <w:spacing w:before="240"/>
              <w:rPr>
                <w:b/>
              </w:rPr>
            </w:pPr>
            <w:permStart w:id="831194603" w:edGrp="everyone" w:colFirst="2" w:colLast="2"/>
            <w:permEnd w:id="498012748"/>
            <w:r w:rsidRPr="006A4205">
              <w:rPr>
                <w:b/>
              </w:rPr>
              <w:t>2.3 Endorsement</w:t>
            </w:r>
          </w:p>
        </w:tc>
        <w:tc>
          <w:tcPr>
            <w:tcW w:w="6853" w:type="dxa"/>
          </w:tcPr>
          <w:p w14:paraId="2F4201B4" w14:textId="77777777" w:rsidR="00F83902" w:rsidRPr="006A4205" w:rsidRDefault="00F83902" w:rsidP="00D13771">
            <w:pPr>
              <w:spacing w:before="240"/>
            </w:pPr>
            <w:r w:rsidRPr="006A4205">
              <w:t xml:space="preserve">The indicator was constructed following consultation with the following clinical and stroke data experts: </w:t>
            </w:r>
          </w:p>
          <w:p w14:paraId="1248127C" w14:textId="77777777" w:rsidR="00F83902" w:rsidRPr="006A4205" w:rsidRDefault="00F83902" w:rsidP="00FC4450">
            <w:pPr>
              <w:pStyle w:val="ListParagraph"/>
              <w:numPr>
                <w:ilvl w:val="0"/>
                <w:numId w:val="18"/>
              </w:numPr>
              <w:spacing w:before="240" w:after="180" w:line="240" w:lineRule="auto"/>
              <w:contextualSpacing w:val="0"/>
              <w:textboxTightWrap w:val="lastLineOnly"/>
              <w:rPr>
                <w:rFonts w:ascii="Arial" w:hAnsi="Arial" w:cs="Arial"/>
              </w:rPr>
            </w:pPr>
            <w:r w:rsidRPr="006A4205">
              <w:rPr>
                <w:rFonts w:ascii="Arial" w:hAnsi="Arial" w:cs="Arial"/>
              </w:rPr>
              <w:lastRenderedPageBreak/>
              <w:t>Professor Anthony Rudd, Chair of the Intercollegiate Stroke Working Party, Associate Director for Stroke, Consultant Stroke Physician</w:t>
            </w:r>
          </w:p>
          <w:p w14:paraId="71F9EC72" w14:textId="77777777" w:rsidR="00F83902" w:rsidRPr="006A4205" w:rsidRDefault="00F83902" w:rsidP="00FC4450">
            <w:pPr>
              <w:pStyle w:val="ListParagraph"/>
              <w:numPr>
                <w:ilvl w:val="0"/>
                <w:numId w:val="18"/>
              </w:numPr>
              <w:spacing w:before="240" w:after="180" w:line="240" w:lineRule="auto"/>
              <w:contextualSpacing w:val="0"/>
              <w:textboxTightWrap w:val="lastLineOnly"/>
              <w:rPr>
                <w:rFonts w:ascii="Arial" w:hAnsi="Arial" w:cs="Arial"/>
              </w:rPr>
            </w:pPr>
            <w:r w:rsidRPr="006A4205">
              <w:rPr>
                <w:rFonts w:ascii="Arial" w:hAnsi="Arial" w:cs="Arial"/>
              </w:rPr>
              <w:t xml:space="preserve">James </w:t>
            </w:r>
            <w:proofErr w:type="gramStart"/>
            <w:r w:rsidRPr="006A4205">
              <w:rPr>
                <w:rFonts w:ascii="Arial" w:hAnsi="Arial" w:cs="Arial"/>
              </w:rPr>
              <w:t>Campbell,  Sentinel</w:t>
            </w:r>
            <w:proofErr w:type="gramEnd"/>
            <w:r w:rsidRPr="006A4205">
              <w:rPr>
                <w:rFonts w:ascii="Arial" w:hAnsi="Arial" w:cs="Arial"/>
              </w:rPr>
              <w:t xml:space="preserve"> Stroke National Audit Programme (SSNAP) Intelligence Programme Manager, Royal College of Physicians (RCP) </w:t>
            </w:r>
          </w:p>
          <w:p w14:paraId="1BF0C39B" w14:textId="77777777" w:rsidR="00F83902" w:rsidRPr="006A4205" w:rsidRDefault="00F83902" w:rsidP="00FC4450">
            <w:pPr>
              <w:pStyle w:val="ListParagraph"/>
              <w:numPr>
                <w:ilvl w:val="0"/>
                <w:numId w:val="18"/>
              </w:numPr>
              <w:spacing w:before="240" w:after="180" w:line="240" w:lineRule="auto"/>
              <w:contextualSpacing w:val="0"/>
              <w:textboxTightWrap w:val="lastLineOnly"/>
              <w:rPr>
                <w:rFonts w:ascii="Arial" w:hAnsi="Arial" w:cs="Arial"/>
              </w:rPr>
            </w:pPr>
            <w:proofErr w:type="spellStart"/>
            <w:r w:rsidRPr="006A4205">
              <w:rPr>
                <w:rFonts w:ascii="Arial" w:hAnsi="Arial" w:cs="Arial"/>
              </w:rPr>
              <w:t>Lizz</w:t>
            </w:r>
            <w:proofErr w:type="spellEnd"/>
            <w:r w:rsidRPr="006A4205">
              <w:rPr>
                <w:rFonts w:ascii="Arial" w:hAnsi="Arial" w:cs="Arial"/>
              </w:rPr>
              <w:t xml:space="preserve"> Paley, Acting Stroke Programme Intelligence Manager – Data, RCP</w:t>
            </w:r>
          </w:p>
        </w:tc>
      </w:tr>
      <w:tr w:rsidR="006A4205" w:rsidRPr="006A4205" w14:paraId="3F708BB9" w14:textId="77777777" w:rsidTr="0023137D">
        <w:tc>
          <w:tcPr>
            <w:tcW w:w="2607" w:type="dxa"/>
          </w:tcPr>
          <w:p w14:paraId="4A202DEB" w14:textId="06F2F1F3" w:rsidR="00F83902" w:rsidRPr="006A4205" w:rsidRDefault="00F83902" w:rsidP="00D13771">
            <w:pPr>
              <w:spacing w:before="240"/>
              <w:rPr>
                <w:b/>
              </w:rPr>
            </w:pPr>
            <w:permStart w:id="515010504" w:edGrp="everyone" w:colFirst="1" w:colLast="1"/>
            <w:r w:rsidRPr="006A4205">
              <w:rPr>
                <w:b/>
              </w:rPr>
              <w:lastRenderedPageBreak/>
              <w:t>2.4 Evidence and Pol</w:t>
            </w:r>
            <w:permEnd w:id="831194603"/>
            <w:r w:rsidRPr="006A4205">
              <w:rPr>
                <w:b/>
              </w:rPr>
              <w:t>icy base</w:t>
            </w:r>
          </w:p>
          <w:p w14:paraId="4F8E7081" w14:textId="77777777" w:rsidR="00F83902" w:rsidRPr="006A4205" w:rsidRDefault="00F83902" w:rsidP="00D13771">
            <w:r w:rsidRPr="006A4205">
              <w:t>Including related national incentives, critical business question, NICE quality standard and set or domain rationale, if appropriate</w:t>
            </w:r>
          </w:p>
        </w:tc>
        <w:tc>
          <w:tcPr>
            <w:tcW w:w="6853" w:type="dxa"/>
          </w:tcPr>
          <w:p w14:paraId="267EE06D" w14:textId="77777777" w:rsidR="00F83902" w:rsidRPr="006A4205" w:rsidRDefault="00F83902" w:rsidP="00D13771">
            <w:pPr>
              <w:spacing w:before="240"/>
            </w:pPr>
            <w:r w:rsidRPr="006A4205">
              <w:t>This indicator supports the NICE Quality Standard for stroke (QS</w:t>
            </w:r>
            <w:proofErr w:type="gramStart"/>
            <w:r w:rsidRPr="006A4205">
              <w:t>2)¹</w:t>
            </w:r>
            <w:proofErr w:type="gramEnd"/>
            <w:r w:rsidRPr="006A4205">
              <w:t xml:space="preserve"> which covers care provided to adult stroke patients by healthcare staff during diagnosis and initial management, acute-phase care, rehabilitation and long-term management. It directly supports Quality Statement 3 within the standard, which states: ‘Patients with suspected stoke are admitted directly to a specialist acute stroke unit and assessed for thrombolysis, receiving it if clinically indicated’.</w:t>
            </w:r>
          </w:p>
          <w:p w14:paraId="6C748E16" w14:textId="77777777" w:rsidR="00F83902" w:rsidRPr="006A4205" w:rsidRDefault="00F83902" w:rsidP="00D13771">
            <w:pPr>
              <w:spacing w:before="240"/>
            </w:pPr>
            <w:r w:rsidRPr="006A4205">
              <w:t>This indicator is aligned to the measure, Percentage of patients admitted to a stroke unit within 4 hours, included in the Department of Health’s Cardiovascular Disease Outcomes Strategy</w:t>
            </w:r>
            <w:r w:rsidRPr="006A4205">
              <w:rPr>
                <w:vertAlign w:val="superscript"/>
              </w:rPr>
              <w:t>2</w:t>
            </w:r>
            <w:r w:rsidRPr="006A4205">
              <w:t xml:space="preserve">. </w:t>
            </w:r>
          </w:p>
          <w:p w14:paraId="4E7BCFB0" w14:textId="77777777" w:rsidR="00F83902" w:rsidRPr="006A4205" w:rsidRDefault="00F83902" w:rsidP="00D13771">
            <w:pPr>
              <w:spacing w:before="240"/>
            </w:pPr>
            <w:r w:rsidRPr="006A4205">
              <w:t>Patients who receive organised stroke unit care are more likely to survive their stroke, return home and make a good recovery</w:t>
            </w:r>
            <w:r w:rsidRPr="006A4205">
              <w:rPr>
                <w:vertAlign w:val="superscript"/>
              </w:rPr>
              <w:t>3</w:t>
            </w:r>
            <w:r w:rsidRPr="006A4205">
              <w:t>. According to the Department of Health’s National Stroke Strategy, stroke unit care is the single biggest factor that can improve a person’s outcomes following a stroke. Successful stroke units are built around a stroke-skilled multidisciplinary team that is able to meet the needs of the individuals</w:t>
            </w:r>
            <w:r w:rsidRPr="006A4205">
              <w:rPr>
                <w:vertAlign w:val="superscript"/>
              </w:rPr>
              <w:t>4</w:t>
            </w:r>
            <w:r w:rsidRPr="006A4205">
              <w:t>.</w:t>
            </w:r>
          </w:p>
          <w:p w14:paraId="7EDB69C7" w14:textId="77777777" w:rsidR="00F83902" w:rsidRPr="006A4205" w:rsidRDefault="00F83902" w:rsidP="00D13771">
            <w:pPr>
              <w:spacing w:before="240"/>
            </w:pPr>
            <w:r w:rsidRPr="006A4205">
              <w:t>Studies that have tested the effectiveness of stroke units have found that they help in reducing mortality. Stroke unit care as provided in routine clinical practice in England, Wales, and Northern Ireland reduces case fatality by ~25%, which is in line with the figures obtained from systematic analysis of stroke unit trial data</w:t>
            </w:r>
            <w:r w:rsidRPr="006A4205">
              <w:rPr>
                <w:vertAlign w:val="superscript"/>
              </w:rPr>
              <w:t>5</w:t>
            </w:r>
            <w:r w:rsidRPr="006A4205">
              <w:t>. In routine practice, stroke unit admission is associated with a greater likelihood of discharge home and with lower mortality up to 1 year</w:t>
            </w:r>
            <w:r w:rsidRPr="006A4205">
              <w:rPr>
                <w:vertAlign w:val="superscript"/>
              </w:rPr>
              <w:t>6</w:t>
            </w:r>
            <w:r w:rsidRPr="006A4205">
              <w:t>. Similar results have also been seen in a systematic review of observational studies of stroke unit implementation</w:t>
            </w:r>
            <w:r w:rsidRPr="006A4205">
              <w:rPr>
                <w:vertAlign w:val="superscript"/>
              </w:rPr>
              <w:t>7</w:t>
            </w:r>
            <w:r w:rsidRPr="006A4205">
              <w:t>, evidence that the benefit of stroke units translates across into trials more closely approximated with usual care. Studies also show that stroke units appear to reduce the risk of death following a stroke through the prevention and treatment of complications, in particular infections</w:t>
            </w:r>
            <w:r w:rsidRPr="006A4205">
              <w:rPr>
                <w:vertAlign w:val="superscript"/>
              </w:rPr>
              <w:t>8</w:t>
            </w:r>
            <w:r w:rsidRPr="006A4205">
              <w:t>.</w:t>
            </w:r>
          </w:p>
          <w:p w14:paraId="4275E523" w14:textId="77777777" w:rsidR="00F83902" w:rsidRPr="006A4205" w:rsidRDefault="00F83902" w:rsidP="00D13771">
            <w:pPr>
              <w:spacing w:before="240"/>
            </w:pPr>
            <w:r w:rsidRPr="006A4205">
              <w:t xml:space="preserve">This indicator is also supported by the RCP National Clinical Guideline for stroke which includes the following Quality Marker </w:t>
            </w:r>
            <w:r w:rsidRPr="006A4205">
              <w:lastRenderedPageBreak/>
              <w:t>(QM9): ‘All stroke patients have prompt access to an acute stroke unit and spend the majority of their time at hospital in a stroke unit with high-quality stroke specialist care’</w:t>
            </w:r>
            <w:r w:rsidRPr="006A4205">
              <w:rPr>
                <w:vertAlign w:val="superscript"/>
              </w:rPr>
              <w:t>9;10</w:t>
            </w:r>
            <w:r w:rsidRPr="006A4205">
              <w:t>.</w:t>
            </w:r>
          </w:p>
          <w:p w14:paraId="3FE454A5" w14:textId="77777777" w:rsidR="00F83902" w:rsidRPr="006A4205" w:rsidRDefault="00F83902" w:rsidP="00D13771">
            <w:pPr>
              <w:spacing w:before="120" w:after="120"/>
              <w:rPr>
                <w:sz w:val="18"/>
                <w:szCs w:val="18"/>
              </w:rPr>
            </w:pPr>
            <w:r w:rsidRPr="006A4205">
              <w:rPr>
                <w:sz w:val="18"/>
                <w:szCs w:val="18"/>
              </w:rPr>
              <w:t xml:space="preserve">1.Quality Standard for Stroke (QS2), NICE, June 2010 </w:t>
            </w:r>
            <w:r w:rsidRPr="006A4205">
              <w:rPr>
                <w:sz w:val="18"/>
                <w:szCs w:val="18"/>
              </w:rPr>
              <w:fldChar w:fldCharType="begin"/>
            </w:r>
            <w:r w:rsidRPr="006A4205">
              <w:rPr>
                <w:sz w:val="18"/>
                <w:szCs w:val="18"/>
              </w:rPr>
              <w:instrText xml:space="preserve"> HYPERLINK "https://www.nice.org.uk/guidance/qs2/chapter/Introduction-and-overview </w:instrText>
            </w:r>
          </w:p>
          <w:p w14:paraId="35900B1E" w14:textId="77777777" w:rsidR="00F83902" w:rsidRPr="006A4205" w:rsidRDefault="00F83902" w:rsidP="00D13771">
            <w:pPr>
              <w:spacing w:before="120" w:after="120"/>
              <w:rPr>
                <w:rStyle w:val="Hyperlink"/>
                <w:color w:val="auto"/>
              </w:rPr>
            </w:pPr>
            <w:r w:rsidRPr="006A4205">
              <w:rPr>
                <w:sz w:val="18"/>
                <w:szCs w:val="18"/>
              </w:rPr>
              <w:instrText xml:space="preserve">2" </w:instrText>
            </w:r>
            <w:r w:rsidRPr="006A4205">
              <w:rPr>
                <w:rFonts w:eastAsia="Times New Roman"/>
                <w:sz w:val="18"/>
                <w:szCs w:val="18"/>
              </w:rPr>
              <w:fldChar w:fldCharType="separate"/>
            </w:r>
            <w:r w:rsidRPr="006A4205">
              <w:rPr>
                <w:rStyle w:val="Hyperlink"/>
                <w:color w:val="auto"/>
              </w:rPr>
              <w:t xml:space="preserve">https://www.nice.org.uk/guidance/qs2/chapter/Introduction-and-overview </w:t>
            </w:r>
          </w:p>
          <w:p w14:paraId="72075B2E" w14:textId="77777777" w:rsidR="00F83902" w:rsidRPr="006A4205" w:rsidRDefault="00F83902" w:rsidP="00D13771">
            <w:pPr>
              <w:spacing w:before="120" w:after="120"/>
              <w:rPr>
                <w:sz w:val="18"/>
                <w:szCs w:val="18"/>
              </w:rPr>
            </w:pPr>
            <w:r w:rsidRPr="006A4205">
              <w:rPr>
                <w:rStyle w:val="Hyperlink"/>
                <w:color w:val="auto"/>
              </w:rPr>
              <w:t>2</w:t>
            </w:r>
            <w:r w:rsidRPr="006A4205">
              <w:rPr>
                <w:sz w:val="18"/>
                <w:szCs w:val="18"/>
              </w:rPr>
              <w:fldChar w:fldCharType="end"/>
            </w:r>
            <w:r w:rsidRPr="006A4205">
              <w:rPr>
                <w:sz w:val="18"/>
                <w:szCs w:val="18"/>
              </w:rPr>
              <w:t xml:space="preserve">. Cardiovascular Disease Outcomes Strategy, Department of Health, Mar 2013 </w:t>
            </w:r>
            <w:hyperlink r:id="rId11" w:history="1">
              <w:r w:rsidRPr="006A4205">
                <w:rPr>
                  <w:rStyle w:val="Hyperlink"/>
                  <w:color w:val="auto"/>
                </w:rPr>
                <w:t>https://www.gov.uk/government/uploads/system/uploads/attachment_data/file/214895/9387-2900853-CVD-Outcomes_web1.pdf</w:t>
              </w:r>
            </w:hyperlink>
            <w:r w:rsidRPr="006A4205">
              <w:rPr>
                <w:sz w:val="18"/>
                <w:szCs w:val="18"/>
              </w:rPr>
              <w:t xml:space="preserve"> </w:t>
            </w:r>
          </w:p>
          <w:p w14:paraId="1F41F963" w14:textId="77777777" w:rsidR="00F83902" w:rsidRPr="006A4205" w:rsidRDefault="00F83902" w:rsidP="00D13771">
            <w:pPr>
              <w:spacing w:before="120" w:after="120"/>
              <w:rPr>
                <w:sz w:val="18"/>
                <w:szCs w:val="18"/>
              </w:rPr>
            </w:pPr>
            <w:r w:rsidRPr="006A4205">
              <w:rPr>
                <w:sz w:val="18"/>
                <w:szCs w:val="18"/>
              </w:rPr>
              <w:t xml:space="preserve">3. Stroke Unit Trialists' Collaboration, Organised inpatient (stroke unit) care for stroke, 2007 </w:t>
            </w:r>
            <w:hyperlink r:id="rId12" w:history="1">
              <w:r w:rsidRPr="006A4205">
                <w:rPr>
                  <w:rStyle w:val="Hyperlink"/>
                  <w:color w:val="auto"/>
                </w:rPr>
                <w:t>http://www.ncbi.nlm.nih.gov/pubmed/17943737</w:t>
              </w:r>
            </w:hyperlink>
            <w:r w:rsidRPr="006A4205">
              <w:rPr>
                <w:sz w:val="18"/>
                <w:szCs w:val="18"/>
              </w:rPr>
              <w:t xml:space="preserve"> </w:t>
            </w:r>
          </w:p>
          <w:p w14:paraId="4109003D" w14:textId="77777777" w:rsidR="00F83902" w:rsidRPr="006A4205" w:rsidRDefault="00F83902" w:rsidP="00D13771">
            <w:pPr>
              <w:spacing w:before="120" w:after="120"/>
              <w:rPr>
                <w:sz w:val="18"/>
                <w:szCs w:val="18"/>
              </w:rPr>
            </w:pPr>
            <w:r w:rsidRPr="006A4205">
              <w:rPr>
                <w:sz w:val="18"/>
                <w:szCs w:val="18"/>
              </w:rPr>
              <w:t xml:space="preserve">4. National Stroke Strategy, Department of Health, Dec 2007 </w:t>
            </w:r>
            <w:hyperlink r:id="rId13" w:history="1">
              <w:r w:rsidRPr="006A4205">
                <w:rPr>
                  <w:rStyle w:val="Hyperlink"/>
                  <w:color w:val="auto"/>
                </w:rPr>
                <w:t>http://clahrc-gm.nihr.ac.uk/cms/wp-content/uploads/DoH-National-Stroke-Strategy-2007.pdf</w:t>
              </w:r>
            </w:hyperlink>
            <w:r w:rsidRPr="006A4205">
              <w:rPr>
                <w:sz w:val="18"/>
                <w:szCs w:val="18"/>
              </w:rPr>
              <w:t xml:space="preserve"> </w:t>
            </w:r>
          </w:p>
          <w:p w14:paraId="115B039F" w14:textId="77777777" w:rsidR="00F83902" w:rsidRPr="006A4205" w:rsidRDefault="00F83902" w:rsidP="00D13771">
            <w:pPr>
              <w:spacing w:before="120" w:after="120"/>
              <w:rPr>
                <w:rStyle w:val="Hyperlink"/>
                <w:color w:val="auto"/>
              </w:rPr>
            </w:pPr>
            <w:r w:rsidRPr="006A4205">
              <w:rPr>
                <w:sz w:val="18"/>
                <w:szCs w:val="18"/>
              </w:rPr>
              <w:t xml:space="preserve">5. National Sentinel Audit of Stroke, Stroke Unit Care and Outcome, Jan 2005 </w:t>
            </w:r>
            <w:hyperlink r:id="rId14" w:history="1">
              <w:r w:rsidRPr="006A4205">
                <w:rPr>
                  <w:rStyle w:val="Hyperlink"/>
                  <w:color w:val="auto"/>
                </w:rPr>
                <w:t>http://stroke.ahajournals.org/content/36/1/103.full.pdf</w:t>
              </w:r>
            </w:hyperlink>
          </w:p>
          <w:p w14:paraId="6BA6ADF8" w14:textId="77777777" w:rsidR="00F83902" w:rsidRPr="006A4205" w:rsidRDefault="00F83902" w:rsidP="00D13771">
            <w:pPr>
              <w:spacing w:before="120" w:after="120"/>
              <w:rPr>
                <w:rStyle w:val="Hyperlink"/>
                <w:color w:val="auto"/>
              </w:rPr>
            </w:pPr>
            <w:r w:rsidRPr="006A4205">
              <w:rPr>
                <w:sz w:val="18"/>
                <w:szCs w:val="18"/>
              </w:rPr>
              <w:t>6.</w:t>
            </w:r>
            <w:r w:rsidRPr="006A4205">
              <w:t xml:space="preserve"> </w:t>
            </w:r>
            <w:r w:rsidRPr="006A4205">
              <w:rPr>
                <w:sz w:val="18"/>
                <w:szCs w:val="18"/>
              </w:rPr>
              <w:t xml:space="preserve">Journal of Neurology, Neurosurgery and Psychiatry,  The impact of stroke unit care on outcome in a Scottish stroke population, taking into account case mix and selection bias, June 2014 </w:t>
            </w:r>
            <w:hyperlink r:id="rId15" w:history="1">
              <w:r w:rsidRPr="006A4205">
                <w:rPr>
                  <w:rStyle w:val="Hyperlink"/>
                  <w:color w:val="auto"/>
                </w:rPr>
                <w:t>http://jnnp.bmj.com/content/early/2014/06/25/jnnp-2013-307478.full</w:t>
              </w:r>
            </w:hyperlink>
          </w:p>
          <w:p w14:paraId="746D00AC" w14:textId="77777777" w:rsidR="00F83902" w:rsidRPr="006A4205" w:rsidRDefault="00F83902" w:rsidP="00D13771">
            <w:pPr>
              <w:spacing w:before="120" w:after="120"/>
              <w:rPr>
                <w:sz w:val="18"/>
                <w:szCs w:val="18"/>
              </w:rPr>
            </w:pPr>
            <w:r w:rsidRPr="006A4205">
              <w:rPr>
                <w:sz w:val="18"/>
                <w:szCs w:val="18"/>
              </w:rPr>
              <w:t xml:space="preserve">7. </w:t>
            </w:r>
            <w:proofErr w:type="spellStart"/>
            <w:r w:rsidRPr="006A4205">
              <w:rPr>
                <w:sz w:val="18"/>
                <w:szCs w:val="18"/>
              </w:rPr>
              <w:t>Seenan</w:t>
            </w:r>
            <w:proofErr w:type="spellEnd"/>
            <w:r w:rsidRPr="006A4205">
              <w:rPr>
                <w:sz w:val="18"/>
                <w:szCs w:val="18"/>
              </w:rPr>
              <w:t xml:space="preserve"> et al, Stroke units in their natural habitat: systematic review of observational studies, 2007 </w:t>
            </w:r>
            <w:hyperlink r:id="rId16" w:history="1">
              <w:r w:rsidRPr="006A4205">
                <w:rPr>
                  <w:rStyle w:val="Hyperlink"/>
                  <w:color w:val="auto"/>
                </w:rPr>
                <w:t>http://www.ncbi.nlm.nih.gov/pubmed/17463308</w:t>
              </w:r>
            </w:hyperlink>
            <w:r w:rsidRPr="006A4205">
              <w:rPr>
                <w:sz w:val="18"/>
                <w:szCs w:val="18"/>
              </w:rPr>
              <w:t xml:space="preserve"> </w:t>
            </w:r>
          </w:p>
          <w:p w14:paraId="14BFB0D0" w14:textId="77777777" w:rsidR="00F83902" w:rsidRPr="006A4205" w:rsidRDefault="00F83902" w:rsidP="00D13771">
            <w:pPr>
              <w:autoSpaceDE w:val="0"/>
              <w:autoSpaceDN w:val="0"/>
              <w:adjustRightInd w:val="0"/>
              <w:spacing w:before="120" w:after="120"/>
              <w:rPr>
                <w:sz w:val="18"/>
                <w:szCs w:val="18"/>
              </w:rPr>
            </w:pPr>
            <w:r w:rsidRPr="006A4205">
              <w:rPr>
                <w:sz w:val="18"/>
                <w:szCs w:val="18"/>
              </w:rPr>
              <w:t xml:space="preserve">8. Govan et al, Does the Prevention of Complications Explain the Survival Benefit of Organized Inpatient (Stroke Unit) Care? 2007 </w:t>
            </w:r>
            <w:hyperlink r:id="rId17" w:history="1">
              <w:r w:rsidRPr="006A4205">
                <w:rPr>
                  <w:rStyle w:val="Hyperlink"/>
                  <w:color w:val="auto"/>
                </w:rPr>
                <w:t>http://stroke.ahajournals.org/content/38/9/2536</w:t>
              </w:r>
            </w:hyperlink>
            <w:r w:rsidRPr="006A4205">
              <w:rPr>
                <w:sz w:val="18"/>
                <w:szCs w:val="18"/>
              </w:rPr>
              <w:t xml:space="preserve"> </w:t>
            </w:r>
          </w:p>
          <w:p w14:paraId="18EEC573" w14:textId="77777777" w:rsidR="00F83902" w:rsidRPr="006A4205" w:rsidRDefault="00F83902" w:rsidP="00D13771">
            <w:pPr>
              <w:spacing w:before="120" w:after="120"/>
              <w:rPr>
                <w:sz w:val="18"/>
                <w:szCs w:val="18"/>
              </w:rPr>
            </w:pPr>
            <w:r w:rsidRPr="006A4205">
              <w:rPr>
                <w:sz w:val="18"/>
                <w:szCs w:val="18"/>
              </w:rPr>
              <w:t>9. National Clinical Guideline for Stroke, Intercollegiate Stroke Working Party, RCP 4</w:t>
            </w:r>
            <w:r w:rsidRPr="006A4205">
              <w:rPr>
                <w:sz w:val="18"/>
                <w:szCs w:val="18"/>
                <w:vertAlign w:val="superscript"/>
              </w:rPr>
              <w:t>th</w:t>
            </w:r>
            <w:r w:rsidRPr="006A4205">
              <w:rPr>
                <w:sz w:val="18"/>
                <w:szCs w:val="18"/>
              </w:rPr>
              <w:t xml:space="preserve"> ed. 2012 </w:t>
            </w:r>
            <w:hyperlink r:id="rId18" w:history="1">
              <w:r w:rsidRPr="006A4205">
                <w:rPr>
                  <w:rStyle w:val="Hyperlink"/>
                  <w:color w:val="auto"/>
                </w:rPr>
                <w:t>http://www.rcplondon.ac.uk/sites/default/files/national-clinical-guidelines-for-stroke-fourth-edition.pdf</w:t>
              </w:r>
            </w:hyperlink>
            <w:r w:rsidRPr="006A4205">
              <w:rPr>
                <w:sz w:val="18"/>
                <w:szCs w:val="18"/>
              </w:rPr>
              <w:t xml:space="preserve">  </w:t>
            </w:r>
          </w:p>
          <w:p w14:paraId="1B1994DC" w14:textId="77777777" w:rsidR="00F83902" w:rsidRPr="006A4205" w:rsidRDefault="00F83902" w:rsidP="00D13771">
            <w:pPr>
              <w:autoSpaceDE w:val="0"/>
              <w:autoSpaceDN w:val="0"/>
              <w:adjustRightInd w:val="0"/>
              <w:spacing w:before="120" w:after="120"/>
              <w:rPr>
                <w:sz w:val="18"/>
                <w:szCs w:val="18"/>
              </w:rPr>
            </w:pPr>
            <w:r w:rsidRPr="006A4205">
              <w:rPr>
                <w:sz w:val="18"/>
                <w:szCs w:val="18"/>
              </w:rPr>
              <w:t xml:space="preserve">10. Cardiovascular Disease Outcomes Strategy, Department of Health, March 2013 </w:t>
            </w:r>
            <w:hyperlink r:id="rId19" w:history="1">
              <w:r w:rsidRPr="006A4205">
                <w:rPr>
                  <w:rStyle w:val="Hyperlink"/>
                  <w:color w:val="auto"/>
                </w:rPr>
                <w:t>https://www.gov.uk/government/uploads/system/uploads/attachment_data/file/214895/9387-2900853-CVD-Outcomes_web1.pdf</w:t>
              </w:r>
            </w:hyperlink>
          </w:p>
        </w:tc>
      </w:tr>
      <w:permEnd w:id="515010504"/>
    </w:tbl>
    <w:p w14:paraId="5BACFCD7" w14:textId="77777777" w:rsidR="00FC4450" w:rsidRPr="006A4205" w:rsidRDefault="00FC4450" w:rsidP="00FC4450"/>
    <w:p w14:paraId="3138A1B0" w14:textId="13EA3A82" w:rsidR="00F83902" w:rsidRPr="006A4205" w:rsidRDefault="00F83902">
      <w:r w:rsidRPr="006A4205">
        <w:t>Section 3 Data</w:t>
      </w:r>
    </w:p>
    <w:tbl>
      <w:tblPr>
        <w:tblStyle w:val="TableGrid1"/>
        <w:tblW w:w="0" w:type="auto"/>
        <w:tblLook w:val="04A0" w:firstRow="1" w:lastRow="0" w:firstColumn="1" w:lastColumn="0" w:noHBand="0" w:noVBand="1"/>
      </w:tblPr>
      <w:tblGrid>
        <w:gridCol w:w="2268"/>
        <w:gridCol w:w="6853"/>
      </w:tblGrid>
      <w:tr w:rsidR="006A4205" w:rsidRPr="006A4205" w14:paraId="6897352F" w14:textId="77777777" w:rsidTr="00F83902">
        <w:tc>
          <w:tcPr>
            <w:tcW w:w="2268" w:type="dxa"/>
          </w:tcPr>
          <w:p w14:paraId="2E94C912" w14:textId="2F31B720" w:rsidR="00F83902" w:rsidRPr="006A4205" w:rsidRDefault="00F83902" w:rsidP="00D13771">
            <w:pPr>
              <w:spacing w:before="240"/>
              <w:ind w:left="34"/>
              <w:rPr>
                <w:b/>
              </w:rPr>
            </w:pPr>
            <w:permStart w:id="1169377319" w:edGrp="everyone" w:colFirst="2" w:colLast="2"/>
            <w:r w:rsidRPr="006A4205">
              <w:rPr>
                <w:b/>
              </w:rPr>
              <w:t>3.1 Data source</w:t>
            </w:r>
          </w:p>
        </w:tc>
        <w:tc>
          <w:tcPr>
            <w:tcW w:w="6853" w:type="dxa"/>
          </w:tcPr>
          <w:p w14:paraId="1CF28398" w14:textId="77777777" w:rsidR="00F83902" w:rsidRPr="006A4205" w:rsidRDefault="00F83902" w:rsidP="00D13771">
            <w:pPr>
              <w:spacing w:before="240"/>
            </w:pPr>
            <w:r w:rsidRPr="006A4205">
              <w:t xml:space="preserve">RCP SSNAP </w:t>
            </w:r>
          </w:p>
          <w:p w14:paraId="1EAF1FB5" w14:textId="77777777" w:rsidR="00F83902" w:rsidRPr="006A4205" w:rsidRDefault="00F83902" w:rsidP="00D13771">
            <w:pPr>
              <w:spacing w:before="240"/>
            </w:pPr>
            <w:r w:rsidRPr="006A4205">
              <w:t>The SSNAP is guided by the Intercollegiate Stroke Working Party (ICSWP) and delivered by the Stroke Programme within the Clinical Effectiveness and Evaluation Unit in the RCP. It is centrally funded by the Healthcare Quality Improvement Partnership (HQIP) on behalf of NHS England as part of the National Clinical Audit and Patient Outcomes Programme (NCAPOP).</w:t>
            </w:r>
          </w:p>
          <w:p w14:paraId="3F603327" w14:textId="77777777" w:rsidR="00F83902" w:rsidRPr="006A4205" w:rsidRDefault="00F83902" w:rsidP="00D13771">
            <w:pPr>
              <w:spacing w:before="240"/>
            </w:pPr>
            <w:hyperlink r:id="rId20" w:history="1">
              <w:r w:rsidRPr="006A4205">
                <w:rPr>
                  <w:rStyle w:val="Hyperlink"/>
                  <w:color w:val="auto"/>
                </w:rPr>
                <w:t>http://www.rcplondon.ac.uk/projects/sentinel-stroke-national-audit-programme</w:t>
              </w:r>
            </w:hyperlink>
          </w:p>
        </w:tc>
      </w:tr>
      <w:tr w:rsidR="006A4205" w:rsidRPr="006A4205" w14:paraId="1435DFA1" w14:textId="77777777" w:rsidTr="00F83902">
        <w:tc>
          <w:tcPr>
            <w:tcW w:w="2268" w:type="dxa"/>
          </w:tcPr>
          <w:p w14:paraId="341DB105" w14:textId="7B725521" w:rsidR="00F83902" w:rsidRPr="006A4205" w:rsidRDefault="00F83902" w:rsidP="00D13771">
            <w:pPr>
              <w:spacing w:before="240"/>
              <w:ind w:left="34"/>
              <w:rPr>
                <w:b/>
              </w:rPr>
            </w:pPr>
            <w:permStart w:id="1335695513" w:edGrp="everyone" w:colFirst="1" w:colLast="1"/>
            <w:r w:rsidRPr="006A4205">
              <w:rPr>
                <w:b/>
              </w:rPr>
              <w:lastRenderedPageBreak/>
              <w:t>3.2 Justification of source and others conside</w:t>
            </w:r>
            <w:permEnd w:id="1169377319"/>
            <w:r w:rsidRPr="006A4205">
              <w:rPr>
                <w:b/>
              </w:rPr>
              <w:t>red</w:t>
            </w:r>
          </w:p>
        </w:tc>
        <w:tc>
          <w:tcPr>
            <w:tcW w:w="6853" w:type="dxa"/>
          </w:tcPr>
          <w:p w14:paraId="721CEE4C" w14:textId="77777777" w:rsidR="00F83902" w:rsidRPr="006A4205" w:rsidRDefault="00F83902" w:rsidP="00D13771">
            <w:pPr>
              <w:spacing w:before="240"/>
            </w:pPr>
            <w:r w:rsidRPr="006A4205">
              <w:t xml:space="preserve">The SSNAP is the single source of data on stroke services, processes of care and outcomes. It provides the data for other statutory reporting mechanisms in England, including the NICE Quality Standard and the five other CCG OIS stroke measures; it is also due to be used for the NHS Outcomes Framework. SSNAP metrics are aligned with those in the Cardiovascular Disease Outcomes Strategy. </w:t>
            </w:r>
          </w:p>
          <w:p w14:paraId="5AEEBF83" w14:textId="77777777" w:rsidR="00F83902" w:rsidRPr="006A4205" w:rsidRDefault="00F83902" w:rsidP="00D13771">
            <w:pPr>
              <w:spacing w:before="240"/>
            </w:pPr>
            <w:r w:rsidRPr="006A4205">
              <w:t xml:space="preserve">Hospital Episode Statistics (HES) was considered as a data source for this indicator; </w:t>
            </w:r>
            <w:proofErr w:type="gramStart"/>
            <w:r w:rsidRPr="006A4205">
              <w:t>however</w:t>
            </w:r>
            <w:proofErr w:type="gramEnd"/>
            <w:r w:rsidRPr="006A4205">
              <w:t xml:space="preserve"> it does not contain the necessary detail required for this indicator to measure stroke unit admission.</w:t>
            </w:r>
          </w:p>
        </w:tc>
      </w:tr>
      <w:tr w:rsidR="006A4205" w:rsidRPr="006A4205" w14:paraId="43D3F48C" w14:textId="77777777" w:rsidTr="00F83902">
        <w:tc>
          <w:tcPr>
            <w:tcW w:w="2268" w:type="dxa"/>
          </w:tcPr>
          <w:p w14:paraId="77D0057D" w14:textId="68C5ED0D" w:rsidR="00F83902" w:rsidRPr="006A4205" w:rsidRDefault="00F83902" w:rsidP="00D13771">
            <w:pPr>
              <w:spacing w:before="240"/>
              <w:ind w:left="34"/>
              <w:rPr>
                <w:b/>
              </w:rPr>
            </w:pPr>
            <w:permStart w:id="311494009" w:edGrp="everyone" w:colFirst="2" w:colLast="2"/>
            <w:permEnd w:id="1335695513"/>
            <w:r w:rsidRPr="006A4205">
              <w:rPr>
                <w:b/>
              </w:rPr>
              <w:t>3.3 Data availability</w:t>
            </w:r>
          </w:p>
        </w:tc>
        <w:tc>
          <w:tcPr>
            <w:tcW w:w="6853" w:type="dxa"/>
          </w:tcPr>
          <w:p w14:paraId="026F8712" w14:textId="77777777" w:rsidR="00F83902" w:rsidRPr="006A4205" w:rsidRDefault="00F83902" w:rsidP="00D13771">
            <w:pPr>
              <w:spacing w:before="240"/>
            </w:pPr>
            <w:r w:rsidRPr="006A4205">
              <w:t xml:space="preserve">CCG OIS indicators are published annually. SSNAP data for the full financial year is available to produce the indicator approximately 8 months after the financial year end; </w:t>
            </w:r>
            <w:proofErr w:type="gramStart"/>
            <w:r w:rsidRPr="006A4205">
              <w:t>therefore</w:t>
            </w:r>
            <w:proofErr w:type="gramEnd"/>
            <w:r w:rsidRPr="006A4205">
              <w:t xml:space="preserve"> the indicator is published each year in December.</w:t>
            </w:r>
          </w:p>
          <w:p w14:paraId="0B9D7E5B" w14:textId="77777777" w:rsidR="00F83902" w:rsidRPr="006A4205" w:rsidRDefault="00F83902" w:rsidP="00D13771">
            <w:pPr>
              <w:spacing w:before="240"/>
            </w:pPr>
            <w:r w:rsidRPr="006A4205">
              <w:t>CCG OIS indicators are official statistics and the publication date is pre-announced. There is no gap between the planned and actual publication date.</w:t>
            </w:r>
          </w:p>
          <w:p w14:paraId="3405211C" w14:textId="77777777" w:rsidR="00F83902" w:rsidRPr="006A4205" w:rsidRDefault="00F83902" w:rsidP="00D13771">
            <w:pPr>
              <w:spacing w:before="240"/>
              <w:rPr>
                <w:sz w:val="20"/>
                <w:szCs w:val="20"/>
              </w:rPr>
            </w:pPr>
            <w:r w:rsidRPr="006A4205">
              <w:t>The RCP make this indicator, along with a number of others, accessible to the public via RCP reporting, including an Easy Access Version aimed at stroke survivors and carers. It is available via Excel spreadsheets and other formats including graphical representation.</w:t>
            </w:r>
          </w:p>
        </w:tc>
      </w:tr>
      <w:tr w:rsidR="006A4205" w:rsidRPr="006A4205" w14:paraId="7BB2F098" w14:textId="77777777" w:rsidTr="00F83902">
        <w:tc>
          <w:tcPr>
            <w:tcW w:w="2268" w:type="dxa"/>
          </w:tcPr>
          <w:p w14:paraId="435479CA" w14:textId="20EF3F90" w:rsidR="00F83902" w:rsidRPr="006A4205" w:rsidRDefault="00F83902" w:rsidP="00D13771">
            <w:pPr>
              <w:spacing w:before="240"/>
              <w:ind w:left="34"/>
              <w:rPr>
                <w:b/>
              </w:rPr>
            </w:pPr>
            <w:permStart w:id="1507095308" w:edGrp="everyone" w:colFirst="1" w:colLast="1"/>
            <w:permEnd w:id="311494009"/>
            <w:r w:rsidRPr="006A4205">
              <w:rPr>
                <w:b/>
              </w:rPr>
              <w:t>3.4 Data quality</w:t>
            </w:r>
          </w:p>
        </w:tc>
        <w:tc>
          <w:tcPr>
            <w:tcW w:w="6853" w:type="dxa"/>
          </w:tcPr>
          <w:p w14:paraId="1AD10C95" w14:textId="77777777" w:rsidR="00F83902" w:rsidRPr="006A4205" w:rsidRDefault="00F83902" w:rsidP="00D13771">
            <w:pPr>
              <w:spacing w:before="240"/>
            </w:pPr>
            <w:r w:rsidRPr="006A4205">
              <w:t>The indicator is published in the context of case ascertainment between SSNAP and HES. This is the percentage of patients with primary ICD-10 codes I61, I63 and I64 in HES who are included in SSNAP for the same time period.</w:t>
            </w:r>
          </w:p>
          <w:p w14:paraId="60DC6D92" w14:textId="77777777" w:rsidR="00F83902" w:rsidRPr="006A4205" w:rsidRDefault="00F83902" w:rsidP="00D13771">
            <w:pPr>
              <w:spacing w:before="240"/>
            </w:pPr>
            <w:r w:rsidRPr="006A4205">
              <w:t>The SSNAP is a mandatory collection and overall case ascertainment increased from 72% in Quarter 1 to 95% in Quarter 4, 2013/14 (Quarter 2: 83%, Quarter 3: 90%). It has further improved to 97% by Quarter 4, 2014/15. Case ascertainment is reported alongside the indicator for all CCGs in the published CCG OIS data files. Only five CCGs (2.4%) had their percentages suppressed in the published 2013/14 data due to less than 50% case ascertainment with HES.</w:t>
            </w:r>
          </w:p>
          <w:p w14:paraId="036451C9" w14:textId="77777777" w:rsidR="00F83902" w:rsidRPr="006A4205" w:rsidRDefault="00F83902" w:rsidP="00D13771">
            <w:pPr>
              <w:spacing w:before="240"/>
            </w:pPr>
            <w:r w:rsidRPr="006A4205">
              <w:t xml:space="preserve">Patient records are only included in audit analyses if they include the minimum requirements of completion of mandatory fields. The minimum includes all of the fields required to calculate this indicator. Case ascertainment is reported publicly at hospital level and therefore there is a strong incentive for hospitals to ensure they have submitted all of their patients to the audit and completed the mandatory fields. The data is received via a secure web tool which </w:t>
            </w:r>
            <w:r w:rsidRPr="006A4205">
              <w:lastRenderedPageBreak/>
              <w:t>has strong built-in validation meaning that data used in the calculation of this indicator is fully complete.</w:t>
            </w:r>
          </w:p>
          <w:p w14:paraId="3AA23408" w14:textId="77777777" w:rsidR="00F83902" w:rsidRPr="006A4205" w:rsidRDefault="00F83902" w:rsidP="00D13771">
            <w:pPr>
              <w:spacing w:before="240"/>
            </w:pPr>
            <w:r w:rsidRPr="006A4205">
              <w:t>Patients are mapped to a CCG using patient postcode. National level figures are published including patients that could not be mapped to a CCG and therefore the total of the individual CCGs does not match the national level figure. Over 99% of patients are matched to a CCG across each of the CCG OIS stroke indicators.</w:t>
            </w:r>
          </w:p>
        </w:tc>
      </w:tr>
      <w:tr w:rsidR="006A4205" w:rsidRPr="006A4205" w14:paraId="74F93A96" w14:textId="77777777" w:rsidTr="00F83902">
        <w:tc>
          <w:tcPr>
            <w:tcW w:w="2268" w:type="dxa"/>
          </w:tcPr>
          <w:p w14:paraId="0E04C210" w14:textId="52D930FE" w:rsidR="00F83902" w:rsidRPr="006A4205" w:rsidRDefault="00F83902" w:rsidP="00D13771">
            <w:pPr>
              <w:spacing w:before="240"/>
              <w:ind w:left="34"/>
              <w:rPr>
                <w:b/>
              </w:rPr>
            </w:pPr>
            <w:permStart w:id="770666691" w:edGrp="everyone" w:colFirst="2" w:colLast="2"/>
            <w:permStart w:id="905802710" w:edGrp="everyone" w:colFirst="1" w:colLast="1"/>
            <w:permEnd w:id="1507095308"/>
            <w:r w:rsidRPr="006A4205">
              <w:rPr>
                <w:b/>
              </w:rPr>
              <w:lastRenderedPageBreak/>
              <w:t>3.5 Quality assurance</w:t>
            </w:r>
          </w:p>
        </w:tc>
        <w:tc>
          <w:tcPr>
            <w:tcW w:w="6853" w:type="dxa"/>
          </w:tcPr>
          <w:p w14:paraId="679586EC" w14:textId="77777777" w:rsidR="00F83902" w:rsidRPr="006A4205" w:rsidRDefault="00F83902" w:rsidP="00D13771">
            <w:pPr>
              <w:spacing w:before="240"/>
            </w:pPr>
            <w:r w:rsidRPr="006A4205">
              <w:t xml:space="preserve">As SSNAP data is subject to strong built-in validation via the secure web tool, it means that it is not possible for providers to enter illogical timings; however, this is double checked during analysis and therefore the accuracy of the indicator is very high. No assumptions are made regarding the arrival and discharge times, apart from when a patient died in hospital. </w:t>
            </w:r>
          </w:p>
          <w:p w14:paraId="6E6604E4" w14:textId="77777777" w:rsidR="00F83902" w:rsidRPr="006A4205" w:rsidRDefault="00F83902" w:rsidP="00D13771">
            <w:pPr>
              <w:spacing w:before="240"/>
            </w:pPr>
            <w:r w:rsidRPr="006A4205">
              <w:t xml:space="preserve">When submitting SSNAP data, security and confidentiality are maintained through the use of passwords and a person specific registration process. A dedicated helpdesk is in place to answer queries from SSNAP participants, helping to ensure questions are interpreted consistently (which informs updates to FAQs and data set help notes). Users can register for their team on the SSNAP web tool and input data for their team. Once records are complete and </w:t>
            </w:r>
            <w:proofErr w:type="gramStart"/>
            <w:r w:rsidRPr="006A4205">
              <w:t>correct</w:t>
            </w:r>
            <w:proofErr w:type="gramEnd"/>
            <w:r w:rsidRPr="006A4205">
              <w:t xml:space="preserve"> they can be ‘locked’ at different levels. Records can be ‘locked’ to 72 hours once this information is completed, they can then be locked to discharge once this is applicable. Locking confirms that all data have been clinically signed off and are ready for central analysis. The ‘Lead clinical contact’ role is responsible for ensuring that the overall system of data collection and entry onto the web tool is accurate, robust and functioning. The SSNAP encourage the lead to routinely check data. Only complete and locked to 72 hours records go into data analysis for the </w:t>
            </w:r>
            <w:proofErr w:type="gramStart"/>
            <w:r w:rsidRPr="006A4205">
              <w:t>72 hour</w:t>
            </w:r>
            <w:proofErr w:type="gramEnd"/>
            <w:r w:rsidRPr="006A4205">
              <w:t xml:space="preserve"> section and complete and locked to discharge records go into data analysis for the post-72h section.</w:t>
            </w:r>
          </w:p>
          <w:p w14:paraId="5AD69404" w14:textId="77777777" w:rsidR="00F83902" w:rsidRPr="006A4205" w:rsidRDefault="00F83902" w:rsidP="00D13771">
            <w:pPr>
              <w:spacing w:before="240"/>
            </w:pPr>
            <w:r w:rsidRPr="006A4205">
              <w:t>Eligibility criteria are applied to determine which records can be included in the audit. The criteria are: ICD-10 codes I61, I63, I64, but hospitals have means of checking for eligible patients other than their coding system and participants are encouraged to enter cases prospectively meaning the stroke team have more control over selecting records to be included and can also refer to their stroke register, should they have one.</w:t>
            </w:r>
          </w:p>
        </w:tc>
      </w:tr>
      <w:permEnd w:id="905802710"/>
      <w:tr w:rsidR="006A4205" w:rsidRPr="006A4205" w14:paraId="44D559CD" w14:textId="77777777" w:rsidTr="00F83902">
        <w:tc>
          <w:tcPr>
            <w:tcW w:w="2268" w:type="dxa"/>
          </w:tcPr>
          <w:p w14:paraId="57628919" w14:textId="7DDA15FB" w:rsidR="00F83902" w:rsidRPr="006A4205" w:rsidRDefault="00F83902" w:rsidP="00D13771">
            <w:pPr>
              <w:spacing w:before="240"/>
              <w:ind w:left="34"/>
              <w:rPr>
                <w:b/>
              </w:rPr>
            </w:pPr>
            <w:r w:rsidRPr="006A4205">
              <w:rPr>
                <w:b/>
              </w:rPr>
              <w:t xml:space="preserve">3.6 Quality improvement plan </w:t>
            </w:r>
          </w:p>
          <w:p w14:paraId="7A3270BA" w14:textId="77777777" w:rsidR="00F83902" w:rsidRPr="006A4205" w:rsidRDefault="00F83902" w:rsidP="00D13771">
            <w:pPr>
              <w:ind w:left="34"/>
            </w:pPr>
            <w:r w:rsidRPr="006A4205">
              <w:t>If appropriate</w:t>
            </w:r>
          </w:p>
        </w:tc>
        <w:tc>
          <w:tcPr>
            <w:tcW w:w="6853" w:type="dxa"/>
          </w:tcPr>
          <w:p w14:paraId="7C1B77F1" w14:textId="77777777" w:rsidR="00F83902" w:rsidRPr="006A4205" w:rsidRDefault="00F83902" w:rsidP="00D13771">
            <w:pPr>
              <w:spacing w:before="240"/>
            </w:pPr>
            <w:r w:rsidRPr="006A4205">
              <w:t>N/A</w:t>
            </w:r>
          </w:p>
        </w:tc>
      </w:tr>
      <w:tr w:rsidR="006A4205" w:rsidRPr="006A4205" w14:paraId="19EF82A3" w14:textId="77777777" w:rsidTr="00F83902">
        <w:tc>
          <w:tcPr>
            <w:tcW w:w="2268" w:type="dxa"/>
          </w:tcPr>
          <w:p w14:paraId="68B963BF" w14:textId="5D993F3B" w:rsidR="00F83902" w:rsidRPr="006A4205" w:rsidRDefault="00F83902" w:rsidP="00D13771">
            <w:pPr>
              <w:spacing w:before="240"/>
              <w:ind w:left="34"/>
              <w:rPr>
                <w:b/>
              </w:rPr>
            </w:pPr>
            <w:permStart w:id="547973854" w:edGrp="everyone" w:colFirst="1" w:colLast="1"/>
            <w:permEnd w:id="770666691"/>
            <w:r w:rsidRPr="006A4205">
              <w:rPr>
                <w:b/>
              </w:rPr>
              <w:t>3.7 Data linkage</w:t>
            </w:r>
          </w:p>
        </w:tc>
        <w:tc>
          <w:tcPr>
            <w:tcW w:w="6853" w:type="dxa"/>
          </w:tcPr>
          <w:p w14:paraId="2B348C1A" w14:textId="77777777" w:rsidR="00F83902" w:rsidRPr="006A4205" w:rsidRDefault="00F83902" w:rsidP="00D13771">
            <w:pPr>
              <w:spacing w:before="240"/>
            </w:pPr>
            <w:r w:rsidRPr="006A4205">
              <w:t>None.</w:t>
            </w:r>
          </w:p>
        </w:tc>
      </w:tr>
      <w:tr w:rsidR="006A4205" w:rsidRPr="006A4205" w14:paraId="1557ABE6" w14:textId="77777777" w:rsidTr="00F83902">
        <w:tc>
          <w:tcPr>
            <w:tcW w:w="2268" w:type="dxa"/>
          </w:tcPr>
          <w:p w14:paraId="2893482A" w14:textId="28F54008" w:rsidR="00F83902" w:rsidRPr="006A4205" w:rsidRDefault="00F83902" w:rsidP="00D13771">
            <w:pPr>
              <w:spacing w:before="240"/>
              <w:ind w:left="34"/>
              <w:rPr>
                <w:b/>
              </w:rPr>
            </w:pPr>
            <w:permStart w:id="1346125409" w:edGrp="everyone" w:colFirst="1" w:colLast="1"/>
            <w:permEnd w:id="547973854"/>
            <w:r w:rsidRPr="006A4205">
              <w:rPr>
                <w:b/>
              </w:rPr>
              <w:lastRenderedPageBreak/>
              <w:t>3.8 Quality of data linkage</w:t>
            </w:r>
          </w:p>
        </w:tc>
        <w:tc>
          <w:tcPr>
            <w:tcW w:w="6853" w:type="dxa"/>
          </w:tcPr>
          <w:p w14:paraId="35443951" w14:textId="77777777" w:rsidR="00F83902" w:rsidRPr="006A4205" w:rsidRDefault="00F83902" w:rsidP="00D13771">
            <w:pPr>
              <w:spacing w:before="240"/>
            </w:pPr>
            <w:r w:rsidRPr="006A4205">
              <w:t>N/A</w:t>
            </w:r>
          </w:p>
        </w:tc>
      </w:tr>
      <w:tr w:rsidR="006A4205" w:rsidRPr="006A4205" w14:paraId="52C63E93" w14:textId="77777777" w:rsidTr="00F83902">
        <w:tc>
          <w:tcPr>
            <w:tcW w:w="2268" w:type="dxa"/>
          </w:tcPr>
          <w:p w14:paraId="0DA68F90" w14:textId="4426B2B5" w:rsidR="00F83902" w:rsidRPr="006A4205" w:rsidRDefault="00F83902" w:rsidP="00D13771">
            <w:pPr>
              <w:spacing w:before="240"/>
              <w:ind w:left="34"/>
              <w:rPr>
                <w:b/>
              </w:rPr>
            </w:pPr>
            <w:permStart w:id="920606600" w:edGrp="everyone" w:colFirst="1" w:colLast="1"/>
            <w:permEnd w:id="1346125409"/>
            <w:r w:rsidRPr="006A4205">
              <w:rPr>
                <w:b/>
              </w:rPr>
              <w:t>3.9 Data fields</w:t>
            </w:r>
          </w:p>
        </w:tc>
        <w:tc>
          <w:tcPr>
            <w:tcW w:w="6853" w:type="dxa"/>
          </w:tcPr>
          <w:p w14:paraId="49DE35B1" w14:textId="77777777" w:rsidR="00F83902" w:rsidRPr="006A4205" w:rsidRDefault="00F83902" w:rsidP="00D13771">
            <w:pPr>
              <w:spacing w:before="240"/>
            </w:pPr>
            <w:r w:rsidRPr="006A4205">
              <w:t xml:space="preserve">The data fields supplied by the RCP are as follows: </w:t>
            </w:r>
          </w:p>
          <w:p w14:paraId="6CBEB1D9" w14:textId="77777777" w:rsidR="00F83902" w:rsidRPr="006A4205" w:rsidRDefault="00F83902" w:rsidP="00D13771">
            <w:pPr>
              <w:spacing w:before="240"/>
            </w:pPr>
            <w:r w:rsidRPr="006A4205">
              <w:t>1. Number of records in SSNAP attributed to this CCG according to patient postcode</w:t>
            </w:r>
          </w:p>
          <w:p w14:paraId="6AB9B6E8" w14:textId="77777777" w:rsidR="00F83902" w:rsidRPr="006A4205" w:rsidRDefault="00F83902" w:rsidP="00D13771">
            <w:pPr>
              <w:spacing w:before="240"/>
            </w:pPr>
            <w:r w:rsidRPr="006A4205">
              <w:t>2. Estimated expected number of patients (from HES)</w:t>
            </w:r>
          </w:p>
          <w:p w14:paraId="71AAE3D4" w14:textId="77777777" w:rsidR="00F83902" w:rsidRPr="006A4205" w:rsidRDefault="00F83902" w:rsidP="00D13771">
            <w:pPr>
              <w:spacing w:before="240"/>
            </w:pPr>
            <w:r w:rsidRPr="006A4205">
              <w:t xml:space="preserve">3. Case ascertainment band </w:t>
            </w:r>
          </w:p>
          <w:p w14:paraId="43F33E64" w14:textId="77777777" w:rsidR="00F83902" w:rsidRPr="006A4205" w:rsidRDefault="00F83902" w:rsidP="00D13771">
            <w:pPr>
              <w:spacing w:before="240"/>
            </w:pPr>
            <w:r w:rsidRPr="006A4205">
              <w:t>4. Numerator</w:t>
            </w:r>
          </w:p>
          <w:p w14:paraId="65AD5E43" w14:textId="77777777" w:rsidR="00F83902" w:rsidRPr="006A4205" w:rsidRDefault="00F83902" w:rsidP="00D13771">
            <w:pPr>
              <w:spacing w:before="240"/>
            </w:pPr>
            <w:r w:rsidRPr="006A4205">
              <w:t>5. Denominator</w:t>
            </w:r>
          </w:p>
          <w:p w14:paraId="47062BAC" w14:textId="77777777" w:rsidR="00F83902" w:rsidRPr="006A4205" w:rsidRDefault="00F83902" w:rsidP="00D13771">
            <w:pPr>
              <w:spacing w:before="240"/>
            </w:pPr>
            <w:r w:rsidRPr="006A4205">
              <w:t>6. Percentage of applicable patients who go direct to a stroke unit within 4 hours</w:t>
            </w:r>
          </w:p>
        </w:tc>
      </w:tr>
      <w:tr w:rsidR="006A4205" w:rsidRPr="006A4205" w14:paraId="6D06F58D" w14:textId="77777777" w:rsidTr="00F83902">
        <w:trPr>
          <w:trHeight w:val="3287"/>
        </w:trPr>
        <w:tc>
          <w:tcPr>
            <w:tcW w:w="2268" w:type="dxa"/>
          </w:tcPr>
          <w:p w14:paraId="3F696923" w14:textId="6008024B" w:rsidR="00F83902" w:rsidRPr="006A4205" w:rsidRDefault="00F83902" w:rsidP="00D13771">
            <w:pPr>
              <w:spacing w:before="240"/>
              <w:ind w:left="34"/>
              <w:rPr>
                <w:b/>
              </w:rPr>
            </w:pPr>
            <w:permStart w:id="1483029066" w:edGrp="everyone" w:colFirst="1" w:colLast="1"/>
            <w:permEnd w:id="920606600"/>
            <w:r w:rsidRPr="006A4205">
              <w:rPr>
                <w:b/>
              </w:rPr>
              <w:t>3.10 Data filters</w:t>
            </w:r>
          </w:p>
        </w:tc>
        <w:tc>
          <w:tcPr>
            <w:tcW w:w="6853" w:type="dxa"/>
          </w:tcPr>
          <w:p w14:paraId="49F32E31" w14:textId="77777777" w:rsidR="00F83902" w:rsidRPr="006A4205" w:rsidRDefault="00F83902" w:rsidP="00D13771">
            <w:pPr>
              <w:spacing w:before="240"/>
            </w:pPr>
            <w:r w:rsidRPr="006A4205">
              <w:t>SSNAP-derived records meeting all of the following requirements are valid for the denominator in this indicator:</w:t>
            </w:r>
          </w:p>
          <w:p w14:paraId="113FFCC6" w14:textId="77777777" w:rsidR="00F83902" w:rsidRPr="006A4205" w:rsidRDefault="00F83902" w:rsidP="00FC4450">
            <w:pPr>
              <w:pStyle w:val="ListParagraph"/>
              <w:numPr>
                <w:ilvl w:val="0"/>
                <w:numId w:val="10"/>
              </w:numPr>
              <w:spacing w:before="240" w:after="180" w:line="240" w:lineRule="auto"/>
              <w:contextualSpacing w:val="0"/>
              <w:textboxTightWrap w:val="lastLineOnly"/>
              <w:rPr>
                <w:rFonts w:ascii="Arial" w:hAnsi="Arial" w:cs="Arial"/>
              </w:rPr>
            </w:pPr>
            <w:r w:rsidRPr="006A4205">
              <w:rPr>
                <w:rFonts w:ascii="Arial" w:hAnsi="Arial" w:cs="Arial"/>
              </w:rPr>
              <w:t>Audit Question 1.14 – ‘Which was the first ward the patient was admitted to?’ is not equal to ‘ITU/CCU/HDU’</w:t>
            </w:r>
          </w:p>
          <w:p w14:paraId="5ED0EBC7" w14:textId="77777777" w:rsidR="00F83902" w:rsidRPr="006A4205" w:rsidRDefault="00F83902" w:rsidP="00D13771">
            <w:pPr>
              <w:spacing w:before="240"/>
            </w:pPr>
            <w:r w:rsidRPr="006A4205">
              <w:t>SSNAP-derived records meeting all of the following requirements are valid for the numerator in this indicator:</w:t>
            </w:r>
          </w:p>
          <w:p w14:paraId="0FF225CF" w14:textId="77777777" w:rsidR="00F83902" w:rsidRPr="006A4205" w:rsidRDefault="00F83902" w:rsidP="00FC4450">
            <w:pPr>
              <w:pStyle w:val="ListParagraph"/>
              <w:numPr>
                <w:ilvl w:val="0"/>
                <w:numId w:val="10"/>
              </w:numPr>
              <w:spacing w:before="240" w:after="180" w:line="240" w:lineRule="auto"/>
              <w:contextualSpacing w:val="0"/>
              <w:textboxTightWrap w:val="lastLineOnly"/>
              <w:rPr>
                <w:rFonts w:ascii="Arial" w:hAnsi="Arial" w:cs="Arial"/>
              </w:rPr>
            </w:pPr>
            <w:r w:rsidRPr="006A4205">
              <w:rPr>
                <w:rFonts w:ascii="Arial" w:hAnsi="Arial" w:cs="Arial"/>
              </w:rPr>
              <w:t>Audit Question 1.14 – ‘Which was the first ward the patient was admitted to?’ is equal to ‘Stroke Unit’</w:t>
            </w:r>
          </w:p>
          <w:p w14:paraId="57A13AFB" w14:textId="77777777" w:rsidR="00F83902" w:rsidRPr="006A4205" w:rsidRDefault="00F83902" w:rsidP="00FC4450">
            <w:pPr>
              <w:pStyle w:val="ListParagraph"/>
              <w:numPr>
                <w:ilvl w:val="0"/>
                <w:numId w:val="10"/>
              </w:numPr>
              <w:spacing w:before="240" w:after="180" w:line="240" w:lineRule="auto"/>
              <w:contextualSpacing w:val="0"/>
              <w:textboxTightWrap w:val="lastLineOnly"/>
              <w:rPr>
                <w:rFonts w:ascii="Arial" w:hAnsi="Arial" w:cs="Arial"/>
              </w:rPr>
            </w:pPr>
            <w:r w:rsidRPr="006A4205">
              <w:rPr>
                <w:rFonts w:ascii="Arial" w:hAnsi="Arial" w:cs="Arial"/>
              </w:rPr>
              <w:t>Audit Question 1.15 – ‘Date/time patient first arrived on stroke unit’ is within 4 hours of Audit Question 1.13 – Date/time patient arrived at first hospital</w:t>
            </w:r>
          </w:p>
          <w:p w14:paraId="5F60A5A5" w14:textId="77777777" w:rsidR="00F83902" w:rsidRPr="006A4205" w:rsidRDefault="00F83902" w:rsidP="00D13771">
            <w:pPr>
              <w:spacing w:before="240"/>
            </w:pPr>
            <w:r w:rsidRPr="006A4205">
              <w:t xml:space="preserve">If Audit Question 1.10 (Was the patient already an inpatient at the time of stroke?) is equal to ‘Yes’ </w:t>
            </w:r>
            <w:proofErr w:type="gramStart"/>
            <w:r w:rsidRPr="006A4205">
              <w:t>then;</w:t>
            </w:r>
            <w:proofErr w:type="gramEnd"/>
          </w:p>
          <w:p w14:paraId="19BF8B74" w14:textId="77777777" w:rsidR="00F83902" w:rsidRPr="006A4205" w:rsidRDefault="00F83902" w:rsidP="00FC4450">
            <w:pPr>
              <w:pStyle w:val="ListParagraph"/>
              <w:numPr>
                <w:ilvl w:val="0"/>
                <w:numId w:val="15"/>
              </w:numPr>
              <w:spacing w:before="240" w:after="180" w:line="240" w:lineRule="auto"/>
              <w:contextualSpacing w:val="0"/>
              <w:textboxTightWrap w:val="lastLineOnly"/>
              <w:rPr>
                <w:rFonts w:ascii="Arial" w:hAnsi="Arial" w:cs="Arial"/>
              </w:rPr>
            </w:pPr>
            <w:r w:rsidRPr="006A4205">
              <w:rPr>
                <w:rFonts w:ascii="Arial" w:hAnsi="Arial" w:cs="Arial"/>
              </w:rPr>
              <w:t>Audit Question 1.15 – ‘Date/time patient first arrived on stroke unit’ is within 4 hours of Audit Question 1.11 – Date/time of onset/awareness of symptoms</w:t>
            </w:r>
          </w:p>
          <w:p w14:paraId="645592D1" w14:textId="77777777" w:rsidR="00F83902" w:rsidRPr="006A4205" w:rsidRDefault="00F83902" w:rsidP="00FC4450">
            <w:pPr>
              <w:pStyle w:val="ListParagraph"/>
              <w:numPr>
                <w:ilvl w:val="0"/>
                <w:numId w:val="15"/>
              </w:numPr>
              <w:spacing w:before="240" w:after="180" w:line="240" w:lineRule="auto"/>
              <w:contextualSpacing w:val="0"/>
              <w:textboxTightWrap w:val="lastLineOnly"/>
              <w:rPr>
                <w:rFonts w:ascii="Arial" w:hAnsi="Arial" w:cs="Arial"/>
              </w:rPr>
            </w:pPr>
            <w:r w:rsidRPr="006A4205">
              <w:rPr>
                <w:rFonts w:ascii="Arial" w:hAnsi="Arial" w:cs="Arial"/>
              </w:rPr>
              <w:t>Audit Question 1.11.1 – ‘The date given is: Precise/Best estimate/Not known’ is equal to ‘Precise’ or ‘Best estimate’</w:t>
            </w:r>
          </w:p>
          <w:p w14:paraId="41EE462D" w14:textId="77777777" w:rsidR="00F83902" w:rsidRPr="006A4205" w:rsidRDefault="00F83902" w:rsidP="00FC4450">
            <w:pPr>
              <w:pStyle w:val="ListParagraph"/>
              <w:numPr>
                <w:ilvl w:val="0"/>
                <w:numId w:val="15"/>
              </w:numPr>
              <w:spacing w:before="240" w:after="180" w:line="240" w:lineRule="auto"/>
              <w:contextualSpacing w:val="0"/>
              <w:textboxTightWrap w:val="lastLineOnly"/>
              <w:rPr>
                <w:rFonts w:ascii="Arial" w:hAnsi="Arial" w:cs="Arial"/>
              </w:rPr>
            </w:pPr>
            <w:r w:rsidRPr="006A4205">
              <w:rPr>
                <w:rFonts w:ascii="Arial" w:hAnsi="Arial" w:cs="Arial"/>
              </w:rPr>
              <w:t>Audit Question 1.11.2 – The time given is: Precise/Best estimate/Not known is equal to ‘Precise’ or ‘Best estimate’</w:t>
            </w:r>
          </w:p>
        </w:tc>
      </w:tr>
      <w:tr w:rsidR="006A4205" w:rsidRPr="006A4205" w14:paraId="6DCBF738" w14:textId="77777777" w:rsidTr="00F83902">
        <w:tc>
          <w:tcPr>
            <w:tcW w:w="2268" w:type="dxa"/>
          </w:tcPr>
          <w:p w14:paraId="0CAA04D6" w14:textId="2136C5C9" w:rsidR="00F83902" w:rsidRPr="006A4205" w:rsidRDefault="00F83902" w:rsidP="00D13771">
            <w:pPr>
              <w:spacing w:before="240"/>
              <w:ind w:left="34"/>
              <w:rPr>
                <w:b/>
              </w:rPr>
            </w:pPr>
            <w:permStart w:id="1486317259" w:edGrp="everyone" w:colFirst="2" w:colLast="2"/>
            <w:permEnd w:id="1483029066"/>
            <w:r w:rsidRPr="006A4205">
              <w:rPr>
                <w:b/>
              </w:rPr>
              <w:lastRenderedPageBreak/>
              <w:t xml:space="preserve">3.11 Justifications of inclusions and exclusions </w:t>
            </w:r>
          </w:p>
          <w:p w14:paraId="71884D85" w14:textId="77777777" w:rsidR="00F83902" w:rsidRPr="006A4205" w:rsidRDefault="00F83902" w:rsidP="00D13771">
            <w:pPr>
              <w:ind w:left="34"/>
            </w:pPr>
            <w:r w:rsidRPr="006A4205">
              <w:t>and how these adhere to standard definitions</w:t>
            </w:r>
          </w:p>
        </w:tc>
        <w:tc>
          <w:tcPr>
            <w:tcW w:w="6853" w:type="dxa"/>
          </w:tcPr>
          <w:p w14:paraId="1512E7F9" w14:textId="77777777" w:rsidR="00F83902" w:rsidRPr="006A4205" w:rsidRDefault="00F83902" w:rsidP="00D13771">
            <w:pPr>
              <w:spacing w:before="240"/>
            </w:pPr>
            <w:r w:rsidRPr="006A4205">
              <w:t>Audit Question 1.14 is not equal to ‘ITU/CCU/HDU’ – Excludes patients who have been admitted to ITU (Intensive Treatment Unit), CCU (Critical Care Unit) or HDU (High Dependency Unit). Some patients’ condition is sufficiently serious that the most appropriate place to meet their needs is ITU, CCU or HDU. The reason for the audit having these exclusions is to prevent any perverse incentives to have all patients on a stroke unit even if they are better off being treated elsewhere.</w:t>
            </w:r>
          </w:p>
          <w:p w14:paraId="1159EA4A" w14:textId="77777777" w:rsidR="00F83902" w:rsidRPr="006A4205" w:rsidRDefault="00F83902" w:rsidP="00D13771">
            <w:pPr>
              <w:spacing w:before="240"/>
            </w:pPr>
            <w:r w:rsidRPr="006A4205">
              <w:t>Audit Question 1.14 is equal to ‘Stroke Unit’ - Identifies only patients who have been admitted to a stroke unit.</w:t>
            </w:r>
          </w:p>
          <w:p w14:paraId="417DE084" w14:textId="77777777" w:rsidR="00F83902" w:rsidRPr="006A4205" w:rsidRDefault="00F83902" w:rsidP="00D13771">
            <w:pPr>
              <w:spacing w:before="240"/>
            </w:pPr>
            <w:r w:rsidRPr="006A4205">
              <w:t>Audit Question 1.15 is within 4 hours of Audit Question 1.13 – Identifies only patients who have arrived in hospital and moved to a stroke unit within 4 hours.</w:t>
            </w:r>
          </w:p>
          <w:p w14:paraId="151AF44F" w14:textId="77777777" w:rsidR="00F83902" w:rsidRPr="006A4205" w:rsidRDefault="00F83902" w:rsidP="00D13771">
            <w:pPr>
              <w:spacing w:before="240"/>
            </w:pPr>
            <w:r w:rsidRPr="006A4205">
              <w:t xml:space="preserve">Audit Question 1.15 is within 4 hours of Audit Question 1.11 – Identifies patients who had a stroke when in hospital and were moved to a stroke unit within 4 hours. There is evidence that patients who have a stroke in hospital are sometimes treated less quickly because it is not </w:t>
            </w:r>
            <w:proofErr w:type="gramStart"/>
            <w:r w:rsidRPr="006A4205">
              <w:t>recognised</w:t>
            </w:r>
            <w:proofErr w:type="gramEnd"/>
            <w:r w:rsidRPr="006A4205">
              <w:t xml:space="preserve"> or systems are not set up well for in-hospital pathways. The audit has always defined the timelines in this </w:t>
            </w:r>
            <w:proofErr w:type="gramStart"/>
            <w:r w:rsidRPr="006A4205">
              <w:t>way</w:t>
            </w:r>
            <w:proofErr w:type="gramEnd"/>
            <w:r w:rsidRPr="006A4205">
              <w:t xml:space="preserve"> and it is recognised as helpful by the steering group and hospital clinicians.</w:t>
            </w:r>
          </w:p>
          <w:p w14:paraId="461B31B2" w14:textId="77777777" w:rsidR="00F83902" w:rsidRPr="006A4205" w:rsidRDefault="00F83902" w:rsidP="00D13771">
            <w:pPr>
              <w:spacing w:before="240"/>
            </w:pPr>
            <w:r w:rsidRPr="006A4205">
              <w:t>Audit Question 1.11.1 is equal to ‘Precise’ or ‘Best estimate’ – Identifies patients whose date of onset/awareness of symptoms is reliable.</w:t>
            </w:r>
          </w:p>
          <w:p w14:paraId="1C4E5FF2" w14:textId="77777777" w:rsidR="00F83902" w:rsidRPr="006A4205" w:rsidRDefault="00F83902" w:rsidP="00D13771">
            <w:pPr>
              <w:spacing w:before="240"/>
            </w:pPr>
            <w:r w:rsidRPr="006A4205">
              <w:t>Audit Question 1.11.2 is equal to ‘Precise’ or ‘Best estimate’ – Identifies patients whose time of onset/awareness of symptoms is reliable.</w:t>
            </w:r>
          </w:p>
          <w:p w14:paraId="05C37812" w14:textId="77777777" w:rsidR="00F83902" w:rsidRPr="006A4205" w:rsidRDefault="00F83902" w:rsidP="00D13771">
            <w:pPr>
              <w:spacing w:before="240"/>
            </w:pPr>
            <w:r w:rsidRPr="006A4205">
              <w:t>The SSNAP uses the following ICD-10 diagnosis codes to identify stroke patients:</w:t>
            </w:r>
          </w:p>
          <w:p w14:paraId="36E20403" w14:textId="77777777" w:rsidR="00F83902" w:rsidRPr="006A4205" w:rsidRDefault="00F83902" w:rsidP="00FC4450">
            <w:pPr>
              <w:pStyle w:val="ListParagraph"/>
              <w:numPr>
                <w:ilvl w:val="0"/>
                <w:numId w:val="10"/>
              </w:numPr>
              <w:spacing w:before="240" w:after="180" w:line="240" w:lineRule="auto"/>
              <w:contextualSpacing w:val="0"/>
              <w:textboxTightWrap w:val="lastLineOnly"/>
              <w:rPr>
                <w:rFonts w:ascii="Arial" w:hAnsi="Arial" w:cs="Arial"/>
              </w:rPr>
            </w:pPr>
            <w:r w:rsidRPr="006A4205">
              <w:rPr>
                <w:rFonts w:ascii="Arial" w:hAnsi="Arial" w:cs="Arial"/>
              </w:rPr>
              <w:t>I61 - Intracerebral haemorrhage</w:t>
            </w:r>
          </w:p>
          <w:p w14:paraId="17C0A6C8" w14:textId="77777777" w:rsidR="00F83902" w:rsidRPr="006A4205" w:rsidRDefault="00F83902" w:rsidP="00FC4450">
            <w:pPr>
              <w:pStyle w:val="ListParagraph"/>
              <w:numPr>
                <w:ilvl w:val="0"/>
                <w:numId w:val="10"/>
              </w:numPr>
              <w:spacing w:before="240" w:after="180" w:line="240" w:lineRule="auto"/>
              <w:contextualSpacing w:val="0"/>
              <w:textboxTightWrap w:val="lastLineOnly"/>
              <w:rPr>
                <w:rFonts w:ascii="Arial" w:hAnsi="Arial" w:cs="Arial"/>
              </w:rPr>
            </w:pPr>
            <w:r w:rsidRPr="006A4205">
              <w:rPr>
                <w:rFonts w:ascii="Arial" w:hAnsi="Arial" w:cs="Arial"/>
              </w:rPr>
              <w:t>I63 - Cerebral infarction</w:t>
            </w:r>
          </w:p>
          <w:p w14:paraId="54CB0944" w14:textId="77777777" w:rsidR="00F83902" w:rsidRPr="006A4205" w:rsidRDefault="00F83902" w:rsidP="00FC4450">
            <w:pPr>
              <w:pStyle w:val="ListParagraph"/>
              <w:numPr>
                <w:ilvl w:val="0"/>
                <w:numId w:val="10"/>
              </w:numPr>
              <w:spacing w:before="240" w:after="180" w:line="240" w:lineRule="auto"/>
              <w:contextualSpacing w:val="0"/>
              <w:textboxTightWrap w:val="lastLineOnly"/>
              <w:rPr>
                <w:rFonts w:ascii="Arial" w:hAnsi="Arial" w:cs="Arial"/>
              </w:rPr>
            </w:pPr>
            <w:r w:rsidRPr="006A4205">
              <w:rPr>
                <w:rFonts w:ascii="Arial" w:hAnsi="Arial" w:cs="Arial"/>
              </w:rPr>
              <w:t>I64 - Stroke, not specified as haemorrhage or infarction</w:t>
            </w:r>
          </w:p>
          <w:p w14:paraId="0C2F61E7" w14:textId="77777777" w:rsidR="00F83902" w:rsidRPr="006A4205" w:rsidRDefault="00F83902" w:rsidP="00D13771">
            <w:pPr>
              <w:spacing w:before="240"/>
            </w:pPr>
            <w:r w:rsidRPr="006A4205">
              <w:t>The coding advice from the Clinical Classifications Service also includes I60 (Subarachnoid haemorrhage) and I62 (Other nontraumatic intracranial haemorrhage), however this advice would not be endorsed by the RCP as subarachnoid haemorrhage and other non-traumatic intracranial haemorrhage have a different care pathway and outcome.</w:t>
            </w:r>
          </w:p>
          <w:p w14:paraId="10CB997C" w14:textId="77777777" w:rsidR="00F83902" w:rsidRPr="006A4205" w:rsidRDefault="00F83902" w:rsidP="00D13771">
            <w:pPr>
              <w:spacing w:before="240"/>
            </w:pPr>
            <w:r w:rsidRPr="006A4205">
              <w:lastRenderedPageBreak/>
              <w:t>Subarachnoid haemorrhages and other non-traumatic intracranial haemorrhages are routinely and nearly always managed entirely outside of the stroke unit by neurosurgeons or by interventional neuroradiologists, which is what is recommended in national guidelines for these cases. The indicators need to reflect the care given on appropriate clinical pathways, not arbitrary groupings.</w:t>
            </w:r>
          </w:p>
        </w:tc>
      </w:tr>
      <w:tr w:rsidR="006A4205" w:rsidRPr="006A4205" w14:paraId="552A672C" w14:textId="77777777" w:rsidTr="00F83902">
        <w:tc>
          <w:tcPr>
            <w:tcW w:w="2268" w:type="dxa"/>
          </w:tcPr>
          <w:p w14:paraId="32C349A9" w14:textId="456E1440" w:rsidR="00F83902" w:rsidRPr="006A4205" w:rsidRDefault="00F83902" w:rsidP="00D13771">
            <w:pPr>
              <w:spacing w:before="240"/>
              <w:ind w:left="34"/>
              <w:rPr>
                <w:b/>
              </w:rPr>
            </w:pPr>
            <w:permStart w:id="1683516682" w:edGrp="everyone" w:colFirst="1" w:colLast="1"/>
            <w:permEnd w:id="1486317259"/>
            <w:r w:rsidRPr="006A4205">
              <w:rPr>
                <w:b/>
              </w:rPr>
              <w:lastRenderedPageBreak/>
              <w:t>3.12 Data processing</w:t>
            </w:r>
          </w:p>
        </w:tc>
        <w:tc>
          <w:tcPr>
            <w:tcW w:w="6853" w:type="dxa"/>
          </w:tcPr>
          <w:p w14:paraId="08ED94A4" w14:textId="77777777" w:rsidR="00F83902" w:rsidRPr="006A4205" w:rsidRDefault="00F83902" w:rsidP="00D13771">
            <w:pPr>
              <w:spacing w:before="240"/>
            </w:pPr>
            <w:r w:rsidRPr="006A4205">
              <w:t>The calculated CCG level indicator is provided by the RCP and includes the percentage, numerator, denominator and contextual information. It is provided with any necessary data suppression.</w:t>
            </w:r>
          </w:p>
          <w:p w14:paraId="1D6C0C8E" w14:textId="77777777" w:rsidR="00F83902" w:rsidRPr="006A4205" w:rsidRDefault="00F83902" w:rsidP="00D13771">
            <w:pPr>
              <w:spacing w:before="240"/>
            </w:pPr>
            <w:r w:rsidRPr="006A4205">
              <w:t>A 95% confidence interval is calculated by Clinical Indicators for each CCG prior to publication.</w:t>
            </w:r>
          </w:p>
        </w:tc>
      </w:tr>
      <w:permEnd w:id="1683516682"/>
    </w:tbl>
    <w:p w14:paraId="56C4D6AE" w14:textId="77777777" w:rsidR="00FC4450" w:rsidRPr="006A4205" w:rsidRDefault="00FC4450" w:rsidP="00FC4450">
      <w:r w:rsidRPr="006A4205">
        <w:br w:type="page"/>
      </w:r>
    </w:p>
    <w:p w14:paraId="2B0BB16B" w14:textId="1C793FF4" w:rsidR="00F83902" w:rsidRPr="006A4205" w:rsidRDefault="00F83902">
      <w:r w:rsidRPr="006A4205">
        <w:lastRenderedPageBreak/>
        <w:t>Section 4 Construction</w:t>
      </w:r>
    </w:p>
    <w:tbl>
      <w:tblPr>
        <w:tblStyle w:val="TableGrid1"/>
        <w:tblW w:w="0" w:type="auto"/>
        <w:tblLook w:val="04A0" w:firstRow="1" w:lastRow="0" w:firstColumn="1" w:lastColumn="0" w:noHBand="0" w:noVBand="1"/>
      </w:tblPr>
      <w:tblGrid>
        <w:gridCol w:w="2257"/>
        <w:gridCol w:w="6821"/>
      </w:tblGrid>
      <w:tr w:rsidR="006A4205" w:rsidRPr="006A4205" w14:paraId="09717C30" w14:textId="77777777" w:rsidTr="00F83902">
        <w:tc>
          <w:tcPr>
            <w:tcW w:w="2257" w:type="dxa"/>
          </w:tcPr>
          <w:p w14:paraId="58407FB3" w14:textId="1A487FF8" w:rsidR="00F83902" w:rsidRPr="006A4205" w:rsidRDefault="00F83902" w:rsidP="00D13771">
            <w:pPr>
              <w:spacing w:before="240"/>
              <w:ind w:left="34"/>
              <w:rPr>
                <w:b/>
              </w:rPr>
            </w:pPr>
            <w:permStart w:id="1501971966" w:edGrp="everyone" w:colFirst="1" w:colLast="1"/>
            <w:r w:rsidRPr="006A4205">
              <w:rPr>
                <w:b/>
              </w:rPr>
              <w:t>4.1 Numerator</w:t>
            </w:r>
          </w:p>
        </w:tc>
        <w:tc>
          <w:tcPr>
            <w:tcW w:w="6821" w:type="dxa"/>
          </w:tcPr>
          <w:p w14:paraId="3D6FEA04" w14:textId="77777777" w:rsidR="00F83902" w:rsidRPr="006A4205" w:rsidRDefault="00F83902" w:rsidP="00D13771">
            <w:pPr>
              <w:spacing w:before="240"/>
            </w:pPr>
            <w:r w:rsidRPr="006A4205">
              <w:t>Of the denominator, the number of patients whose first ward of admission is a stroke unit AND who are admitted to the stroke unit within 4 hours of arrival at hospital, except for those patients who were already in hospital at the time of new stroke occurrence, who are admitted to a stroke unit within 4 hours of onset of stroke symptoms.</w:t>
            </w:r>
          </w:p>
        </w:tc>
      </w:tr>
      <w:tr w:rsidR="006A4205" w:rsidRPr="006A4205" w14:paraId="3642AAD5" w14:textId="77777777" w:rsidTr="00F83902">
        <w:tc>
          <w:tcPr>
            <w:tcW w:w="2257" w:type="dxa"/>
          </w:tcPr>
          <w:p w14:paraId="1EC511B4" w14:textId="4807FD7E" w:rsidR="00F83902" w:rsidRPr="006A4205" w:rsidRDefault="00F83902" w:rsidP="00D13771">
            <w:pPr>
              <w:spacing w:before="240"/>
              <w:ind w:left="34"/>
              <w:rPr>
                <w:b/>
              </w:rPr>
            </w:pPr>
            <w:permStart w:id="1916682226" w:edGrp="everyone" w:colFirst="1" w:colLast="1"/>
            <w:permEnd w:id="1501971966"/>
            <w:r w:rsidRPr="006A4205">
              <w:rPr>
                <w:b/>
              </w:rPr>
              <w:t>4.2 Denominator</w:t>
            </w:r>
          </w:p>
        </w:tc>
        <w:tc>
          <w:tcPr>
            <w:tcW w:w="6821" w:type="dxa"/>
          </w:tcPr>
          <w:p w14:paraId="0944F0B9" w14:textId="77777777" w:rsidR="00F83902" w:rsidRPr="006A4205" w:rsidRDefault="00F83902" w:rsidP="00D13771">
            <w:pPr>
              <w:spacing w:before="240"/>
            </w:pPr>
            <w:r w:rsidRPr="006A4205">
              <w:t>All patients admitted to hospital with a primary diagnosis of stroke, except for those whose first ward of admission was ITU, CCU or HDU.</w:t>
            </w:r>
          </w:p>
          <w:p w14:paraId="34D3A3E0" w14:textId="77777777" w:rsidR="00F83902" w:rsidRPr="006A4205" w:rsidRDefault="00F83902" w:rsidP="00D13771">
            <w:pPr>
              <w:spacing w:before="240"/>
            </w:pPr>
            <w:r w:rsidRPr="006A4205">
              <w:t>(ITU = Intensive Treatment Unit, CCU = Critical Care Unit, HDU = High Dependency Unit)</w:t>
            </w:r>
          </w:p>
        </w:tc>
      </w:tr>
      <w:tr w:rsidR="006A4205" w:rsidRPr="006A4205" w14:paraId="00012314" w14:textId="77777777" w:rsidTr="00F83902">
        <w:tc>
          <w:tcPr>
            <w:tcW w:w="2257" w:type="dxa"/>
          </w:tcPr>
          <w:p w14:paraId="4593167C" w14:textId="0361BD4A" w:rsidR="00F83902" w:rsidRPr="006A4205" w:rsidRDefault="00F83902" w:rsidP="00D13771">
            <w:pPr>
              <w:spacing w:before="240"/>
              <w:ind w:left="34"/>
              <w:rPr>
                <w:b/>
              </w:rPr>
            </w:pPr>
            <w:permStart w:id="1102381697" w:edGrp="everyone" w:colFirst="1" w:colLast="1"/>
            <w:permEnd w:id="1916682226"/>
            <w:r w:rsidRPr="006A4205">
              <w:rPr>
                <w:b/>
              </w:rPr>
              <w:t>4.3 Computation</w:t>
            </w:r>
          </w:p>
        </w:tc>
        <w:tc>
          <w:tcPr>
            <w:tcW w:w="6821" w:type="dxa"/>
          </w:tcPr>
          <w:p w14:paraId="36D265FE" w14:textId="77777777" w:rsidR="00F83902" w:rsidRPr="006A4205" w:rsidRDefault="00F83902" w:rsidP="00D13771">
            <w:pPr>
              <w:spacing w:before="240"/>
            </w:pPr>
            <w:r w:rsidRPr="006A4205">
              <w:t xml:space="preserve">The percentage </w:t>
            </w:r>
            <w:r w:rsidRPr="006A4205">
              <w:rPr>
                <w:i/>
              </w:rPr>
              <w:t>p</w:t>
            </w:r>
            <w:r w:rsidRPr="006A4205">
              <w:t xml:space="preserve"> is given by:</w:t>
            </w:r>
            <w:r w:rsidRPr="006A4205">
              <w:tab/>
            </w:r>
            <w:r w:rsidRPr="006A4205">
              <w:tab/>
            </w:r>
            <w:r w:rsidRPr="006A4205">
              <w:tab/>
            </w:r>
          </w:p>
          <w:p w14:paraId="409F9E09" w14:textId="77777777" w:rsidR="00F83902" w:rsidRPr="006A4205" w:rsidRDefault="00F83902" w:rsidP="00D13771">
            <w:pPr>
              <w:rPr>
                <w:i/>
              </w:rPr>
            </w:pPr>
            <m:oMathPara>
              <m:oMath>
                <m:r>
                  <w:rPr>
                    <w:rFonts w:ascii="Cambria Math" w:hAnsi="Cambria Math"/>
                  </w:rPr>
                  <m:t>p=</m:t>
                </m:r>
                <m:f>
                  <m:fPr>
                    <m:ctrlPr>
                      <w:rPr>
                        <w:rFonts w:ascii="Cambria Math" w:hAnsi="Cambria Math"/>
                        <w:i/>
                      </w:rPr>
                    </m:ctrlPr>
                  </m:fPr>
                  <m:num>
                    <m:r>
                      <w:rPr>
                        <w:rFonts w:ascii="Cambria Math" w:hAnsi="Cambria Math"/>
                      </w:rPr>
                      <m:t>O</m:t>
                    </m:r>
                  </m:num>
                  <m:den>
                    <m:r>
                      <w:rPr>
                        <w:rFonts w:ascii="Cambria Math" w:hAnsi="Cambria Math"/>
                      </w:rPr>
                      <m:t>n</m:t>
                    </m:r>
                  </m:den>
                </m:f>
                <m:r>
                  <w:rPr>
                    <w:rFonts w:ascii="Cambria Math" w:hAnsi="Cambria Math"/>
                  </w:rPr>
                  <m:t>×100</m:t>
                </m:r>
              </m:oMath>
            </m:oMathPara>
          </w:p>
          <w:p w14:paraId="467E942A" w14:textId="77777777" w:rsidR="00F83902" w:rsidRPr="006A4205" w:rsidRDefault="00F83902" w:rsidP="00D13771">
            <w:r w:rsidRPr="006A4205">
              <w:t>where:</w:t>
            </w:r>
            <w:r w:rsidRPr="006A4205">
              <w:tab/>
            </w:r>
            <w:r w:rsidRPr="006A4205">
              <w:tab/>
            </w:r>
            <w:r w:rsidRPr="006A4205">
              <w:tab/>
            </w:r>
          </w:p>
          <w:p w14:paraId="0106E162" w14:textId="77777777" w:rsidR="00F83902" w:rsidRPr="006A4205" w:rsidRDefault="00F83902" w:rsidP="00D13771">
            <w:r w:rsidRPr="006A4205">
              <w:rPr>
                <w:i/>
              </w:rPr>
              <w:t>O</w:t>
            </w:r>
            <w:r w:rsidRPr="006A4205">
              <w:t xml:space="preserve"> is the numerator and </w:t>
            </w:r>
            <w:r w:rsidRPr="006A4205">
              <w:rPr>
                <w:i/>
              </w:rPr>
              <w:t>n</w:t>
            </w:r>
            <w:r w:rsidRPr="006A4205">
              <w:t xml:space="preserve"> </w:t>
            </w:r>
            <w:proofErr w:type="gramStart"/>
            <w:r w:rsidRPr="006A4205">
              <w:t>is</w:t>
            </w:r>
            <w:proofErr w:type="gramEnd"/>
            <w:r w:rsidRPr="006A4205">
              <w:t xml:space="preserve"> the denominator.</w:t>
            </w:r>
          </w:p>
        </w:tc>
      </w:tr>
      <w:tr w:rsidR="006A4205" w:rsidRPr="006A4205" w14:paraId="26E9C3A2" w14:textId="77777777" w:rsidTr="00F83902">
        <w:tc>
          <w:tcPr>
            <w:tcW w:w="2257" w:type="dxa"/>
          </w:tcPr>
          <w:p w14:paraId="395217B4" w14:textId="50C2D5DF" w:rsidR="00F83902" w:rsidRPr="006A4205" w:rsidRDefault="00F83902" w:rsidP="00D13771">
            <w:pPr>
              <w:spacing w:before="240"/>
              <w:ind w:left="34"/>
              <w:rPr>
                <w:b/>
              </w:rPr>
            </w:pPr>
            <w:permStart w:id="1285521091" w:edGrp="everyone" w:colFirst="1" w:colLast="1"/>
            <w:permEnd w:id="1102381697"/>
            <w:r w:rsidRPr="006A4205">
              <w:rPr>
                <w:b/>
              </w:rPr>
              <w:t>4.4 Risk adjustment or standardisation type and methodology</w:t>
            </w:r>
          </w:p>
        </w:tc>
        <w:tc>
          <w:tcPr>
            <w:tcW w:w="6821" w:type="dxa"/>
          </w:tcPr>
          <w:p w14:paraId="1D642B9C" w14:textId="77777777" w:rsidR="00F83902" w:rsidRPr="006A4205" w:rsidRDefault="00F83902" w:rsidP="00D13771">
            <w:pPr>
              <w:spacing w:before="240"/>
              <w:rPr>
                <w:rFonts w:eastAsia="Times New Roman"/>
                <w:sz w:val="18"/>
                <w:szCs w:val="18"/>
                <w:lang w:eastAsia="en-GB"/>
              </w:rPr>
            </w:pPr>
            <w:r w:rsidRPr="006A4205">
              <w:t xml:space="preserve">The indicator is not </w:t>
            </w:r>
            <w:proofErr w:type="gramStart"/>
            <w:r w:rsidRPr="006A4205">
              <w:t>standardised</w:t>
            </w:r>
            <w:proofErr w:type="gramEnd"/>
            <w:r w:rsidRPr="006A4205">
              <w:t xml:space="preserve"> or risk adjusted.</w:t>
            </w:r>
          </w:p>
        </w:tc>
      </w:tr>
      <w:tr w:rsidR="006A4205" w:rsidRPr="006A4205" w14:paraId="1342A07F" w14:textId="77777777" w:rsidTr="00F83902">
        <w:tc>
          <w:tcPr>
            <w:tcW w:w="2257" w:type="dxa"/>
          </w:tcPr>
          <w:p w14:paraId="187243A9" w14:textId="6BA3B090" w:rsidR="00F83902" w:rsidRPr="006A4205" w:rsidRDefault="00F83902" w:rsidP="00D13771">
            <w:pPr>
              <w:spacing w:before="240"/>
              <w:ind w:left="34"/>
              <w:rPr>
                <w:b/>
              </w:rPr>
            </w:pPr>
            <w:permStart w:id="2000631964" w:edGrp="everyone" w:colFirst="2" w:colLast="2"/>
            <w:permEnd w:id="1285521091"/>
            <w:r w:rsidRPr="006A4205">
              <w:rPr>
                <w:b/>
              </w:rPr>
              <w:t>4.5 Justification of risk adjustment type and variables</w:t>
            </w:r>
          </w:p>
          <w:p w14:paraId="729A5806" w14:textId="77777777" w:rsidR="00F83902" w:rsidRPr="006A4205" w:rsidRDefault="00F83902" w:rsidP="00D13771">
            <w:pPr>
              <w:ind w:left="34"/>
            </w:pPr>
            <w:r w:rsidRPr="006A4205">
              <w:t>or why risk adjustment is not used</w:t>
            </w:r>
          </w:p>
        </w:tc>
        <w:tc>
          <w:tcPr>
            <w:tcW w:w="6821" w:type="dxa"/>
          </w:tcPr>
          <w:p w14:paraId="262FCFC6" w14:textId="77777777" w:rsidR="00F83902" w:rsidRPr="006A4205" w:rsidRDefault="00F83902" w:rsidP="00D13771">
            <w:pPr>
              <w:spacing w:before="240"/>
            </w:pPr>
            <w:r w:rsidRPr="006A4205">
              <w:t xml:space="preserve">All people who have had a stroke (excluding those admitted to ITU, CCU or </w:t>
            </w:r>
            <w:proofErr w:type="gramStart"/>
            <w:r w:rsidRPr="006A4205">
              <w:t>HDU)  should</w:t>
            </w:r>
            <w:proofErr w:type="gramEnd"/>
            <w:r w:rsidRPr="006A4205">
              <w:t xml:space="preserve"> be admitted to a stroke unit within 4 hours of arrival to hospital/onset of symptoms, regardless of age, sex etc.</w:t>
            </w:r>
          </w:p>
        </w:tc>
      </w:tr>
      <w:tr w:rsidR="006A4205" w:rsidRPr="006A4205" w14:paraId="0BD1BCF8" w14:textId="77777777" w:rsidTr="00F83902">
        <w:tc>
          <w:tcPr>
            <w:tcW w:w="2257" w:type="dxa"/>
          </w:tcPr>
          <w:p w14:paraId="5A7E0BF9" w14:textId="00D53A44" w:rsidR="00F83902" w:rsidRPr="006A4205" w:rsidRDefault="00F83902" w:rsidP="00D13771">
            <w:pPr>
              <w:spacing w:before="240"/>
              <w:ind w:left="34"/>
              <w:rPr>
                <w:b/>
              </w:rPr>
            </w:pPr>
            <w:permStart w:id="628129377" w:edGrp="everyone" w:colFirst="1" w:colLast="1"/>
            <w:permEnd w:id="2000631964"/>
            <w:r w:rsidRPr="006A4205">
              <w:rPr>
                <w:b/>
              </w:rPr>
              <w:t>4.6 Confidence interval / control limit use and methodology</w:t>
            </w:r>
          </w:p>
        </w:tc>
        <w:tc>
          <w:tcPr>
            <w:tcW w:w="6821" w:type="dxa"/>
          </w:tcPr>
          <w:sdt>
            <w:sdtPr>
              <w:alias w:val="Confidence Interval/control limit use"/>
              <w:tag w:val="Confidence Interval/control limit use"/>
              <w:id w:val="1287858884"/>
              <w:placeholder>
                <w:docPart w:val="CAB1954B3C304004860A95A545492A88"/>
              </w:placeholder>
              <w:dropDownList>
                <w:listItem w:value="Choose an item."/>
                <w:listItem w:displayText="Confidence Intervals" w:value="Confidence Intervals"/>
                <w:listItem w:displayText="Control Limits" w:value="Control Limits"/>
                <w:listItem w:displayText="None" w:value="None"/>
              </w:dropDownList>
            </w:sdtPr>
            <w:sdtContent>
              <w:p w14:paraId="309E3DD4" w14:textId="77777777" w:rsidR="00F83902" w:rsidRPr="006A4205" w:rsidRDefault="00F83902" w:rsidP="00D13771">
                <w:pPr>
                  <w:spacing w:before="240"/>
                </w:pPr>
                <w:r w:rsidRPr="006A4205">
                  <w:t>Confidence Intervals</w:t>
                </w:r>
              </w:p>
            </w:sdtContent>
          </w:sdt>
          <w:p w14:paraId="41B6B6D9" w14:textId="77777777" w:rsidR="00F83902" w:rsidRPr="006A4205" w:rsidRDefault="00F83902" w:rsidP="00D13771">
            <w:pPr>
              <w:spacing w:before="240"/>
            </w:pPr>
            <w:r w:rsidRPr="006A4205">
              <w:t xml:space="preserve">Confidence intervals are calculated using the Wilson Score method, as specified in “Commonly used public health statistics and their confidence intervals” (Public Health England (PHE), March 2008 </w:t>
            </w:r>
            <w:hyperlink r:id="rId21" w:history="1">
              <w:r w:rsidRPr="006A4205">
                <w:rPr>
                  <w:rStyle w:val="Hyperlink"/>
                  <w:color w:val="auto"/>
                </w:rPr>
                <w:t>http://www.apho.org.uk/resource/view.aspx?RID=48617</w:t>
              </w:r>
            </w:hyperlink>
            <w:r w:rsidRPr="006A4205">
              <w:t>).</w:t>
            </w:r>
          </w:p>
          <w:p w14:paraId="19916B97" w14:textId="77777777" w:rsidR="00F83902" w:rsidRPr="006A4205" w:rsidRDefault="00F83902" w:rsidP="00D13771">
            <w:pPr>
              <w:spacing w:before="240"/>
            </w:pPr>
            <w:r w:rsidRPr="006A4205">
              <w:t xml:space="preserve">The formulae for the 100(1 – </w:t>
            </w:r>
            <w:proofErr w:type="gramStart"/>
            <w:r w:rsidRPr="006A4205">
              <w:t>α)%</w:t>
            </w:r>
            <w:proofErr w:type="gramEnd"/>
            <w:r w:rsidRPr="006A4205">
              <w:t xml:space="preserve"> confidence interval limits for the proportion p are:</w:t>
            </w:r>
          </w:p>
          <w:p w14:paraId="7AD941A4" w14:textId="77777777" w:rsidR="00F83902" w:rsidRPr="006A4205" w:rsidRDefault="00F83902" w:rsidP="00D13771">
            <w:pPr>
              <w:spacing w:before="240"/>
            </w:pPr>
            <m:oMathPara>
              <m:oMath>
                <m:sSub>
                  <m:sSubPr>
                    <m:ctrlPr>
                      <w:rPr>
                        <w:rFonts w:ascii="Cambria Math" w:hAnsi="Cambria Math"/>
                        <w:i/>
                      </w:rPr>
                    </m:ctrlPr>
                  </m:sSubPr>
                  <m:e>
                    <m:r>
                      <w:rPr>
                        <w:rFonts w:ascii="Cambria Math" w:hAnsi="Cambria Math"/>
                      </w:rPr>
                      <m:t>P</m:t>
                    </m:r>
                  </m:e>
                  <m:sub>
                    <m:r>
                      <w:rPr>
                        <w:rFonts w:ascii="Cambria Math" w:hAnsi="Cambria Math"/>
                      </w:rPr>
                      <m:t>lower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m:t>
                        </m:r>
                        <m:sSub>
                          <m:sSubPr>
                            <m:ctrlPr>
                              <w:rPr>
                                <w:rFonts w:ascii="Cambria Math" w:hAnsi="Cambria Math"/>
                                <w:i/>
                              </w:rPr>
                            </m:ctrlPr>
                          </m:sSubPr>
                          <m:e>
                            <m:r>
                              <w:rPr>
                                <w:rFonts w:ascii="Cambria Math" w:hAnsi="Cambria Math"/>
                              </w:rPr>
                              <m:t>o</m:t>
                            </m:r>
                          </m:e>
                          <m:sub>
                            <m:r>
                              <w:rPr>
                                <w:rFonts w:ascii="Cambria Math" w:hAnsi="Cambria Math"/>
                              </w:rPr>
                              <m:t>q</m:t>
                            </m:r>
                          </m:sub>
                        </m:sSub>
                      </m:e>
                    </m:rad>
                  </m:num>
                  <m:den>
                    <m:r>
                      <w:rPr>
                        <w:rFonts w:ascii="Cambria Math" w:hAnsi="Cambria Math"/>
                      </w:rPr>
                      <m:t>2</m:t>
                    </m:r>
                    <m:d>
                      <m:dPr>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7BB81CD9" w14:textId="77777777" w:rsidR="00F83902" w:rsidRPr="006A4205" w:rsidRDefault="00F83902" w:rsidP="00D13771">
            <w:pPr>
              <w:spacing w:before="240"/>
            </w:pPr>
            <m:oMathPara>
              <m:oMath>
                <m:sSub>
                  <m:sSubPr>
                    <m:ctrlPr>
                      <w:rPr>
                        <w:rFonts w:ascii="Cambria Math" w:hAnsi="Cambria Math"/>
                        <w:i/>
                      </w:rPr>
                    </m:ctrlPr>
                  </m:sSubPr>
                  <m:e>
                    <m:r>
                      <w:rPr>
                        <w:rFonts w:ascii="Cambria Math" w:hAnsi="Cambria Math"/>
                      </w:rPr>
                      <m:t>P</m:t>
                    </m:r>
                  </m:e>
                  <m:sub>
                    <m:r>
                      <w:rPr>
                        <w:rFonts w:ascii="Cambria Math" w:hAnsi="Cambria Math"/>
                      </w:rPr>
                      <m:t>upper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m:t>
                        </m:r>
                        <m:sSub>
                          <m:sSubPr>
                            <m:ctrlPr>
                              <w:rPr>
                                <w:rFonts w:ascii="Cambria Math" w:hAnsi="Cambria Math"/>
                                <w:i/>
                              </w:rPr>
                            </m:ctrlPr>
                          </m:sSubPr>
                          <m:e>
                            <m:r>
                              <w:rPr>
                                <w:rFonts w:ascii="Cambria Math" w:hAnsi="Cambria Math"/>
                              </w:rPr>
                              <m:t>o</m:t>
                            </m:r>
                          </m:e>
                          <m:sub>
                            <m:r>
                              <w:rPr>
                                <w:rFonts w:ascii="Cambria Math" w:hAnsi="Cambria Math"/>
                              </w:rPr>
                              <m:t>q</m:t>
                            </m:r>
                          </m:sub>
                        </m:sSub>
                      </m:e>
                    </m:rad>
                  </m:num>
                  <m:den>
                    <m:r>
                      <w:rPr>
                        <w:rFonts w:ascii="Cambria Math" w:hAnsi="Cambria Math"/>
                      </w:rPr>
                      <m:t>2</m:t>
                    </m:r>
                    <m:d>
                      <m:dPr>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61379CCD" w14:textId="77777777" w:rsidR="00F83902" w:rsidRPr="006A4205" w:rsidRDefault="00F83902" w:rsidP="00D13771">
            <w:pPr>
              <w:spacing w:before="240"/>
            </w:pPr>
            <w:r w:rsidRPr="006A4205">
              <w:t>where:</w:t>
            </w:r>
          </w:p>
          <w:p w14:paraId="2D875AF0" w14:textId="77777777" w:rsidR="00F83902" w:rsidRPr="006A4205" w:rsidRDefault="00F83902" w:rsidP="00D13771">
            <w:pPr>
              <w:spacing w:before="240"/>
            </w:pPr>
            <w:r w:rsidRPr="006A4205">
              <w:rPr>
                <w:i/>
              </w:rPr>
              <w:t>O</w:t>
            </w:r>
            <w:r w:rsidRPr="006A4205">
              <w:t xml:space="preserve"> is the observed number of individuals in the sample/population having the specified characteristic (i.e., the numerator</w:t>
            </w:r>
            <w:proofErr w:type="gramStart"/>
            <w:r w:rsidRPr="006A4205">
              <w:t>);</w:t>
            </w:r>
            <w:proofErr w:type="gramEnd"/>
          </w:p>
          <w:p w14:paraId="3CB86355" w14:textId="77777777" w:rsidR="00F83902" w:rsidRPr="006A4205" w:rsidRDefault="00F83902" w:rsidP="00D13771">
            <w:pPr>
              <w:spacing w:before="240"/>
            </w:pPr>
            <w:r w:rsidRPr="006A4205">
              <w:rPr>
                <w:i/>
              </w:rPr>
              <w:t>n</w:t>
            </w:r>
            <w:r w:rsidRPr="006A4205">
              <w:t xml:space="preserve"> is the total number of individuals in the sample/population (i.e., the denominator</w:t>
            </w:r>
            <w:proofErr w:type="gramStart"/>
            <w:r w:rsidRPr="006A4205">
              <w:t>);</w:t>
            </w:r>
            <w:proofErr w:type="gramEnd"/>
          </w:p>
          <w:p w14:paraId="08C78BEC" w14:textId="77777777" w:rsidR="00F83902" w:rsidRPr="006A4205" w:rsidRDefault="00F83902" w:rsidP="00D13771">
            <w:pPr>
              <w:spacing w:before="240"/>
            </w:pPr>
            <w:r w:rsidRPr="006A4205">
              <w:rPr>
                <w:i/>
              </w:rPr>
              <w:t>q</w:t>
            </w:r>
            <w:r w:rsidRPr="006A4205">
              <w:t xml:space="preserve"> = (1 – </w:t>
            </w:r>
            <w:r w:rsidRPr="006A4205">
              <w:rPr>
                <w:i/>
              </w:rPr>
              <w:t>p</w:t>
            </w:r>
            <w:r w:rsidRPr="006A4205">
              <w:t xml:space="preserve">) is the proportion without the specified </w:t>
            </w:r>
            <w:proofErr w:type="gramStart"/>
            <w:r w:rsidRPr="006A4205">
              <w:t>characteristic;</w:t>
            </w:r>
            <w:proofErr w:type="gramEnd"/>
          </w:p>
          <w:p w14:paraId="6A4FA09E" w14:textId="77777777" w:rsidR="00F83902" w:rsidRPr="006A4205" w:rsidRDefault="00F83902" w:rsidP="00D13771">
            <w:pPr>
              <w:spacing w:before="240"/>
            </w:pPr>
            <w:r w:rsidRPr="006A4205">
              <w:rPr>
                <w:i/>
              </w:rPr>
              <w:t>z</w:t>
            </w:r>
            <w:r w:rsidRPr="006A4205">
              <w:t xml:space="preserve"> is the 100(1 – </w:t>
            </w:r>
            <w:r w:rsidRPr="006A4205">
              <w:rPr>
                <w:i/>
              </w:rPr>
              <w:t>α</w:t>
            </w:r>
            <w:r w:rsidRPr="006A4205">
              <w:t>/</w:t>
            </w:r>
            <w:proofErr w:type="gramStart"/>
            <w:r w:rsidRPr="006A4205">
              <w:t>2)</w:t>
            </w:r>
            <w:proofErr w:type="spellStart"/>
            <w:r w:rsidRPr="006A4205">
              <w:rPr>
                <w:vertAlign w:val="superscript"/>
              </w:rPr>
              <w:t>th</w:t>
            </w:r>
            <w:proofErr w:type="spellEnd"/>
            <w:proofErr w:type="gramEnd"/>
            <w:r w:rsidRPr="006A4205">
              <w:t xml:space="preserve"> percentile value from the Standard Normal distribution. For </w:t>
            </w:r>
            <w:proofErr w:type="gramStart"/>
            <w:r w:rsidRPr="006A4205">
              <w:t>example</w:t>
            </w:r>
            <w:proofErr w:type="gramEnd"/>
            <w:r w:rsidRPr="006A4205">
              <w:t xml:space="preserve"> for a 95% confidence interval, </w:t>
            </w:r>
            <w:r w:rsidRPr="006A4205">
              <w:rPr>
                <w:i/>
              </w:rPr>
              <w:t>α</w:t>
            </w:r>
            <w:r w:rsidRPr="006A4205">
              <w:t xml:space="preserve"> = 0.05, and </w:t>
            </w:r>
            <w:r w:rsidRPr="006A4205">
              <w:rPr>
                <w:i/>
              </w:rPr>
              <w:t>z</w:t>
            </w:r>
            <w:r w:rsidRPr="006A4205">
              <w:t xml:space="preserve"> = 1.96 (i.e. the 97.5th percentile value from the Standard Normal distribution).</w:t>
            </w:r>
          </w:p>
        </w:tc>
      </w:tr>
      <w:tr w:rsidR="006A4205" w:rsidRPr="006A4205" w14:paraId="62749B07" w14:textId="77777777" w:rsidTr="00F83902">
        <w:tc>
          <w:tcPr>
            <w:tcW w:w="2257" w:type="dxa"/>
          </w:tcPr>
          <w:p w14:paraId="492FD90F" w14:textId="2D83CEE8" w:rsidR="00F83902" w:rsidRPr="006A4205" w:rsidRDefault="00F83902" w:rsidP="00D13771">
            <w:pPr>
              <w:spacing w:before="240"/>
              <w:ind w:left="34"/>
              <w:rPr>
                <w:b/>
              </w:rPr>
            </w:pPr>
            <w:permStart w:id="798387631" w:edGrp="everyone" w:colFirst="1" w:colLast="1"/>
            <w:permEnd w:id="628129377"/>
            <w:r w:rsidRPr="006A4205">
              <w:rPr>
                <w:b/>
              </w:rPr>
              <w:lastRenderedPageBreak/>
              <w:t>4.7 Justification of confidence intervals / control limits used</w:t>
            </w:r>
          </w:p>
        </w:tc>
        <w:tc>
          <w:tcPr>
            <w:tcW w:w="6821" w:type="dxa"/>
          </w:tcPr>
          <w:p w14:paraId="4BA70298" w14:textId="77777777" w:rsidR="00F83902" w:rsidRPr="006A4205" w:rsidRDefault="00F83902" w:rsidP="00D13771">
            <w:pPr>
              <w:spacing w:before="240"/>
            </w:pPr>
            <w:r w:rsidRPr="006A4205">
              <w:t>The preferred PHE confidence interval method for proportions is the Wilson Score method</w:t>
            </w:r>
            <w:r w:rsidRPr="006A4205">
              <w:rPr>
                <w:vertAlign w:val="superscript"/>
              </w:rPr>
              <w:t>9</w:t>
            </w:r>
            <w:r w:rsidRPr="006A4205">
              <w:t xml:space="preserve"> which has been evaluated and recommended by Newcombe and Altman</w:t>
            </w:r>
            <w:r w:rsidRPr="006A4205">
              <w:rPr>
                <w:vertAlign w:val="superscript"/>
              </w:rPr>
              <w:t>10;11</w:t>
            </w:r>
            <w:r w:rsidRPr="006A4205">
              <w:t>. It can be used with any data values and, unlike some methods, it does not fail to give an interval when the numerator count, and therefore the proportion, is zero</w:t>
            </w:r>
            <w:r w:rsidRPr="006A4205">
              <w:rPr>
                <w:vertAlign w:val="superscript"/>
              </w:rPr>
              <w:t>12</w:t>
            </w:r>
            <w:r w:rsidRPr="006A4205">
              <w:t>.</w:t>
            </w:r>
          </w:p>
          <w:p w14:paraId="611B5B81" w14:textId="77777777" w:rsidR="00F83902" w:rsidRPr="006A4205" w:rsidRDefault="00F83902" w:rsidP="00D13771">
            <w:pPr>
              <w:spacing w:before="240"/>
              <w:rPr>
                <w:sz w:val="18"/>
                <w:szCs w:val="18"/>
              </w:rPr>
            </w:pPr>
            <w:r w:rsidRPr="006A4205">
              <w:rPr>
                <w:sz w:val="18"/>
                <w:szCs w:val="18"/>
              </w:rPr>
              <w:t>9. Wilson EB. Probable inference, the law of succession, and statistical inference. J Am Stat Assoc 1927.</w:t>
            </w:r>
          </w:p>
          <w:p w14:paraId="71925F58" w14:textId="77777777" w:rsidR="00F83902" w:rsidRPr="006A4205" w:rsidRDefault="00F83902" w:rsidP="00D13771">
            <w:pPr>
              <w:spacing w:before="240"/>
              <w:rPr>
                <w:sz w:val="18"/>
                <w:szCs w:val="18"/>
              </w:rPr>
            </w:pPr>
            <w:r w:rsidRPr="006A4205">
              <w:rPr>
                <w:sz w:val="18"/>
                <w:szCs w:val="18"/>
              </w:rPr>
              <w:t>10. Newcombe RG. Two-sided confidence intervals for the single proportion: comparison of seven methods. Stat Med 1998.</w:t>
            </w:r>
          </w:p>
          <w:p w14:paraId="176099FF" w14:textId="77777777" w:rsidR="00F83902" w:rsidRPr="006A4205" w:rsidRDefault="00F83902" w:rsidP="00D13771">
            <w:pPr>
              <w:spacing w:before="240"/>
              <w:rPr>
                <w:sz w:val="18"/>
                <w:szCs w:val="18"/>
              </w:rPr>
            </w:pPr>
            <w:r w:rsidRPr="006A4205">
              <w:rPr>
                <w:sz w:val="18"/>
                <w:szCs w:val="18"/>
              </w:rPr>
              <w:t xml:space="preserve">11. Newcombe RG, Altman DG. Proportions and their differences. In Altman DG et al. (eds). Statistics with confidence (2nd </w:t>
            </w:r>
            <w:proofErr w:type="spellStart"/>
            <w:r w:rsidRPr="006A4205">
              <w:rPr>
                <w:sz w:val="18"/>
                <w:szCs w:val="18"/>
              </w:rPr>
              <w:t>edn</w:t>
            </w:r>
            <w:proofErr w:type="spellEnd"/>
            <w:r w:rsidRPr="006A4205">
              <w:rPr>
                <w:sz w:val="18"/>
                <w:szCs w:val="18"/>
              </w:rPr>
              <w:t>). London: BMJ Books; 2000.</w:t>
            </w:r>
          </w:p>
          <w:p w14:paraId="70009C2F" w14:textId="77777777" w:rsidR="00F83902" w:rsidRPr="006A4205" w:rsidRDefault="00F83902" w:rsidP="00D13771">
            <w:pPr>
              <w:spacing w:before="240"/>
            </w:pPr>
            <w:r w:rsidRPr="006A4205">
              <w:rPr>
                <w:sz w:val="18"/>
                <w:szCs w:val="18"/>
              </w:rPr>
              <w:t xml:space="preserve">12. </w:t>
            </w:r>
            <w:proofErr w:type="spellStart"/>
            <w:r w:rsidRPr="006A4205">
              <w:rPr>
                <w:sz w:val="18"/>
                <w:szCs w:val="18"/>
              </w:rPr>
              <w:t>Agresti</w:t>
            </w:r>
            <w:proofErr w:type="spellEnd"/>
            <w:r w:rsidRPr="006A4205">
              <w:rPr>
                <w:sz w:val="18"/>
                <w:szCs w:val="18"/>
              </w:rPr>
              <w:t xml:space="preserve"> A, </w:t>
            </w:r>
            <w:proofErr w:type="spellStart"/>
            <w:r w:rsidRPr="006A4205">
              <w:rPr>
                <w:sz w:val="18"/>
                <w:szCs w:val="18"/>
              </w:rPr>
              <w:t>Coull</w:t>
            </w:r>
            <w:proofErr w:type="spellEnd"/>
            <w:r w:rsidRPr="006A4205">
              <w:rPr>
                <w:sz w:val="18"/>
                <w:szCs w:val="18"/>
              </w:rPr>
              <w:t xml:space="preserve"> BA. Approximate is better than ‘exact’ for interval estimation of binomial proportions. Am Stat 1998</w:t>
            </w:r>
          </w:p>
        </w:tc>
      </w:tr>
      <w:permEnd w:id="798387631"/>
    </w:tbl>
    <w:p w14:paraId="2E6C415F" w14:textId="77777777" w:rsidR="00FC4450" w:rsidRPr="006A4205" w:rsidRDefault="00FC4450" w:rsidP="00FC4450">
      <w:r w:rsidRPr="006A4205">
        <w:br w:type="page"/>
      </w:r>
    </w:p>
    <w:p w14:paraId="34A56626" w14:textId="6AB7390E" w:rsidR="00F83902" w:rsidRPr="006A4205" w:rsidRDefault="00F83902">
      <w:r w:rsidRPr="006A4205">
        <w:lastRenderedPageBreak/>
        <w:t>Section 5 Presentation and Interpretation</w:t>
      </w:r>
    </w:p>
    <w:p w14:paraId="1214AC0D" w14:textId="034EA7A2" w:rsidR="00F83902" w:rsidRPr="006A4205" w:rsidRDefault="00F83902">
      <w:r w:rsidRPr="006A4205">
        <w:t>Presentation</w:t>
      </w:r>
    </w:p>
    <w:tbl>
      <w:tblPr>
        <w:tblStyle w:val="TableGrid1"/>
        <w:tblW w:w="9534" w:type="dxa"/>
        <w:tblLayout w:type="fixed"/>
        <w:tblLook w:val="04A0" w:firstRow="1" w:lastRow="0" w:firstColumn="1" w:lastColumn="0" w:noHBand="0" w:noVBand="1"/>
      </w:tblPr>
      <w:tblGrid>
        <w:gridCol w:w="2114"/>
        <w:gridCol w:w="7420"/>
      </w:tblGrid>
      <w:tr w:rsidR="006A4205" w:rsidRPr="006A4205" w14:paraId="07DA8736" w14:textId="77777777" w:rsidTr="00F83902">
        <w:tc>
          <w:tcPr>
            <w:tcW w:w="2114" w:type="dxa"/>
          </w:tcPr>
          <w:p w14:paraId="60A8D766" w14:textId="698FD952" w:rsidR="00F83902" w:rsidRPr="006A4205" w:rsidRDefault="00F83902" w:rsidP="00D13771">
            <w:pPr>
              <w:spacing w:before="240"/>
              <w:ind w:left="34"/>
              <w:rPr>
                <w:b/>
              </w:rPr>
            </w:pPr>
            <w:permStart w:id="148311794" w:edGrp="everyone" w:colFirst="2" w:colLast="2"/>
            <w:permStart w:id="1326994983" w:edGrp="everyone" w:colFirst="1" w:colLast="1"/>
            <w:r w:rsidRPr="006A4205">
              <w:rPr>
                <w:b/>
              </w:rPr>
              <w:t>5.1 Presentation of indicator</w:t>
            </w:r>
          </w:p>
        </w:tc>
        <w:tc>
          <w:tcPr>
            <w:tcW w:w="7420" w:type="dxa"/>
          </w:tcPr>
          <w:p w14:paraId="485C4A08" w14:textId="77777777" w:rsidR="00F83902" w:rsidRPr="006A4205" w:rsidRDefault="00F83902" w:rsidP="00D13771">
            <w:pPr>
              <w:spacing w:before="240"/>
              <w:rPr>
                <w:rStyle w:val="Hyperlink"/>
                <w:color w:val="auto"/>
              </w:rPr>
            </w:pPr>
            <w:r w:rsidRPr="006A4205">
              <w:t xml:space="preserve">The indicator is presented on the HSCIC Indicator Portal in a consistent format to other CCG OIS indicators. It is accompanied by indicator specification and quality statement documents, which provide details of indicator construction, data quality, statistical methods and interpretation considerations </w:t>
            </w:r>
            <w:r w:rsidRPr="006A4205">
              <w:fldChar w:fldCharType="begin"/>
            </w:r>
            <w:r w:rsidRPr="006A4205">
              <w:instrText xml:space="preserve"> HYPERLINK "http://indicators.ic.nhs.uk/webview/index.jsp?v=2&amp;submode=ddi&amp;study=http%3A%2F%2F172.16.9.26%3A80%2Fobj%2FfStudy%2FP01851&amp;mode=documentation&amp;top=yes" </w:instrText>
            </w:r>
            <w:r w:rsidRPr="006A4205">
              <w:fldChar w:fldCharType="separate"/>
            </w:r>
            <w:r w:rsidRPr="006A4205">
              <w:rPr>
                <w:rStyle w:val="Hyperlink"/>
                <w:color w:val="auto"/>
              </w:rPr>
              <w:t>http://indicators.ic.nhs.uk/webview</w:t>
            </w:r>
          </w:p>
          <w:p w14:paraId="1790F6EA" w14:textId="5BF7D8C4" w:rsidR="00F83902" w:rsidRPr="006A4205" w:rsidRDefault="00F83902" w:rsidP="00D13771">
            <w:pPr>
              <w:spacing w:before="240"/>
            </w:pPr>
            <w:r w:rsidRPr="006A4205">
              <w:fldChar w:fldCharType="end"/>
            </w:r>
            <w:r w:rsidRPr="006A4205">
              <w:t>The data is presented with a detailed header including information on the statistic presented, the reporting period, level of coverage, publication date, data source, and any further notes to be aware of. The customer is also able to make use of drop-down filtering. (see table below)</w:t>
            </w:r>
          </w:p>
          <w:p w14:paraId="3D01C475" w14:textId="77777777" w:rsidR="00F83902" w:rsidRPr="006A4205" w:rsidRDefault="00F83902" w:rsidP="00D13771">
            <w:pPr>
              <w:spacing w:before="240"/>
            </w:pPr>
          </w:p>
        </w:tc>
      </w:tr>
      <w:permEnd w:id="1326994983"/>
    </w:tbl>
    <w:p w14:paraId="27CDAF27" w14:textId="26B22E1B" w:rsidR="00F83902" w:rsidRPr="006A4205" w:rsidRDefault="00F83902"/>
    <w:tbl>
      <w:tblPr>
        <w:tblStyle w:val="TableGrid"/>
        <w:tblW w:w="0" w:type="auto"/>
        <w:tblLayout w:type="fixed"/>
        <w:tblLook w:val="0020" w:firstRow="1" w:lastRow="0" w:firstColumn="0" w:lastColumn="0" w:noHBand="0" w:noVBand="0"/>
      </w:tblPr>
      <w:tblGrid>
        <w:gridCol w:w="3005"/>
        <w:gridCol w:w="3622"/>
      </w:tblGrid>
      <w:tr w:rsidR="006A4205" w:rsidRPr="006A4205" w14:paraId="79A1F366" w14:textId="77777777" w:rsidTr="00CA1A5C">
        <w:trPr>
          <w:trHeight w:val="103"/>
        </w:trPr>
        <w:tc>
          <w:tcPr>
            <w:tcW w:w="3005" w:type="dxa"/>
          </w:tcPr>
          <w:p w14:paraId="3F971943" w14:textId="77777777" w:rsidR="00F83902" w:rsidRPr="006A4205" w:rsidRDefault="00F83902" w:rsidP="00201CDA">
            <w:pPr>
              <w:spacing w:before="240"/>
              <w:rPr>
                <w:rFonts w:eastAsia="Arial"/>
              </w:rPr>
            </w:pPr>
            <w:r w:rsidRPr="006A4205">
              <w:rPr>
                <w:rFonts w:eastAsia="Arial"/>
                <w:b/>
                <w:bCs/>
              </w:rPr>
              <w:t xml:space="preserve">Column name </w:t>
            </w:r>
          </w:p>
        </w:tc>
        <w:tc>
          <w:tcPr>
            <w:tcW w:w="3622" w:type="dxa"/>
          </w:tcPr>
          <w:p w14:paraId="22B0F489" w14:textId="77777777" w:rsidR="00F83902" w:rsidRPr="006A4205" w:rsidRDefault="00F83902" w:rsidP="00201CDA">
            <w:pPr>
              <w:spacing w:before="240"/>
              <w:rPr>
                <w:rFonts w:eastAsia="Arial"/>
              </w:rPr>
            </w:pPr>
            <w:r w:rsidRPr="006A4205">
              <w:rPr>
                <w:rFonts w:eastAsia="Arial"/>
                <w:b/>
                <w:bCs/>
              </w:rPr>
              <w:t xml:space="preserve">Output </w:t>
            </w:r>
          </w:p>
        </w:tc>
      </w:tr>
      <w:tr w:rsidR="006A4205" w:rsidRPr="006A4205" w14:paraId="18DFF640" w14:textId="77777777" w:rsidTr="00CA1A5C">
        <w:trPr>
          <w:trHeight w:val="103"/>
        </w:trPr>
        <w:tc>
          <w:tcPr>
            <w:tcW w:w="3005" w:type="dxa"/>
          </w:tcPr>
          <w:p w14:paraId="550382C5" w14:textId="77777777" w:rsidR="00F83902" w:rsidRPr="006A4205" w:rsidRDefault="00F83902" w:rsidP="00201CDA">
            <w:pPr>
              <w:spacing w:before="240"/>
              <w:rPr>
                <w:rFonts w:eastAsia="Arial"/>
              </w:rPr>
            </w:pPr>
            <w:r w:rsidRPr="006A4205">
              <w:rPr>
                <w:rFonts w:eastAsia="Arial"/>
              </w:rPr>
              <w:t xml:space="preserve">Reporting period </w:t>
            </w:r>
          </w:p>
        </w:tc>
        <w:tc>
          <w:tcPr>
            <w:tcW w:w="3622" w:type="dxa"/>
          </w:tcPr>
          <w:p w14:paraId="02BC9D02" w14:textId="77777777" w:rsidR="00F83902" w:rsidRPr="006A4205" w:rsidRDefault="00F83902" w:rsidP="00201CDA">
            <w:pPr>
              <w:spacing w:before="240"/>
              <w:rPr>
                <w:rFonts w:eastAsia="Arial"/>
              </w:rPr>
            </w:pPr>
            <w:r w:rsidRPr="006A4205">
              <w:rPr>
                <w:rFonts w:eastAsia="Arial"/>
              </w:rPr>
              <w:t xml:space="preserve">Financial year </w:t>
            </w:r>
          </w:p>
        </w:tc>
      </w:tr>
      <w:tr w:rsidR="006A4205" w:rsidRPr="006A4205" w14:paraId="20A13E9D" w14:textId="77777777" w:rsidTr="00CA1A5C">
        <w:trPr>
          <w:trHeight w:val="103"/>
        </w:trPr>
        <w:tc>
          <w:tcPr>
            <w:tcW w:w="3005" w:type="dxa"/>
          </w:tcPr>
          <w:p w14:paraId="62F6A248" w14:textId="77777777" w:rsidR="00F83902" w:rsidRPr="006A4205" w:rsidRDefault="00F83902" w:rsidP="00201CDA">
            <w:pPr>
              <w:spacing w:before="240"/>
              <w:rPr>
                <w:rFonts w:eastAsia="Arial"/>
              </w:rPr>
            </w:pPr>
            <w:r w:rsidRPr="006A4205">
              <w:rPr>
                <w:rFonts w:eastAsia="Arial"/>
              </w:rPr>
              <w:t xml:space="preserve">Breakdown </w:t>
            </w:r>
          </w:p>
        </w:tc>
        <w:tc>
          <w:tcPr>
            <w:tcW w:w="3622" w:type="dxa"/>
          </w:tcPr>
          <w:p w14:paraId="2ABC9B5E" w14:textId="77777777" w:rsidR="00F83902" w:rsidRPr="006A4205" w:rsidRDefault="00F83902" w:rsidP="00201CDA">
            <w:pPr>
              <w:spacing w:before="240"/>
              <w:rPr>
                <w:rFonts w:eastAsia="Arial"/>
              </w:rPr>
            </w:pPr>
            <w:r w:rsidRPr="006A4205">
              <w:rPr>
                <w:rFonts w:eastAsia="Arial"/>
              </w:rPr>
              <w:t xml:space="preserve">England, CCG </w:t>
            </w:r>
          </w:p>
        </w:tc>
      </w:tr>
      <w:tr w:rsidR="006A4205" w:rsidRPr="006A4205" w14:paraId="28928D88" w14:textId="77777777" w:rsidTr="00CA1A5C">
        <w:trPr>
          <w:trHeight w:val="103"/>
        </w:trPr>
        <w:tc>
          <w:tcPr>
            <w:tcW w:w="3005" w:type="dxa"/>
          </w:tcPr>
          <w:p w14:paraId="64EBE23A" w14:textId="77777777" w:rsidR="00F83902" w:rsidRPr="006A4205" w:rsidRDefault="00F83902" w:rsidP="00201CDA">
            <w:pPr>
              <w:spacing w:before="240"/>
              <w:rPr>
                <w:rFonts w:eastAsia="Arial"/>
              </w:rPr>
            </w:pPr>
            <w:r w:rsidRPr="006A4205">
              <w:rPr>
                <w:rFonts w:eastAsia="Arial"/>
              </w:rPr>
              <w:t xml:space="preserve">Level </w:t>
            </w:r>
          </w:p>
        </w:tc>
        <w:tc>
          <w:tcPr>
            <w:tcW w:w="3622" w:type="dxa"/>
          </w:tcPr>
          <w:p w14:paraId="4852B911" w14:textId="77777777" w:rsidR="00F83902" w:rsidRPr="006A4205" w:rsidRDefault="00F83902" w:rsidP="00201CDA">
            <w:pPr>
              <w:spacing w:before="240"/>
              <w:rPr>
                <w:rFonts w:eastAsia="Arial"/>
              </w:rPr>
            </w:pPr>
            <w:r w:rsidRPr="006A4205">
              <w:rPr>
                <w:rFonts w:eastAsia="Arial"/>
              </w:rPr>
              <w:t xml:space="preserve">CCG Code </w:t>
            </w:r>
          </w:p>
        </w:tc>
      </w:tr>
      <w:tr w:rsidR="006A4205" w:rsidRPr="006A4205" w14:paraId="4CC8FE2E" w14:textId="77777777" w:rsidTr="00CA1A5C">
        <w:trPr>
          <w:trHeight w:val="103"/>
        </w:trPr>
        <w:tc>
          <w:tcPr>
            <w:tcW w:w="3005" w:type="dxa"/>
          </w:tcPr>
          <w:p w14:paraId="194C5168" w14:textId="77777777" w:rsidR="00F83902" w:rsidRPr="006A4205" w:rsidRDefault="00F83902" w:rsidP="00201CDA">
            <w:pPr>
              <w:spacing w:before="240"/>
              <w:rPr>
                <w:rFonts w:eastAsia="Arial"/>
              </w:rPr>
            </w:pPr>
            <w:r w:rsidRPr="006A4205">
              <w:rPr>
                <w:rFonts w:eastAsia="Arial"/>
              </w:rPr>
              <w:t xml:space="preserve">Level description </w:t>
            </w:r>
          </w:p>
        </w:tc>
        <w:tc>
          <w:tcPr>
            <w:tcW w:w="3622" w:type="dxa"/>
          </w:tcPr>
          <w:p w14:paraId="1FDBC2B3" w14:textId="77777777" w:rsidR="00F83902" w:rsidRPr="006A4205" w:rsidRDefault="00F83902" w:rsidP="00201CDA">
            <w:pPr>
              <w:spacing w:before="240"/>
              <w:rPr>
                <w:rFonts w:eastAsia="Arial"/>
              </w:rPr>
            </w:pPr>
            <w:r w:rsidRPr="006A4205">
              <w:rPr>
                <w:rFonts w:eastAsia="Arial"/>
              </w:rPr>
              <w:t xml:space="preserve">CCG Name </w:t>
            </w:r>
          </w:p>
        </w:tc>
      </w:tr>
      <w:tr w:rsidR="006A4205" w:rsidRPr="006A4205" w14:paraId="6E944FD5" w14:textId="77777777" w:rsidTr="00CA1A5C">
        <w:trPr>
          <w:trHeight w:val="103"/>
        </w:trPr>
        <w:tc>
          <w:tcPr>
            <w:tcW w:w="3005" w:type="dxa"/>
          </w:tcPr>
          <w:p w14:paraId="55CC0A8B" w14:textId="77777777" w:rsidR="00F83902" w:rsidRPr="006A4205" w:rsidRDefault="00F83902" w:rsidP="00201CDA">
            <w:pPr>
              <w:spacing w:before="240"/>
              <w:rPr>
                <w:rFonts w:eastAsia="Arial"/>
              </w:rPr>
            </w:pPr>
            <w:r w:rsidRPr="006A4205">
              <w:rPr>
                <w:rFonts w:eastAsia="Arial"/>
              </w:rPr>
              <w:t>Percentage</w:t>
            </w:r>
          </w:p>
        </w:tc>
        <w:tc>
          <w:tcPr>
            <w:tcW w:w="3622" w:type="dxa"/>
          </w:tcPr>
          <w:p w14:paraId="0FBD5C8D" w14:textId="77777777" w:rsidR="00F83902" w:rsidRPr="006A4205" w:rsidRDefault="00F83902" w:rsidP="00201CDA">
            <w:pPr>
              <w:spacing w:before="240"/>
              <w:rPr>
                <w:rFonts w:eastAsia="Arial"/>
              </w:rPr>
            </w:pPr>
            <w:r w:rsidRPr="006A4205">
              <w:rPr>
                <w:rFonts w:eastAsia="Arial"/>
              </w:rPr>
              <w:t>The indicator percentage calculation</w:t>
            </w:r>
          </w:p>
        </w:tc>
      </w:tr>
      <w:tr w:rsidR="006A4205" w:rsidRPr="006A4205" w14:paraId="235EA00F" w14:textId="77777777" w:rsidTr="00CA1A5C">
        <w:trPr>
          <w:trHeight w:val="103"/>
        </w:trPr>
        <w:tc>
          <w:tcPr>
            <w:tcW w:w="3005" w:type="dxa"/>
          </w:tcPr>
          <w:p w14:paraId="4AC78A93" w14:textId="77777777" w:rsidR="00F83902" w:rsidRPr="006A4205" w:rsidRDefault="00F83902" w:rsidP="00201CDA">
            <w:pPr>
              <w:spacing w:before="240"/>
              <w:rPr>
                <w:rFonts w:eastAsia="Arial"/>
              </w:rPr>
            </w:pPr>
            <w:r w:rsidRPr="006A4205">
              <w:rPr>
                <w:rFonts w:eastAsia="Arial"/>
              </w:rPr>
              <w:t xml:space="preserve">CI lower </w:t>
            </w:r>
          </w:p>
        </w:tc>
        <w:tc>
          <w:tcPr>
            <w:tcW w:w="3622" w:type="dxa"/>
          </w:tcPr>
          <w:p w14:paraId="641C0E54" w14:textId="77777777" w:rsidR="00F83902" w:rsidRPr="006A4205" w:rsidRDefault="00F83902" w:rsidP="00201CDA">
            <w:pPr>
              <w:spacing w:before="240"/>
              <w:rPr>
                <w:rFonts w:eastAsia="Arial"/>
              </w:rPr>
            </w:pPr>
            <w:r w:rsidRPr="006A4205">
              <w:rPr>
                <w:rFonts w:eastAsia="Arial"/>
              </w:rPr>
              <w:t xml:space="preserve">Lower 95% confidence interval </w:t>
            </w:r>
          </w:p>
        </w:tc>
      </w:tr>
      <w:tr w:rsidR="006A4205" w:rsidRPr="006A4205" w14:paraId="4C3D68ED" w14:textId="77777777" w:rsidTr="00CA1A5C">
        <w:trPr>
          <w:trHeight w:val="103"/>
        </w:trPr>
        <w:tc>
          <w:tcPr>
            <w:tcW w:w="3005" w:type="dxa"/>
          </w:tcPr>
          <w:p w14:paraId="002F1660" w14:textId="77777777" w:rsidR="00F83902" w:rsidRPr="006A4205" w:rsidRDefault="00F83902" w:rsidP="00201CDA">
            <w:pPr>
              <w:spacing w:before="240"/>
              <w:rPr>
                <w:rFonts w:eastAsia="Arial"/>
              </w:rPr>
            </w:pPr>
            <w:r w:rsidRPr="006A4205">
              <w:rPr>
                <w:rFonts w:eastAsia="Arial"/>
              </w:rPr>
              <w:t xml:space="preserve">CI upper </w:t>
            </w:r>
          </w:p>
        </w:tc>
        <w:tc>
          <w:tcPr>
            <w:tcW w:w="3622" w:type="dxa"/>
          </w:tcPr>
          <w:p w14:paraId="297A19D2" w14:textId="77777777" w:rsidR="00F83902" w:rsidRPr="006A4205" w:rsidRDefault="00F83902" w:rsidP="00201CDA">
            <w:pPr>
              <w:spacing w:before="240"/>
              <w:rPr>
                <w:rFonts w:eastAsia="Arial"/>
              </w:rPr>
            </w:pPr>
            <w:r w:rsidRPr="006A4205">
              <w:rPr>
                <w:rFonts w:eastAsia="Arial"/>
              </w:rPr>
              <w:t xml:space="preserve">Upper 95% confidence interval </w:t>
            </w:r>
          </w:p>
        </w:tc>
      </w:tr>
      <w:tr w:rsidR="006A4205" w:rsidRPr="006A4205" w14:paraId="5C1BF731" w14:textId="77777777" w:rsidTr="00CA1A5C">
        <w:trPr>
          <w:trHeight w:val="229"/>
        </w:trPr>
        <w:tc>
          <w:tcPr>
            <w:tcW w:w="3005" w:type="dxa"/>
          </w:tcPr>
          <w:p w14:paraId="6AEF39F1" w14:textId="77777777" w:rsidR="00F83902" w:rsidRPr="006A4205" w:rsidRDefault="00F83902" w:rsidP="00201CDA">
            <w:pPr>
              <w:spacing w:before="240"/>
              <w:rPr>
                <w:rFonts w:eastAsia="Arial"/>
              </w:rPr>
            </w:pPr>
            <w:r w:rsidRPr="006A4205">
              <w:rPr>
                <w:rFonts w:eastAsia="Arial"/>
              </w:rPr>
              <w:t>Denominator</w:t>
            </w:r>
          </w:p>
        </w:tc>
        <w:tc>
          <w:tcPr>
            <w:tcW w:w="3622" w:type="dxa"/>
          </w:tcPr>
          <w:p w14:paraId="768EB754" w14:textId="77777777" w:rsidR="00F83902" w:rsidRPr="006A4205" w:rsidRDefault="00F83902" w:rsidP="00201CDA">
            <w:pPr>
              <w:spacing w:before="240"/>
              <w:rPr>
                <w:rFonts w:eastAsia="Arial"/>
              </w:rPr>
            </w:pPr>
            <w:r w:rsidRPr="006A4205">
              <w:rPr>
                <w:rFonts w:eastAsia="Arial"/>
              </w:rPr>
              <w:t>All patients admitted to hospital with a primary diagnosis of stroke, except for those who first ward of admission was ITU, CCU or HDU.</w:t>
            </w:r>
          </w:p>
        </w:tc>
      </w:tr>
      <w:tr w:rsidR="006A4205" w:rsidRPr="006A4205" w14:paraId="29F8D64F" w14:textId="77777777" w:rsidTr="00CA1A5C">
        <w:trPr>
          <w:trHeight w:val="229"/>
        </w:trPr>
        <w:tc>
          <w:tcPr>
            <w:tcW w:w="3005" w:type="dxa"/>
          </w:tcPr>
          <w:p w14:paraId="37E6FF5F" w14:textId="77777777" w:rsidR="00F83902" w:rsidRPr="006A4205" w:rsidRDefault="00F83902" w:rsidP="00201CDA">
            <w:pPr>
              <w:spacing w:before="240"/>
              <w:rPr>
                <w:rFonts w:eastAsia="Arial"/>
              </w:rPr>
            </w:pPr>
            <w:r w:rsidRPr="006A4205">
              <w:rPr>
                <w:rFonts w:eastAsia="Arial"/>
              </w:rPr>
              <w:t xml:space="preserve">Numerator </w:t>
            </w:r>
          </w:p>
        </w:tc>
        <w:tc>
          <w:tcPr>
            <w:tcW w:w="3622" w:type="dxa"/>
          </w:tcPr>
          <w:p w14:paraId="33DFC0EB" w14:textId="77777777" w:rsidR="00F83902" w:rsidRPr="006A4205" w:rsidRDefault="00F83902" w:rsidP="00201CDA">
            <w:pPr>
              <w:spacing w:before="240"/>
              <w:rPr>
                <w:rFonts w:eastAsia="Arial"/>
              </w:rPr>
            </w:pPr>
            <w:r w:rsidRPr="006A4205">
              <w:rPr>
                <w:rFonts w:eastAsia="Arial"/>
              </w:rPr>
              <w:t>The number of acute stroke patients who arrive on the stroke unit within 4 hours of arrival at hospital.</w:t>
            </w:r>
          </w:p>
        </w:tc>
      </w:tr>
      <w:tr w:rsidR="006A4205" w:rsidRPr="006A4205" w14:paraId="6342CF71" w14:textId="77777777" w:rsidTr="00CA1A5C">
        <w:trPr>
          <w:trHeight w:val="229"/>
        </w:trPr>
        <w:tc>
          <w:tcPr>
            <w:tcW w:w="3005" w:type="dxa"/>
          </w:tcPr>
          <w:p w14:paraId="4A424D7F" w14:textId="77777777" w:rsidR="00F83902" w:rsidRPr="006A4205" w:rsidRDefault="00F83902" w:rsidP="00201CDA">
            <w:pPr>
              <w:spacing w:before="240"/>
              <w:rPr>
                <w:rFonts w:eastAsia="Arial"/>
              </w:rPr>
            </w:pPr>
            <w:r w:rsidRPr="006A4205">
              <w:rPr>
                <w:rFonts w:eastAsia="Arial"/>
              </w:rPr>
              <w:t>Number of records in SSNAP (care delivered within the first 72hrs)</w:t>
            </w:r>
          </w:p>
        </w:tc>
        <w:tc>
          <w:tcPr>
            <w:tcW w:w="3622" w:type="dxa"/>
          </w:tcPr>
          <w:p w14:paraId="6CA3CED6" w14:textId="77777777" w:rsidR="00F83902" w:rsidRPr="006A4205" w:rsidRDefault="00F83902" w:rsidP="00201CDA">
            <w:pPr>
              <w:spacing w:before="240"/>
              <w:rPr>
                <w:rFonts w:eastAsia="Arial"/>
              </w:rPr>
            </w:pPr>
            <w:r w:rsidRPr="006A4205">
              <w:rPr>
                <w:rFonts w:eastAsia="Arial"/>
              </w:rPr>
              <w:t>The number of cases in SSNAP for the ‘care delivered within the first 72hrs’ cohort of stroke patients</w:t>
            </w:r>
          </w:p>
        </w:tc>
      </w:tr>
      <w:tr w:rsidR="006A4205" w:rsidRPr="006A4205" w14:paraId="59AC6105" w14:textId="77777777" w:rsidTr="00CA1A5C">
        <w:trPr>
          <w:trHeight w:val="103"/>
        </w:trPr>
        <w:tc>
          <w:tcPr>
            <w:tcW w:w="3005" w:type="dxa"/>
          </w:tcPr>
          <w:p w14:paraId="151D0AE1" w14:textId="77777777" w:rsidR="00F83902" w:rsidRPr="006A4205" w:rsidRDefault="00F83902" w:rsidP="00201CDA">
            <w:pPr>
              <w:spacing w:before="240"/>
              <w:rPr>
                <w:rFonts w:eastAsia="Arial"/>
              </w:rPr>
            </w:pPr>
            <w:r w:rsidRPr="006A4205">
              <w:rPr>
                <w:rFonts w:eastAsia="Arial"/>
              </w:rPr>
              <w:lastRenderedPageBreak/>
              <w:t>Estimated expected number of patients (from HES)</w:t>
            </w:r>
          </w:p>
        </w:tc>
        <w:tc>
          <w:tcPr>
            <w:tcW w:w="3622" w:type="dxa"/>
          </w:tcPr>
          <w:p w14:paraId="163711A3" w14:textId="77777777" w:rsidR="00F83902" w:rsidRPr="006A4205" w:rsidRDefault="00F83902" w:rsidP="00201CDA">
            <w:pPr>
              <w:spacing w:before="240"/>
              <w:rPr>
                <w:rFonts w:eastAsia="Arial"/>
              </w:rPr>
            </w:pPr>
            <w:r w:rsidRPr="006A4205">
              <w:rPr>
                <w:rFonts w:eastAsia="Arial"/>
              </w:rPr>
              <w:t>The number of cases in HES</w:t>
            </w:r>
          </w:p>
        </w:tc>
      </w:tr>
      <w:tr w:rsidR="006A4205" w:rsidRPr="006A4205" w14:paraId="5B08DC5F" w14:textId="77777777" w:rsidTr="00CA1A5C">
        <w:trPr>
          <w:trHeight w:val="103"/>
        </w:trPr>
        <w:tc>
          <w:tcPr>
            <w:tcW w:w="3005" w:type="dxa"/>
          </w:tcPr>
          <w:p w14:paraId="4512EF9B" w14:textId="77777777" w:rsidR="00F83902" w:rsidRPr="006A4205" w:rsidRDefault="00F83902" w:rsidP="00201CDA">
            <w:pPr>
              <w:spacing w:before="240"/>
              <w:rPr>
                <w:rFonts w:eastAsia="Arial"/>
              </w:rPr>
            </w:pPr>
            <w:r w:rsidRPr="006A4205">
              <w:rPr>
                <w:rFonts w:eastAsia="Arial"/>
              </w:rPr>
              <w:t>Case ascertainment band</w:t>
            </w:r>
          </w:p>
        </w:tc>
        <w:tc>
          <w:tcPr>
            <w:tcW w:w="3622" w:type="dxa"/>
          </w:tcPr>
          <w:p w14:paraId="027EF1A4" w14:textId="77777777" w:rsidR="00F83902" w:rsidRPr="006A4205" w:rsidRDefault="00F83902" w:rsidP="00201CDA">
            <w:pPr>
              <w:spacing w:before="240"/>
              <w:rPr>
                <w:rFonts w:eastAsia="Arial"/>
              </w:rPr>
            </w:pPr>
            <w:r w:rsidRPr="006A4205">
              <w:rPr>
                <w:rFonts w:eastAsia="Arial"/>
              </w:rPr>
              <w:t>Case ascertainment between SSNAP and HES</w:t>
            </w:r>
          </w:p>
        </w:tc>
      </w:tr>
    </w:tbl>
    <w:p w14:paraId="1C9F88C5" w14:textId="2F4EA191" w:rsidR="00F83902" w:rsidRPr="006A4205" w:rsidRDefault="00F83902"/>
    <w:p w14:paraId="769913C2" w14:textId="699802BE" w:rsidR="00F83902" w:rsidRPr="006A4205" w:rsidRDefault="00F83902"/>
    <w:p w14:paraId="07AE2A3D" w14:textId="77777777" w:rsidR="00F83902" w:rsidRPr="006A4205" w:rsidRDefault="00F83902"/>
    <w:tbl>
      <w:tblPr>
        <w:tblStyle w:val="TableGrid1"/>
        <w:tblW w:w="9534" w:type="dxa"/>
        <w:tblLayout w:type="fixed"/>
        <w:tblLook w:val="04A0" w:firstRow="1" w:lastRow="0" w:firstColumn="1" w:lastColumn="0" w:noHBand="0" w:noVBand="1"/>
      </w:tblPr>
      <w:tblGrid>
        <w:gridCol w:w="2114"/>
        <w:gridCol w:w="7420"/>
      </w:tblGrid>
      <w:tr w:rsidR="006A4205" w:rsidRPr="006A4205" w14:paraId="26C449E5" w14:textId="77777777" w:rsidTr="00F83902">
        <w:tc>
          <w:tcPr>
            <w:tcW w:w="2114" w:type="dxa"/>
          </w:tcPr>
          <w:p w14:paraId="418C020E" w14:textId="3841E87A" w:rsidR="00F83902" w:rsidRPr="006A4205" w:rsidRDefault="00F83902" w:rsidP="00D13771">
            <w:pPr>
              <w:spacing w:before="240"/>
              <w:ind w:left="34"/>
              <w:rPr>
                <w:b/>
              </w:rPr>
            </w:pPr>
            <w:r w:rsidRPr="006A4205">
              <w:rPr>
                <w:b/>
              </w:rPr>
              <w:t>5.2 Contextual information provided alongside indicator</w:t>
            </w:r>
          </w:p>
          <w:p w14:paraId="3337A25C" w14:textId="77777777" w:rsidR="00F83902" w:rsidRPr="006A4205" w:rsidRDefault="00F83902" w:rsidP="00D13771">
            <w:pPr>
              <w:ind w:left="34"/>
            </w:pPr>
            <w:r w:rsidRPr="006A4205">
              <w:t>with justification</w:t>
            </w:r>
          </w:p>
        </w:tc>
        <w:tc>
          <w:tcPr>
            <w:tcW w:w="7420" w:type="dxa"/>
          </w:tcPr>
          <w:p w14:paraId="785C8400" w14:textId="77777777" w:rsidR="00F83902" w:rsidRPr="006A4205" w:rsidRDefault="00F83902" w:rsidP="00D13771">
            <w:pPr>
              <w:spacing w:before="240"/>
            </w:pPr>
            <w:r w:rsidRPr="006A4205">
              <w:t>Alongside the numerator, denominator and percentage, the number of records in SSNAP (care delivered within first 72hrs) is provided for each CCG as contextual information.</w:t>
            </w:r>
          </w:p>
          <w:p w14:paraId="1040F960" w14:textId="77777777" w:rsidR="00F83902" w:rsidRPr="006A4205" w:rsidRDefault="00F83902" w:rsidP="00D13771">
            <w:pPr>
              <w:spacing w:before="240"/>
            </w:pPr>
            <w:r w:rsidRPr="006A4205">
              <w:t>The indicator is published in the context of case ascertainment between SSNAP and HES. The ‘Estimated expected number of patients from HES’ figure is the number of patients who have been coded as a primary diagnosis of stroke during their admission in a year’s worth of HES, split by the patient’s CCG recorded in the HES record. Case ascertainment is reported alongside the indicator for all CCGs to highlight audit coverage against HES. MRG requested this further analysis in the original assurance process.</w:t>
            </w:r>
          </w:p>
          <w:p w14:paraId="27AB97A4" w14:textId="77777777" w:rsidR="00F83902" w:rsidRPr="006A4205" w:rsidRDefault="00F83902" w:rsidP="00D13771">
            <w:pPr>
              <w:spacing w:before="240"/>
            </w:pPr>
            <w:r w:rsidRPr="006A4205">
              <w:t>Case ascertainment is reported within the context of the ‘care delivered within the first 72hrs’ cohort of stroke patients for this indicator. The ‘Case ascertainment band’ column in the published output uses the following bandings:</w:t>
            </w:r>
          </w:p>
          <w:p w14:paraId="7CE53828" w14:textId="77777777" w:rsidR="00F83902" w:rsidRPr="006A4205" w:rsidRDefault="00F83902" w:rsidP="00FC4450">
            <w:pPr>
              <w:pStyle w:val="ListParagraph"/>
              <w:numPr>
                <w:ilvl w:val="0"/>
                <w:numId w:val="10"/>
              </w:numPr>
              <w:spacing w:before="120" w:after="120" w:line="240" w:lineRule="auto"/>
              <w:ind w:left="714" w:hanging="357"/>
              <w:contextualSpacing w:val="0"/>
              <w:textboxTightWrap w:val="lastLineOnly"/>
              <w:rPr>
                <w:rFonts w:ascii="Arial" w:hAnsi="Arial" w:cs="Arial"/>
              </w:rPr>
            </w:pPr>
            <w:r w:rsidRPr="006A4205">
              <w:rPr>
                <w:rFonts w:ascii="Arial" w:hAnsi="Arial" w:cs="Arial"/>
              </w:rPr>
              <w:t>90%+</w:t>
            </w:r>
          </w:p>
          <w:p w14:paraId="00A83E9C" w14:textId="77777777" w:rsidR="00F83902" w:rsidRPr="006A4205" w:rsidRDefault="00F83902" w:rsidP="00FC4450">
            <w:pPr>
              <w:pStyle w:val="ListParagraph"/>
              <w:numPr>
                <w:ilvl w:val="0"/>
                <w:numId w:val="10"/>
              </w:numPr>
              <w:spacing w:before="120" w:after="120" w:line="240" w:lineRule="auto"/>
              <w:ind w:left="714" w:hanging="357"/>
              <w:contextualSpacing w:val="0"/>
              <w:textboxTightWrap w:val="lastLineOnly"/>
              <w:rPr>
                <w:rFonts w:ascii="Arial" w:hAnsi="Arial" w:cs="Arial"/>
              </w:rPr>
            </w:pPr>
            <w:r w:rsidRPr="006A4205">
              <w:rPr>
                <w:rFonts w:ascii="Arial" w:hAnsi="Arial" w:cs="Arial"/>
              </w:rPr>
              <w:t>80-89%</w:t>
            </w:r>
          </w:p>
          <w:p w14:paraId="5176A5B0" w14:textId="77777777" w:rsidR="00F83902" w:rsidRPr="006A4205" w:rsidRDefault="00F83902" w:rsidP="00FC4450">
            <w:pPr>
              <w:pStyle w:val="ListParagraph"/>
              <w:numPr>
                <w:ilvl w:val="0"/>
                <w:numId w:val="10"/>
              </w:numPr>
              <w:spacing w:before="120" w:after="120" w:line="240" w:lineRule="auto"/>
              <w:ind w:left="714" w:hanging="357"/>
              <w:contextualSpacing w:val="0"/>
              <w:textboxTightWrap w:val="lastLineOnly"/>
              <w:rPr>
                <w:rFonts w:ascii="Arial" w:hAnsi="Arial" w:cs="Arial"/>
              </w:rPr>
            </w:pPr>
            <w:r w:rsidRPr="006A4205">
              <w:rPr>
                <w:rFonts w:ascii="Arial" w:hAnsi="Arial" w:cs="Arial"/>
              </w:rPr>
              <w:t>70-79%</w:t>
            </w:r>
          </w:p>
          <w:p w14:paraId="4FBF2190" w14:textId="77777777" w:rsidR="00F83902" w:rsidRPr="006A4205" w:rsidRDefault="00F83902" w:rsidP="00FC4450">
            <w:pPr>
              <w:pStyle w:val="ListParagraph"/>
              <w:numPr>
                <w:ilvl w:val="0"/>
                <w:numId w:val="10"/>
              </w:numPr>
              <w:spacing w:before="120" w:after="120" w:line="240" w:lineRule="auto"/>
              <w:ind w:left="714" w:hanging="357"/>
              <w:contextualSpacing w:val="0"/>
              <w:textboxTightWrap w:val="lastLineOnly"/>
              <w:rPr>
                <w:rFonts w:ascii="Arial" w:hAnsi="Arial" w:cs="Arial"/>
              </w:rPr>
            </w:pPr>
            <w:r w:rsidRPr="006A4205">
              <w:rPr>
                <w:rFonts w:ascii="Arial" w:hAnsi="Arial" w:cs="Arial"/>
              </w:rPr>
              <w:t>50-69%</w:t>
            </w:r>
          </w:p>
          <w:p w14:paraId="72776155" w14:textId="77777777" w:rsidR="00F83902" w:rsidRPr="006A4205" w:rsidRDefault="00F83902" w:rsidP="00FC4450">
            <w:pPr>
              <w:pStyle w:val="ListParagraph"/>
              <w:numPr>
                <w:ilvl w:val="0"/>
                <w:numId w:val="10"/>
              </w:numPr>
              <w:spacing w:before="120" w:after="120" w:line="240" w:lineRule="auto"/>
              <w:ind w:left="714" w:hanging="357"/>
              <w:contextualSpacing w:val="0"/>
              <w:textboxTightWrap w:val="lastLineOnly"/>
              <w:rPr>
                <w:rFonts w:ascii="Arial" w:hAnsi="Arial" w:cs="Arial"/>
              </w:rPr>
            </w:pPr>
            <w:r w:rsidRPr="006A4205">
              <w:rPr>
                <w:rFonts w:ascii="Arial" w:hAnsi="Arial" w:cs="Arial"/>
              </w:rPr>
              <w:t>Less than 50%</w:t>
            </w:r>
          </w:p>
          <w:p w14:paraId="68DDF9C8" w14:textId="77777777" w:rsidR="00F83902" w:rsidRPr="006A4205" w:rsidRDefault="00F83902" w:rsidP="00D13771">
            <w:pPr>
              <w:spacing w:before="120" w:after="120"/>
            </w:pPr>
            <w:r w:rsidRPr="006A4205">
              <w:t>The indicator is not reported for any CCGs with lower than 50% case ascertainment or for those with fewer than 20 patients.</w:t>
            </w:r>
          </w:p>
        </w:tc>
      </w:tr>
      <w:tr w:rsidR="006A4205" w:rsidRPr="006A4205" w14:paraId="2AD1B231" w14:textId="77777777" w:rsidTr="00F83902">
        <w:tc>
          <w:tcPr>
            <w:tcW w:w="2114" w:type="dxa"/>
          </w:tcPr>
          <w:p w14:paraId="4A47AF17" w14:textId="34FEADED" w:rsidR="00F83902" w:rsidRPr="006A4205" w:rsidRDefault="00F83902" w:rsidP="00D13771">
            <w:pPr>
              <w:spacing w:before="240"/>
              <w:ind w:left="34"/>
              <w:rPr>
                <w:b/>
              </w:rPr>
            </w:pPr>
            <w:permStart w:id="1283669824" w:edGrp="everyone" w:colFirst="1" w:colLast="1"/>
            <w:permEnd w:id="148311794"/>
            <w:r w:rsidRPr="006A4205">
              <w:rPr>
                <w:b/>
              </w:rPr>
              <w:t>5.3 Calculation and data source of contextual information</w:t>
            </w:r>
          </w:p>
        </w:tc>
        <w:tc>
          <w:tcPr>
            <w:tcW w:w="7420" w:type="dxa"/>
          </w:tcPr>
          <w:p w14:paraId="3B14DF92" w14:textId="77777777" w:rsidR="00F83902" w:rsidRPr="006A4205" w:rsidRDefault="00F83902" w:rsidP="00D13771">
            <w:pPr>
              <w:spacing w:before="240"/>
            </w:pPr>
            <w:r w:rsidRPr="006A4205">
              <w:t>The contextual information is sourced from the SSNAP and provided by the RCP.</w:t>
            </w:r>
          </w:p>
        </w:tc>
      </w:tr>
      <w:tr w:rsidR="006A4205" w:rsidRPr="006A4205" w14:paraId="3534822A" w14:textId="77777777" w:rsidTr="00F83902">
        <w:tc>
          <w:tcPr>
            <w:tcW w:w="2114" w:type="dxa"/>
          </w:tcPr>
          <w:p w14:paraId="2AA83898" w14:textId="715A1319" w:rsidR="00F83902" w:rsidRPr="006A4205" w:rsidRDefault="00F83902" w:rsidP="00D13771">
            <w:pPr>
              <w:spacing w:before="240"/>
              <w:ind w:left="34"/>
              <w:rPr>
                <w:b/>
              </w:rPr>
            </w:pPr>
            <w:permStart w:id="902367733" w:edGrp="everyone" w:colFirst="1" w:colLast="1"/>
            <w:permEnd w:id="1283669824"/>
            <w:r w:rsidRPr="006A4205">
              <w:rPr>
                <w:b/>
              </w:rPr>
              <w:t>5.4 Use of bandings, benchmarks or targets</w:t>
            </w:r>
          </w:p>
          <w:p w14:paraId="128FD95E" w14:textId="77777777" w:rsidR="00F83902" w:rsidRPr="006A4205" w:rsidRDefault="00F83902" w:rsidP="00D13771">
            <w:pPr>
              <w:ind w:left="34"/>
            </w:pPr>
            <w:r w:rsidRPr="006A4205">
              <w:t>with justification</w:t>
            </w:r>
          </w:p>
        </w:tc>
        <w:tc>
          <w:tcPr>
            <w:tcW w:w="7420" w:type="dxa"/>
          </w:tcPr>
          <w:p w14:paraId="33929CD4" w14:textId="77777777" w:rsidR="00F83902" w:rsidRPr="006A4205" w:rsidRDefault="00F83902" w:rsidP="00D13771">
            <w:pPr>
              <w:spacing w:before="240"/>
            </w:pPr>
            <w:r w:rsidRPr="006A4205">
              <w:t xml:space="preserve">NHS England state in their summary of the CCG OIS that ‘The Indicator Set does not in itself set thresholds or levels of ambition for CCGs, it is intended as a tool for CCGs to drive local improvement and set priorities.’ </w:t>
            </w:r>
            <w:hyperlink r:id="rId22" w:history="1">
              <w:r w:rsidRPr="006A4205">
                <w:rPr>
                  <w:rStyle w:val="Hyperlink"/>
                  <w:color w:val="auto"/>
                </w:rPr>
                <w:t>http://www.england.nhs.uk/resources/resources-for-ccgs/ccg-out-tool/ccg-ois/</w:t>
              </w:r>
            </w:hyperlink>
          </w:p>
          <w:p w14:paraId="1A9734E7" w14:textId="77777777" w:rsidR="00F83902" w:rsidRPr="006A4205" w:rsidRDefault="00F83902" w:rsidP="00D13771">
            <w:pPr>
              <w:spacing w:before="240"/>
            </w:pPr>
            <w:r w:rsidRPr="006A4205">
              <w:lastRenderedPageBreak/>
              <w:t xml:space="preserve">A high percentage of patients with stroke admitted to an acute stroke unit within 4 hours of arrival to hospital is desirable. When presenting the data, the RCP use the following bandings which are accepted by the clinical teams that submit SSNAP data as aspirational markers of performance: below 55.0%, 55.0-59.9%, 60.0-74.9%, 75.0–89.9%, 90.0% or higher. </w:t>
            </w:r>
          </w:p>
          <w:p w14:paraId="35D54B20" w14:textId="77777777" w:rsidR="00F83902" w:rsidRPr="006A4205" w:rsidRDefault="00F83902" w:rsidP="00D13771">
            <w:pPr>
              <w:spacing w:before="120" w:after="120"/>
            </w:pPr>
          </w:p>
          <w:p w14:paraId="52AFCFDC" w14:textId="77777777" w:rsidR="00F83902" w:rsidRPr="006A4205" w:rsidRDefault="00F83902" w:rsidP="00D13771">
            <w:pPr>
              <w:spacing w:before="120" w:after="120"/>
            </w:pPr>
          </w:p>
          <w:p w14:paraId="3DC5FE78" w14:textId="77777777" w:rsidR="00F83902" w:rsidRPr="006A4205" w:rsidRDefault="00F83902" w:rsidP="00D13771">
            <w:pPr>
              <w:spacing w:before="240"/>
            </w:pPr>
            <w:r w:rsidRPr="006A4205">
              <w:t>The bandings were used in the map published for this indicator in the December 2014 CCG OIS publication commentary document:</w:t>
            </w:r>
          </w:p>
          <w:p w14:paraId="6FC0095F" w14:textId="77777777" w:rsidR="00F83902" w:rsidRPr="006A4205" w:rsidRDefault="00F83902" w:rsidP="00D13771">
            <w:pPr>
              <w:spacing w:before="240"/>
              <w:jc w:val="center"/>
            </w:pPr>
            <w:r w:rsidRPr="006A4205">
              <w:rPr>
                <w:noProof/>
                <w:lang w:eastAsia="en-GB"/>
              </w:rPr>
              <w:drawing>
                <wp:inline distT="0" distB="0" distL="0" distR="0" wp14:anchorId="3D2BC4DF" wp14:editId="02AEBDBF">
                  <wp:extent cx="3241964" cy="3930750"/>
                  <wp:effectExtent l="0" t="0" r="0" b="0"/>
                  <wp:docPr id="6" name="Picture 6" descr="Map showing banding for indicator achieved in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2101" cy="3930916"/>
                          </a:xfrm>
                          <a:prstGeom prst="rect">
                            <a:avLst/>
                          </a:prstGeom>
                          <a:noFill/>
                          <a:ln>
                            <a:noFill/>
                          </a:ln>
                        </pic:spPr>
                      </pic:pic>
                    </a:graphicData>
                  </a:graphic>
                </wp:inline>
              </w:drawing>
            </w:r>
          </w:p>
        </w:tc>
      </w:tr>
      <w:tr w:rsidR="006A4205" w:rsidRPr="006A4205" w14:paraId="08A2D83C" w14:textId="77777777" w:rsidTr="00F83902">
        <w:tc>
          <w:tcPr>
            <w:tcW w:w="2114" w:type="dxa"/>
          </w:tcPr>
          <w:p w14:paraId="5004DBC5" w14:textId="275891A3" w:rsidR="00F83902" w:rsidRPr="006A4205" w:rsidRDefault="00F83902" w:rsidP="00D13771">
            <w:pPr>
              <w:spacing w:before="240"/>
              <w:ind w:left="34"/>
              <w:rPr>
                <w:b/>
              </w:rPr>
            </w:pPr>
            <w:permStart w:id="1607347335" w:edGrp="everyone" w:colFirst="1" w:colLast="1"/>
            <w:permEnd w:id="902367733"/>
            <w:r w:rsidRPr="006A4205">
              <w:rPr>
                <w:b/>
              </w:rPr>
              <w:lastRenderedPageBreak/>
              <w:t>5.5 Banding, benchmark or target methodology</w:t>
            </w:r>
          </w:p>
          <w:p w14:paraId="65700748" w14:textId="77777777" w:rsidR="00F83902" w:rsidRPr="006A4205" w:rsidRDefault="00F83902" w:rsidP="00D13771">
            <w:pPr>
              <w:spacing w:before="240"/>
              <w:ind w:left="34"/>
            </w:pPr>
            <w:r w:rsidRPr="006A4205">
              <w:t>if appropriate</w:t>
            </w:r>
          </w:p>
        </w:tc>
        <w:tc>
          <w:tcPr>
            <w:tcW w:w="7420" w:type="dxa"/>
          </w:tcPr>
          <w:p w14:paraId="15D43285" w14:textId="77777777" w:rsidR="00F83902" w:rsidRPr="006A4205" w:rsidRDefault="00F83902" w:rsidP="00D13771">
            <w:pPr>
              <w:spacing w:before="240"/>
            </w:pPr>
            <w:r w:rsidRPr="006A4205">
              <w:t>The bandings used by the RCP are accepted by the clinical teams that submit SSNAP data as aspirational markers of performance.</w:t>
            </w:r>
          </w:p>
        </w:tc>
      </w:tr>
    </w:tbl>
    <w:permEnd w:id="1607347335"/>
    <w:p w14:paraId="0BD7DDA7" w14:textId="341F666B" w:rsidR="00F83902" w:rsidRPr="006A4205" w:rsidRDefault="00F83902">
      <w:r w:rsidRPr="006A4205">
        <w:t>Interpretation</w:t>
      </w:r>
    </w:p>
    <w:tbl>
      <w:tblPr>
        <w:tblStyle w:val="TableGrid1"/>
        <w:tblW w:w="9534" w:type="dxa"/>
        <w:tblLayout w:type="fixed"/>
        <w:tblLook w:val="04A0" w:firstRow="1" w:lastRow="0" w:firstColumn="1" w:lastColumn="0" w:noHBand="0" w:noVBand="1"/>
      </w:tblPr>
      <w:tblGrid>
        <w:gridCol w:w="1875"/>
        <w:gridCol w:w="7659"/>
      </w:tblGrid>
      <w:tr w:rsidR="006A4205" w:rsidRPr="006A4205" w14:paraId="73331966" w14:textId="77777777" w:rsidTr="00F83902">
        <w:tc>
          <w:tcPr>
            <w:tcW w:w="1875" w:type="dxa"/>
          </w:tcPr>
          <w:p w14:paraId="606703AE" w14:textId="51270885" w:rsidR="00F83902" w:rsidRPr="006A4205" w:rsidRDefault="00F83902" w:rsidP="00D13771">
            <w:pPr>
              <w:spacing w:before="240"/>
              <w:ind w:left="34"/>
              <w:rPr>
                <w:b/>
              </w:rPr>
            </w:pPr>
            <w:permStart w:id="376470576" w:edGrp="everyone" w:colFirst="2" w:colLast="2"/>
            <w:permStart w:id="261635306" w:edGrp="everyone" w:colFirst="1" w:colLast="1"/>
            <w:r w:rsidRPr="006A4205">
              <w:rPr>
                <w:b/>
              </w:rPr>
              <w:t>5.6 Interpretation guidelines</w:t>
            </w:r>
          </w:p>
        </w:tc>
        <w:tc>
          <w:tcPr>
            <w:tcW w:w="7659" w:type="dxa"/>
          </w:tcPr>
          <w:p w14:paraId="6B051668" w14:textId="77777777" w:rsidR="00F83902" w:rsidRPr="006A4205" w:rsidRDefault="00F83902" w:rsidP="00D13771">
            <w:pPr>
              <w:spacing w:before="240"/>
            </w:pPr>
            <w:r w:rsidRPr="006A4205">
              <w:t>A high percentage of patients with stroke admitted to an acute stroke unit within 4 hours of arrival to hospital is desirable.</w:t>
            </w:r>
          </w:p>
          <w:p w14:paraId="3D3978B6" w14:textId="77777777" w:rsidR="00F83902" w:rsidRPr="006A4205" w:rsidRDefault="00F83902" w:rsidP="00D13771">
            <w:pPr>
              <w:spacing w:before="240"/>
            </w:pPr>
            <w:r w:rsidRPr="006A4205">
              <w:lastRenderedPageBreak/>
              <w:t xml:space="preserve">This indicator acknowledges that for a small percentage of </w:t>
            </w:r>
            <w:proofErr w:type="gramStart"/>
            <w:r w:rsidRPr="006A4205">
              <w:t>patients</w:t>
            </w:r>
            <w:proofErr w:type="gramEnd"/>
            <w:r w:rsidRPr="006A4205">
              <w:t xml:space="preserve"> direct admission to a stroke unit is not appropriate. It differentiates between those who go to an acceptable other location (i.e. people transferred to intensive care are excluded from the indicator) compared to a ‘</w:t>
            </w:r>
            <w:proofErr w:type="gramStart"/>
            <w:r w:rsidRPr="006A4205">
              <w:t>non acceptable</w:t>
            </w:r>
            <w:proofErr w:type="gramEnd"/>
            <w:r w:rsidRPr="006A4205">
              <w:t>’ location (e.g. generic admissions unit).</w:t>
            </w:r>
          </w:p>
          <w:p w14:paraId="60D8AB5E" w14:textId="77777777" w:rsidR="00F83902" w:rsidRPr="006A4205" w:rsidRDefault="00F83902" w:rsidP="00D13771">
            <w:pPr>
              <w:spacing w:before="240"/>
            </w:pPr>
            <w:r w:rsidRPr="006A4205">
              <w:t>This indicator requires careful interpretation and should not be viewed in isolation, but instead be considered alongside information from other indicators and alternative sources, such as CCG OIS 3.9 (People who have had an acute stroke who spend 90% or more of their stay on a stroke unit) and the CCG level SSNAP stroke unit key indicators. When evaluated together, these will help to provide a holistic view of CCG outcomes and provide a more complete overview of the impact of the CCGs’ processes on outcomes.</w:t>
            </w:r>
          </w:p>
        </w:tc>
      </w:tr>
      <w:tr w:rsidR="006A4205" w:rsidRPr="006A4205" w14:paraId="426B4580" w14:textId="77777777" w:rsidTr="00F83902">
        <w:tc>
          <w:tcPr>
            <w:tcW w:w="1875" w:type="dxa"/>
          </w:tcPr>
          <w:p w14:paraId="7AFA9964" w14:textId="69D94651" w:rsidR="00F83902" w:rsidRPr="006A4205" w:rsidRDefault="00F83902" w:rsidP="00D13771">
            <w:pPr>
              <w:spacing w:before="240"/>
              <w:ind w:left="34"/>
              <w:rPr>
                <w:b/>
              </w:rPr>
            </w:pPr>
            <w:permStart w:id="1478262247" w:edGrp="everyone" w:colFirst="1" w:colLast="1"/>
            <w:permEnd w:id="261635306"/>
            <w:r w:rsidRPr="006A4205">
              <w:rPr>
                <w:b/>
              </w:rPr>
              <w:lastRenderedPageBreak/>
              <w:t>5.7 Limitations and potential bias</w:t>
            </w:r>
          </w:p>
        </w:tc>
        <w:tc>
          <w:tcPr>
            <w:tcW w:w="7659" w:type="dxa"/>
          </w:tcPr>
          <w:p w14:paraId="7ADB9A98" w14:textId="77777777" w:rsidR="00F83902" w:rsidRPr="006A4205" w:rsidRDefault="00F83902" w:rsidP="00D13771">
            <w:pPr>
              <w:spacing w:before="240"/>
            </w:pPr>
            <w:r w:rsidRPr="006A4205">
              <w:t>The patterns of providing care may vary between organisations in terms of hospital inpatient admission practices and policies.</w:t>
            </w:r>
          </w:p>
          <w:p w14:paraId="55C6B06E" w14:textId="77777777" w:rsidR="00F83902" w:rsidRPr="006A4205" w:rsidRDefault="00F83902" w:rsidP="00D13771">
            <w:pPr>
              <w:spacing w:before="240"/>
            </w:pPr>
            <w:r w:rsidRPr="006A4205">
              <w:t>There may be variation in the prevalence of stroke due to differing levels of deprivation, for other geo-demographic reasons or between patients of different ethnic heritages.</w:t>
            </w:r>
          </w:p>
        </w:tc>
      </w:tr>
      <w:tr w:rsidR="006A4205" w:rsidRPr="006A4205" w14:paraId="7EAB1429" w14:textId="77777777" w:rsidTr="00F83902">
        <w:tc>
          <w:tcPr>
            <w:tcW w:w="1875" w:type="dxa"/>
          </w:tcPr>
          <w:p w14:paraId="0A700C46" w14:textId="4BB111EB" w:rsidR="00F83902" w:rsidRPr="006A4205" w:rsidRDefault="00F83902" w:rsidP="00D13771">
            <w:pPr>
              <w:spacing w:before="240"/>
              <w:ind w:left="34"/>
              <w:rPr>
                <w:b/>
              </w:rPr>
            </w:pPr>
            <w:permStart w:id="1266709810" w:edGrp="everyone" w:colFirst="1" w:colLast="1"/>
            <w:permEnd w:id="1478262247"/>
            <w:r w:rsidRPr="006A4205">
              <w:rPr>
                <w:b/>
              </w:rPr>
              <w:t>5.8 Improvement actions</w:t>
            </w:r>
          </w:p>
        </w:tc>
        <w:tc>
          <w:tcPr>
            <w:tcW w:w="7659" w:type="dxa"/>
          </w:tcPr>
          <w:p w14:paraId="07937FCC" w14:textId="77777777" w:rsidR="00F83902" w:rsidRPr="006A4205" w:rsidRDefault="00F83902" w:rsidP="00D13771">
            <w:pPr>
              <w:spacing w:before="240"/>
            </w:pPr>
            <w:r w:rsidRPr="006A4205">
              <w:t>It is expected that CCGs will use this indicator to identify improvements in care and how they can be delivered.</w:t>
            </w:r>
          </w:p>
          <w:p w14:paraId="409A6896" w14:textId="77777777" w:rsidR="00F83902" w:rsidRPr="006A4205" w:rsidRDefault="00F83902" w:rsidP="00D13771">
            <w:pPr>
              <w:spacing w:before="240"/>
            </w:pPr>
            <w:r w:rsidRPr="006A4205">
              <w:t>Improvements could be made by enhancing aspects of the services CCGs commission for patients. This could come in the form of better recognition and assessment of the symptoms of stroke, particularly for those already in hospital, and an established process to transfer those people to a stroke unit in a timely manner.</w:t>
            </w:r>
          </w:p>
        </w:tc>
      </w:tr>
      <w:permEnd w:id="1266709810"/>
      <w:tr w:rsidR="006A4205" w:rsidRPr="006A4205" w14:paraId="4AA3D15C" w14:textId="77777777" w:rsidTr="00F83902">
        <w:trPr>
          <w:trHeight w:val="2670"/>
        </w:trPr>
        <w:tc>
          <w:tcPr>
            <w:tcW w:w="1875" w:type="dxa"/>
          </w:tcPr>
          <w:p w14:paraId="7688769A" w14:textId="451391D4" w:rsidR="00F83902" w:rsidRPr="006A4205" w:rsidRDefault="00F83902" w:rsidP="00D13771">
            <w:pPr>
              <w:spacing w:before="240"/>
              <w:ind w:left="34"/>
              <w:rPr>
                <w:b/>
              </w:rPr>
            </w:pPr>
            <w:r w:rsidRPr="006A4205">
              <w:rPr>
                <w:b/>
              </w:rPr>
              <w:t>5.9 Evidence of variability</w:t>
            </w:r>
          </w:p>
        </w:tc>
        <w:tc>
          <w:tcPr>
            <w:tcW w:w="7659" w:type="dxa"/>
          </w:tcPr>
          <w:p w14:paraId="6C3AEB07" w14:textId="77777777" w:rsidR="00F83902" w:rsidRPr="006A4205" w:rsidRDefault="00F83902" w:rsidP="00D13771">
            <w:pPr>
              <w:spacing w:before="240"/>
            </w:pPr>
            <w:r w:rsidRPr="006A4205">
              <w:t xml:space="preserve">The data within this section is taken from the December 2014 CCG OIS publication. </w:t>
            </w:r>
          </w:p>
          <w:p w14:paraId="2B5759C4" w14:textId="77777777" w:rsidR="00F83902" w:rsidRPr="006A4205" w:rsidRDefault="00F83902" w:rsidP="00D13771">
            <w:pPr>
              <w:spacing w:before="240"/>
            </w:pPr>
            <w:r w:rsidRPr="006A4205">
              <w:t>During the financial year 2013/14 there were 68,820 patients admitted to hospital with a primary diagnosis of stroke (excluding those whose first ward of admission was ITU, CCU or HDU). Of these, 41,223 were transferred to a stroke unit within 4 hours of arrival at hospital.</w:t>
            </w:r>
          </w:p>
          <w:p w14:paraId="63B8FBE1" w14:textId="5B4B1514" w:rsidR="00F83902" w:rsidRPr="006A4205" w:rsidRDefault="00F83902" w:rsidP="00D13771">
            <w:pPr>
              <w:spacing w:before="240"/>
            </w:pPr>
          </w:p>
        </w:tc>
      </w:tr>
      <w:permEnd w:id="376470576"/>
    </w:tbl>
    <w:p w14:paraId="696493E6" w14:textId="77777777" w:rsidR="00F83902" w:rsidRPr="006A4205" w:rsidRDefault="00F83902" w:rsidP="00FC4450"/>
    <w:p w14:paraId="528AD1CB" w14:textId="77777777" w:rsidR="00F83902" w:rsidRPr="006A4205" w:rsidRDefault="00F83902" w:rsidP="00F83902">
      <w:pPr>
        <w:spacing w:before="240"/>
      </w:pPr>
      <w:r w:rsidRPr="006A4205">
        <w:t>The data below shows the ten CCGs with the lowest and the ten CCGs with the highest percentages in 2013/14. Five CCGs have been suppressed due to insufficient case ascertainment between SSNAP and HES and are not included within the data below.</w:t>
      </w:r>
    </w:p>
    <w:tbl>
      <w:tblPr>
        <w:tblStyle w:val="TableGrid"/>
        <w:tblW w:w="7080" w:type="dxa"/>
        <w:tblLayout w:type="fixed"/>
        <w:tblLook w:val="04A0" w:firstRow="1" w:lastRow="0" w:firstColumn="1" w:lastColumn="0" w:noHBand="0" w:noVBand="1"/>
      </w:tblPr>
      <w:tblGrid>
        <w:gridCol w:w="839"/>
        <w:gridCol w:w="704"/>
        <w:gridCol w:w="583"/>
        <w:gridCol w:w="759"/>
        <w:gridCol w:w="608"/>
        <w:gridCol w:w="572"/>
        <w:gridCol w:w="857"/>
        <w:gridCol w:w="857"/>
        <w:gridCol w:w="1301"/>
      </w:tblGrid>
      <w:tr w:rsidR="00F83902" w:rsidRPr="006A4205" w14:paraId="3157136E" w14:textId="77777777" w:rsidTr="00201CDA">
        <w:trPr>
          <w:trHeight w:val="480"/>
        </w:trPr>
        <w:tc>
          <w:tcPr>
            <w:tcW w:w="839" w:type="dxa"/>
          </w:tcPr>
          <w:p w14:paraId="329F4086" w14:textId="77777777" w:rsidR="00F83902" w:rsidRPr="006A4205" w:rsidRDefault="00F83902" w:rsidP="00201CDA">
            <w:pPr>
              <w:jc w:val="center"/>
              <w:rPr>
                <w:b/>
                <w:bCs/>
                <w:sz w:val="16"/>
                <w:szCs w:val="16"/>
              </w:rPr>
            </w:pPr>
            <w:r w:rsidRPr="006A4205">
              <w:rPr>
                <w:b/>
                <w:bCs/>
                <w:sz w:val="16"/>
                <w:szCs w:val="16"/>
              </w:rPr>
              <w:t>CCG</w:t>
            </w:r>
          </w:p>
        </w:tc>
        <w:tc>
          <w:tcPr>
            <w:tcW w:w="704" w:type="dxa"/>
          </w:tcPr>
          <w:p w14:paraId="227B1E1D" w14:textId="77777777" w:rsidR="00F83902" w:rsidRPr="006A4205" w:rsidRDefault="00F83902" w:rsidP="00201CDA">
            <w:pPr>
              <w:jc w:val="center"/>
              <w:rPr>
                <w:b/>
                <w:bCs/>
                <w:sz w:val="16"/>
                <w:szCs w:val="16"/>
              </w:rPr>
            </w:pPr>
            <w:r w:rsidRPr="006A4205">
              <w:rPr>
                <w:b/>
                <w:bCs/>
                <w:sz w:val="16"/>
                <w:szCs w:val="16"/>
              </w:rPr>
              <w:t>%</w:t>
            </w:r>
          </w:p>
        </w:tc>
        <w:tc>
          <w:tcPr>
            <w:tcW w:w="583" w:type="dxa"/>
          </w:tcPr>
          <w:p w14:paraId="683EF24F" w14:textId="77777777" w:rsidR="00F83902" w:rsidRPr="006A4205" w:rsidRDefault="00F83902" w:rsidP="00201CDA">
            <w:pPr>
              <w:jc w:val="center"/>
              <w:rPr>
                <w:b/>
                <w:bCs/>
                <w:sz w:val="16"/>
                <w:szCs w:val="16"/>
              </w:rPr>
            </w:pPr>
            <w:r w:rsidRPr="006A4205">
              <w:rPr>
                <w:b/>
                <w:bCs/>
                <w:sz w:val="16"/>
                <w:szCs w:val="16"/>
              </w:rPr>
              <w:t>LCI</w:t>
            </w:r>
          </w:p>
        </w:tc>
        <w:tc>
          <w:tcPr>
            <w:tcW w:w="759" w:type="dxa"/>
          </w:tcPr>
          <w:p w14:paraId="51E2AE3E" w14:textId="77777777" w:rsidR="00F83902" w:rsidRPr="006A4205" w:rsidRDefault="00F83902" w:rsidP="00201CDA">
            <w:pPr>
              <w:jc w:val="center"/>
              <w:rPr>
                <w:b/>
                <w:bCs/>
                <w:sz w:val="16"/>
                <w:szCs w:val="16"/>
              </w:rPr>
            </w:pPr>
            <w:r w:rsidRPr="006A4205">
              <w:rPr>
                <w:b/>
                <w:bCs/>
                <w:sz w:val="16"/>
                <w:szCs w:val="16"/>
              </w:rPr>
              <w:t>UCI</w:t>
            </w:r>
          </w:p>
        </w:tc>
        <w:tc>
          <w:tcPr>
            <w:tcW w:w="608" w:type="dxa"/>
          </w:tcPr>
          <w:p w14:paraId="00436FCC" w14:textId="77777777" w:rsidR="00F83902" w:rsidRPr="006A4205" w:rsidRDefault="00F83902" w:rsidP="00201CDA">
            <w:pPr>
              <w:jc w:val="center"/>
              <w:rPr>
                <w:b/>
                <w:bCs/>
                <w:sz w:val="16"/>
                <w:szCs w:val="16"/>
              </w:rPr>
            </w:pPr>
            <w:r w:rsidRPr="006A4205">
              <w:rPr>
                <w:b/>
                <w:bCs/>
                <w:sz w:val="16"/>
                <w:szCs w:val="16"/>
              </w:rPr>
              <w:t>Den</w:t>
            </w:r>
          </w:p>
        </w:tc>
        <w:tc>
          <w:tcPr>
            <w:tcW w:w="572" w:type="dxa"/>
          </w:tcPr>
          <w:p w14:paraId="36248E79" w14:textId="77777777" w:rsidR="00F83902" w:rsidRPr="006A4205" w:rsidRDefault="00F83902" w:rsidP="00201CDA">
            <w:pPr>
              <w:jc w:val="center"/>
              <w:rPr>
                <w:b/>
                <w:bCs/>
                <w:sz w:val="16"/>
                <w:szCs w:val="16"/>
              </w:rPr>
            </w:pPr>
            <w:proofErr w:type="spellStart"/>
            <w:r w:rsidRPr="006A4205">
              <w:rPr>
                <w:b/>
                <w:bCs/>
                <w:sz w:val="16"/>
                <w:szCs w:val="16"/>
              </w:rPr>
              <w:t>Num</w:t>
            </w:r>
            <w:proofErr w:type="spellEnd"/>
          </w:p>
        </w:tc>
        <w:tc>
          <w:tcPr>
            <w:tcW w:w="857" w:type="dxa"/>
          </w:tcPr>
          <w:p w14:paraId="337A75A0" w14:textId="77777777" w:rsidR="00F83902" w:rsidRPr="006A4205" w:rsidRDefault="00F83902" w:rsidP="00201CDA">
            <w:pPr>
              <w:jc w:val="center"/>
              <w:rPr>
                <w:b/>
                <w:bCs/>
                <w:sz w:val="16"/>
                <w:szCs w:val="16"/>
              </w:rPr>
            </w:pPr>
            <w:r w:rsidRPr="006A4205">
              <w:rPr>
                <w:b/>
                <w:bCs/>
                <w:sz w:val="16"/>
                <w:szCs w:val="16"/>
              </w:rPr>
              <w:t>Records in SSNAP</w:t>
            </w:r>
          </w:p>
        </w:tc>
        <w:tc>
          <w:tcPr>
            <w:tcW w:w="857" w:type="dxa"/>
          </w:tcPr>
          <w:p w14:paraId="7BFF4FCA" w14:textId="77777777" w:rsidR="00F83902" w:rsidRPr="006A4205" w:rsidRDefault="00F83902" w:rsidP="00201CDA">
            <w:pPr>
              <w:jc w:val="center"/>
              <w:rPr>
                <w:b/>
                <w:bCs/>
                <w:sz w:val="16"/>
                <w:szCs w:val="16"/>
              </w:rPr>
            </w:pPr>
            <w:r w:rsidRPr="006A4205">
              <w:rPr>
                <w:b/>
                <w:bCs/>
                <w:sz w:val="16"/>
                <w:szCs w:val="16"/>
              </w:rPr>
              <w:t>Records in HES</w:t>
            </w:r>
          </w:p>
        </w:tc>
        <w:tc>
          <w:tcPr>
            <w:tcW w:w="1301" w:type="dxa"/>
          </w:tcPr>
          <w:p w14:paraId="0CA50254" w14:textId="77777777" w:rsidR="00F83902" w:rsidRPr="006A4205" w:rsidRDefault="00F83902" w:rsidP="00201CDA">
            <w:pPr>
              <w:jc w:val="center"/>
              <w:rPr>
                <w:b/>
                <w:bCs/>
                <w:sz w:val="16"/>
                <w:szCs w:val="16"/>
              </w:rPr>
            </w:pPr>
            <w:r w:rsidRPr="006A4205">
              <w:rPr>
                <w:b/>
                <w:bCs/>
                <w:sz w:val="16"/>
                <w:szCs w:val="16"/>
              </w:rPr>
              <w:t>Case ascertainment</w:t>
            </w:r>
          </w:p>
        </w:tc>
      </w:tr>
      <w:tr w:rsidR="00F83902" w:rsidRPr="006A4205" w14:paraId="74641482" w14:textId="77777777" w:rsidTr="00201CDA">
        <w:trPr>
          <w:trHeight w:val="300"/>
        </w:trPr>
        <w:tc>
          <w:tcPr>
            <w:tcW w:w="839" w:type="dxa"/>
          </w:tcPr>
          <w:p w14:paraId="74911E4D" w14:textId="77777777" w:rsidR="00F83902" w:rsidRPr="006A4205" w:rsidRDefault="00F83902" w:rsidP="00201CDA">
            <w:pPr>
              <w:jc w:val="center"/>
              <w:rPr>
                <w:b/>
                <w:bCs/>
                <w:sz w:val="16"/>
                <w:szCs w:val="16"/>
              </w:rPr>
            </w:pPr>
            <w:r w:rsidRPr="006A4205">
              <w:rPr>
                <w:b/>
                <w:bCs/>
                <w:sz w:val="16"/>
                <w:szCs w:val="16"/>
              </w:rPr>
              <w:t>CCG1</w:t>
            </w:r>
          </w:p>
        </w:tc>
        <w:tc>
          <w:tcPr>
            <w:tcW w:w="704" w:type="dxa"/>
          </w:tcPr>
          <w:p w14:paraId="7E446AC7" w14:textId="77777777" w:rsidR="00F83902" w:rsidRPr="006A4205" w:rsidRDefault="00F83902" w:rsidP="00201CDA">
            <w:pPr>
              <w:jc w:val="right"/>
              <w:rPr>
                <w:sz w:val="16"/>
                <w:szCs w:val="16"/>
              </w:rPr>
            </w:pPr>
            <w:r w:rsidRPr="006A4205">
              <w:rPr>
                <w:sz w:val="16"/>
                <w:szCs w:val="16"/>
              </w:rPr>
              <w:t>21.7</w:t>
            </w:r>
          </w:p>
        </w:tc>
        <w:tc>
          <w:tcPr>
            <w:tcW w:w="583" w:type="dxa"/>
          </w:tcPr>
          <w:p w14:paraId="21C14968" w14:textId="77777777" w:rsidR="00F83902" w:rsidRPr="006A4205" w:rsidRDefault="00F83902" w:rsidP="00201CDA">
            <w:pPr>
              <w:jc w:val="right"/>
              <w:rPr>
                <w:sz w:val="16"/>
                <w:szCs w:val="16"/>
              </w:rPr>
            </w:pPr>
            <w:r w:rsidRPr="006A4205">
              <w:rPr>
                <w:sz w:val="16"/>
                <w:szCs w:val="16"/>
              </w:rPr>
              <w:t>15.7</w:t>
            </w:r>
          </w:p>
        </w:tc>
        <w:tc>
          <w:tcPr>
            <w:tcW w:w="759" w:type="dxa"/>
          </w:tcPr>
          <w:p w14:paraId="0F29F107" w14:textId="77777777" w:rsidR="00F83902" w:rsidRPr="006A4205" w:rsidRDefault="00F83902" w:rsidP="00201CDA">
            <w:pPr>
              <w:jc w:val="right"/>
              <w:rPr>
                <w:sz w:val="16"/>
                <w:szCs w:val="16"/>
              </w:rPr>
            </w:pPr>
            <w:r w:rsidRPr="006A4205">
              <w:rPr>
                <w:sz w:val="16"/>
                <w:szCs w:val="16"/>
              </w:rPr>
              <w:t>29.3</w:t>
            </w:r>
          </w:p>
        </w:tc>
        <w:tc>
          <w:tcPr>
            <w:tcW w:w="608" w:type="dxa"/>
          </w:tcPr>
          <w:p w14:paraId="57104FA4" w14:textId="77777777" w:rsidR="00F83902" w:rsidRPr="006A4205" w:rsidRDefault="00F83902" w:rsidP="00201CDA">
            <w:pPr>
              <w:jc w:val="right"/>
              <w:rPr>
                <w:sz w:val="16"/>
                <w:szCs w:val="16"/>
              </w:rPr>
            </w:pPr>
            <w:r w:rsidRPr="006A4205">
              <w:rPr>
                <w:sz w:val="16"/>
                <w:szCs w:val="16"/>
              </w:rPr>
              <w:t>138</w:t>
            </w:r>
          </w:p>
        </w:tc>
        <w:tc>
          <w:tcPr>
            <w:tcW w:w="572" w:type="dxa"/>
          </w:tcPr>
          <w:p w14:paraId="27CC25F7" w14:textId="77777777" w:rsidR="00F83902" w:rsidRPr="006A4205" w:rsidRDefault="00F83902" w:rsidP="00201CDA">
            <w:pPr>
              <w:jc w:val="right"/>
              <w:rPr>
                <w:sz w:val="16"/>
                <w:szCs w:val="16"/>
              </w:rPr>
            </w:pPr>
            <w:r w:rsidRPr="006A4205">
              <w:rPr>
                <w:sz w:val="16"/>
                <w:szCs w:val="16"/>
              </w:rPr>
              <w:t>30</w:t>
            </w:r>
          </w:p>
        </w:tc>
        <w:tc>
          <w:tcPr>
            <w:tcW w:w="857" w:type="dxa"/>
          </w:tcPr>
          <w:p w14:paraId="5DD930F9" w14:textId="77777777" w:rsidR="00F83902" w:rsidRPr="006A4205" w:rsidRDefault="00F83902" w:rsidP="00201CDA">
            <w:pPr>
              <w:jc w:val="right"/>
              <w:rPr>
                <w:sz w:val="16"/>
                <w:szCs w:val="16"/>
              </w:rPr>
            </w:pPr>
            <w:r w:rsidRPr="006A4205">
              <w:rPr>
                <w:sz w:val="16"/>
                <w:szCs w:val="16"/>
              </w:rPr>
              <w:t>138</w:t>
            </w:r>
          </w:p>
        </w:tc>
        <w:tc>
          <w:tcPr>
            <w:tcW w:w="857" w:type="dxa"/>
          </w:tcPr>
          <w:p w14:paraId="70389BCB" w14:textId="77777777" w:rsidR="00F83902" w:rsidRPr="006A4205" w:rsidRDefault="00F83902" w:rsidP="00201CDA">
            <w:pPr>
              <w:jc w:val="right"/>
              <w:rPr>
                <w:sz w:val="16"/>
                <w:szCs w:val="16"/>
              </w:rPr>
            </w:pPr>
            <w:r w:rsidRPr="006A4205">
              <w:rPr>
                <w:sz w:val="16"/>
                <w:szCs w:val="16"/>
              </w:rPr>
              <w:t>190</w:t>
            </w:r>
          </w:p>
        </w:tc>
        <w:tc>
          <w:tcPr>
            <w:tcW w:w="1301" w:type="dxa"/>
          </w:tcPr>
          <w:p w14:paraId="46BDA4B2" w14:textId="77777777" w:rsidR="00F83902" w:rsidRPr="006A4205" w:rsidRDefault="00F83902" w:rsidP="00201CDA">
            <w:pPr>
              <w:jc w:val="right"/>
              <w:rPr>
                <w:sz w:val="16"/>
                <w:szCs w:val="16"/>
              </w:rPr>
            </w:pPr>
            <w:r w:rsidRPr="006A4205">
              <w:rPr>
                <w:sz w:val="16"/>
                <w:szCs w:val="16"/>
              </w:rPr>
              <w:t>70-79%</w:t>
            </w:r>
          </w:p>
        </w:tc>
      </w:tr>
      <w:tr w:rsidR="00F83902" w:rsidRPr="006A4205" w14:paraId="794A1828" w14:textId="77777777" w:rsidTr="00201CDA">
        <w:trPr>
          <w:trHeight w:val="300"/>
        </w:trPr>
        <w:tc>
          <w:tcPr>
            <w:tcW w:w="839" w:type="dxa"/>
          </w:tcPr>
          <w:p w14:paraId="3E73A2E2" w14:textId="77777777" w:rsidR="00F83902" w:rsidRPr="006A4205" w:rsidRDefault="00F83902" w:rsidP="00201CDA">
            <w:pPr>
              <w:jc w:val="center"/>
              <w:rPr>
                <w:b/>
                <w:bCs/>
                <w:sz w:val="16"/>
                <w:szCs w:val="16"/>
              </w:rPr>
            </w:pPr>
            <w:r w:rsidRPr="006A4205">
              <w:rPr>
                <w:b/>
                <w:bCs/>
                <w:sz w:val="16"/>
                <w:szCs w:val="16"/>
              </w:rPr>
              <w:lastRenderedPageBreak/>
              <w:t>CCG2</w:t>
            </w:r>
          </w:p>
        </w:tc>
        <w:tc>
          <w:tcPr>
            <w:tcW w:w="704" w:type="dxa"/>
          </w:tcPr>
          <w:p w14:paraId="753C820E" w14:textId="77777777" w:rsidR="00F83902" w:rsidRPr="006A4205" w:rsidRDefault="00F83902" w:rsidP="00201CDA">
            <w:pPr>
              <w:jc w:val="right"/>
              <w:rPr>
                <w:sz w:val="16"/>
                <w:szCs w:val="16"/>
              </w:rPr>
            </w:pPr>
            <w:r w:rsidRPr="006A4205">
              <w:rPr>
                <w:sz w:val="16"/>
                <w:szCs w:val="16"/>
              </w:rPr>
              <w:t>24.6</w:t>
            </w:r>
          </w:p>
        </w:tc>
        <w:tc>
          <w:tcPr>
            <w:tcW w:w="583" w:type="dxa"/>
          </w:tcPr>
          <w:p w14:paraId="2D5637A4" w14:textId="77777777" w:rsidR="00F83902" w:rsidRPr="006A4205" w:rsidRDefault="00F83902" w:rsidP="00201CDA">
            <w:pPr>
              <w:jc w:val="right"/>
              <w:rPr>
                <w:sz w:val="16"/>
                <w:szCs w:val="16"/>
              </w:rPr>
            </w:pPr>
            <w:r w:rsidRPr="006A4205">
              <w:rPr>
                <w:sz w:val="16"/>
                <w:szCs w:val="16"/>
              </w:rPr>
              <w:t>20.7</w:t>
            </w:r>
          </w:p>
        </w:tc>
        <w:tc>
          <w:tcPr>
            <w:tcW w:w="759" w:type="dxa"/>
          </w:tcPr>
          <w:p w14:paraId="5FA15F6D" w14:textId="77777777" w:rsidR="00F83902" w:rsidRPr="006A4205" w:rsidRDefault="00F83902" w:rsidP="00201CDA">
            <w:pPr>
              <w:jc w:val="right"/>
              <w:rPr>
                <w:sz w:val="16"/>
                <w:szCs w:val="16"/>
              </w:rPr>
            </w:pPr>
            <w:r w:rsidRPr="006A4205">
              <w:rPr>
                <w:sz w:val="16"/>
                <w:szCs w:val="16"/>
              </w:rPr>
              <w:t>28.9</w:t>
            </w:r>
          </w:p>
        </w:tc>
        <w:tc>
          <w:tcPr>
            <w:tcW w:w="608" w:type="dxa"/>
          </w:tcPr>
          <w:p w14:paraId="4CD6B210" w14:textId="77777777" w:rsidR="00F83902" w:rsidRPr="006A4205" w:rsidRDefault="00F83902" w:rsidP="00201CDA">
            <w:pPr>
              <w:jc w:val="right"/>
              <w:rPr>
                <w:sz w:val="16"/>
                <w:szCs w:val="16"/>
              </w:rPr>
            </w:pPr>
            <w:r w:rsidRPr="006A4205">
              <w:rPr>
                <w:sz w:val="16"/>
                <w:szCs w:val="16"/>
              </w:rPr>
              <w:t>423</w:t>
            </w:r>
          </w:p>
        </w:tc>
        <w:tc>
          <w:tcPr>
            <w:tcW w:w="572" w:type="dxa"/>
          </w:tcPr>
          <w:p w14:paraId="6379E501" w14:textId="77777777" w:rsidR="00F83902" w:rsidRPr="006A4205" w:rsidRDefault="00F83902" w:rsidP="00201CDA">
            <w:pPr>
              <w:jc w:val="right"/>
              <w:rPr>
                <w:sz w:val="16"/>
                <w:szCs w:val="16"/>
              </w:rPr>
            </w:pPr>
            <w:r w:rsidRPr="006A4205">
              <w:rPr>
                <w:sz w:val="16"/>
                <w:szCs w:val="16"/>
              </w:rPr>
              <w:t>104</w:t>
            </w:r>
          </w:p>
        </w:tc>
        <w:tc>
          <w:tcPr>
            <w:tcW w:w="857" w:type="dxa"/>
          </w:tcPr>
          <w:p w14:paraId="5653455B" w14:textId="77777777" w:rsidR="00F83902" w:rsidRPr="006A4205" w:rsidRDefault="00F83902" w:rsidP="00201CDA">
            <w:pPr>
              <w:jc w:val="right"/>
              <w:rPr>
                <w:sz w:val="16"/>
                <w:szCs w:val="16"/>
              </w:rPr>
            </w:pPr>
            <w:r w:rsidRPr="006A4205">
              <w:rPr>
                <w:sz w:val="16"/>
                <w:szCs w:val="16"/>
              </w:rPr>
              <w:t>425</w:t>
            </w:r>
          </w:p>
        </w:tc>
        <w:tc>
          <w:tcPr>
            <w:tcW w:w="857" w:type="dxa"/>
          </w:tcPr>
          <w:p w14:paraId="5398A6C6" w14:textId="77777777" w:rsidR="00F83902" w:rsidRPr="006A4205" w:rsidRDefault="00F83902" w:rsidP="00201CDA">
            <w:pPr>
              <w:jc w:val="right"/>
              <w:rPr>
                <w:sz w:val="16"/>
                <w:szCs w:val="16"/>
              </w:rPr>
            </w:pPr>
            <w:r w:rsidRPr="006A4205">
              <w:rPr>
                <w:sz w:val="16"/>
                <w:szCs w:val="16"/>
              </w:rPr>
              <w:t>536</w:t>
            </w:r>
          </w:p>
        </w:tc>
        <w:tc>
          <w:tcPr>
            <w:tcW w:w="1301" w:type="dxa"/>
          </w:tcPr>
          <w:p w14:paraId="2242D74B" w14:textId="77777777" w:rsidR="00F83902" w:rsidRPr="006A4205" w:rsidRDefault="00F83902" w:rsidP="00201CDA">
            <w:pPr>
              <w:jc w:val="right"/>
              <w:rPr>
                <w:sz w:val="16"/>
                <w:szCs w:val="16"/>
              </w:rPr>
            </w:pPr>
            <w:r w:rsidRPr="006A4205">
              <w:rPr>
                <w:sz w:val="16"/>
                <w:szCs w:val="16"/>
              </w:rPr>
              <w:t>70-79%</w:t>
            </w:r>
          </w:p>
        </w:tc>
      </w:tr>
      <w:tr w:rsidR="00F83902" w:rsidRPr="006A4205" w14:paraId="076E52E8" w14:textId="77777777" w:rsidTr="00201CDA">
        <w:trPr>
          <w:trHeight w:val="300"/>
        </w:trPr>
        <w:tc>
          <w:tcPr>
            <w:tcW w:w="839" w:type="dxa"/>
          </w:tcPr>
          <w:p w14:paraId="2A8DB46A" w14:textId="77777777" w:rsidR="00F83902" w:rsidRPr="006A4205" w:rsidRDefault="00F83902" w:rsidP="00201CDA">
            <w:pPr>
              <w:jc w:val="center"/>
              <w:rPr>
                <w:b/>
                <w:bCs/>
                <w:sz w:val="16"/>
                <w:szCs w:val="16"/>
              </w:rPr>
            </w:pPr>
            <w:r w:rsidRPr="006A4205">
              <w:rPr>
                <w:b/>
                <w:bCs/>
                <w:sz w:val="16"/>
                <w:szCs w:val="16"/>
              </w:rPr>
              <w:t>CCG3</w:t>
            </w:r>
          </w:p>
        </w:tc>
        <w:tc>
          <w:tcPr>
            <w:tcW w:w="704" w:type="dxa"/>
          </w:tcPr>
          <w:p w14:paraId="194EFFFB" w14:textId="77777777" w:rsidR="00F83902" w:rsidRPr="006A4205" w:rsidRDefault="00F83902" w:rsidP="00201CDA">
            <w:pPr>
              <w:jc w:val="right"/>
              <w:rPr>
                <w:sz w:val="16"/>
                <w:szCs w:val="16"/>
              </w:rPr>
            </w:pPr>
            <w:r w:rsidRPr="006A4205">
              <w:rPr>
                <w:sz w:val="16"/>
                <w:szCs w:val="16"/>
              </w:rPr>
              <w:t>30.3</w:t>
            </w:r>
          </w:p>
        </w:tc>
        <w:tc>
          <w:tcPr>
            <w:tcW w:w="583" w:type="dxa"/>
          </w:tcPr>
          <w:p w14:paraId="06BEFFE0" w14:textId="77777777" w:rsidR="00F83902" w:rsidRPr="006A4205" w:rsidRDefault="00F83902" w:rsidP="00201CDA">
            <w:pPr>
              <w:jc w:val="right"/>
              <w:rPr>
                <w:sz w:val="16"/>
                <w:szCs w:val="16"/>
              </w:rPr>
            </w:pPr>
            <w:r w:rsidRPr="006A4205">
              <w:rPr>
                <w:sz w:val="16"/>
                <w:szCs w:val="16"/>
              </w:rPr>
              <w:t>25.7</w:t>
            </w:r>
          </w:p>
        </w:tc>
        <w:tc>
          <w:tcPr>
            <w:tcW w:w="759" w:type="dxa"/>
          </w:tcPr>
          <w:p w14:paraId="686AF6FC" w14:textId="77777777" w:rsidR="00F83902" w:rsidRPr="006A4205" w:rsidRDefault="00F83902" w:rsidP="00201CDA">
            <w:pPr>
              <w:jc w:val="right"/>
              <w:rPr>
                <w:sz w:val="16"/>
                <w:szCs w:val="16"/>
              </w:rPr>
            </w:pPr>
            <w:r w:rsidRPr="006A4205">
              <w:rPr>
                <w:sz w:val="16"/>
                <w:szCs w:val="16"/>
              </w:rPr>
              <w:t>35.4</w:t>
            </w:r>
          </w:p>
        </w:tc>
        <w:tc>
          <w:tcPr>
            <w:tcW w:w="608" w:type="dxa"/>
          </w:tcPr>
          <w:p w14:paraId="6A920DBE" w14:textId="77777777" w:rsidR="00F83902" w:rsidRPr="006A4205" w:rsidRDefault="00F83902" w:rsidP="00201CDA">
            <w:pPr>
              <w:jc w:val="right"/>
              <w:rPr>
                <w:sz w:val="16"/>
                <w:szCs w:val="16"/>
              </w:rPr>
            </w:pPr>
            <w:r w:rsidRPr="006A4205">
              <w:rPr>
                <w:sz w:val="16"/>
                <w:szCs w:val="16"/>
              </w:rPr>
              <w:t>340</w:t>
            </w:r>
          </w:p>
        </w:tc>
        <w:tc>
          <w:tcPr>
            <w:tcW w:w="572" w:type="dxa"/>
          </w:tcPr>
          <w:p w14:paraId="002616F5" w14:textId="77777777" w:rsidR="00F83902" w:rsidRPr="006A4205" w:rsidRDefault="00F83902" w:rsidP="00201CDA">
            <w:pPr>
              <w:jc w:val="right"/>
              <w:rPr>
                <w:sz w:val="16"/>
                <w:szCs w:val="16"/>
              </w:rPr>
            </w:pPr>
            <w:r w:rsidRPr="006A4205">
              <w:rPr>
                <w:sz w:val="16"/>
                <w:szCs w:val="16"/>
              </w:rPr>
              <w:t>103</w:t>
            </w:r>
          </w:p>
        </w:tc>
        <w:tc>
          <w:tcPr>
            <w:tcW w:w="857" w:type="dxa"/>
          </w:tcPr>
          <w:p w14:paraId="504B5BD1" w14:textId="77777777" w:rsidR="00F83902" w:rsidRPr="006A4205" w:rsidRDefault="00F83902" w:rsidP="00201CDA">
            <w:pPr>
              <w:jc w:val="right"/>
              <w:rPr>
                <w:sz w:val="16"/>
                <w:szCs w:val="16"/>
              </w:rPr>
            </w:pPr>
            <w:r w:rsidRPr="006A4205">
              <w:rPr>
                <w:sz w:val="16"/>
                <w:szCs w:val="16"/>
              </w:rPr>
              <w:t>352</w:t>
            </w:r>
          </w:p>
        </w:tc>
        <w:tc>
          <w:tcPr>
            <w:tcW w:w="857" w:type="dxa"/>
          </w:tcPr>
          <w:p w14:paraId="760E3E36" w14:textId="77777777" w:rsidR="00F83902" w:rsidRPr="006A4205" w:rsidRDefault="00F83902" w:rsidP="00201CDA">
            <w:pPr>
              <w:jc w:val="right"/>
              <w:rPr>
                <w:sz w:val="16"/>
                <w:szCs w:val="16"/>
              </w:rPr>
            </w:pPr>
            <w:r w:rsidRPr="006A4205">
              <w:rPr>
                <w:sz w:val="16"/>
                <w:szCs w:val="16"/>
              </w:rPr>
              <w:t>308</w:t>
            </w:r>
          </w:p>
        </w:tc>
        <w:tc>
          <w:tcPr>
            <w:tcW w:w="1301" w:type="dxa"/>
          </w:tcPr>
          <w:p w14:paraId="1B758B51" w14:textId="77777777" w:rsidR="00F83902" w:rsidRPr="006A4205" w:rsidRDefault="00F83902" w:rsidP="00201CDA">
            <w:pPr>
              <w:jc w:val="right"/>
              <w:rPr>
                <w:sz w:val="16"/>
                <w:szCs w:val="16"/>
              </w:rPr>
            </w:pPr>
            <w:r w:rsidRPr="006A4205">
              <w:rPr>
                <w:sz w:val="16"/>
                <w:szCs w:val="16"/>
              </w:rPr>
              <w:t>90%+</w:t>
            </w:r>
          </w:p>
        </w:tc>
      </w:tr>
      <w:tr w:rsidR="00F83902" w:rsidRPr="006A4205" w14:paraId="768F6193" w14:textId="77777777" w:rsidTr="00201CDA">
        <w:trPr>
          <w:trHeight w:val="300"/>
        </w:trPr>
        <w:tc>
          <w:tcPr>
            <w:tcW w:w="839" w:type="dxa"/>
          </w:tcPr>
          <w:p w14:paraId="2E6F55C4" w14:textId="77777777" w:rsidR="00F83902" w:rsidRPr="006A4205" w:rsidRDefault="00F83902" w:rsidP="00201CDA">
            <w:pPr>
              <w:jc w:val="center"/>
              <w:rPr>
                <w:b/>
                <w:bCs/>
                <w:sz w:val="16"/>
                <w:szCs w:val="16"/>
              </w:rPr>
            </w:pPr>
            <w:r w:rsidRPr="006A4205">
              <w:rPr>
                <w:b/>
                <w:bCs/>
                <w:sz w:val="16"/>
                <w:szCs w:val="16"/>
              </w:rPr>
              <w:t>CCG4</w:t>
            </w:r>
          </w:p>
        </w:tc>
        <w:tc>
          <w:tcPr>
            <w:tcW w:w="704" w:type="dxa"/>
          </w:tcPr>
          <w:p w14:paraId="0039FE9F" w14:textId="77777777" w:rsidR="00F83902" w:rsidRPr="006A4205" w:rsidRDefault="00F83902" w:rsidP="00201CDA">
            <w:pPr>
              <w:jc w:val="right"/>
              <w:rPr>
                <w:sz w:val="16"/>
                <w:szCs w:val="16"/>
              </w:rPr>
            </w:pPr>
            <w:r w:rsidRPr="006A4205">
              <w:rPr>
                <w:sz w:val="16"/>
                <w:szCs w:val="16"/>
              </w:rPr>
              <w:t>31.6</w:t>
            </w:r>
          </w:p>
        </w:tc>
        <w:tc>
          <w:tcPr>
            <w:tcW w:w="583" w:type="dxa"/>
          </w:tcPr>
          <w:p w14:paraId="4BE9D900" w14:textId="77777777" w:rsidR="00F83902" w:rsidRPr="006A4205" w:rsidRDefault="00F83902" w:rsidP="00201CDA">
            <w:pPr>
              <w:jc w:val="right"/>
              <w:rPr>
                <w:sz w:val="16"/>
                <w:szCs w:val="16"/>
              </w:rPr>
            </w:pPr>
            <w:r w:rsidRPr="006A4205">
              <w:rPr>
                <w:sz w:val="16"/>
                <w:szCs w:val="16"/>
              </w:rPr>
              <w:t>28.0</w:t>
            </w:r>
          </w:p>
        </w:tc>
        <w:tc>
          <w:tcPr>
            <w:tcW w:w="759" w:type="dxa"/>
          </w:tcPr>
          <w:p w14:paraId="6536BA87" w14:textId="77777777" w:rsidR="00F83902" w:rsidRPr="006A4205" w:rsidRDefault="00F83902" w:rsidP="00201CDA">
            <w:pPr>
              <w:jc w:val="right"/>
              <w:rPr>
                <w:sz w:val="16"/>
                <w:szCs w:val="16"/>
              </w:rPr>
            </w:pPr>
            <w:r w:rsidRPr="006A4205">
              <w:rPr>
                <w:sz w:val="16"/>
                <w:szCs w:val="16"/>
              </w:rPr>
              <w:t>35.5</w:t>
            </w:r>
          </w:p>
        </w:tc>
        <w:tc>
          <w:tcPr>
            <w:tcW w:w="608" w:type="dxa"/>
          </w:tcPr>
          <w:p w14:paraId="7F9EB9FC" w14:textId="77777777" w:rsidR="00F83902" w:rsidRPr="006A4205" w:rsidRDefault="00F83902" w:rsidP="00201CDA">
            <w:pPr>
              <w:jc w:val="right"/>
              <w:rPr>
                <w:sz w:val="16"/>
                <w:szCs w:val="16"/>
              </w:rPr>
            </w:pPr>
            <w:r w:rsidRPr="006A4205">
              <w:rPr>
                <w:sz w:val="16"/>
                <w:szCs w:val="16"/>
              </w:rPr>
              <w:t>594</w:t>
            </w:r>
          </w:p>
        </w:tc>
        <w:tc>
          <w:tcPr>
            <w:tcW w:w="572" w:type="dxa"/>
          </w:tcPr>
          <w:p w14:paraId="0751FCCD" w14:textId="77777777" w:rsidR="00F83902" w:rsidRPr="006A4205" w:rsidRDefault="00F83902" w:rsidP="00201CDA">
            <w:pPr>
              <w:jc w:val="right"/>
              <w:rPr>
                <w:sz w:val="16"/>
                <w:szCs w:val="16"/>
              </w:rPr>
            </w:pPr>
            <w:r w:rsidRPr="006A4205">
              <w:rPr>
                <w:sz w:val="16"/>
                <w:szCs w:val="16"/>
              </w:rPr>
              <w:t>188</w:t>
            </w:r>
          </w:p>
        </w:tc>
        <w:tc>
          <w:tcPr>
            <w:tcW w:w="857" w:type="dxa"/>
          </w:tcPr>
          <w:p w14:paraId="6F5BE883" w14:textId="77777777" w:rsidR="00F83902" w:rsidRPr="006A4205" w:rsidRDefault="00F83902" w:rsidP="00201CDA">
            <w:pPr>
              <w:jc w:val="right"/>
              <w:rPr>
                <w:sz w:val="16"/>
                <w:szCs w:val="16"/>
              </w:rPr>
            </w:pPr>
            <w:r w:rsidRPr="006A4205">
              <w:rPr>
                <w:sz w:val="16"/>
                <w:szCs w:val="16"/>
              </w:rPr>
              <w:t>608</w:t>
            </w:r>
          </w:p>
        </w:tc>
        <w:tc>
          <w:tcPr>
            <w:tcW w:w="857" w:type="dxa"/>
          </w:tcPr>
          <w:p w14:paraId="33F3D197" w14:textId="77777777" w:rsidR="00F83902" w:rsidRPr="006A4205" w:rsidRDefault="00F83902" w:rsidP="00201CDA">
            <w:pPr>
              <w:jc w:val="right"/>
              <w:rPr>
                <w:sz w:val="16"/>
                <w:szCs w:val="16"/>
              </w:rPr>
            </w:pPr>
            <w:r w:rsidRPr="006A4205">
              <w:rPr>
                <w:sz w:val="16"/>
                <w:szCs w:val="16"/>
              </w:rPr>
              <w:t>594</w:t>
            </w:r>
          </w:p>
        </w:tc>
        <w:tc>
          <w:tcPr>
            <w:tcW w:w="1301" w:type="dxa"/>
          </w:tcPr>
          <w:p w14:paraId="2BBC6C31" w14:textId="77777777" w:rsidR="00F83902" w:rsidRPr="006A4205" w:rsidRDefault="00F83902" w:rsidP="00201CDA">
            <w:pPr>
              <w:jc w:val="right"/>
              <w:rPr>
                <w:sz w:val="16"/>
                <w:szCs w:val="16"/>
              </w:rPr>
            </w:pPr>
            <w:r w:rsidRPr="006A4205">
              <w:rPr>
                <w:sz w:val="16"/>
                <w:szCs w:val="16"/>
              </w:rPr>
              <w:t>90%+</w:t>
            </w:r>
          </w:p>
        </w:tc>
      </w:tr>
      <w:tr w:rsidR="00F83902" w:rsidRPr="006A4205" w14:paraId="0BAD1BEC" w14:textId="77777777" w:rsidTr="00201CDA">
        <w:trPr>
          <w:trHeight w:val="300"/>
        </w:trPr>
        <w:tc>
          <w:tcPr>
            <w:tcW w:w="839" w:type="dxa"/>
          </w:tcPr>
          <w:p w14:paraId="759F3312" w14:textId="77777777" w:rsidR="00F83902" w:rsidRPr="006A4205" w:rsidRDefault="00F83902" w:rsidP="00201CDA">
            <w:pPr>
              <w:jc w:val="center"/>
              <w:rPr>
                <w:b/>
                <w:bCs/>
                <w:sz w:val="16"/>
                <w:szCs w:val="16"/>
              </w:rPr>
            </w:pPr>
            <w:r w:rsidRPr="006A4205">
              <w:rPr>
                <w:b/>
                <w:bCs/>
                <w:sz w:val="16"/>
                <w:szCs w:val="16"/>
              </w:rPr>
              <w:t>CCG5</w:t>
            </w:r>
          </w:p>
        </w:tc>
        <w:tc>
          <w:tcPr>
            <w:tcW w:w="704" w:type="dxa"/>
          </w:tcPr>
          <w:p w14:paraId="77771E51" w14:textId="77777777" w:rsidR="00F83902" w:rsidRPr="006A4205" w:rsidRDefault="00F83902" w:rsidP="00201CDA">
            <w:pPr>
              <w:jc w:val="right"/>
              <w:rPr>
                <w:sz w:val="16"/>
                <w:szCs w:val="16"/>
              </w:rPr>
            </w:pPr>
            <w:r w:rsidRPr="006A4205">
              <w:rPr>
                <w:sz w:val="16"/>
                <w:szCs w:val="16"/>
              </w:rPr>
              <w:t>33.7</w:t>
            </w:r>
          </w:p>
        </w:tc>
        <w:tc>
          <w:tcPr>
            <w:tcW w:w="583" w:type="dxa"/>
          </w:tcPr>
          <w:p w14:paraId="2FD2EF1B" w14:textId="77777777" w:rsidR="00F83902" w:rsidRPr="006A4205" w:rsidRDefault="00F83902" w:rsidP="00201CDA">
            <w:pPr>
              <w:jc w:val="right"/>
              <w:rPr>
                <w:sz w:val="16"/>
                <w:szCs w:val="16"/>
              </w:rPr>
            </w:pPr>
            <w:r w:rsidRPr="006A4205">
              <w:rPr>
                <w:sz w:val="16"/>
                <w:szCs w:val="16"/>
              </w:rPr>
              <w:t>29.7</w:t>
            </w:r>
          </w:p>
        </w:tc>
        <w:tc>
          <w:tcPr>
            <w:tcW w:w="759" w:type="dxa"/>
          </w:tcPr>
          <w:p w14:paraId="4A2BA504" w14:textId="77777777" w:rsidR="00F83902" w:rsidRPr="006A4205" w:rsidRDefault="00F83902" w:rsidP="00201CDA">
            <w:pPr>
              <w:jc w:val="right"/>
              <w:rPr>
                <w:sz w:val="16"/>
                <w:szCs w:val="16"/>
              </w:rPr>
            </w:pPr>
            <w:r w:rsidRPr="006A4205">
              <w:rPr>
                <w:sz w:val="16"/>
                <w:szCs w:val="16"/>
              </w:rPr>
              <w:t>38.0</w:t>
            </w:r>
          </w:p>
        </w:tc>
        <w:tc>
          <w:tcPr>
            <w:tcW w:w="608" w:type="dxa"/>
          </w:tcPr>
          <w:p w14:paraId="07666BDD" w14:textId="77777777" w:rsidR="00F83902" w:rsidRPr="006A4205" w:rsidRDefault="00F83902" w:rsidP="00201CDA">
            <w:pPr>
              <w:jc w:val="right"/>
              <w:rPr>
                <w:sz w:val="16"/>
                <w:szCs w:val="16"/>
              </w:rPr>
            </w:pPr>
            <w:r w:rsidRPr="006A4205">
              <w:rPr>
                <w:sz w:val="16"/>
                <w:szCs w:val="16"/>
              </w:rPr>
              <w:t>507</w:t>
            </w:r>
          </w:p>
        </w:tc>
        <w:tc>
          <w:tcPr>
            <w:tcW w:w="572" w:type="dxa"/>
          </w:tcPr>
          <w:p w14:paraId="7F44B5DA" w14:textId="77777777" w:rsidR="00F83902" w:rsidRPr="006A4205" w:rsidRDefault="00F83902" w:rsidP="00201CDA">
            <w:pPr>
              <w:jc w:val="right"/>
              <w:rPr>
                <w:sz w:val="16"/>
                <w:szCs w:val="16"/>
              </w:rPr>
            </w:pPr>
            <w:r w:rsidRPr="006A4205">
              <w:rPr>
                <w:sz w:val="16"/>
                <w:szCs w:val="16"/>
              </w:rPr>
              <w:t>171</w:t>
            </w:r>
          </w:p>
        </w:tc>
        <w:tc>
          <w:tcPr>
            <w:tcW w:w="857" w:type="dxa"/>
          </w:tcPr>
          <w:p w14:paraId="0A0171B9" w14:textId="77777777" w:rsidR="00F83902" w:rsidRPr="006A4205" w:rsidRDefault="00F83902" w:rsidP="00201CDA">
            <w:pPr>
              <w:jc w:val="right"/>
              <w:rPr>
                <w:sz w:val="16"/>
                <w:szCs w:val="16"/>
              </w:rPr>
            </w:pPr>
            <w:r w:rsidRPr="006A4205">
              <w:rPr>
                <w:sz w:val="16"/>
                <w:szCs w:val="16"/>
              </w:rPr>
              <w:t>531</w:t>
            </w:r>
          </w:p>
        </w:tc>
        <w:tc>
          <w:tcPr>
            <w:tcW w:w="857" w:type="dxa"/>
          </w:tcPr>
          <w:p w14:paraId="74746DB1" w14:textId="77777777" w:rsidR="00F83902" w:rsidRPr="006A4205" w:rsidRDefault="00F83902" w:rsidP="00201CDA">
            <w:pPr>
              <w:jc w:val="right"/>
              <w:rPr>
                <w:sz w:val="16"/>
                <w:szCs w:val="16"/>
              </w:rPr>
            </w:pPr>
            <w:r w:rsidRPr="006A4205">
              <w:rPr>
                <w:sz w:val="16"/>
                <w:szCs w:val="16"/>
              </w:rPr>
              <w:t>540</w:t>
            </w:r>
          </w:p>
        </w:tc>
        <w:tc>
          <w:tcPr>
            <w:tcW w:w="1301" w:type="dxa"/>
          </w:tcPr>
          <w:p w14:paraId="31A114F0" w14:textId="77777777" w:rsidR="00F83902" w:rsidRPr="006A4205" w:rsidRDefault="00F83902" w:rsidP="00201CDA">
            <w:pPr>
              <w:jc w:val="right"/>
              <w:rPr>
                <w:sz w:val="16"/>
                <w:szCs w:val="16"/>
              </w:rPr>
            </w:pPr>
            <w:r w:rsidRPr="006A4205">
              <w:rPr>
                <w:sz w:val="16"/>
                <w:szCs w:val="16"/>
              </w:rPr>
              <w:t>90%+</w:t>
            </w:r>
          </w:p>
        </w:tc>
      </w:tr>
      <w:tr w:rsidR="00F83902" w:rsidRPr="006A4205" w14:paraId="12743B04" w14:textId="77777777" w:rsidTr="00201CDA">
        <w:trPr>
          <w:trHeight w:val="300"/>
        </w:trPr>
        <w:tc>
          <w:tcPr>
            <w:tcW w:w="839" w:type="dxa"/>
          </w:tcPr>
          <w:p w14:paraId="0B14F352" w14:textId="77777777" w:rsidR="00F83902" w:rsidRPr="006A4205" w:rsidRDefault="00F83902" w:rsidP="00201CDA">
            <w:pPr>
              <w:jc w:val="center"/>
              <w:rPr>
                <w:b/>
                <w:bCs/>
                <w:sz w:val="16"/>
                <w:szCs w:val="16"/>
              </w:rPr>
            </w:pPr>
            <w:r w:rsidRPr="006A4205">
              <w:rPr>
                <w:b/>
                <w:bCs/>
                <w:sz w:val="16"/>
                <w:szCs w:val="16"/>
              </w:rPr>
              <w:t>CCG6</w:t>
            </w:r>
          </w:p>
        </w:tc>
        <w:tc>
          <w:tcPr>
            <w:tcW w:w="704" w:type="dxa"/>
          </w:tcPr>
          <w:p w14:paraId="3DC74850" w14:textId="77777777" w:rsidR="00F83902" w:rsidRPr="006A4205" w:rsidRDefault="00F83902" w:rsidP="00201CDA">
            <w:pPr>
              <w:jc w:val="right"/>
              <w:rPr>
                <w:sz w:val="16"/>
                <w:szCs w:val="16"/>
              </w:rPr>
            </w:pPr>
            <w:r w:rsidRPr="006A4205">
              <w:rPr>
                <w:sz w:val="16"/>
                <w:szCs w:val="16"/>
              </w:rPr>
              <w:t>34.2</w:t>
            </w:r>
          </w:p>
        </w:tc>
        <w:tc>
          <w:tcPr>
            <w:tcW w:w="583" w:type="dxa"/>
          </w:tcPr>
          <w:p w14:paraId="212DEF65" w14:textId="77777777" w:rsidR="00F83902" w:rsidRPr="006A4205" w:rsidRDefault="00F83902" w:rsidP="00201CDA">
            <w:pPr>
              <w:jc w:val="right"/>
              <w:rPr>
                <w:sz w:val="16"/>
                <w:szCs w:val="16"/>
              </w:rPr>
            </w:pPr>
            <w:r w:rsidRPr="006A4205">
              <w:rPr>
                <w:sz w:val="16"/>
                <w:szCs w:val="16"/>
              </w:rPr>
              <w:t>29.6</w:t>
            </w:r>
          </w:p>
        </w:tc>
        <w:tc>
          <w:tcPr>
            <w:tcW w:w="759" w:type="dxa"/>
          </w:tcPr>
          <w:p w14:paraId="7A45B05B" w14:textId="77777777" w:rsidR="00F83902" w:rsidRPr="006A4205" w:rsidRDefault="00F83902" w:rsidP="00201CDA">
            <w:pPr>
              <w:jc w:val="right"/>
              <w:rPr>
                <w:sz w:val="16"/>
                <w:szCs w:val="16"/>
              </w:rPr>
            </w:pPr>
            <w:r w:rsidRPr="006A4205">
              <w:rPr>
                <w:sz w:val="16"/>
                <w:szCs w:val="16"/>
              </w:rPr>
              <w:t>39.1</w:t>
            </w:r>
          </w:p>
        </w:tc>
        <w:tc>
          <w:tcPr>
            <w:tcW w:w="608" w:type="dxa"/>
          </w:tcPr>
          <w:p w14:paraId="5E8B9BE0" w14:textId="77777777" w:rsidR="00F83902" w:rsidRPr="006A4205" w:rsidRDefault="00F83902" w:rsidP="00201CDA">
            <w:pPr>
              <w:jc w:val="right"/>
              <w:rPr>
                <w:sz w:val="16"/>
                <w:szCs w:val="16"/>
              </w:rPr>
            </w:pPr>
            <w:r w:rsidRPr="006A4205">
              <w:rPr>
                <w:sz w:val="16"/>
                <w:szCs w:val="16"/>
              </w:rPr>
              <w:t>386</w:t>
            </w:r>
          </w:p>
        </w:tc>
        <w:tc>
          <w:tcPr>
            <w:tcW w:w="572" w:type="dxa"/>
          </w:tcPr>
          <w:p w14:paraId="2CE7D44A" w14:textId="77777777" w:rsidR="00F83902" w:rsidRPr="006A4205" w:rsidRDefault="00F83902" w:rsidP="00201CDA">
            <w:pPr>
              <w:jc w:val="right"/>
              <w:rPr>
                <w:sz w:val="16"/>
                <w:szCs w:val="16"/>
              </w:rPr>
            </w:pPr>
            <w:r w:rsidRPr="006A4205">
              <w:rPr>
                <w:sz w:val="16"/>
                <w:szCs w:val="16"/>
              </w:rPr>
              <w:t>132</w:t>
            </w:r>
          </w:p>
        </w:tc>
        <w:tc>
          <w:tcPr>
            <w:tcW w:w="857" w:type="dxa"/>
          </w:tcPr>
          <w:p w14:paraId="54C7F4A5" w14:textId="77777777" w:rsidR="00F83902" w:rsidRPr="006A4205" w:rsidRDefault="00F83902" w:rsidP="00201CDA">
            <w:pPr>
              <w:jc w:val="right"/>
              <w:rPr>
                <w:sz w:val="16"/>
                <w:szCs w:val="16"/>
              </w:rPr>
            </w:pPr>
            <w:r w:rsidRPr="006A4205">
              <w:rPr>
                <w:sz w:val="16"/>
                <w:szCs w:val="16"/>
              </w:rPr>
              <w:t>392</w:t>
            </w:r>
          </w:p>
        </w:tc>
        <w:tc>
          <w:tcPr>
            <w:tcW w:w="857" w:type="dxa"/>
          </w:tcPr>
          <w:p w14:paraId="16014F03" w14:textId="77777777" w:rsidR="00F83902" w:rsidRPr="006A4205" w:rsidRDefault="00F83902" w:rsidP="00201CDA">
            <w:pPr>
              <w:jc w:val="right"/>
              <w:rPr>
                <w:sz w:val="16"/>
                <w:szCs w:val="16"/>
              </w:rPr>
            </w:pPr>
            <w:r w:rsidRPr="006A4205">
              <w:rPr>
                <w:sz w:val="16"/>
                <w:szCs w:val="16"/>
              </w:rPr>
              <w:t>368</w:t>
            </w:r>
          </w:p>
        </w:tc>
        <w:tc>
          <w:tcPr>
            <w:tcW w:w="1301" w:type="dxa"/>
          </w:tcPr>
          <w:p w14:paraId="4B40DD3D" w14:textId="77777777" w:rsidR="00F83902" w:rsidRPr="006A4205" w:rsidRDefault="00F83902" w:rsidP="00201CDA">
            <w:pPr>
              <w:jc w:val="right"/>
              <w:rPr>
                <w:sz w:val="16"/>
                <w:szCs w:val="16"/>
              </w:rPr>
            </w:pPr>
            <w:r w:rsidRPr="006A4205">
              <w:rPr>
                <w:sz w:val="16"/>
                <w:szCs w:val="16"/>
              </w:rPr>
              <w:t>90%+</w:t>
            </w:r>
          </w:p>
        </w:tc>
      </w:tr>
      <w:tr w:rsidR="00F83902" w:rsidRPr="006A4205" w14:paraId="3E080BC3" w14:textId="77777777" w:rsidTr="00201CDA">
        <w:trPr>
          <w:trHeight w:val="300"/>
        </w:trPr>
        <w:tc>
          <w:tcPr>
            <w:tcW w:w="839" w:type="dxa"/>
          </w:tcPr>
          <w:p w14:paraId="1008B15E" w14:textId="77777777" w:rsidR="00F83902" w:rsidRPr="006A4205" w:rsidRDefault="00F83902" w:rsidP="00201CDA">
            <w:pPr>
              <w:jc w:val="center"/>
              <w:rPr>
                <w:b/>
                <w:bCs/>
                <w:sz w:val="16"/>
                <w:szCs w:val="16"/>
              </w:rPr>
            </w:pPr>
            <w:r w:rsidRPr="006A4205">
              <w:rPr>
                <w:b/>
                <w:bCs/>
                <w:sz w:val="16"/>
                <w:szCs w:val="16"/>
              </w:rPr>
              <w:t>CCG7</w:t>
            </w:r>
          </w:p>
        </w:tc>
        <w:tc>
          <w:tcPr>
            <w:tcW w:w="704" w:type="dxa"/>
          </w:tcPr>
          <w:p w14:paraId="38891D5E" w14:textId="77777777" w:rsidR="00F83902" w:rsidRPr="006A4205" w:rsidRDefault="00F83902" w:rsidP="00201CDA">
            <w:pPr>
              <w:jc w:val="right"/>
              <w:rPr>
                <w:sz w:val="16"/>
                <w:szCs w:val="16"/>
              </w:rPr>
            </w:pPr>
            <w:r w:rsidRPr="006A4205">
              <w:rPr>
                <w:sz w:val="16"/>
                <w:szCs w:val="16"/>
              </w:rPr>
              <w:t>34.3</w:t>
            </w:r>
          </w:p>
        </w:tc>
        <w:tc>
          <w:tcPr>
            <w:tcW w:w="583" w:type="dxa"/>
          </w:tcPr>
          <w:p w14:paraId="7F387E27" w14:textId="77777777" w:rsidR="00F83902" w:rsidRPr="006A4205" w:rsidRDefault="00F83902" w:rsidP="00201CDA">
            <w:pPr>
              <w:jc w:val="right"/>
              <w:rPr>
                <w:sz w:val="16"/>
                <w:szCs w:val="16"/>
              </w:rPr>
            </w:pPr>
            <w:r w:rsidRPr="006A4205">
              <w:rPr>
                <w:sz w:val="16"/>
                <w:szCs w:val="16"/>
              </w:rPr>
              <w:t>28.6</w:t>
            </w:r>
          </w:p>
        </w:tc>
        <w:tc>
          <w:tcPr>
            <w:tcW w:w="759" w:type="dxa"/>
          </w:tcPr>
          <w:p w14:paraId="354CAAA9" w14:textId="77777777" w:rsidR="00F83902" w:rsidRPr="006A4205" w:rsidRDefault="00F83902" w:rsidP="00201CDA">
            <w:pPr>
              <w:jc w:val="right"/>
              <w:rPr>
                <w:sz w:val="16"/>
                <w:szCs w:val="16"/>
              </w:rPr>
            </w:pPr>
            <w:r w:rsidRPr="006A4205">
              <w:rPr>
                <w:sz w:val="16"/>
                <w:szCs w:val="16"/>
              </w:rPr>
              <w:t>40.6</w:t>
            </w:r>
          </w:p>
        </w:tc>
        <w:tc>
          <w:tcPr>
            <w:tcW w:w="608" w:type="dxa"/>
          </w:tcPr>
          <w:p w14:paraId="593BDF0C" w14:textId="77777777" w:rsidR="00F83902" w:rsidRPr="006A4205" w:rsidRDefault="00F83902" w:rsidP="00201CDA">
            <w:pPr>
              <w:jc w:val="right"/>
              <w:rPr>
                <w:sz w:val="16"/>
                <w:szCs w:val="16"/>
              </w:rPr>
            </w:pPr>
            <w:r w:rsidRPr="006A4205">
              <w:rPr>
                <w:sz w:val="16"/>
                <w:szCs w:val="16"/>
              </w:rPr>
              <w:t>236</w:t>
            </w:r>
          </w:p>
        </w:tc>
        <w:tc>
          <w:tcPr>
            <w:tcW w:w="572" w:type="dxa"/>
          </w:tcPr>
          <w:p w14:paraId="68E8BE67" w14:textId="77777777" w:rsidR="00F83902" w:rsidRPr="006A4205" w:rsidRDefault="00F83902" w:rsidP="00201CDA">
            <w:pPr>
              <w:jc w:val="right"/>
              <w:rPr>
                <w:sz w:val="16"/>
                <w:szCs w:val="16"/>
              </w:rPr>
            </w:pPr>
            <w:r w:rsidRPr="006A4205">
              <w:rPr>
                <w:sz w:val="16"/>
                <w:szCs w:val="16"/>
              </w:rPr>
              <w:t>81</w:t>
            </w:r>
          </w:p>
        </w:tc>
        <w:tc>
          <w:tcPr>
            <w:tcW w:w="857" w:type="dxa"/>
          </w:tcPr>
          <w:p w14:paraId="43DD569A" w14:textId="77777777" w:rsidR="00F83902" w:rsidRPr="006A4205" w:rsidRDefault="00F83902" w:rsidP="00201CDA">
            <w:pPr>
              <w:jc w:val="right"/>
              <w:rPr>
                <w:sz w:val="16"/>
                <w:szCs w:val="16"/>
              </w:rPr>
            </w:pPr>
            <w:r w:rsidRPr="006A4205">
              <w:rPr>
                <w:sz w:val="16"/>
                <w:szCs w:val="16"/>
              </w:rPr>
              <w:t>244</w:t>
            </w:r>
          </w:p>
        </w:tc>
        <w:tc>
          <w:tcPr>
            <w:tcW w:w="857" w:type="dxa"/>
          </w:tcPr>
          <w:p w14:paraId="1D501BFA" w14:textId="77777777" w:rsidR="00F83902" w:rsidRPr="006A4205" w:rsidRDefault="00F83902" w:rsidP="00201CDA">
            <w:pPr>
              <w:jc w:val="right"/>
              <w:rPr>
                <w:sz w:val="16"/>
                <w:szCs w:val="16"/>
              </w:rPr>
            </w:pPr>
            <w:r w:rsidRPr="006A4205">
              <w:rPr>
                <w:sz w:val="16"/>
                <w:szCs w:val="16"/>
              </w:rPr>
              <w:t>269</w:t>
            </w:r>
          </w:p>
        </w:tc>
        <w:tc>
          <w:tcPr>
            <w:tcW w:w="1301" w:type="dxa"/>
          </w:tcPr>
          <w:p w14:paraId="254E0AFB" w14:textId="77777777" w:rsidR="00F83902" w:rsidRPr="006A4205" w:rsidRDefault="00F83902" w:rsidP="00201CDA">
            <w:pPr>
              <w:jc w:val="right"/>
              <w:rPr>
                <w:sz w:val="16"/>
                <w:szCs w:val="16"/>
              </w:rPr>
            </w:pPr>
            <w:r w:rsidRPr="006A4205">
              <w:rPr>
                <w:sz w:val="16"/>
                <w:szCs w:val="16"/>
              </w:rPr>
              <w:t>90%+</w:t>
            </w:r>
          </w:p>
        </w:tc>
      </w:tr>
      <w:tr w:rsidR="00F83902" w:rsidRPr="006A4205" w14:paraId="2D653D42" w14:textId="77777777" w:rsidTr="00201CDA">
        <w:trPr>
          <w:trHeight w:val="300"/>
        </w:trPr>
        <w:tc>
          <w:tcPr>
            <w:tcW w:w="839" w:type="dxa"/>
          </w:tcPr>
          <w:p w14:paraId="55B803BE" w14:textId="77777777" w:rsidR="00F83902" w:rsidRPr="006A4205" w:rsidRDefault="00F83902" w:rsidP="00201CDA">
            <w:pPr>
              <w:jc w:val="center"/>
              <w:rPr>
                <w:b/>
                <w:bCs/>
                <w:sz w:val="16"/>
                <w:szCs w:val="16"/>
              </w:rPr>
            </w:pPr>
            <w:r w:rsidRPr="006A4205">
              <w:rPr>
                <w:b/>
                <w:bCs/>
                <w:sz w:val="16"/>
                <w:szCs w:val="16"/>
              </w:rPr>
              <w:t>CCG8</w:t>
            </w:r>
          </w:p>
        </w:tc>
        <w:tc>
          <w:tcPr>
            <w:tcW w:w="704" w:type="dxa"/>
          </w:tcPr>
          <w:p w14:paraId="0F7469F1" w14:textId="77777777" w:rsidR="00F83902" w:rsidRPr="006A4205" w:rsidRDefault="00F83902" w:rsidP="00201CDA">
            <w:pPr>
              <w:jc w:val="right"/>
              <w:rPr>
                <w:sz w:val="16"/>
                <w:szCs w:val="16"/>
              </w:rPr>
            </w:pPr>
            <w:r w:rsidRPr="006A4205">
              <w:rPr>
                <w:sz w:val="16"/>
                <w:szCs w:val="16"/>
              </w:rPr>
              <w:t>35.1</w:t>
            </w:r>
          </w:p>
        </w:tc>
        <w:tc>
          <w:tcPr>
            <w:tcW w:w="583" w:type="dxa"/>
          </w:tcPr>
          <w:p w14:paraId="0010F4D5" w14:textId="77777777" w:rsidR="00F83902" w:rsidRPr="006A4205" w:rsidRDefault="00F83902" w:rsidP="00201CDA">
            <w:pPr>
              <w:jc w:val="right"/>
              <w:rPr>
                <w:sz w:val="16"/>
                <w:szCs w:val="16"/>
              </w:rPr>
            </w:pPr>
            <w:r w:rsidRPr="006A4205">
              <w:rPr>
                <w:sz w:val="16"/>
                <w:szCs w:val="16"/>
              </w:rPr>
              <w:t>30.2</w:t>
            </w:r>
          </w:p>
        </w:tc>
        <w:tc>
          <w:tcPr>
            <w:tcW w:w="759" w:type="dxa"/>
          </w:tcPr>
          <w:p w14:paraId="258D3E49" w14:textId="77777777" w:rsidR="00F83902" w:rsidRPr="006A4205" w:rsidRDefault="00F83902" w:rsidP="00201CDA">
            <w:pPr>
              <w:jc w:val="right"/>
              <w:rPr>
                <w:sz w:val="16"/>
                <w:szCs w:val="16"/>
              </w:rPr>
            </w:pPr>
            <w:r w:rsidRPr="006A4205">
              <w:rPr>
                <w:sz w:val="16"/>
                <w:szCs w:val="16"/>
              </w:rPr>
              <w:t>40.4</w:t>
            </w:r>
          </w:p>
        </w:tc>
        <w:tc>
          <w:tcPr>
            <w:tcW w:w="608" w:type="dxa"/>
          </w:tcPr>
          <w:p w14:paraId="369B451F" w14:textId="77777777" w:rsidR="00F83902" w:rsidRPr="006A4205" w:rsidRDefault="00F83902" w:rsidP="00201CDA">
            <w:pPr>
              <w:jc w:val="right"/>
              <w:rPr>
                <w:sz w:val="16"/>
                <w:szCs w:val="16"/>
              </w:rPr>
            </w:pPr>
            <w:r w:rsidRPr="006A4205">
              <w:rPr>
                <w:sz w:val="16"/>
                <w:szCs w:val="16"/>
              </w:rPr>
              <w:t>336</w:t>
            </w:r>
          </w:p>
        </w:tc>
        <w:tc>
          <w:tcPr>
            <w:tcW w:w="572" w:type="dxa"/>
          </w:tcPr>
          <w:p w14:paraId="7DB78C20" w14:textId="77777777" w:rsidR="00F83902" w:rsidRPr="006A4205" w:rsidRDefault="00F83902" w:rsidP="00201CDA">
            <w:pPr>
              <w:jc w:val="right"/>
              <w:rPr>
                <w:sz w:val="16"/>
                <w:szCs w:val="16"/>
              </w:rPr>
            </w:pPr>
            <w:r w:rsidRPr="006A4205">
              <w:rPr>
                <w:sz w:val="16"/>
                <w:szCs w:val="16"/>
              </w:rPr>
              <w:t>118</w:t>
            </w:r>
          </w:p>
        </w:tc>
        <w:tc>
          <w:tcPr>
            <w:tcW w:w="857" w:type="dxa"/>
          </w:tcPr>
          <w:p w14:paraId="0587ADFA" w14:textId="77777777" w:rsidR="00F83902" w:rsidRPr="006A4205" w:rsidRDefault="00F83902" w:rsidP="00201CDA">
            <w:pPr>
              <w:jc w:val="right"/>
              <w:rPr>
                <w:sz w:val="16"/>
                <w:szCs w:val="16"/>
              </w:rPr>
            </w:pPr>
            <w:r w:rsidRPr="006A4205">
              <w:rPr>
                <w:sz w:val="16"/>
                <w:szCs w:val="16"/>
              </w:rPr>
              <w:t>347</w:t>
            </w:r>
          </w:p>
        </w:tc>
        <w:tc>
          <w:tcPr>
            <w:tcW w:w="857" w:type="dxa"/>
          </w:tcPr>
          <w:p w14:paraId="4129F728" w14:textId="77777777" w:rsidR="00F83902" w:rsidRPr="006A4205" w:rsidRDefault="00F83902" w:rsidP="00201CDA">
            <w:pPr>
              <w:jc w:val="right"/>
              <w:rPr>
                <w:sz w:val="16"/>
                <w:szCs w:val="16"/>
              </w:rPr>
            </w:pPr>
            <w:r w:rsidRPr="006A4205">
              <w:rPr>
                <w:sz w:val="16"/>
                <w:szCs w:val="16"/>
              </w:rPr>
              <w:t>390</w:t>
            </w:r>
          </w:p>
        </w:tc>
        <w:tc>
          <w:tcPr>
            <w:tcW w:w="1301" w:type="dxa"/>
          </w:tcPr>
          <w:p w14:paraId="01FBA13C" w14:textId="77777777" w:rsidR="00F83902" w:rsidRPr="006A4205" w:rsidRDefault="00F83902" w:rsidP="00201CDA">
            <w:pPr>
              <w:jc w:val="right"/>
              <w:rPr>
                <w:sz w:val="16"/>
                <w:szCs w:val="16"/>
              </w:rPr>
            </w:pPr>
            <w:r w:rsidRPr="006A4205">
              <w:rPr>
                <w:sz w:val="16"/>
                <w:szCs w:val="16"/>
              </w:rPr>
              <w:t>80-89%</w:t>
            </w:r>
          </w:p>
        </w:tc>
      </w:tr>
      <w:tr w:rsidR="00F83902" w:rsidRPr="006A4205" w14:paraId="6124D4B5" w14:textId="77777777" w:rsidTr="00201CDA">
        <w:trPr>
          <w:trHeight w:val="300"/>
        </w:trPr>
        <w:tc>
          <w:tcPr>
            <w:tcW w:w="839" w:type="dxa"/>
          </w:tcPr>
          <w:p w14:paraId="1FEBEB3E" w14:textId="77777777" w:rsidR="00F83902" w:rsidRPr="006A4205" w:rsidRDefault="00F83902" w:rsidP="00201CDA">
            <w:pPr>
              <w:jc w:val="center"/>
              <w:rPr>
                <w:b/>
                <w:bCs/>
                <w:sz w:val="16"/>
                <w:szCs w:val="16"/>
              </w:rPr>
            </w:pPr>
            <w:r w:rsidRPr="006A4205">
              <w:rPr>
                <w:b/>
                <w:bCs/>
                <w:sz w:val="16"/>
                <w:szCs w:val="16"/>
              </w:rPr>
              <w:t>CCG9</w:t>
            </w:r>
          </w:p>
        </w:tc>
        <w:tc>
          <w:tcPr>
            <w:tcW w:w="704" w:type="dxa"/>
          </w:tcPr>
          <w:p w14:paraId="38AC60F9" w14:textId="77777777" w:rsidR="00F83902" w:rsidRPr="006A4205" w:rsidRDefault="00F83902" w:rsidP="00201CDA">
            <w:pPr>
              <w:jc w:val="right"/>
              <w:rPr>
                <w:sz w:val="16"/>
                <w:szCs w:val="16"/>
              </w:rPr>
            </w:pPr>
            <w:r w:rsidRPr="006A4205">
              <w:rPr>
                <w:sz w:val="16"/>
                <w:szCs w:val="16"/>
              </w:rPr>
              <w:t>35.7</w:t>
            </w:r>
          </w:p>
        </w:tc>
        <w:tc>
          <w:tcPr>
            <w:tcW w:w="583" w:type="dxa"/>
          </w:tcPr>
          <w:p w14:paraId="4810F3D1" w14:textId="77777777" w:rsidR="00F83902" w:rsidRPr="006A4205" w:rsidRDefault="00F83902" w:rsidP="00201CDA">
            <w:pPr>
              <w:jc w:val="right"/>
              <w:rPr>
                <w:sz w:val="16"/>
                <w:szCs w:val="16"/>
              </w:rPr>
            </w:pPr>
            <w:r w:rsidRPr="006A4205">
              <w:rPr>
                <w:sz w:val="16"/>
                <w:szCs w:val="16"/>
              </w:rPr>
              <w:t>28.9</w:t>
            </w:r>
          </w:p>
        </w:tc>
        <w:tc>
          <w:tcPr>
            <w:tcW w:w="759" w:type="dxa"/>
          </w:tcPr>
          <w:p w14:paraId="4D667E14" w14:textId="77777777" w:rsidR="00F83902" w:rsidRPr="006A4205" w:rsidRDefault="00F83902" w:rsidP="00201CDA">
            <w:pPr>
              <w:jc w:val="right"/>
              <w:rPr>
                <w:sz w:val="16"/>
                <w:szCs w:val="16"/>
              </w:rPr>
            </w:pPr>
            <w:r w:rsidRPr="006A4205">
              <w:rPr>
                <w:sz w:val="16"/>
                <w:szCs w:val="16"/>
              </w:rPr>
              <w:t>43.1</w:t>
            </w:r>
          </w:p>
        </w:tc>
        <w:tc>
          <w:tcPr>
            <w:tcW w:w="608" w:type="dxa"/>
          </w:tcPr>
          <w:p w14:paraId="6FFFA758" w14:textId="77777777" w:rsidR="00F83902" w:rsidRPr="006A4205" w:rsidRDefault="00F83902" w:rsidP="00201CDA">
            <w:pPr>
              <w:jc w:val="right"/>
              <w:rPr>
                <w:sz w:val="16"/>
                <w:szCs w:val="16"/>
              </w:rPr>
            </w:pPr>
            <w:r w:rsidRPr="006A4205">
              <w:rPr>
                <w:sz w:val="16"/>
                <w:szCs w:val="16"/>
              </w:rPr>
              <w:t>171</w:t>
            </w:r>
          </w:p>
        </w:tc>
        <w:tc>
          <w:tcPr>
            <w:tcW w:w="572" w:type="dxa"/>
          </w:tcPr>
          <w:p w14:paraId="3DC3D241" w14:textId="77777777" w:rsidR="00F83902" w:rsidRPr="006A4205" w:rsidRDefault="00F83902" w:rsidP="00201CDA">
            <w:pPr>
              <w:jc w:val="right"/>
              <w:rPr>
                <w:sz w:val="16"/>
                <w:szCs w:val="16"/>
              </w:rPr>
            </w:pPr>
            <w:r w:rsidRPr="006A4205">
              <w:rPr>
                <w:sz w:val="16"/>
                <w:szCs w:val="16"/>
              </w:rPr>
              <w:t>61</w:t>
            </w:r>
          </w:p>
        </w:tc>
        <w:tc>
          <w:tcPr>
            <w:tcW w:w="857" w:type="dxa"/>
          </w:tcPr>
          <w:p w14:paraId="1C65E80C" w14:textId="77777777" w:rsidR="00F83902" w:rsidRPr="006A4205" w:rsidRDefault="00F83902" w:rsidP="00201CDA">
            <w:pPr>
              <w:jc w:val="right"/>
              <w:rPr>
                <w:sz w:val="16"/>
                <w:szCs w:val="16"/>
              </w:rPr>
            </w:pPr>
            <w:r w:rsidRPr="006A4205">
              <w:rPr>
                <w:sz w:val="16"/>
                <w:szCs w:val="16"/>
              </w:rPr>
              <w:t>173</w:t>
            </w:r>
          </w:p>
        </w:tc>
        <w:tc>
          <w:tcPr>
            <w:tcW w:w="857" w:type="dxa"/>
          </w:tcPr>
          <w:p w14:paraId="0C83E56F" w14:textId="77777777" w:rsidR="00F83902" w:rsidRPr="006A4205" w:rsidRDefault="00F83902" w:rsidP="00201CDA">
            <w:pPr>
              <w:jc w:val="right"/>
              <w:rPr>
                <w:sz w:val="16"/>
                <w:szCs w:val="16"/>
              </w:rPr>
            </w:pPr>
            <w:r w:rsidRPr="006A4205">
              <w:rPr>
                <w:sz w:val="16"/>
                <w:szCs w:val="16"/>
              </w:rPr>
              <w:t>205</w:t>
            </w:r>
          </w:p>
        </w:tc>
        <w:tc>
          <w:tcPr>
            <w:tcW w:w="1301" w:type="dxa"/>
          </w:tcPr>
          <w:p w14:paraId="3B059B55" w14:textId="77777777" w:rsidR="00F83902" w:rsidRPr="006A4205" w:rsidRDefault="00F83902" w:rsidP="00201CDA">
            <w:pPr>
              <w:jc w:val="right"/>
              <w:rPr>
                <w:sz w:val="16"/>
                <w:szCs w:val="16"/>
              </w:rPr>
            </w:pPr>
            <w:r w:rsidRPr="006A4205">
              <w:rPr>
                <w:sz w:val="16"/>
                <w:szCs w:val="16"/>
              </w:rPr>
              <w:t>80-89%</w:t>
            </w:r>
          </w:p>
        </w:tc>
      </w:tr>
      <w:tr w:rsidR="00F83902" w:rsidRPr="006A4205" w14:paraId="53D488AC" w14:textId="77777777" w:rsidTr="00201CDA">
        <w:trPr>
          <w:trHeight w:val="300"/>
        </w:trPr>
        <w:tc>
          <w:tcPr>
            <w:tcW w:w="839" w:type="dxa"/>
          </w:tcPr>
          <w:p w14:paraId="5D0112DF" w14:textId="77777777" w:rsidR="00F83902" w:rsidRPr="006A4205" w:rsidRDefault="00F83902" w:rsidP="00201CDA">
            <w:pPr>
              <w:jc w:val="center"/>
              <w:rPr>
                <w:b/>
                <w:bCs/>
                <w:sz w:val="16"/>
                <w:szCs w:val="16"/>
              </w:rPr>
            </w:pPr>
            <w:r w:rsidRPr="006A4205">
              <w:rPr>
                <w:b/>
                <w:bCs/>
                <w:sz w:val="16"/>
                <w:szCs w:val="16"/>
              </w:rPr>
              <w:t>CCG10</w:t>
            </w:r>
          </w:p>
        </w:tc>
        <w:tc>
          <w:tcPr>
            <w:tcW w:w="704" w:type="dxa"/>
          </w:tcPr>
          <w:p w14:paraId="0D3DDD2A" w14:textId="77777777" w:rsidR="00F83902" w:rsidRPr="006A4205" w:rsidRDefault="00F83902" w:rsidP="00201CDA">
            <w:pPr>
              <w:jc w:val="right"/>
              <w:rPr>
                <w:sz w:val="16"/>
                <w:szCs w:val="16"/>
              </w:rPr>
            </w:pPr>
            <w:r w:rsidRPr="006A4205">
              <w:rPr>
                <w:sz w:val="16"/>
                <w:szCs w:val="16"/>
              </w:rPr>
              <w:t>36.7</w:t>
            </w:r>
          </w:p>
        </w:tc>
        <w:tc>
          <w:tcPr>
            <w:tcW w:w="583" w:type="dxa"/>
          </w:tcPr>
          <w:p w14:paraId="195A5A2B" w14:textId="77777777" w:rsidR="00F83902" w:rsidRPr="006A4205" w:rsidRDefault="00F83902" w:rsidP="00201CDA">
            <w:pPr>
              <w:jc w:val="right"/>
              <w:rPr>
                <w:sz w:val="16"/>
                <w:szCs w:val="16"/>
              </w:rPr>
            </w:pPr>
            <w:r w:rsidRPr="006A4205">
              <w:rPr>
                <w:sz w:val="16"/>
                <w:szCs w:val="16"/>
              </w:rPr>
              <w:t>32.2</w:t>
            </w:r>
          </w:p>
        </w:tc>
        <w:tc>
          <w:tcPr>
            <w:tcW w:w="759" w:type="dxa"/>
          </w:tcPr>
          <w:p w14:paraId="3A41E928" w14:textId="77777777" w:rsidR="00F83902" w:rsidRPr="006A4205" w:rsidRDefault="00F83902" w:rsidP="00201CDA">
            <w:pPr>
              <w:jc w:val="right"/>
              <w:rPr>
                <w:sz w:val="16"/>
                <w:szCs w:val="16"/>
              </w:rPr>
            </w:pPr>
            <w:r w:rsidRPr="006A4205">
              <w:rPr>
                <w:sz w:val="16"/>
                <w:szCs w:val="16"/>
              </w:rPr>
              <w:t>41.5</w:t>
            </w:r>
          </w:p>
        </w:tc>
        <w:tc>
          <w:tcPr>
            <w:tcW w:w="608" w:type="dxa"/>
          </w:tcPr>
          <w:p w14:paraId="0D9A6C97" w14:textId="77777777" w:rsidR="00F83902" w:rsidRPr="006A4205" w:rsidRDefault="00F83902" w:rsidP="00201CDA">
            <w:pPr>
              <w:jc w:val="right"/>
              <w:rPr>
                <w:sz w:val="16"/>
                <w:szCs w:val="16"/>
              </w:rPr>
            </w:pPr>
            <w:r w:rsidRPr="006A4205">
              <w:rPr>
                <w:sz w:val="16"/>
                <w:szCs w:val="16"/>
              </w:rPr>
              <w:t>414</w:t>
            </w:r>
          </w:p>
        </w:tc>
        <w:tc>
          <w:tcPr>
            <w:tcW w:w="572" w:type="dxa"/>
          </w:tcPr>
          <w:p w14:paraId="78449426" w14:textId="77777777" w:rsidR="00F83902" w:rsidRPr="006A4205" w:rsidRDefault="00F83902" w:rsidP="00201CDA">
            <w:pPr>
              <w:jc w:val="right"/>
              <w:rPr>
                <w:sz w:val="16"/>
                <w:szCs w:val="16"/>
              </w:rPr>
            </w:pPr>
            <w:r w:rsidRPr="006A4205">
              <w:rPr>
                <w:sz w:val="16"/>
                <w:szCs w:val="16"/>
              </w:rPr>
              <w:t>152</w:t>
            </w:r>
          </w:p>
        </w:tc>
        <w:tc>
          <w:tcPr>
            <w:tcW w:w="857" w:type="dxa"/>
          </w:tcPr>
          <w:p w14:paraId="79F477F4" w14:textId="77777777" w:rsidR="00F83902" w:rsidRPr="006A4205" w:rsidRDefault="00F83902" w:rsidP="00201CDA">
            <w:pPr>
              <w:jc w:val="right"/>
              <w:rPr>
                <w:sz w:val="16"/>
                <w:szCs w:val="16"/>
              </w:rPr>
            </w:pPr>
            <w:r w:rsidRPr="006A4205">
              <w:rPr>
                <w:sz w:val="16"/>
                <w:szCs w:val="16"/>
              </w:rPr>
              <w:t>416</w:t>
            </w:r>
          </w:p>
        </w:tc>
        <w:tc>
          <w:tcPr>
            <w:tcW w:w="857" w:type="dxa"/>
          </w:tcPr>
          <w:p w14:paraId="32AAB91D" w14:textId="77777777" w:rsidR="00F83902" w:rsidRPr="006A4205" w:rsidRDefault="00F83902" w:rsidP="00201CDA">
            <w:pPr>
              <w:jc w:val="right"/>
              <w:rPr>
                <w:sz w:val="16"/>
                <w:szCs w:val="16"/>
              </w:rPr>
            </w:pPr>
            <w:r w:rsidRPr="006A4205">
              <w:rPr>
                <w:sz w:val="16"/>
                <w:szCs w:val="16"/>
              </w:rPr>
              <w:t>371</w:t>
            </w:r>
          </w:p>
        </w:tc>
        <w:tc>
          <w:tcPr>
            <w:tcW w:w="1301" w:type="dxa"/>
          </w:tcPr>
          <w:p w14:paraId="5A8C4F8C" w14:textId="77777777" w:rsidR="00F83902" w:rsidRPr="006A4205" w:rsidRDefault="00F83902" w:rsidP="00201CDA">
            <w:pPr>
              <w:jc w:val="right"/>
              <w:rPr>
                <w:sz w:val="16"/>
                <w:szCs w:val="16"/>
              </w:rPr>
            </w:pPr>
            <w:r w:rsidRPr="006A4205">
              <w:rPr>
                <w:sz w:val="16"/>
                <w:szCs w:val="16"/>
              </w:rPr>
              <w:t>90%+</w:t>
            </w:r>
          </w:p>
        </w:tc>
      </w:tr>
      <w:tr w:rsidR="00F83902" w:rsidRPr="006A4205" w14:paraId="55AA2423" w14:textId="77777777" w:rsidTr="00201CDA">
        <w:trPr>
          <w:trHeight w:val="300"/>
        </w:trPr>
        <w:tc>
          <w:tcPr>
            <w:tcW w:w="839" w:type="dxa"/>
            <w:noWrap/>
            <w:hideMark/>
          </w:tcPr>
          <w:p w14:paraId="1B8C0E05" w14:textId="77777777" w:rsidR="00F83902" w:rsidRPr="006A4205" w:rsidRDefault="00F83902" w:rsidP="00201CDA">
            <w:pPr>
              <w:jc w:val="center"/>
              <w:rPr>
                <w:sz w:val="16"/>
                <w:szCs w:val="16"/>
              </w:rPr>
            </w:pPr>
          </w:p>
        </w:tc>
        <w:tc>
          <w:tcPr>
            <w:tcW w:w="704" w:type="dxa"/>
            <w:noWrap/>
            <w:hideMark/>
          </w:tcPr>
          <w:p w14:paraId="67029FFE" w14:textId="77777777" w:rsidR="00F83902" w:rsidRPr="006A4205" w:rsidRDefault="00F83902" w:rsidP="00201CDA">
            <w:pPr>
              <w:jc w:val="center"/>
              <w:rPr>
                <w:sz w:val="16"/>
                <w:szCs w:val="16"/>
              </w:rPr>
            </w:pPr>
          </w:p>
        </w:tc>
        <w:tc>
          <w:tcPr>
            <w:tcW w:w="583" w:type="dxa"/>
            <w:noWrap/>
            <w:hideMark/>
          </w:tcPr>
          <w:p w14:paraId="6AC0CCBB" w14:textId="77777777" w:rsidR="00F83902" w:rsidRPr="006A4205" w:rsidRDefault="00F83902" w:rsidP="00201CDA">
            <w:pPr>
              <w:jc w:val="center"/>
              <w:rPr>
                <w:sz w:val="16"/>
                <w:szCs w:val="16"/>
              </w:rPr>
            </w:pPr>
          </w:p>
        </w:tc>
        <w:tc>
          <w:tcPr>
            <w:tcW w:w="759" w:type="dxa"/>
            <w:noWrap/>
            <w:hideMark/>
          </w:tcPr>
          <w:p w14:paraId="017B0CA3" w14:textId="77777777" w:rsidR="00F83902" w:rsidRPr="006A4205" w:rsidRDefault="00F83902" w:rsidP="00201CDA">
            <w:pPr>
              <w:jc w:val="center"/>
              <w:rPr>
                <w:sz w:val="16"/>
                <w:szCs w:val="16"/>
              </w:rPr>
            </w:pPr>
          </w:p>
        </w:tc>
        <w:tc>
          <w:tcPr>
            <w:tcW w:w="608" w:type="dxa"/>
            <w:noWrap/>
            <w:hideMark/>
          </w:tcPr>
          <w:p w14:paraId="68A06F80" w14:textId="77777777" w:rsidR="00F83902" w:rsidRPr="006A4205" w:rsidRDefault="00F83902" w:rsidP="00201CDA">
            <w:pPr>
              <w:jc w:val="center"/>
              <w:rPr>
                <w:sz w:val="16"/>
                <w:szCs w:val="16"/>
              </w:rPr>
            </w:pPr>
          </w:p>
        </w:tc>
        <w:tc>
          <w:tcPr>
            <w:tcW w:w="572" w:type="dxa"/>
          </w:tcPr>
          <w:p w14:paraId="6DE27ABC" w14:textId="77777777" w:rsidR="00F83902" w:rsidRPr="006A4205" w:rsidRDefault="00F83902" w:rsidP="00201CDA">
            <w:pPr>
              <w:jc w:val="center"/>
              <w:rPr>
                <w:sz w:val="16"/>
                <w:szCs w:val="16"/>
              </w:rPr>
            </w:pPr>
          </w:p>
        </w:tc>
        <w:tc>
          <w:tcPr>
            <w:tcW w:w="857" w:type="dxa"/>
          </w:tcPr>
          <w:p w14:paraId="248B5F8E" w14:textId="77777777" w:rsidR="00F83902" w:rsidRPr="006A4205" w:rsidRDefault="00F83902" w:rsidP="00201CDA">
            <w:pPr>
              <w:jc w:val="center"/>
              <w:rPr>
                <w:sz w:val="16"/>
                <w:szCs w:val="16"/>
              </w:rPr>
            </w:pPr>
          </w:p>
        </w:tc>
        <w:tc>
          <w:tcPr>
            <w:tcW w:w="857" w:type="dxa"/>
          </w:tcPr>
          <w:p w14:paraId="11DD9BBD" w14:textId="77777777" w:rsidR="00F83902" w:rsidRPr="006A4205" w:rsidRDefault="00F83902" w:rsidP="00201CDA">
            <w:pPr>
              <w:jc w:val="center"/>
              <w:rPr>
                <w:sz w:val="16"/>
                <w:szCs w:val="16"/>
              </w:rPr>
            </w:pPr>
          </w:p>
        </w:tc>
        <w:tc>
          <w:tcPr>
            <w:tcW w:w="1301" w:type="dxa"/>
          </w:tcPr>
          <w:p w14:paraId="7DAC4A45" w14:textId="77777777" w:rsidR="00F83902" w:rsidRPr="006A4205" w:rsidRDefault="00F83902" w:rsidP="00201CDA">
            <w:pPr>
              <w:jc w:val="center"/>
              <w:rPr>
                <w:sz w:val="16"/>
                <w:szCs w:val="16"/>
              </w:rPr>
            </w:pPr>
          </w:p>
        </w:tc>
      </w:tr>
      <w:tr w:rsidR="00F83902" w:rsidRPr="006A4205" w14:paraId="5D1507E1" w14:textId="77777777" w:rsidTr="00201CDA">
        <w:trPr>
          <w:trHeight w:val="556"/>
        </w:trPr>
        <w:tc>
          <w:tcPr>
            <w:tcW w:w="839" w:type="dxa"/>
          </w:tcPr>
          <w:p w14:paraId="7B394248" w14:textId="77777777" w:rsidR="00F83902" w:rsidRPr="006A4205" w:rsidRDefault="00F83902" w:rsidP="00201CDA">
            <w:pPr>
              <w:jc w:val="center"/>
              <w:rPr>
                <w:b/>
                <w:bCs/>
                <w:sz w:val="16"/>
                <w:szCs w:val="16"/>
              </w:rPr>
            </w:pPr>
            <w:r w:rsidRPr="006A4205">
              <w:rPr>
                <w:b/>
                <w:bCs/>
                <w:sz w:val="16"/>
                <w:szCs w:val="16"/>
              </w:rPr>
              <w:t>CCG</w:t>
            </w:r>
          </w:p>
        </w:tc>
        <w:tc>
          <w:tcPr>
            <w:tcW w:w="704" w:type="dxa"/>
          </w:tcPr>
          <w:p w14:paraId="5EB0AFC0" w14:textId="77777777" w:rsidR="00F83902" w:rsidRPr="006A4205" w:rsidRDefault="00F83902" w:rsidP="00201CDA">
            <w:pPr>
              <w:jc w:val="center"/>
              <w:rPr>
                <w:b/>
                <w:bCs/>
                <w:sz w:val="16"/>
                <w:szCs w:val="16"/>
              </w:rPr>
            </w:pPr>
            <w:r w:rsidRPr="006A4205">
              <w:rPr>
                <w:b/>
                <w:bCs/>
                <w:sz w:val="16"/>
                <w:szCs w:val="16"/>
              </w:rPr>
              <w:t>%</w:t>
            </w:r>
          </w:p>
        </w:tc>
        <w:tc>
          <w:tcPr>
            <w:tcW w:w="583" w:type="dxa"/>
          </w:tcPr>
          <w:p w14:paraId="3B5352A9" w14:textId="77777777" w:rsidR="00F83902" w:rsidRPr="006A4205" w:rsidRDefault="00F83902" w:rsidP="00201CDA">
            <w:pPr>
              <w:jc w:val="center"/>
              <w:rPr>
                <w:b/>
                <w:bCs/>
                <w:sz w:val="16"/>
                <w:szCs w:val="16"/>
              </w:rPr>
            </w:pPr>
            <w:r w:rsidRPr="006A4205">
              <w:rPr>
                <w:b/>
                <w:bCs/>
                <w:sz w:val="16"/>
                <w:szCs w:val="16"/>
              </w:rPr>
              <w:t>LCI</w:t>
            </w:r>
          </w:p>
        </w:tc>
        <w:tc>
          <w:tcPr>
            <w:tcW w:w="759" w:type="dxa"/>
          </w:tcPr>
          <w:p w14:paraId="0696E52E" w14:textId="77777777" w:rsidR="00F83902" w:rsidRPr="006A4205" w:rsidRDefault="00F83902" w:rsidP="00201CDA">
            <w:pPr>
              <w:jc w:val="center"/>
              <w:rPr>
                <w:b/>
                <w:bCs/>
                <w:sz w:val="16"/>
                <w:szCs w:val="16"/>
              </w:rPr>
            </w:pPr>
            <w:r w:rsidRPr="006A4205">
              <w:rPr>
                <w:b/>
                <w:bCs/>
                <w:sz w:val="16"/>
                <w:szCs w:val="16"/>
              </w:rPr>
              <w:t>UCI</w:t>
            </w:r>
          </w:p>
        </w:tc>
        <w:tc>
          <w:tcPr>
            <w:tcW w:w="608" w:type="dxa"/>
          </w:tcPr>
          <w:p w14:paraId="65E2C9A2" w14:textId="77777777" w:rsidR="00F83902" w:rsidRPr="006A4205" w:rsidRDefault="00F83902" w:rsidP="00201CDA">
            <w:pPr>
              <w:jc w:val="center"/>
              <w:rPr>
                <w:b/>
                <w:bCs/>
                <w:sz w:val="16"/>
                <w:szCs w:val="16"/>
              </w:rPr>
            </w:pPr>
            <w:r w:rsidRPr="006A4205">
              <w:rPr>
                <w:b/>
                <w:bCs/>
                <w:sz w:val="16"/>
                <w:szCs w:val="16"/>
              </w:rPr>
              <w:t>Den</w:t>
            </w:r>
          </w:p>
        </w:tc>
        <w:tc>
          <w:tcPr>
            <w:tcW w:w="572" w:type="dxa"/>
          </w:tcPr>
          <w:p w14:paraId="485E4755" w14:textId="77777777" w:rsidR="00F83902" w:rsidRPr="006A4205" w:rsidRDefault="00F83902" w:rsidP="00201CDA">
            <w:pPr>
              <w:jc w:val="center"/>
              <w:rPr>
                <w:b/>
                <w:bCs/>
                <w:sz w:val="16"/>
                <w:szCs w:val="16"/>
              </w:rPr>
            </w:pPr>
            <w:proofErr w:type="spellStart"/>
            <w:r w:rsidRPr="006A4205">
              <w:rPr>
                <w:b/>
                <w:bCs/>
                <w:sz w:val="16"/>
                <w:szCs w:val="16"/>
              </w:rPr>
              <w:t>Num</w:t>
            </w:r>
            <w:proofErr w:type="spellEnd"/>
          </w:p>
        </w:tc>
        <w:tc>
          <w:tcPr>
            <w:tcW w:w="857" w:type="dxa"/>
          </w:tcPr>
          <w:p w14:paraId="63E36EE7" w14:textId="77777777" w:rsidR="00F83902" w:rsidRPr="006A4205" w:rsidRDefault="00F83902" w:rsidP="00201CDA">
            <w:pPr>
              <w:jc w:val="center"/>
              <w:rPr>
                <w:b/>
                <w:bCs/>
                <w:sz w:val="16"/>
                <w:szCs w:val="16"/>
              </w:rPr>
            </w:pPr>
            <w:r w:rsidRPr="006A4205">
              <w:rPr>
                <w:b/>
                <w:bCs/>
                <w:sz w:val="16"/>
                <w:szCs w:val="16"/>
              </w:rPr>
              <w:t>Records in SSNAP</w:t>
            </w:r>
          </w:p>
        </w:tc>
        <w:tc>
          <w:tcPr>
            <w:tcW w:w="857" w:type="dxa"/>
          </w:tcPr>
          <w:p w14:paraId="27228AC2" w14:textId="77777777" w:rsidR="00F83902" w:rsidRPr="006A4205" w:rsidRDefault="00F83902" w:rsidP="00201CDA">
            <w:pPr>
              <w:jc w:val="center"/>
              <w:rPr>
                <w:b/>
                <w:bCs/>
                <w:sz w:val="16"/>
                <w:szCs w:val="16"/>
              </w:rPr>
            </w:pPr>
            <w:r w:rsidRPr="006A4205">
              <w:rPr>
                <w:b/>
                <w:bCs/>
                <w:sz w:val="16"/>
                <w:szCs w:val="16"/>
              </w:rPr>
              <w:t>Records in HES</w:t>
            </w:r>
          </w:p>
        </w:tc>
        <w:tc>
          <w:tcPr>
            <w:tcW w:w="1301" w:type="dxa"/>
          </w:tcPr>
          <w:p w14:paraId="7331EB19" w14:textId="77777777" w:rsidR="00F83902" w:rsidRPr="006A4205" w:rsidRDefault="00F83902" w:rsidP="00201CDA">
            <w:pPr>
              <w:jc w:val="center"/>
              <w:rPr>
                <w:b/>
                <w:bCs/>
                <w:sz w:val="16"/>
                <w:szCs w:val="16"/>
              </w:rPr>
            </w:pPr>
            <w:r w:rsidRPr="006A4205">
              <w:rPr>
                <w:b/>
                <w:bCs/>
                <w:sz w:val="16"/>
                <w:szCs w:val="16"/>
              </w:rPr>
              <w:t>Case ascertainment</w:t>
            </w:r>
          </w:p>
        </w:tc>
      </w:tr>
      <w:tr w:rsidR="00F83902" w:rsidRPr="006A4205" w14:paraId="776B0CF0" w14:textId="77777777" w:rsidTr="00201CDA">
        <w:trPr>
          <w:trHeight w:val="300"/>
        </w:trPr>
        <w:tc>
          <w:tcPr>
            <w:tcW w:w="839" w:type="dxa"/>
          </w:tcPr>
          <w:p w14:paraId="0ADC2EDD" w14:textId="77777777" w:rsidR="00F83902" w:rsidRPr="006A4205" w:rsidRDefault="00F83902" w:rsidP="00201CDA">
            <w:pPr>
              <w:jc w:val="center"/>
              <w:rPr>
                <w:b/>
                <w:bCs/>
                <w:sz w:val="16"/>
                <w:szCs w:val="16"/>
              </w:rPr>
            </w:pPr>
            <w:r w:rsidRPr="006A4205">
              <w:rPr>
                <w:b/>
                <w:bCs/>
                <w:sz w:val="16"/>
                <w:szCs w:val="16"/>
              </w:rPr>
              <w:t>CCG197</w:t>
            </w:r>
          </w:p>
        </w:tc>
        <w:tc>
          <w:tcPr>
            <w:tcW w:w="704" w:type="dxa"/>
          </w:tcPr>
          <w:p w14:paraId="3BFE8BE2" w14:textId="77777777" w:rsidR="00F83902" w:rsidRPr="006A4205" w:rsidRDefault="00F83902" w:rsidP="00201CDA">
            <w:pPr>
              <w:jc w:val="right"/>
              <w:rPr>
                <w:sz w:val="16"/>
                <w:szCs w:val="16"/>
              </w:rPr>
            </w:pPr>
            <w:r w:rsidRPr="006A4205">
              <w:rPr>
                <w:sz w:val="16"/>
                <w:szCs w:val="16"/>
              </w:rPr>
              <w:t>79.3</w:t>
            </w:r>
          </w:p>
        </w:tc>
        <w:tc>
          <w:tcPr>
            <w:tcW w:w="583" w:type="dxa"/>
          </w:tcPr>
          <w:p w14:paraId="2F492E66" w14:textId="77777777" w:rsidR="00F83902" w:rsidRPr="006A4205" w:rsidRDefault="00F83902" w:rsidP="00201CDA">
            <w:pPr>
              <w:jc w:val="right"/>
              <w:rPr>
                <w:sz w:val="16"/>
                <w:szCs w:val="16"/>
              </w:rPr>
            </w:pPr>
            <w:r w:rsidRPr="006A4205">
              <w:rPr>
                <w:sz w:val="16"/>
                <w:szCs w:val="16"/>
              </w:rPr>
              <w:t>73.8</w:t>
            </w:r>
          </w:p>
        </w:tc>
        <w:tc>
          <w:tcPr>
            <w:tcW w:w="759" w:type="dxa"/>
          </w:tcPr>
          <w:p w14:paraId="2585DBF8" w14:textId="77777777" w:rsidR="00F83902" w:rsidRPr="006A4205" w:rsidRDefault="00F83902" w:rsidP="00201CDA">
            <w:pPr>
              <w:jc w:val="right"/>
              <w:rPr>
                <w:sz w:val="16"/>
                <w:szCs w:val="16"/>
              </w:rPr>
            </w:pPr>
            <w:r w:rsidRPr="006A4205">
              <w:rPr>
                <w:sz w:val="16"/>
                <w:szCs w:val="16"/>
              </w:rPr>
              <w:t>84.0</w:t>
            </w:r>
          </w:p>
        </w:tc>
        <w:tc>
          <w:tcPr>
            <w:tcW w:w="608" w:type="dxa"/>
          </w:tcPr>
          <w:p w14:paraId="1B547590" w14:textId="77777777" w:rsidR="00F83902" w:rsidRPr="006A4205" w:rsidRDefault="00F83902" w:rsidP="00201CDA">
            <w:pPr>
              <w:jc w:val="right"/>
              <w:rPr>
                <w:sz w:val="16"/>
                <w:szCs w:val="16"/>
              </w:rPr>
            </w:pPr>
            <w:r w:rsidRPr="006A4205">
              <w:rPr>
                <w:sz w:val="16"/>
                <w:szCs w:val="16"/>
              </w:rPr>
              <w:t>242</w:t>
            </w:r>
          </w:p>
        </w:tc>
        <w:tc>
          <w:tcPr>
            <w:tcW w:w="572" w:type="dxa"/>
          </w:tcPr>
          <w:p w14:paraId="122EDF32" w14:textId="77777777" w:rsidR="00F83902" w:rsidRPr="006A4205" w:rsidRDefault="00F83902" w:rsidP="00201CDA">
            <w:pPr>
              <w:jc w:val="right"/>
              <w:rPr>
                <w:sz w:val="16"/>
                <w:szCs w:val="16"/>
              </w:rPr>
            </w:pPr>
            <w:r w:rsidRPr="006A4205">
              <w:rPr>
                <w:sz w:val="16"/>
                <w:szCs w:val="16"/>
              </w:rPr>
              <w:t>192</w:t>
            </w:r>
          </w:p>
        </w:tc>
        <w:tc>
          <w:tcPr>
            <w:tcW w:w="857" w:type="dxa"/>
          </w:tcPr>
          <w:p w14:paraId="2B353863" w14:textId="77777777" w:rsidR="00F83902" w:rsidRPr="006A4205" w:rsidRDefault="00F83902" w:rsidP="00201CDA">
            <w:pPr>
              <w:jc w:val="right"/>
              <w:rPr>
                <w:sz w:val="16"/>
                <w:szCs w:val="16"/>
              </w:rPr>
            </w:pPr>
            <w:r w:rsidRPr="006A4205">
              <w:rPr>
                <w:sz w:val="16"/>
                <w:szCs w:val="16"/>
              </w:rPr>
              <w:t>245</w:t>
            </w:r>
          </w:p>
        </w:tc>
        <w:tc>
          <w:tcPr>
            <w:tcW w:w="857" w:type="dxa"/>
          </w:tcPr>
          <w:p w14:paraId="33C102C9" w14:textId="77777777" w:rsidR="00F83902" w:rsidRPr="006A4205" w:rsidRDefault="00F83902" w:rsidP="00201CDA">
            <w:pPr>
              <w:jc w:val="right"/>
              <w:rPr>
                <w:sz w:val="16"/>
                <w:szCs w:val="16"/>
              </w:rPr>
            </w:pPr>
            <w:r w:rsidRPr="006A4205">
              <w:rPr>
                <w:sz w:val="16"/>
                <w:szCs w:val="16"/>
              </w:rPr>
              <w:t>347</w:t>
            </w:r>
          </w:p>
        </w:tc>
        <w:tc>
          <w:tcPr>
            <w:tcW w:w="1301" w:type="dxa"/>
          </w:tcPr>
          <w:p w14:paraId="0E94A42D" w14:textId="77777777" w:rsidR="00F83902" w:rsidRPr="006A4205" w:rsidRDefault="00F83902" w:rsidP="00201CDA">
            <w:pPr>
              <w:jc w:val="right"/>
              <w:rPr>
                <w:sz w:val="16"/>
                <w:szCs w:val="16"/>
              </w:rPr>
            </w:pPr>
            <w:r w:rsidRPr="006A4205">
              <w:rPr>
                <w:sz w:val="16"/>
                <w:szCs w:val="16"/>
              </w:rPr>
              <w:t>70-79%</w:t>
            </w:r>
          </w:p>
        </w:tc>
      </w:tr>
      <w:tr w:rsidR="00F83902" w:rsidRPr="006A4205" w14:paraId="6D50E3B3" w14:textId="77777777" w:rsidTr="00201CDA">
        <w:trPr>
          <w:trHeight w:val="300"/>
        </w:trPr>
        <w:tc>
          <w:tcPr>
            <w:tcW w:w="839" w:type="dxa"/>
          </w:tcPr>
          <w:p w14:paraId="60DC5509" w14:textId="77777777" w:rsidR="00F83902" w:rsidRPr="006A4205" w:rsidRDefault="00F83902" w:rsidP="00201CDA">
            <w:pPr>
              <w:jc w:val="center"/>
              <w:rPr>
                <w:b/>
                <w:bCs/>
                <w:sz w:val="16"/>
                <w:szCs w:val="16"/>
              </w:rPr>
            </w:pPr>
            <w:r w:rsidRPr="006A4205">
              <w:rPr>
                <w:b/>
                <w:bCs/>
                <w:sz w:val="16"/>
                <w:szCs w:val="16"/>
              </w:rPr>
              <w:t>CCG198</w:t>
            </w:r>
          </w:p>
        </w:tc>
        <w:tc>
          <w:tcPr>
            <w:tcW w:w="704" w:type="dxa"/>
          </w:tcPr>
          <w:p w14:paraId="7FB7323A" w14:textId="77777777" w:rsidR="00F83902" w:rsidRPr="006A4205" w:rsidRDefault="00F83902" w:rsidP="00201CDA">
            <w:pPr>
              <w:jc w:val="right"/>
              <w:rPr>
                <w:sz w:val="16"/>
                <w:szCs w:val="16"/>
              </w:rPr>
            </w:pPr>
            <w:r w:rsidRPr="006A4205">
              <w:rPr>
                <w:sz w:val="16"/>
                <w:szCs w:val="16"/>
              </w:rPr>
              <w:t>79.3</w:t>
            </w:r>
          </w:p>
        </w:tc>
        <w:tc>
          <w:tcPr>
            <w:tcW w:w="583" w:type="dxa"/>
          </w:tcPr>
          <w:p w14:paraId="320ED3DB" w14:textId="77777777" w:rsidR="00F83902" w:rsidRPr="006A4205" w:rsidRDefault="00F83902" w:rsidP="00201CDA">
            <w:pPr>
              <w:jc w:val="right"/>
              <w:rPr>
                <w:sz w:val="16"/>
                <w:szCs w:val="16"/>
              </w:rPr>
            </w:pPr>
            <w:r w:rsidRPr="006A4205">
              <w:rPr>
                <w:sz w:val="16"/>
                <w:szCs w:val="16"/>
              </w:rPr>
              <w:t>74.9</w:t>
            </w:r>
          </w:p>
        </w:tc>
        <w:tc>
          <w:tcPr>
            <w:tcW w:w="759" w:type="dxa"/>
          </w:tcPr>
          <w:p w14:paraId="7DE24AE7" w14:textId="77777777" w:rsidR="00F83902" w:rsidRPr="006A4205" w:rsidRDefault="00F83902" w:rsidP="00201CDA">
            <w:pPr>
              <w:jc w:val="right"/>
              <w:rPr>
                <w:sz w:val="16"/>
                <w:szCs w:val="16"/>
              </w:rPr>
            </w:pPr>
            <w:r w:rsidRPr="006A4205">
              <w:rPr>
                <w:sz w:val="16"/>
                <w:szCs w:val="16"/>
              </w:rPr>
              <w:t>83.1</w:t>
            </w:r>
          </w:p>
        </w:tc>
        <w:tc>
          <w:tcPr>
            <w:tcW w:w="608" w:type="dxa"/>
          </w:tcPr>
          <w:p w14:paraId="6D6071A8" w14:textId="77777777" w:rsidR="00F83902" w:rsidRPr="006A4205" w:rsidRDefault="00F83902" w:rsidP="00201CDA">
            <w:pPr>
              <w:jc w:val="right"/>
              <w:rPr>
                <w:sz w:val="16"/>
                <w:szCs w:val="16"/>
              </w:rPr>
            </w:pPr>
            <w:r w:rsidRPr="006A4205">
              <w:rPr>
                <w:sz w:val="16"/>
                <w:szCs w:val="16"/>
              </w:rPr>
              <w:t>367</w:t>
            </w:r>
          </w:p>
        </w:tc>
        <w:tc>
          <w:tcPr>
            <w:tcW w:w="572" w:type="dxa"/>
          </w:tcPr>
          <w:p w14:paraId="27F5300C" w14:textId="77777777" w:rsidR="00F83902" w:rsidRPr="006A4205" w:rsidRDefault="00F83902" w:rsidP="00201CDA">
            <w:pPr>
              <w:jc w:val="right"/>
              <w:rPr>
                <w:sz w:val="16"/>
                <w:szCs w:val="16"/>
              </w:rPr>
            </w:pPr>
            <w:r w:rsidRPr="006A4205">
              <w:rPr>
                <w:sz w:val="16"/>
                <w:szCs w:val="16"/>
              </w:rPr>
              <w:t>291</w:t>
            </w:r>
          </w:p>
        </w:tc>
        <w:tc>
          <w:tcPr>
            <w:tcW w:w="857" w:type="dxa"/>
          </w:tcPr>
          <w:p w14:paraId="0440F323" w14:textId="77777777" w:rsidR="00F83902" w:rsidRPr="006A4205" w:rsidRDefault="00F83902" w:rsidP="00201CDA">
            <w:pPr>
              <w:jc w:val="right"/>
              <w:rPr>
                <w:sz w:val="16"/>
                <w:szCs w:val="16"/>
              </w:rPr>
            </w:pPr>
            <w:r w:rsidRPr="006A4205">
              <w:rPr>
                <w:sz w:val="16"/>
                <w:szCs w:val="16"/>
              </w:rPr>
              <w:t>373</w:t>
            </w:r>
          </w:p>
        </w:tc>
        <w:tc>
          <w:tcPr>
            <w:tcW w:w="857" w:type="dxa"/>
          </w:tcPr>
          <w:p w14:paraId="4ABC30B9" w14:textId="77777777" w:rsidR="00F83902" w:rsidRPr="006A4205" w:rsidRDefault="00F83902" w:rsidP="00201CDA">
            <w:pPr>
              <w:jc w:val="right"/>
              <w:rPr>
                <w:sz w:val="16"/>
                <w:szCs w:val="16"/>
              </w:rPr>
            </w:pPr>
            <w:r w:rsidRPr="006A4205">
              <w:rPr>
                <w:sz w:val="16"/>
                <w:szCs w:val="16"/>
              </w:rPr>
              <w:t>389</w:t>
            </w:r>
          </w:p>
        </w:tc>
        <w:tc>
          <w:tcPr>
            <w:tcW w:w="1301" w:type="dxa"/>
          </w:tcPr>
          <w:p w14:paraId="30A60D16" w14:textId="77777777" w:rsidR="00F83902" w:rsidRPr="006A4205" w:rsidRDefault="00F83902" w:rsidP="00201CDA">
            <w:pPr>
              <w:jc w:val="right"/>
              <w:rPr>
                <w:sz w:val="16"/>
                <w:szCs w:val="16"/>
              </w:rPr>
            </w:pPr>
            <w:r w:rsidRPr="006A4205">
              <w:rPr>
                <w:sz w:val="16"/>
                <w:szCs w:val="16"/>
              </w:rPr>
              <w:t>90%+</w:t>
            </w:r>
          </w:p>
        </w:tc>
      </w:tr>
      <w:tr w:rsidR="00F83902" w:rsidRPr="006A4205" w14:paraId="14315E66" w14:textId="77777777" w:rsidTr="00201CDA">
        <w:trPr>
          <w:trHeight w:val="300"/>
        </w:trPr>
        <w:tc>
          <w:tcPr>
            <w:tcW w:w="839" w:type="dxa"/>
          </w:tcPr>
          <w:p w14:paraId="533C3AA5" w14:textId="77777777" w:rsidR="00F83902" w:rsidRPr="006A4205" w:rsidRDefault="00F83902" w:rsidP="00201CDA">
            <w:pPr>
              <w:jc w:val="center"/>
              <w:rPr>
                <w:b/>
                <w:bCs/>
                <w:sz w:val="16"/>
                <w:szCs w:val="16"/>
              </w:rPr>
            </w:pPr>
            <w:r w:rsidRPr="006A4205">
              <w:rPr>
                <w:b/>
                <w:bCs/>
                <w:sz w:val="16"/>
                <w:szCs w:val="16"/>
              </w:rPr>
              <w:t>CCG199</w:t>
            </w:r>
          </w:p>
        </w:tc>
        <w:tc>
          <w:tcPr>
            <w:tcW w:w="704" w:type="dxa"/>
          </w:tcPr>
          <w:p w14:paraId="48A2A614" w14:textId="77777777" w:rsidR="00F83902" w:rsidRPr="006A4205" w:rsidRDefault="00F83902" w:rsidP="00201CDA">
            <w:pPr>
              <w:jc w:val="right"/>
              <w:rPr>
                <w:sz w:val="16"/>
                <w:szCs w:val="16"/>
              </w:rPr>
            </w:pPr>
            <w:r w:rsidRPr="006A4205">
              <w:rPr>
                <w:sz w:val="16"/>
                <w:szCs w:val="16"/>
              </w:rPr>
              <w:t>80.0</w:t>
            </w:r>
          </w:p>
        </w:tc>
        <w:tc>
          <w:tcPr>
            <w:tcW w:w="583" w:type="dxa"/>
          </w:tcPr>
          <w:p w14:paraId="22CA3AD0" w14:textId="77777777" w:rsidR="00F83902" w:rsidRPr="006A4205" w:rsidRDefault="00F83902" w:rsidP="00201CDA">
            <w:pPr>
              <w:jc w:val="right"/>
              <w:rPr>
                <w:sz w:val="16"/>
                <w:szCs w:val="16"/>
              </w:rPr>
            </w:pPr>
            <w:r w:rsidRPr="006A4205">
              <w:rPr>
                <w:sz w:val="16"/>
                <w:szCs w:val="16"/>
              </w:rPr>
              <w:t>76.2</w:t>
            </w:r>
          </w:p>
        </w:tc>
        <w:tc>
          <w:tcPr>
            <w:tcW w:w="759" w:type="dxa"/>
          </w:tcPr>
          <w:p w14:paraId="433F0678" w14:textId="77777777" w:rsidR="00F83902" w:rsidRPr="006A4205" w:rsidRDefault="00F83902" w:rsidP="00201CDA">
            <w:pPr>
              <w:jc w:val="right"/>
              <w:rPr>
                <w:sz w:val="16"/>
                <w:szCs w:val="16"/>
              </w:rPr>
            </w:pPr>
            <w:r w:rsidRPr="006A4205">
              <w:rPr>
                <w:sz w:val="16"/>
                <w:szCs w:val="16"/>
              </w:rPr>
              <w:t>83.3</w:t>
            </w:r>
          </w:p>
        </w:tc>
        <w:tc>
          <w:tcPr>
            <w:tcW w:w="608" w:type="dxa"/>
          </w:tcPr>
          <w:p w14:paraId="63E7F951" w14:textId="77777777" w:rsidR="00F83902" w:rsidRPr="006A4205" w:rsidRDefault="00F83902" w:rsidP="00201CDA">
            <w:pPr>
              <w:jc w:val="right"/>
              <w:rPr>
                <w:sz w:val="16"/>
                <w:szCs w:val="16"/>
              </w:rPr>
            </w:pPr>
            <w:r w:rsidRPr="006A4205">
              <w:rPr>
                <w:sz w:val="16"/>
                <w:szCs w:val="16"/>
              </w:rPr>
              <w:t>485</w:t>
            </w:r>
          </w:p>
        </w:tc>
        <w:tc>
          <w:tcPr>
            <w:tcW w:w="572" w:type="dxa"/>
          </w:tcPr>
          <w:p w14:paraId="55547C74" w14:textId="77777777" w:rsidR="00F83902" w:rsidRPr="006A4205" w:rsidRDefault="00F83902" w:rsidP="00201CDA">
            <w:pPr>
              <w:jc w:val="right"/>
              <w:rPr>
                <w:sz w:val="16"/>
                <w:szCs w:val="16"/>
              </w:rPr>
            </w:pPr>
            <w:r w:rsidRPr="006A4205">
              <w:rPr>
                <w:sz w:val="16"/>
                <w:szCs w:val="16"/>
              </w:rPr>
              <w:t>388</w:t>
            </w:r>
          </w:p>
        </w:tc>
        <w:tc>
          <w:tcPr>
            <w:tcW w:w="857" w:type="dxa"/>
          </w:tcPr>
          <w:p w14:paraId="25375ACA" w14:textId="77777777" w:rsidR="00F83902" w:rsidRPr="006A4205" w:rsidRDefault="00F83902" w:rsidP="00201CDA">
            <w:pPr>
              <w:jc w:val="right"/>
              <w:rPr>
                <w:sz w:val="16"/>
                <w:szCs w:val="16"/>
              </w:rPr>
            </w:pPr>
            <w:r w:rsidRPr="006A4205">
              <w:rPr>
                <w:sz w:val="16"/>
                <w:szCs w:val="16"/>
              </w:rPr>
              <w:t>489</w:t>
            </w:r>
          </w:p>
        </w:tc>
        <w:tc>
          <w:tcPr>
            <w:tcW w:w="857" w:type="dxa"/>
          </w:tcPr>
          <w:p w14:paraId="57A2B965" w14:textId="77777777" w:rsidR="00F83902" w:rsidRPr="006A4205" w:rsidRDefault="00F83902" w:rsidP="00201CDA">
            <w:pPr>
              <w:jc w:val="right"/>
              <w:rPr>
                <w:sz w:val="16"/>
                <w:szCs w:val="16"/>
              </w:rPr>
            </w:pPr>
            <w:r w:rsidRPr="006A4205">
              <w:rPr>
                <w:sz w:val="16"/>
                <w:szCs w:val="16"/>
              </w:rPr>
              <w:t>556</w:t>
            </w:r>
          </w:p>
        </w:tc>
        <w:tc>
          <w:tcPr>
            <w:tcW w:w="1301" w:type="dxa"/>
          </w:tcPr>
          <w:p w14:paraId="18AF3282" w14:textId="77777777" w:rsidR="00F83902" w:rsidRPr="006A4205" w:rsidRDefault="00F83902" w:rsidP="00201CDA">
            <w:pPr>
              <w:jc w:val="right"/>
              <w:rPr>
                <w:sz w:val="16"/>
                <w:szCs w:val="16"/>
              </w:rPr>
            </w:pPr>
            <w:r w:rsidRPr="006A4205">
              <w:rPr>
                <w:sz w:val="16"/>
                <w:szCs w:val="16"/>
              </w:rPr>
              <w:t>80-89%</w:t>
            </w:r>
          </w:p>
        </w:tc>
      </w:tr>
      <w:tr w:rsidR="00F83902" w:rsidRPr="006A4205" w14:paraId="7631F521" w14:textId="77777777" w:rsidTr="00201CDA">
        <w:trPr>
          <w:trHeight w:val="300"/>
        </w:trPr>
        <w:tc>
          <w:tcPr>
            <w:tcW w:w="839" w:type="dxa"/>
          </w:tcPr>
          <w:p w14:paraId="44FF393C" w14:textId="77777777" w:rsidR="00F83902" w:rsidRPr="006A4205" w:rsidRDefault="00F83902" w:rsidP="00201CDA">
            <w:pPr>
              <w:jc w:val="center"/>
              <w:rPr>
                <w:b/>
                <w:bCs/>
                <w:sz w:val="16"/>
                <w:szCs w:val="16"/>
              </w:rPr>
            </w:pPr>
            <w:r w:rsidRPr="006A4205">
              <w:rPr>
                <w:b/>
                <w:bCs/>
                <w:sz w:val="16"/>
                <w:szCs w:val="16"/>
              </w:rPr>
              <w:t>CCG200</w:t>
            </w:r>
          </w:p>
        </w:tc>
        <w:tc>
          <w:tcPr>
            <w:tcW w:w="704" w:type="dxa"/>
          </w:tcPr>
          <w:p w14:paraId="0E4385E5" w14:textId="77777777" w:rsidR="00F83902" w:rsidRPr="006A4205" w:rsidRDefault="00F83902" w:rsidP="00201CDA">
            <w:pPr>
              <w:jc w:val="right"/>
              <w:rPr>
                <w:sz w:val="16"/>
                <w:szCs w:val="16"/>
              </w:rPr>
            </w:pPr>
            <w:r w:rsidRPr="006A4205">
              <w:rPr>
                <w:sz w:val="16"/>
                <w:szCs w:val="16"/>
              </w:rPr>
              <w:t>80.2</w:t>
            </w:r>
          </w:p>
        </w:tc>
        <w:tc>
          <w:tcPr>
            <w:tcW w:w="583" w:type="dxa"/>
          </w:tcPr>
          <w:p w14:paraId="4F746687" w14:textId="77777777" w:rsidR="00F83902" w:rsidRPr="006A4205" w:rsidRDefault="00F83902" w:rsidP="00201CDA">
            <w:pPr>
              <w:jc w:val="right"/>
              <w:rPr>
                <w:sz w:val="16"/>
                <w:szCs w:val="16"/>
              </w:rPr>
            </w:pPr>
            <w:r w:rsidRPr="006A4205">
              <w:rPr>
                <w:sz w:val="16"/>
                <w:szCs w:val="16"/>
              </w:rPr>
              <w:t>75.5</w:t>
            </w:r>
          </w:p>
        </w:tc>
        <w:tc>
          <w:tcPr>
            <w:tcW w:w="759" w:type="dxa"/>
          </w:tcPr>
          <w:p w14:paraId="3F8E15B2" w14:textId="77777777" w:rsidR="00F83902" w:rsidRPr="006A4205" w:rsidRDefault="00F83902" w:rsidP="00201CDA">
            <w:pPr>
              <w:jc w:val="right"/>
              <w:rPr>
                <w:sz w:val="16"/>
                <w:szCs w:val="16"/>
              </w:rPr>
            </w:pPr>
            <w:r w:rsidRPr="006A4205">
              <w:rPr>
                <w:sz w:val="16"/>
                <w:szCs w:val="16"/>
              </w:rPr>
              <w:t>84.1</w:t>
            </w:r>
          </w:p>
        </w:tc>
        <w:tc>
          <w:tcPr>
            <w:tcW w:w="608" w:type="dxa"/>
          </w:tcPr>
          <w:p w14:paraId="48E32089" w14:textId="77777777" w:rsidR="00F83902" w:rsidRPr="006A4205" w:rsidRDefault="00F83902" w:rsidP="00201CDA">
            <w:pPr>
              <w:jc w:val="right"/>
              <w:rPr>
                <w:sz w:val="16"/>
                <w:szCs w:val="16"/>
              </w:rPr>
            </w:pPr>
            <w:r w:rsidRPr="006A4205">
              <w:rPr>
                <w:sz w:val="16"/>
                <w:szCs w:val="16"/>
              </w:rPr>
              <w:t>328</w:t>
            </w:r>
          </w:p>
        </w:tc>
        <w:tc>
          <w:tcPr>
            <w:tcW w:w="572" w:type="dxa"/>
          </w:tcPr>
          <w:p w14:paraId="4C63FD90" w14:textId="77777777" w:rsidR="00F83902" w:rsidRPr="006A4205" w:rsidRDefault="00F83902" w:rsidP="00201CDA">
            <w:pPr>
              <w:jc w:val="right"/>
              <w:rPr>
                <w:sz w:val="16"/>
                <w:szCs w:val="16"/>
              </w:rPr>
            </w:pPr>
            <w:r w:rsidRPr="006A4205">
              <w:rPr>
                <w:sz w:val="16"/>
                <w:szCs w:val="16"/>
              </w:rPr>
              <w:t>263</w:t>
            </w:r>
          </w:p>
        </w:tc>
        <w:tc>
          <w:tcPr>
            <w:tcW w:w="857" w:type="dxa"/>
          </w:tcPr>
          <w:p w14:paraId="33035654" w14:textId="77777777" w:rsidR="00F83902" w:rsidRPr="006A4205" w:rsidRDefault="00F83902" w:rsidP="00201CDA">
            <w:pPr>
              <w:jc w:val="right"/>
              <w:rPr>
                <w:sz w:val="16"/>
                <w:szCs w:val="16"/>
              </w:rPr>
            </w:pPr>
            <w:r w:rsidRPr="006A4205">
              <w:rPr>
                <w:sz w:val="16"/>
                <w:szCs w:val="16"/>
              </w:rPr>
              <w:t>330</w:t>
            </w:r>
          </w:p>
        </w:tc>
        <w:tc>
          <w:tcPr>
            <w:tcW w:w="857" w:type="dxa"/>
          </w:tcPr>
          <w:p w14:paraId="2213A644" w14:textId="77777777" w:rsidR="00F83902" w:rsidRPr="006A4205" w:rsidRDefault="00F83902" w:rsidP="00201CDA">
            <w:pPr>
              <w:jc w:val="right"/>
              <w:rPr>
                <w:sz w:val="16"/>
                <w:szCs w:val="16"/>
              </w:rPr>
            </w:pPr>
            <w:r w:rsidRPr="006A4205">
              <w:rPr>
                <w:sz w:val="16"/>
                <w:szCs w:val="16"/>
              </w:rPr>
              <w:t>295</w:t>
            </w:r>
          </w:p>
        </w:tc>
        <w:tc>
          <w:tcPr>
            <w:tcW w:w="1301" w:type="dxa"/>
          </w:tcPr>
          <w:p w14:paraId="66DE38B2" w14:textId="77777777" w:rsidR="00F83902" w:rsidRPr="006A4205" w:rsidRDefault="00F83902" w:rsidP="00201CDA">
            <w:pPr>
              <w:jc w:val="right"/>
              <w:rPr>
                <w:sz w:val="16"/>
                <w:szCs w:val="16"/>
              </w:rPr>
            </w:pPr>
            <w:r w:rsidRPr="006A4205">
              <w:rPr>
                <w:sz w:val="16"/>
                <w:szCs w:val="16"/>
              </w:rPr>
              <w:t>90%+</w:t>
            </w:r>
          </w:p>
        </w:tc>
      </w:tr>
      <w:tr w:rsidR="00F83902" w:rsidRPr="006A4205" w14:paraId="1B533357" w14:textId="77777777" w:rsidTr="00201CDA">
        <w:trPr>
          <w:trHeight w:val="300"/>
        </w:trPr>
        <w:tc>
          <w:tcPr>
            <w:tcW w:w="839" w:type="dxa"/>
          </w:tcPr>
          <w:p w14:paraId="7595E57A" w14:textId="77777777" w:rsidR="00F83902" w:rsidRPr="006A4205" w:rsidRDefault="00F83902" w:rsidP="00201CDA">
            <w:pPr>
              <w:jc w:val="center"/>
              <w:rPr>
                <w:b/>
                <w:bCs/>
                <w:sz w:val="16"/>
                <w:szCs w:val="16"/>
              </w:rPr>
            </w:pPr>
            <w:r w:rsidRPr="006A4205">
              <w:rPr>
                <w:b/>
                <w:bCs/>
                <w:sz w:val="16"/>
                <w:szCs w:val="16"/>
              </w:rPr>
              <w:t>CCG201</w:t>
            </w:r>
          </w:p>
        </w:tc>
        <w:tc>
          <w:tcPr>
            <w:tcW w:w="704" w:type="dxa"/>
          </w:tcPr>
          <w:p w14:paraId="12916824" w14:textId="77777777" w:rsidR="00F83902" w:rsidRPr="006A4205" w:rsidRDefault="00F83902" w:rsidP="00201CDA">
            <w:pPr>
              <w:jc w:val="right"/>
              <w:rPr>
                <w:sz w:val="16"/>
                <w:szCs w:val="16"/>
              </w:rPr>
            </w:pPr>
            <w:r w:rsidRPr="006A4205">
              <w:rPr>
                <w:sz w:val="16"/>
                <w:szCs w:val="16"/>
              </w:rPr>
              <w:t>82.1</w:t>
            </w:r>
          </w:p>
        </w:tc>
        <w:tc>
          <w:tcPr>
            <w:tcW w:w="583" w:type="dxa"/>
          </w:tcPr>
          <w:p w14:paraId="6F54F96D" w14:textId="77777777" w:rsidR="00F83902" w:rsidRPr="006A4205" w:rsidRDefault="00F83902" w:rsidP="00201CDA">
            <w:pPr>
              <w:jc w:val="right"/>
              <w:rPr>
                <w:sz w:val="16"/>
                <w:szCs w:val="16"/>
              </w:rPr>
            </w:pPr>
            <w:r w:rsidRPr="006A4205">
              <w:rPr>
                <w:sz w:val="16"/>
                <w:szCs w:val="16"/>
              </w:rPr>
              <w:t>79.3</w:t>
            </w:r>
          </w:p>
        </w:tc>
        <w:tc>
          <w:tcPr>
            <w:tcW w:w="759" w:type="dxa"/>
          </w:tcPr>
          <w:p w14:paraId="29F1CE53" w14:textId="77777777" w:rsidR="00F83902" w:rsidRPr="006A4205" w:rsidRDefault="00F83902" w:rsidP="00201CDA">
            <w:pPr>
              <w:jc w:val="right"/>
              <w:rPr>
                <w:sz w:val="16"/>
                <w:szCs w:val="16"/>
              </w:rPr>
            </w:pPr>
            <w:r w:rsidRPr="006A4205">
              <w:rPr>
                <w:sz w:val="16"/>
                <w:szCs w:val="16"/>
              </w:rPr>
              <w:t>84.5</w:t>
            </w:r>
          </w:p>
        </w:tc>
        <w:tc>
          <w:tcPr>
            <w:tcW w:w="608" w:type="dxa"/>
          </w:tcPr>
          <w:p w14:paraId="3C850637" w14:textId="77777777" w:rsidR="00F83902" w:rsidRPr="006A4205" w:rsidRDefault="00F83902" w:rsidP="00201CDA">
            <w:pPr>
              <w:jc w:val="right"/>
              <w:rPr>
                <w:sz w:val="16"/>
                <w:szCs w:val="16"/>
              </w:rPr>
            </w:pPr>
            <w:r w:rsidRPr="006A4205">
              <w:rPr>
                <w:sz w:val="16"/>
                <w:szCs w:val="16"/>
              </w:rPr>
              <w:t>847</w:t>
            </w:r>
          </w:p>
        </w:tc>
        <w:tc>
          <w:tcPr>
            <w:tcW w:w="572" w:type="dxa"/>
          </w:tcPr>
          <w:p w14:paraId="564C516F" w14:textId="77777777" w:rsidR="00F83902" w:rsidRPr="006A4205" w:rsidRDefault="00F83902" w:rsidP="00201CDA">
            <w:pPr>
              <w:jc w:val="right"/>
              <w:rPr>
                <w:sz w:val="16"/>
                <w:szCs w:val="16"/>
              </w:rPr>
            </w:pPr>
            <w:r w:rsidRPr="006A4205">
              <w:rPr>
                <w:sz w:val="16"/>
                <w:szCs w:val="16"/>
              </w:rPr>
              <w:t>695</w:t>
            </w:r>
          </w:p>
        </w:tc>
        <w:tc>
          <w:tcPr>
            <w:tcW w:w="857" w:type="dxa"/>
          </w:tcPr>
          <w:p w14:paraId="48DCE6EA" w14:textId="77777777" w:rsidR="00F83902" w:rsidRPr="006A4205" w:rsidRDefault="00F83902" w:rsidP="00201CDA">
            <w:pPr>
              <w:jc w:val="right"/>
              <w:rPr>
                <w:sz w:val="16"/>
                <w:szCs w:val="16"/>
              </w:rPr>
            </w:pPr>
            <w:r w:rsidRPr="006A4205">
              <w:rPr>
                <w:sz w:val="16"/>
                <w:szCs w:val="16"/>
              </w:rPr>
              <w:t>853</w:t>
            </w:r>
          </w:p>
        </w:tc>
        <w:tc>
          <w:tcPr>
            <w:tcW w:w="857" w:type="dxa"/>
          </w:tcPr>
          <w:p w14:paraId="5D9385CF" w14:textId="77777777" w:rsidR="00F83902" w:rsidRPr="006A4205" w:rsidRDefault="00F83902" w:rsidP="00201CDA">
            <w:pPr>
              <w:jc w:val="right"/>
              <w:rPr>
                <w:sz w:val="16"/>
                <w:szCs w:val="16"/>
              </w:rPr>
            </w:pPr>
            <w:r w:rsidRPr="006A4205">
              <w:rPr>
                <w:sz w:val="16"/>
                <w:szCs w:val="16"/>
              </w:rPr>
              <w:t>872</w:t>
            </w:r>
          </w:p>
        </w:tc>
        <w:tc>
          <w:tcPr>
            <w:tcW w:w="1301" w:type="dxa"/>
          </w:tcPr>
          <w:p w14:paraId="7F813820" w14:textId="77777777" w:rsidR="00F83902" w:rsidRPr="006A4205" w:rsidRDefault="00F83902" w:rsidP="00201CDA">
            <w:pPr>
              <w:jc w:val="right"/>
              <w:rPr>
                <w:sz w:val="16"/>
                <w:szCs w:val="16"/>
              </w:rPr>
            </w:pPr>
            <w:r w:rsidRPr="006A4205">
              <w:rPr>
                <w:sz w:val="16"/>
                <w:szCs w:val="16"/>
              </w:rPr>
              <w:t>90%+</w:t>
            </w:r>
          </w:p>
        </w:tc>
      </w:tr>
      <w:tr w:rsidR="00F83902" w:rsidRPr="006A4205" w14:paraId="4F746A6B" w14:textId="77777777" w:rsidTr="00201CDA">
        <w:trPr>
          <w:trHeight w:val="300"/>
        </w:trPr>
        <w:tc>
          <w:tcPr>
            <w:tcW w:w="839" w:type="dxa"/>
          </w:tcPr>
          <w:p w14:paraId="61E55311" w14:textId="77777777" w:rsidR="00F83902" w:rsidRPr="006A4205" w:rsidRDefault="00F83902" w:rsidP="00201CDA">
            <w:pPr>
              <w:jc w:val="center"/>
              <w:rPr>
                <w:b/>
                <w:bCs/>
                <w:sz w:val="16"/>
                <w:szCs w:val="16"/>
              </w:rPr>
            </w:pPr>
            <w:r w:rsidRPr="006A4205">
              <w:rPr>
                <w:b/>
                <w:bCs/>
                <w:sz w:val="16"/>
                <w:szCs w:val="16"/>
              </w:rPr>
              <w:t>CCG202</w:t>
            </w:r>
          </w:p>
        </w:tc>
        <w:tc>
          <w:tcPr>
            <w:tcW w:w="704" w:type="dxa"/>
          </w:tcPr>
          <w:p w14:paraId="35B09170" w14:textId="77777777" w:rsidR="00F83902" w:rsidRPr="006A4205" w:rsidRDefault="00F83902" w:rsidP="00201CDA">
            <w:pPr>
              <w:jc w:val="right"/>
              <w:rPr>
                <w:sz w:val="16"/>
                <w:szCs w:val="16"/>
              </w:rPr>
            </w:pPr>
            <w:r w:rsidRPr="006A4205">
              <w:rPr>
                <w:sz w:val="16"/>
                <w:szCs w:val="16"/>
              </w:rPr>
              <w:t>82.2</w:t>
            </w:r>
          </w:p>
        </w:tc>
        <w:tc>
          <w:tcPr>
            <w:tcW w:w="583" w:type="dxa"/>
          </w:tcPr>
          <w:p w14:paraId="51C83C7E" w14:textId="77777777" w:rsidR="00F83902" w:rsidRPr="006A4205" w:rsidRDefault="00F83902" w:rsidP="00201CDA">
            <w:pPr>
              <w:jc w:val="right"/>
              <w:rPr>
                <w:sz w:val="16"/>
                <w:szCs w:val="16"/>
              </w:rPr>
            </w:pPr>
            <w:r w:rsidRPr="006A4205">
              <w:rPr>
                <w:sz w:val="16"/>
                <w:szCs w:val="16"/>
              </w:rPr>
              <w:t>77.3</w:t>
            </w:r>
          </w:p>
        </w:tc>
        <w:tc>
          <w:tcPr>
            <w:tcW w:w="759" w:type="dxa"/>
          </w:tcPr>
          <w:p w14:paraId="09C5A091" w14:textId="77777777" w:rsidR="00F83902" w:rsidRPr="006A4205" w:rsidRDefault="00F83902" w:rsidP="00201CDA">
            <w:pPr>
              <w:jc w:val="right"/>
              <w:rPr>
                <w:sz w:val="16"/>
                <w:szCs w:val="16"/>
              </w:rPr>
            </w:pPr>
            <w:r w:rsidRPr="006A4205">
              <w:rPr>
                <w:sz w:val="16"/>
                <w:szCs w:val="16"/>
              </w:rPr>
              <w:t>86.2</w:t>
            </w:r>
          </w:p>
        </w:tc>
        <w:tc>
          <w:tcPr>
            <w:tcW w:w="608" w:type="dxa"/>
          </w:tcPr>
          <w:p w14:paraId="7DAD98A3" w14:textId="77777777" w:rsidR="00F83902" w:rsidRPr="006A4205" w:rsidRDefault="00F83902" w:rsidP="00201CDA">
            <w:pPr>
              <w:jc w:val="right"/>
              <w:rPr>
                <w:sz w:val="16"/>
                <w:szCs w:val="16"/>
              </w:rPr>
            </w:pPr>
            <w:r w:rsidRPr="006A4205">
              <w:rPr>
                <w:sz w:val="16"/>
                <w:szCs w:val="16"/>
              </w:rPr>
              <w:t>286</w:t>
            </w:r>
          </w:p>
        </w:tc>
        <w:tc>
          <w:tcPr>
            <w:tcW w:w="572" w:type="dxa"/>
          </w:tcPr>
          <w:p w14:paraId="07C5ADBD" w14:textId="77777777" w:rsidR="00F83902" w:rsidRPr="006A4205" w:rsidRDefault="00F83902" w:rsidP="00201CDA">
            <w:pPr>
              <w:jc w:val="right"/>
              <w:rPr>
                <w:sz w:val="16"/>
                <w:szCs w:val="16"/>
              </w:rPr>
            </w:pPr>
            <w:r w:rsidRPr="006A4205">
              <w:rPr>
                <w:sz w:val="16"/>
                <w:szCs w:val="16"/>
              </w:rPr>
              <w:t>235</w:t>
            </w:r>
          </w:p>
        </w:tc>
        <w:tc>
          <w:tcPr>
            <w:tcW w:w="857" w:type="dxa"/>
          </w:tcPr>
          <w:p w14:paraId="45A6DD56" w14:textId="77777777" w:rsidR="00F83902" w:rsidRPr="006A4205" w:rsidRDefault="00F83902" w:rsidP="00201CDA">
            <w:pPr>
              <w:jc w:val="right"/>
              <w:rPr>
                <w:sz w:val="16"/>
                <w:szCs w:val="16"/>
              </w:rPr>
            </w:pPr>
            <w:r w:rsidRPr="006A4205">
              <w:rPr>
                <w:sz w:val="16"/>
                <w:szCs w:val="16"/>
              </w:rPr>
              <w:t>288</w:t>
            </w:r>
          </w:p>
        </w:tc>
        <w:tc>
          <w:tcPr>
            <w:tcW w:w="857" w:type="dxa"/>
          </w:tcPr>
          <w:p w14:paraId="2D86167E" w14:textId="77777777" w:rsidR="00F83902" w:rsidRPr="006A4205" w:rsidRDefault="00F83902" w:rsidP="00201CDA">
            <w:pPr>
              <w:jc w:val="right"/>
              <w:rPr>
                <w:sz w:val="16"/>
                <w:szCs w:val="16"/>
              </w:rPr>
            </w:pPr>
            <w:r w:rsidRPr="006A4205">
              <w:rPr>
                <w:sz w:val="16"/>
                <w:szCs w:val="16"/>
              </w:rPr>
              <w:t>300</w:t>
            </w:r>
          </w:p>
        </w:tc>
        <w:tc>
          <w:tcPr>
            <w:tcW w:w="1301" w:type="dxa"/>
          </w:tcPr>
          <w:p w14:paraId="0C19A8FB" w14:textId="77777777" w:rsidR="00F83902" w:rsidRPr="006A4205" w:rsidRDefault="00F83902" w:rsidP="00201CDA">
            <w:pPr>
              <w:jc w:val="right"/>
              <w:rPr>
                <w:sz w:val="16"/>
                <w:szCs w:val="16"/>
              </w:rPr>
            </w:pPr>
            <w:r w:rsidRPr="006A4205">
              <w:rPr>
                <w:sz w:val="16"/>
                <w:szCs w:val="16"/>
              </w:rPr>
              <w:t>90%+</w:t>
            </w:r>
          </w:p>
        </w:tc>
      </w:tr>
      <w:tr w:rsidR="00F83902" w:rsidRPr="006A4205" w14:paraId="2165799C" w14:textId="77777777" w:rsidTr="00201CDA">
        <w:trPr>
          <w:trHeight w:val="300"/>
        </w:trPr>
        <w:tc>
          <w:tcPr>
            <w:tcW w:w="839" w:type="dxa"/>
          </w:tcPr>
          <w:p w14:paraId="40235E6B" w14:textId="77777777" w:rsidR="00F83902" w:rsidRPr="006A4205" w:rsidRDefault="00F83902" w:rsidP="00201CDA">
            <w:pPr>
              <w:jc w:val="center"/>
              <w:rPr>
                <w:b/>
                <w:bCs/>
                <w:sz w:val="16"/>
                <w:szCs w:val="16"/>
              </w:rPr>
            </w:pPr>
            <w:r w:rsidRPr="006A4205">
              <w:rPr>
                <w:b/>
                <w:bCs/>
                <w:sz w:val="16"/>
                <w:szCs w:val="16"/>
              </w:rPr>
              <w:t>CCG203</w:t>
            </w:r>
          </w:p>
        </w:tc>
        <w:tc>
          <w:tcPr>
            <w:tcW w:w="704" w:type="dxa"/>
          </w:tcPr>
          <w:p w14:paraId="27E9F6A7" w14:textId="77777777" w:rsidR="00F83902" w:rsidRPr="006A4205" w:rsidRDefault="00F83902" w:rsidP="00201CDA">
            <w:pPr>
              <w:jc w:val="right"/>
              <w:rPr>
                <w:sz w:val="16"/>
                <w:szCs w:val="16"/>
              </w:rPr>
            </w:pPr>
            <w:r w:rsidRPr="006A4205">
              <w:rPr>
                <w:sz w:val="16"/>
                <w:szCs w:val="16"/>
              </w:rPr>
              <w:t>82.5</w:t>
            </w:r>
          </w:p>
        </w:tc>
        <w:tc>
          <w:tcPr>
            <w:tcW w:w="583" w:type="dxa"/>
          </w:tcPr>
          <w:p w14:paraId="55A83EF5" w14:textId="77777777" w:rsidR="00F83902" w:rsidRPr="006A4205" w:rsidRDefault="00F83902" w:rsidP="00201CDA">
            <w:pPr>
              <w:jc w:val="right"/>
              <w:rPr>
                <w:sz w:val="16"/>
                <w:szCs w:val="16"/>
              </w:rPr>
            </w:pPr>
            <w:r w:rsidRPr="006A4205">
              <w:rPr>
                <w:sz w:val="16"/>
                <w:szCs w:val="16"/>
              </w:rPr>
              <w:t>78.5</w:t>
            </w:r>
          </w:p>
        </w:tc>
        <w:tc>
          <w:tcPr>
            <w:tcW w:w="759" w:type="dxa"/>
          </w:tcPr>
          <w:p w14:paraId="32841220" w14:textId="77777777" w:rsidR="00F83902" w:rsidRPr="006A4205" w:rsidRDefault="00F83902" w:rsidP="00201CDA">
            <w:pPr>
              <w:jc w:val="right"/>
              <w:rPr>
                <w:sz w:val="16"/>
                <w:szCs w:val="16"/>
              </w:rPr>
            </w:pPr>
            <w:r w:rsidRPr="006A4205">
              <w:rPr>
                <w:sz w:val="16"/>
                <w:szCs w:val="16"/>
              </w:rPr>
              <w:t>85.9</w:t>
            </w:r>
          </w:p>
        </w:tc>
        <w:tc>
          <w:tcPr>
            <w:tcW w:w="608" w:type="dxa"/>
          </w:tcPr>
          <w:p w14:paraId="0FB8164B" w14:textId="77777777" w:rsidR="00F83902" w:rsidRPr="006A4205" w:rsidRDefault="00F83902" w:rsidP="00201CDA">
            <w:pPr>
              <w:jc w:val="right"/>
              <w:rPr>
                <w:sz w:val="16"/>
                <w:szCs w:val="16"/>
              </w:rPr>
            </w:pPr>
            <w:r w:rsidRPr="006A4205">
              <w:rPr>
                <w:sz w:val="16"/>
                <w:szCs w:val="16"/>
              </w:rPr>
              <w:t>406</w:t>
            </w:r>
          </w:p>
        </w:tc>
        <w:tc>
          <w:tcPr>
            <w:tcW w:w="572" w:type="dxa"/>
          </w:tcPr>
          <w:p w14:paraId="243BE55C" w14:textId="77777777" w:rsidR="00F83902" w:rsidRPr="006A4205" w:rsidRDefault="00F83902" w:rsidP="00201CDA">
            <w:pPr>
              <w:jc w:val="right"/>
              <w:rPr>
                <w:sz w:val="16"/>
                <w:szCs w:val="16"/>
              </w:rPr>
            </w:pPr>
            <w:r w:rsidRPr="006A4205">
              <w:rPr>
                <w:sz w:val="16"/>
                <w:szCs w:val="16"/>
              </w:rPr>
              <w:t>335</w:t>
            </w:r>
          </w:p>
        </w:tc>
        <w:tc>
          <w:tcPr>
            <w:tcW w:w="857" w:type="dxa"/>
          </w:tcPr>
          <w:p w14:paraId="28DAB10C" w14:textId="77777777" w:rsidR="00F83902" w:rsidRPr="006A4205" w:rsidRDefault="00F83902" w:rsidP="00201CDA">
            <w:pPr>
              <w:jc w:val="right"/>
              <w:rPr>
                <w:sz w:val="16"/>
                <w:szCs w:val="16"/>
              </w:rPr>
            </w:pPr>
            <w:r w:rsidRPr="006A4205">
              <w:rPr>
                <w:sz w:val="16"/>
                <w:szCs w:val="16"/>
              </w:rPr>
              <w:t>409</w:t>
            </w:r>
          </w:p>
        </w:tc>
        <w:tc>
          <w:tcPr>
            <w:tcW w:w="857" w:type="dxa"/>
          </w:tcPr>
          <w:p w14:paraId="68C6DCCB" w14:textId="77777777" w:rsidR="00F83902" w:rsidRPr="006A4205" w:rsidRDefault="00F83902" w:rsidP="00201CDA">
            <w:pPr>
              <w:jc w:val="right"/>
              <w:rPr>
                <w:sz w:val="16"/>
                <w:szCs w:val="16"/>
              </w:rPr>
            </w:pPr>
            <w:r w:rsidRPr="006A4205">
              <w:rPr>
                <w:sz w:val="16"/>
                <w:szCs w:val="16"/>
              </w:rPr>
              <w:t>470</w:t>
            </w:r>
          </w:p>
        </w:tc>
        <w:tc>
          <w:tcPr>
            <w:tcW w:w="1301" w:type="dxa"/>
          </w:tcPr>
          <w:p w14:paraId="301143DE" w14:textId="77777777" w:rsidR="00F83902" w:rsidRPr="006A4205" w:rsidRDefault="00F83902" w:rsidP="00201CDA">
            <w:pPr>
              <w:jc w:val="right"/>
              <w:rPr>
                <w:sz w:val="16"/>
                <w:szCs w:val="16"/>
              </w:rPr>
            </w:pPr>
            <w:r w:rsidRPr="006A4205">
              <w:rPr>
                <w:sz w:val="16"/>
                <w:szCs w:val="16"/>
              </w:rPr>
              <w:t>80-89%</w:t>
            </w:r>
          </w:p>
        </w:tc>
      </w:tr>
      <w:tr w:rsidR="00F83902" w:rsidRPr="006A4205" w14:paraId="554CAB55" w14:textId="77777777" w:rsidTr="00201CDA">
        <w:trPr>
          <w:trHeight w:val="300"/>
        </w:trPr>
        <w:tc>
          <w:tcPr>
            <w:tcW w:w="839" w:type="dxa"/>
          </w:tcPr>
          <w:p w14:paraId="4CF726F8" w14:textId="77777777" w:rsidR="00F83902" w:rsidRPr="006A4205" w:rsidRDefault="00F83902" w:rsidP="00201CDA">
            <w:pPr>
              <w:jc w:val="center"/>
              <w:rPr>
                <w:b/>
                <w:bCs/>
                <w:sz w:val="16"/>
                <w:szCs w:val="16"/>
              </w:rPr>
            </w:pPr>
            <w:r w:rsidRPr="006A4205">
              <w:rPr>
                <w:b/>
                <w:bCs/>
                <w:sz w:val="16"/>
                <w:szCs w:val="16"/>
              </w:rPr>
              <w:t>CCG204</w:t>
            </w:r>
          </w:p>
        </w:tc>
        <w:tc>
          <w:tcPr>
            <w:tcW w:w="704" w:type="dxa"/>
          </w:tcPr>
          <w:p w14:paraId="409ED501" w14:textId="77777777" w:rsidR="00F83902" w:rsidRPr="006A4205" w:rsidRDefault="00F83902" w:rsidP="00201CDA">
            <w:pPr>
              <w:jc w:val="right"/>
              <w:rPr>
                <w:sz w:val="16"/>
                <w:szCs w:val="16"/>
              </w:rPr>
            </w:pPr>
            <w:r w:rsidRPr="006A4205">
              <w:rPr>
                <w:sz w:val="16"/>
                <w:szCs w:val="16"/>
              </w:rPr>
              <w:t>83.7</w:t>
            </w:r>
          </w:p>
        </w:tc>
        <w:tc>
          <w:tcPr>
            <w:tcW w:w="583" w:type="dxa"/>
          </w:tcPr>
          <w:p w14:paraId="285E6A32" w14:textId="77777777" w:rsidR="00F83902" w:rsidRPr="006A4205" w:rsidRDefault="00F83902" w:rsidP="00201CDA">
            <w:pPr>
              <w:jc w:val="right"/>
              <w:rPr>
                <w:sz w:val="16"/>
                <w:szCs w:val="16"/>
              </w:rPr>
            </w:pPr>
            <w:r w:rsidRPr="006A4205">
              <w:rPr>
                <w:sz w:val="16"/>
                <w:szCs w:val="16"/>
              </w:rPr>
              <w:t>79.4</w:t>
            </w:r>
          </w:p>
        </w:tc>
        <w:tc>
          <w:tcPr>
            <w:tcW w:w="759" w:type="dxa"/>
          </w:tcPr>
          <w:p w14:paraId="491CCA0B" w14:textId="77777777" w:rsidR="00F83902" w:rsidRPr="006A4205" w:rsidRDefault="00F83902" w:rsidP="00201CDA">
            <w:pPr>
              <w:jc w:val="right"/>
              <w:rPr>
                <w:sz w:val="16"/>
                <w:szCs w:val="16"/>
              </w:rPr>
            </w:pPr>
            <w:r w:rsidRPr="006A4205">
              <w:rPr>
                <w:sz w:val="16"/>
                <w:szCs w:val="16"/>
              </w:rPr>
              <w:t>87.2</w:t>
            </w:r>
          </w:p>
        </w:tc>
        <w:tc>
          <w:tcPr>
            <w:tcW w:w="608" w:type="dxa"/>
          </w:tcPr>
          <w:p w14:paraId="707FE594" w14:textId="77777777" w:rsidR="00F83902" w:rsidRPr="006A4205" w:rsidRDefault="00F83902" w:rsidP="00201CDA">
            <w:pPr>
              <w:jc w:val="right"/>
              <w:rPr>
                <w:sz w:val="16"/>
                <w:szCs w:val="16"/>
              </w:rPr>
            </w:pPr>
            <w:r w:rsidRPr="006A4205">
              <w:rPr>
                <w:sz w:val="16"/>
                <w:szCs w:val="16"/>
              </w:rPr>
              <w:t>343</w:t>
            </w:r>
          </w:p>
        </w:tc>
        <w:tc>
          <w:tcPr>
            <w:tcW w:w="572" w:type="dxa"/>
          </w:tcPr>
          <w:p w14:paraId="759759F2" w14:textId="77777777" w:rsidR="00F83902" w:rsidRPr="006A4205" w:rsidRDefault="00F83902" w:rsidP="00201CDA">
            <w:pPr>
              <w:jc w:val="right"/>
              <w:rPr>
                <w:sz w:val="16"/>
                <w:szCs w:val="16"/>
              </w:rPr>
            </w:pPr>
            <w:r w:rsidRPr="006A4205">
              <w:rPr>
                <w:sz w:val="16"/>
                <w:szCs w:val="16"/>
              </w:rPr>
              <w:t>287</w:t>
            </w:r>
          </w:p>
        </w:tc>
        <w:tc>
          <w:tcPr>
            <w:tcW w:w="857" w:type="dxa"/>
          </w:tcPr>
          <w:p w14:paraId="4A628A6E" w14:textId="77777777" w:rsidR="00F83902" w:rsidRPr="006A4205" w:rsidRDefault="00F83902" w:rsidP="00201CDA">
            <w:pPr>
              <w:jc w:val="right"/>
              <w:rPr>
                <w:sz w:val="16"/>
                <w:szCs w:val="16"/>
              </w:rPr>
            </w:pPr>
            <w:r w:rsidRPr="006A4205">
              <w:rPr>
                <w:sz w:val="16"/>
                <w:szCs w:val="16"/>
              </w:rPr>
              <w:t>347</w:t>
            </w:r>
          </w:p>
        </w:tc>
        <w:tc>
          <w:tcPr>
            <w:tcW w:w="857" w:type="dxa"/>
          </w:tcPr>
          <w:p w14:paraId="41657EFE" w14:textId="77777777" w:rsidR="00F83902" w:rsidRPr="006A4205" w:rsidRDefault="00F83902" w:rsidP="00201CDA">
            <w:pPr>
              <w:jc w:val="right"/>
              <w:rPr>
                <w:sz w:val="16"/>
                <w:szCs w:val="16"/>
              </w:rPr>
            </w:pPr>
            <w:r w:rsidRPr="006A4205">
              <w:rPr>
                <w:sz w:val="16"/>
                <w:szCs w:val="16"/>
              </w:rPr>
              <w:t>431</w:t>
            </w:r>
          </w:p>
        </w:tc>
        <w:tc>
          <w:tcPr>
            <w:tcW w:w="1301" w:type="dxa"/>
          </w:tcPr>
          <w:p w14:paraId="6DC5B8BA" w14:textId="77777777" w:rsidR="00F83902" w:rsidRPr="006A4205" w:rsidRDefault="00F83902" w:rsidP="00201CDA">
            <w:pPr>
              <w:jc w:val="right"/>
              <w:rPr>
                <w:sz w:val="16"/>
                <w:szCs w:val="16"/>
              </w:rPr>
            </w:pPr>
            <w:r w:rsidRPr="006A4205">
              <w:rPr>
                <w:sz w:val="16"/>
                <w:szCs w:val="16"/>
              </w:rPr>
              <w:t>80-89%</w:t>
            </w:r>
          </w:p>
        </w:tc>
      </w:tr>
      <w:tr w:rsidR="00F83902" w:rsidRPr="006A4205" w14:paraId="4405BFDC" w14:textId="77777777" w:rsidTr="00201CDA">
        <w:trPr>
          <w:trHeight w:val="300"/>
        </w:trPr>
        <w:tc>
          <w:tcPr>
            <w:tcW w:w="839" w:type="dxa"/>
          </w:tcPr>
          <w:p w14:paraId="7955CE24" w14:textId="77777777" w:rsidR="00F83902" w:rsidRPr="006A4205" w:rsidRDefault="00F83902" w:rsidP="00201CDA">
            <w:pPr>
              <w:jc w:val="center"/>
              <w:rPr>
                <w:b/>
                <w:bCs/>
                <w:sz w:val="16"/>
                <w:szCs w:val="16"/>
              </w:rPr>
            </w:pPr>
            <w:r w:rsidRPr="006A4205">
              <w:rPr>
                <w:b/>
                <w:bCs/>
                <w:sz w:val="16"/>
                <w:szCs w:val="16"/>
              </w:rPr>
              <w:t>CCG205</w:t>
            </w:r>
          </w:p>
        </w:tc>
        <w:tc>
          <w:tcPr>
            <w:tcW w:w="704" w:type="dxa"/>
          </w:tcPr>
          <w:p w14:paraId="6BD23B5A" w14:textId="77777777" w:rsidR="00F83902" w:rsidRPr="006A4205" w:rsidRDefault="00F83902" w:rsidP="00201CDA">
            <w:pPr>
              <w:jc w:val="right"/>
              <w:rPr>
                <w:sz w:val="18"/>
              </w:rPr>
            </w:pPr>
            <w:r w:rsidRPr="006A4205">
              <w:rPr>
                <w:sz w:val="18"/>
              </w:rPr>
              <w:t>83.8</w:t>
            </w:r>
          </w:p>
        </w:tc>
        <w:tc>
          <w:tcPr>
            <w:tcW w:w="583" w:type="dxa"/>
          </w:tcPr>
          <w:p w14:paraId="7B3BEAB2" w14:textId="77777777" w:rsidR="00F83902" w:rsidRPr="006A4205" w:rsidRDefault="00F83902" w:rsidP="00201CDA">
            <w:pPr>
              <w:jc w:val="right"/>
              <w:rPr>
                <w:sz w:val="18"/>
              </w:rPr>
            </w:pPr>
            <w:r w:rsidRPr="006A4205">
              <w:rPr>
                <w:sz w:val="18"/>
              </w:rPr>
              <w:t>80.6</w:t>
            </w:r>
          </w:p>
        </w:tc>
        <w:tc>
          <w:tcPr>
            <w:tcW w:w="759" w:type="dxa"/>
          </w:tcPr>
          <w:p w14:paraId="44A7AA5F" w14:textId="77777777" w:rsidR="00F83902" w:rsidRPr="006A4205" w:rsidRDefault="00F83902" w:rsidP="00201CDA">
            <w:pPr>
              <w:jc w:val="right"/>
              <w:rPr>
                <w:sz w:val="18"/>
              </w:rPr>
            </w:pPr>
            <w:r w:rsidRPr="006A4205">
              <w:rPr>
                <w:sz w:val="18"/>
              </w:rPr>
              <w:t>86.5</w:t>
            </w:r>
          </w:p>
        </w:tc>
        <w:tc>
          <w:tcPr>
            <w:tcW w:w="608" w:type="dxa"/>
          </w:tcPr>
          <w:p w14:paraId="6F3FD427" w14:textId="77777777" w:rsidR="00F83902" w:rsidRPr="006A4205" w:rsidRDefault="00F83902" w:rsidP="00201CDA">
            <w:pPr>
              <w:jc w:val="right"/>
              <w:rPr>
                <w:sz w:val="18"/>
              </w:rPr>
            </w:pPr>
            <w:r w:rsidRPr="006A4205">
              <w:rPr>
                <w:sz w:val="18"/>
              </w:rPr>
              <w:t>586</w:t>
            </w:r>
          </w:p>
        </w:tc>
        <w:tc>
          <w:tcPr>
            <w:tcW w:w="572" w:type="dxa"/>
          </w:tcPr>
          <w:p w14:paraId="7EBACD9B" w14:textId="77777777" w:rsidR="00F83902" w:rsidRPr="006A4205" w:rsidRDefault="00F83902" w:rsidP="00201CDA">
            <w:pPr>
              <w:jc w:val="right"/>
              <w:rPr>
                <w:sz w:val="18"/>
              </w:rPr>
            </w:pPr>
            <w:r w:rsidRPr="006A4205">
              <w:rPr>
                <w:sz w:val="18"/>
              </w:rPr>
              <w:t>491</w:t>
            </w:r>
          </w:p>
        </w:tc>
        <w:tc>
          <w:tcPr>
            <w:tcW w:w="857" w:type="dxa"/>
          </w:tcPr>
          <w:p w14:paraId="5F6EB3CF" w14:textId="77777777" w:rsidR="00F83902" w:rsidRPr="006A4205" w:rsidRDefault="00F83902" w:rsidP="00201CDA">
            <w:pPr>
              <w:jc w:val="right"/>
              <w:rPr>
                <w:sz w:val="18"/>
              </w:rPr>
            </w:pPr>
            <w:r w:rsidRPr="006A4205">
              <w:rPr>
                <w:sz w:val="18"/>
              </w:rPr>
              <w:t>591</w:t>
            </w:r>
          </w:p>
        </w:tc>
        <w:tc>
          <w:tcPr>
            <w:tcW w:w="857" w:type="dxa"/>
          </w:tcPr>
          <w:p w14:paraId="34F4F9D2" w14:textId="77777777" w:rsidR="00F83902" w:rsidRPr="006A4205" w:rsidRDefault="00F83902" w:rsidP="00201CDA">
            <w:pPr>
              <w:jc w:val="right"/>
              <w:rPr>
                <w:sz w:val="18"/>
              </w:rPr>
            </w:pPr>
            <w:r w:rsidRPr="006A4205">
              <w:rPr>
                <w:sz w:val="18"/>
              </w:rPr>
              <w:t>692</w:t>
            </w:r>
          </w:p>
        </w:tc>
        <w:tc>
          <w:tcPr>
            <w:tcW w:w="1301" w:type="dxa"/>
          </w:tcPr>
          <w:p w14:paraId="3520BD2A" w14:textId="77777777" w:rsidR="00F83902" w:rsidRPr="006A4205" w:rsidRDefault="00F83902" w:rsidP="00201CDA">
            <w:pPr>
              <w:jc w:val="right"/>
              <w:rPr>
                <w:sz w:val="18"/>
              </w:rPr>
            </w:pPr>
            <w:r w:rsidRPr="006A4205">
              <w:rPr>
                <w:sz w:val="18"/>
              </w:rPr>
              <w:t>80-89%</w:t>
            </w:r>
          </w:p>
        </w:tc>
      </w:tr>
      <w:tr w:rsidR="006A4205" w:rsidRPr="006A4205" w14:paraId="618BFF3B" w14:textId="77777777" w:rsidTr="00201CDA">
        <w:trPr>
          <w:trHeight w:val="300"/>
        </w:trPr>
        <w:tc>
          <w:tcPr>
            <w:tcW w:w="839" w:type="dxa"/>
          </w:tcPr>
          <w:p w14:paraId="2B9E3F54" w14:textId="77777777" w:rsidR="00F83902" w:rsidRPr="006A4205" w:rsidRDefault="00F83902" w:rsidP="00201CDA">
            <w:pPr>
              <w:jc w:val="center"/>
              <w:rPr>
                <w:b/>
                <w:bCs/>
                <w:sz w:val="16"/>
                <w:szCs w:val="16"/>
              </w:rPr>
            </w:pPr>
            <w:r w:rsidRPr="006A4205">
              <w:rPr>
                <w:b/>
                <w:bCs/>
                <w:sz w:val="16"/>
                <w:szCs w:val="16"/>
              </w:rPr>
              <w:t>CCG206</w:t>
            </w:r>
          </w:p>
        </w:tc>
        <w:tc>
          <w:tcPr>
            <w:tcW w:w="704" w:type="dxa"/>
          </w:tcPr>
          <w:p w14:paraId="70F03C46" w14:textId="77777777" w:rsidR="00F83902" w:rsidRPr="006A4205" w:rsidRDefault="00F83902" w:rsidP="00201CDA">
            <w:pPr>
              <w:jc w:val="right"/>
              <w:rPr>
                <w:sz w:val="18"/>
              </w:rPr>
            </w:pPr>
            <w:r w:rsidRPr="006A4205">
              <w:rPr>
                <w:sz w:val="18"/>
              </w:rPr>
              <w:t>84.5</w:t>
            </w:r>
          </w:p>
        </w:tc>
        <w:tc>
          <w:tcPr>
            <w:tcW w:w="583" w:type="dxa"/>
          </w:tcPr>
          <w:p w14:paraId="4B454390" w14:textId="77777777" w:rsidR="00F83902" w:rsidRPr="006A4205" w:rsidRDefault="00F83902" w:rsidP="00201CDA">
            <w:pPr>
              <w:jc w:val="right"/>
              <w:rPr>
                <w:sz w:val="18"/>
              </w:rPr>
            </w:pPr>
            <w:r w:rsidRPr="006A4205">
              <w:rPr>
                <w:sz w:val="18"/>
              </w:rPr>
              <w:t>80.1</w:t>
            </w:r>
          </w:p>
        </w:tc>
        <w:tc>
          <w:tcPr>
            <w:tcW w:w="759" w:type="dxa"/>
          </w:tcPr>
          <w:p w14:paraId="3B3DC826" w14:textId="77777777" w:rsidR="00F83902" w:rsidRPr="006A4205" w:rsidRDefault="00F83902" w:rsidP="00201CDA">
            <w:pPr>
              <w:jc w:val="right"/>
              <w:rPr>
                <w:sz w:val="18"/>
              </w:rPr>
            </w:pPr>
            <w:r w:rsidRPr="006A4205">
              <w:rPr>
                <w:sz w:val="18"/>
              </w:rPr>
              <w:t>88.1</w:t>
            </w:r>
          </w:p>
        </w:tc>
        <w:tc>
          <w:tcPr>
            <w:tcW w:w="608" w:type="dxa"/>
          </w:tcPr>
          <w:p w14:paraId="4C3435AB" w14:textId="77777777" w:rsidR="00F83902" w:rsidRPr="006A4205" w:rsidRDefault="00F83902" w:rsidP="00201CDA">
            <w:pPr>
              <w:jc w:val="right"/>
              <w:rPr>
                <w:sz w:val="18"/>
              </w:rPr>
            </w:pPr>
            <w:r w:rsidRPr="006A4205">
              <w:rPr>
                <w:sz w:val="18"/>
              </w:rPr>
              <w:t>317</w:t>
            </w:r>
          </w:p>
        </w:tc>
        <w:tc>
          <w:tcPr>
            <w:tcW w:w="572" w:type="dxa"/>
          </w:tcPr>
          <w:p w14:paraId="09FBAF20" w14:textId="77777777" w:rsidR="00F83902" w:rsidRPr="006A4205" w:rsidRDefault="00F83902" w:rsidP="00201CDA">
            <w:pPr>
              <w:jc w:val="right"/>
              <w:rPr>
                <w:sz w:val="18"/>
              </w:rPr>
            </w:pPr>
            <w:r w:rsidRPr="006A4205">
              <w:rPr>
                <w:sz w:val="18"/>
              </w:rPr>
              <w:t>268</w:t>
            </w:r>
          </w:p>
        </w:tc>
        <w:tc>
          <w:tcPr>
            <w:tcW w:w="857" w:type="dxa"/>
          </w:tcPr>
          <w:p w14:paraId="177A157A" w14:textId="77777777" w:rsidR="00F83902" w:rsidRPr="006A4205" w:rsidRDefault="00F83902" w:rsidP="00201CDA">
            <w:pPr>
              <w:jc w:val="right"/>
              <w:rPr>
                <w:sz w:val="18"/>
              </w:rPr>
            </w:pPr>
            <w:r w:rsidRPr="006A4205">
              <w:rPr>
                <w:sz w:val="18"/>
              </w:rPr>
              <w:t>324</w:t>
            </w:r>
          </w:p>
        </w:tc>
        <w:tc>
          <w:tcPr>
            <w:tcW w:w="857" w:type="dxa"/>
          </w:tcPr>
          <w:p w14:paraId="41969B4C" w14:textId="77777777" w:rsidR="00F83902" w:rsidRPr="006A4205" w:rsidRDefault="00F83902" w:rsidP="00201CDA">
            <w:pPr>
              <w:jc w:val="right"/>
              <w:rPr>
                <w:sz w:val="18"/>
              </w:rPr>
            </w:pPr>
            <w:r w:rsidRPr="006A4205">
              <w:rPr>
                <w:sz w:val="18"/>
              </w:rPr>
              <w:t>470</w:t>
            </w:r>
          </w:p>
        </w:tc>
        <w:tc>
          <w:tcPr>
            <w:tcW w:w="1301" w:type="dxa"/>
          </w:tcPr>
          <w:p w14:paraId="49D0925E" w14:textId="77777777" w:rsidR="00F83902" w:rsidRPr="006A4205" w:rsidRDefault="00F83902" w:rsidP="00201CDA">
            <w:pPr>
              <w:jc w:val="right"/>
              <w:rPr>
                <w:sz w:val="18"/>
              </w:rPr>
            </w:pPr>
            <w:r w:rsidRPr="006A4205">
              <w:rPr>
                <w:sz w:val="18"/>
              </w:rPr>
              <w:t>50-69%</w:t>
            </w:r>
          </w:p>
        </w:tc>
      </w:tr>
    </w:tbl>
    <w:p w14:paraId="11B98CC5" w14:textId="77777777" w:rsidR="00F83902" w:rsidRPr="006A4205" w:rsidRDefault="00F83902" w:rsidP="00FC4450"/>
    <w:p w14:paraId="175C4A63" w14:textId="4A9E867D" w:rsidR="00F83902" w:rsidRPr="006A4205" w:rsidRDefault="00F83902" w:rsidP="00FC4450">
      <w:r w:rsidRPr="006A4205">
        <w:rPr>
          <w:noProof/>
          <w:lang w:eastAsia="en-GB"/>
        </w:rPr>
        <w:drawing>
          <wp:inline distT="0" distB="0" distL="0" distR="0" wp14:anchorId="3E9A5109" wp14:editId="025B3320">
            <wp:extent cx="4680252" cy="2909454"/>
            <wp:effectExtent l="0" t="0" r="6350" b="5715"/>
            <wp:docPr id="1" name="Picture 1" descr="Funnel plot showing % of achievement of this indicator (y axis) plotted against patients admitted to hospital with a primary diagnosis of stroke for each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86350" cy="2913245"/>
                    </a:xfrm>
                    <a:prstGeom prst="rect">
                      <a:avLst/>
                    </a:prstGeom>
                    <a:noFill/>
                  </pic:spPr>
                </pic:pic>
              </a:graphicData>
            </a:graphic>
          </wp:inline>
        </w:drawing>
      </w:r>
    </w:p>
    <w:p w14:paraId="09A3A279" w14:textId="165A0AC8" w:rsidR="00FC4450" w:rsidRPr="006A4205" w:rsidRDefault="00FC4450" w:rsidP="00FC4450">
      <w:r w:rsidRPr="006A4205">
        <w:br w:type="page"/>
      </w:r>
    </w:p>
    <w:p w14:paraId="1ACE49FC" w14:textId="1340464A" w:rsidR="00F83902" w:rsidRPr="006A4205" w:rsidRDefault="00F83902">
      <w:r w:rsidRPr="006A4205">
        <w:lastRenderedPageBreak/>
        <w:t>Section 6 Risks</w:t>
      </w:r>
    </w:p>
    <w:tbl>
      <w:tblPr>
        <w:tblStyle w:val="TableGrid1"/>
        <w:tblW w:w="9750" w:type="dxa"/>
        <w:tblLayout w:type="fixed"/>
        <w:tblLook w:val="04A0" w:firstRow="1" w:lastRow="0" w:firstColumn="1" w:lastColumn="0" w:noHBand="0" w:noVBand="1"/>
      </w:tblPr>
      <w:tblGrid>
        <w:gridCol w:w="2458"/>
        <w:gridCol w:w="7292"/>
      </w:tblGrid>
      <w:tr w:rsidR="006A4205" w:rsidRPr="006A4205" w14:paraId="16CDA800" w14:textId="77777777" w:rsidTr="00F83902">
        <w:tc>
          <w:tcPr>
            <w:tcW w:w="2458" w:type="dxa"/>
          </w:tcPr>
          <w:p w14:paraId="0A747911" w14:textId="0AA79F8F" w:rsidR="00F83902" w:rsidRPr="006A4205" w:rsidRDefault="00F83902" w:rsidP="00D13771">
            <w:pPr>
              <w:spacing w:before="240"/>
              <w:ind w:left="34"/>
              <w:rPr>
                <w:b/>
              </w:rPr>
            </w:pPr>
            <w:permStart w:id="1857241101" w:edGrp="everyone" w:colFirst="1" w:colLast="1"/>
            <w:r w:rsidRPr="006A4205">
              <w:rPr>
                <w:b/>
              </w:rPr>
              <w:t>6.1 Similar existing indicators</w:t>
            </w:r>
          </w:p>
        </w:tc>
        <w:tc>
          <w:tcPr>
            <w:tcW w:w="7292" w:type="dxa"/>
          </w:tcPr>
          <w:p w14:paraId="31553973" w14:textId="77777777" w:rsidR="00F83902" w:rsidRPr="006A4205" w:rsidRDefault="00F83902" w:rsidP="00D13771">
            <w:pPr>
              <w:spacing w:before="240"/>
              <w:rPr>
                <w:rStyle w:val="Hyperlink"/>
                <w:color w:val="auto"/>
              </w:rPr>
            </w:pPr>
            <w:r w:rsidRPr="006A4205">
              <w:t xml:space="preserve">This indicator, along with a number of other measures relating to stroke, is published in different formats at CCG, trust and stroke team level on the SSNAP results portal </w:t>
            </w:r>
            <w:hyperlink r:id="rId25" w:history="1">
              <w:r w:rsidRPr="006A4205">
                <w:rPr>
                  <w:rStyle w:val="Hyperlink"/>
                  <w:color w:val="auto"/>
                </w:rPr>
                <w:t>http://www.strokeaudit.org/results/Clinical-audit/National-Results.aspx</w:t>
              </w:r>
            </w:hyperlink>
          </w:p>
          <w:p w14:paraId="2D89B410" w14:textId="77777777" w:rsidR="00F83902" w:rsidRPr="006A4205" w:rsidRDefault="00F83902" w:rsidP="00D13771">
            <w:pPr>
              <w:spacing w:before="240"/>
            </w:pPr>
            <w:r w:rsidRPr="006A4205">
              <w:t xml:space="preserve">The Accelerating Stroke Improvement (ASI) National Plan was a national initiative designed to ensure that maximum implementation of the Quality Markers in the National Stroke Strategy </w:t>
            </w:r>
            <w:proofErr w:type="gramStart"/>
            <w:r w:rsidRPr="006A4205">
              <w:t>were</w:t>
            </w:r>
            <w:proofErr w:type="gramEnd"/>
            <w:r w:rsidRPr="006A4205">
              <w:t xml:space="preserve"> achieved before the end of the 2010/11 financial year. One of the measures (measure 3) looked at the proportion of patients admitted directly to an acute stroke unit within 4 hours of hospital arrival, with the aim of 90% by April 2011. This indicator is no longer produced. </w:t>
            </w:r>
            <w:hyperlink r:id="rId26" w:history="1">
              <w:r w:rsidRPr="006A4205">
                <w:rPr>
                  <w:rStyle w:val="Hyperlink"/>
                  <w:color w:val="auto"/>
                </w:rPr>
                <w:t>http://www.stroke-in-stoke.info/otherfiles/Accelerating%20Stroke%20Improvement%20National%20Plan.pdf</w:t>
              </w:r>
            </w:hyperlink>
          </w:p>
        </w:tc>
      </w:tr>
      <w:tr w:rsidR="006A4205" w:rsidRPr="006A4205" w14:paraId="6BDFE670" w14:textId="77777777" w:rsidTr="00F83902">
        <w:tc>
          <w:tcPr>
            <w:tcW w:w="2458" w:type="dxa"/>
          </w:tcPr>
          <w:p w14:paraId="67A953A7" w14:textId="53B85408" w:rsidR="00F83902" w:rsidRPr="006A4205" w:rsidRDefault="00F83902" w:rsidP="00D13771">
            <w:pPr>
              <w:spacing w:before="240"/>
              <w:ind w:left="34"/>
              <w:rPr>
                <w:b/>
              </w:rPr>
            </w:pPr>
            <w:permStart w:id="1553081575" w:edGrp="everyone" w:colFirst="1" w:colLast="1"/>
            <w:permEnd w:id="1857241101"/>
            <w:r w:rsidRPr="006A4205">
              <w:rPr>
                <w:b/>
              </w:rPr>
              <w:t>6.2 Coherence and comparability</w:t>
            </w:r>
          </w:p>
        </w:tc>
        <w:tc>
          <w:tcPr>
            <w:tcW w:w="7292" w:type="dxa"/>
          </w:tcPr>
          <w:p w14:paraId="65FB119F" w14:textId="77777777" w:rsidR="00F83902" w:rsidRPr="006A4205" w:rsidRDefault="00F83902" w:rsidP="00D13771">
            <w:pPr>
              <w:spacing w:before="240"/>
            </w:pPr>
            <w:r w:rsidRPr="006A4205">
              <w:t>The methodology and results for this indicator are consistent with the same indicator published on the SSNAP results portal.</w:t>
            </w:r>
          </w:p>
        </w:tc>
      </w:tr>
      <w:tr w:rsidR="006A4205" w:rsidRPr="006A4205" w14:paraId="6A8EA8E0" w14:textId="77777777" w:rsidTr="00F83902">
        <w:tc>
          <w:tcPr>
            <w:tcW w:w="2458" w:type="dxa"/>
          </w:tcPr>
          <w:p w14:paraId="77563C82" w14:textId="50934693" w:rsidR="00F83902" w:rsidRPr="006A4205" w:rsidRDefault="00F83902" w:rsidP="00D13771">
            <w:pPr>
              <w:spacing w:before="240"/>
              <w:ind w:left="34"/>
              <w:rPr>
                <w:b/>
              </w:rPr>
            </w:pPr>
            <w:permStart w:id="551950531" w:edGrp="everyone" w:colFirst="1" w:colLast="1"/>
            <w:permEnd w:id="1553081575"/>
            <w:r w:rsidRPr="006A4205">
              <w:rPr>
                <w:b/>
              </w:rPr>
              <w:t>6.3 Undesired behaviours and/or gaming</w:t>
            </w:r>
          </w:p>
        </w:tc>
        <w:tc>
          <w:tcPr>
            <w:tcW w:w="7292" w:type="dxa"/>
          </w:tcPr>
          <w:p w14:paraId="425C50A5" w14:textId="77777777" w:rsidR="00F83902" w:rsidRPr="006A4205" w:rsidRDefault="00F83902" w:rsidP="00D13771">
            <w:pPr>
              <w:spacing w:before="240"/>
            </w:pPr>
            <w:r w:rsidRPr="006A4205">
              <w:t>Gaming would involve managing patient transfer in order to increase the number of patients transferred within 4 hours at the expense of those who have already breached the timescale. The RCP have no evidence to suggest that this is happening.</w:t>
            </w:r>
          </w:p>
        </w:tc>
      </w:tr>
      <w:tr w:rsidR="006A4205" w:rsidRPr="006A4205" w14:paraId="0710A4B1" w14:textId="77777777" w:rsidTr="00F83902">
        <w:tc>
          <w:tcPr>
            <w:tcW w:w="2458" w:type="dxa"/>
          </w:tcPr>
          <w:p w14:paraId="33A9ED79" w14:textId="77CAC79D" w:rsidR="00F83902" w:rsidRPr="006A4205" w:rsidRDefault="00F83902" w:rsidP="00D13771">
            <w:pPr>
              <w:spacing w:before="240"/>
              <w:ind w:left="34"/>
              <w:rPr>
                <w:b/>
              </w:rPr>
            </w:pPr>
            <w:permStart w:id="435969631" w:edGrp="everyone" w:colFirst="1" w:colLast="1"/>
            <w:permEnd w:id="551950531"/>
            <w:r w:rsidRPr="006A4205">
              <w:rPr>
                <w:b/>
              </w:rPr>
              <w:t>6.4 Approach to indicator review</w:t>
            </w:r>
          </w:p>
        </w:tc>
        <w:tc>
          <w:tcPr>
            <w:tcW w:w="7292" w:type="dxa"/>
          </w:tcPr>
          <w:p w14:paraId="1907FC5F" w14:textId="77777777" w:rsidR="00F83902" w:rsidRPr="006A4205" w:rsidRDefault="00F83902" w:rsidP="00D13771">
            <w:pPr>
              <w:spacing w:before="240"/>
            </w:pPr>
            <w:r w:rsidRPr="006A4205">
              <w:t>The Indicator Governance Board (IGB) set a review period of one year when the indicator was originally assured, due to the relative immaturity of the SSNAP data set at that time. The time period for the next review will again be set by IGB.</w:t>
            </w:r>
          </w:p>
          <w:p w14:paraId="626991F1" w14:textId="77777777" w:rsidR="00F83902" w:rsidRPr="006A4205" w:rsidRDefault="00F83902" w:rsidP="00D13771">
            <w:pPr>
              <w:spacing w:before="240"/>
            </w:pPr>
            <w:r w:rsidRPr="006A4205">
              <w:t xml:space="preserve">User feedback and comments on this indicator are welcomed via HSCIC Enquires </w:t>
            </w:r>
            <w:hyperlink r:id="rId27" w:history="1">
              <w:r w:rsidRPr="006A4205">
                <w:rPr>
                  <w:rStyle w:val="Hyperlink"/>
                  <w:color w:val="auto"/>
                </w:rPr>
                <w:t>enquiries@hscic.gov.uk</w:t>
              </w:r>
            </w:hyperlink>
            <w:r w:rsidRPr="006A4205">
              <w:t xml:space="preserve">  or the CCG OIS mailbox </w:t>
            </w:r>
            <w:hyperlink r:id="rId28" w:history="1">
              <w:r w:rsidRPr="006A4205">
                <w:rPr>
                  <w:rStyle w:val="Hyperlink"/>
                  <w:color w:val="auto"/>
                </w:rPr>
                <w:t>ccgois@hscic.gov.uk</w:t>
              </w:r>
            </w:hyperlink>
          </w:p>
        </w:tc>
      </w:tr>
      <w:tr w:rsidR="006A4205" w:rsidRPr="006A4205" w14:paraId="664B56A1" w14:textId="77777777" w:rsidTr="00F83902">
        <w:tc>
          <w:tcPr>
            <w:tcW w:w="2458" w:type="dxa"/>
          </w:tcPr>
          <w:p w14:paraId="7EF91AF3" w14:textId="0A5BE3BF" w:rsidR="00F83902" w:rsidRPr="006A4205" w:rsidRDefault="00F83902" w:rsidP="00D13771">
            <w:pPr>
              <w:spacing w:before="240"/>
              <w:ind w:left="34"/>
              <w:rPr>
                <w:b/>
              </w:rPr>
            </w:pPr>
            <w:permStart w:id="685245243" w:edGrp="everyone" w:colFirst="1" w:colLast="1"/>
            <w:permEnd w:id="435969631"/>
            <w:r w:rsidRPr="006A4205">
              <w:rPr>
                <w:b/>
              </w:rPr>
              <w:t>6.5 Disclosure control</w:t>
            </w:r>
          </w:p>
        </w:tc>
        <w:tc>
          <w:tcPr>
            <w:tcW w:w="7292" w:type="dxa"/>
          </w:tcPr>
          <w:p w14:paraId="358BD25E" w14:textId="77777777" w:rsidR="00F83902" w:rsidRPr="006A4205" w:rsidRDefault="00F83902" w:rsidP="00D13771">
            <w:pPr>
              <w:spacing w:before="240"/>
            </w:pPr>
            <w:r w:rsidRPr="006A4205">
              <w:t>Case ascertainment used is the proportion of patients per CCG with primary ICD-10 codes I61, I63 and I64 in HES data who are included in SSNAP for the same time period.</w:t>
            </w:r>
          </w:p>
          <w:p w14:paraId="50121DD0" w14:textId="77777777" w:rsidR="00F83902" w:rsidRPr="006A4205" w:rsidRDefault="00F83902" w:rsidP="00D13771">
            <w:pPr>
              <w:spacing w:before="240"/>
            </w:pPr>
            <w:r w:rsidRPr="006A4205">
              <w:t xml:space="preserve">Case ascertainment is reported alongside the indicator for all CCGs. The indicator is not reported for any CCGs with lower than 50% case ascertainment or for those with fewer than 20 patients, instead replacing the percentage with ‘*’. </w:t>
            </w:r>
          </w:p>
          <w:p w14:paraId="620EA135" w14:textId="77777777" w:rsidR="00F83902" w:rsidRPr="006A4205" w:rsidRDefault="00F83902" w:rsidP="00D13771">
            <w:pPr>
              <w:spacing w:before="240"/>
            </w:pPr>
            <w:r w:rsidRPr="006A4205">
              <w:t>Percentages are rounded to one decimal place before publication.</w:t>
            </w:r>
          </w:p>
        </w:tc>
      </w:tr>
      <w:tr w:rsidR="006A4205" w:rsidRPr="006A4205" w14:paraId="42B1E7BF" w14:textId="77777777" w:rsidTr="00F83902">
        <w:tc>
          <w:tcPr>
            <w:tcW w:w="2458" w:type="dxa"/>
          </w:tcPr>
          <w:p w14:paraId="0E6E1E82" w14:textId="24DD6CCA" w:rsidR="00F83902" w:rsidRPr="006A4205" w:rsidRDefault="00F83902" w:rsidP="00D13771">
            <w:pPr>
              <w:spacing w:before="240"/>
              <w:ind w:left="34"/>
              <w:rPr>
                <w:b/>
              </w:rPr>
            </w:pPr>
            <w:permStart w:id="751311414" w:edGrp="everyone" w:colFirst="1" w:colLast="1"/>
            <w:permEnd w:id="685245243"/>
            <w:r w:rsidRPr="006A4205">
              <w:rPr>
                <w:b/>
              </w:rPr>
              <w:t>6.6 Copyright</w:t>
            </w:r>
          </w:p>
        </w:tc>
        <w:tc>
          <w:tcPr>
            <w:tcW w:w="7292" w:type="dxa"/>
          </w:tcPr>
          <w:p w14:paraId="31952B7B" w14:textId="77777777" w:rsidR="00F83902" w:rsidRPr="006A4205" w:rsidRDefault="00F83902" w:rsidP="00D13771">
            <w:pPr>
              <w:spacing w:before="240"/>
            </w:pPr>
            <w:r w:rsidRPr="006A4205">
              <w:t>There are no restrictions on the use of these data. Any subsequent use or publishing of these data should reference the RCP SSNAP.</w:t>
            </w:r>
          </w:p>
        </w:tc>
      </w:tr>
      <w:permEnd w:id="751311414"/>
    </w:tbl>
    <w:p w14:paraId="3E1470F7" w14:textId="77777777" w:rsidR="00FC4450" w:rsidRPr="006A4205" w:rsidRDefault="00FC4450" w:rsidP="00FC4450"/>
    <w:p w14:paraId="60D92896" w14:textId="3BA3407D" w:rsidR="00FC4450" w:rsidRPr="006A4205" w:rsidRDefault="00FC4450" w:rsidP="00BD69FE">
      <w:pPr>
        <w:rPr>
          <w:b/>
          <w:sz w:val="24"/>
          <w:szCs w:val="24"/>
        </w:rPr>
      </w:pPr>
    </w:p>
    <w:p w14:paraId="00EDDCBF" w14:textId="36FBC597" w:rsidR="00FC4450" w:rsidRPr="006A4205" w:rsidRDefault="00FC4450" w:rsidP="00BD69FE">
      <w:pPr>
        <w:rPr>
          <w:b/>
          <w:sz w:val="24"/>
          <w:szCs w:val="24"/>
        </w:rPr>
      </w:pPr>
    </w:p>
    <w:p w14:paraId="73D8150F" w14:textId="43ACCD2C" w:rsidR="00FC4450" w:rsidRPr="006A4205" w:rsidRDefault="00FC4450" w:rsidP="00BD69FE">
      <w:pPr>
        <w:rPr>
          <w:b/>
          <w:sz w:val="24"/>
          <w:szCs w:val="24"/>
        </w:rPr>
      </w:pPr>
    </w:p>
    <w:p w14:paraId="5747DA0A" w14:textId="7A848F4A" w:rsidR="00FC4450" w:rsidRPr="006A4205" w:rsidRDefault="00FC4450" w:rsidP="00BD69FE">
      <w:pPr>
        <w:rPr>
          <w:b/>
          <w:sz w:val="24"/>
          <w:szCs w:val="24"/>
        </w:rPr>
      </w:pPr>
    </w:p>
    <w:p w14:paraId="4A7A0C08" w14:textId="472C7C60" w:rsidR="00FC4450" w:rsidRPr="006A4205" w:rsidRDefault="00FC4450" w:rsidP="00BD69FE">
      <w:pPr>
        <w:rPr>
          <w:b/>
          <w:sz w:val="24"/>
          <w:szCs w:val="24"/>
        </w:rPr>
      </w:pPr>
    </w:p>
    <w:p w14:paraId="10AC572E" w14:textId="3E992D31" w:rsidR="00FC4450" w:rsidRPr="006A4205" w:rsidRDefault="00FC4450" w:rsidP="00BD69FE">
      <w:pPr>
        <w:rPr>
          <w:b/>
          <w:sz w:val="24"/>
          <w:szCs w:val="24"/>
        </w:rPr>
      </w:pPr>
    </w:p>
    <w:p w14:paraId="15679475" w14:textId="41B7164F" w:rsidR="00FC4450" w:rsidRPr="006A4205" w:rsidRDefault="00FC4450" w:rsidP="00BD69FE">
      <w:pPr>
        <w:rPr>
          <w:b/>
          <w:sz w:val="24"/>
          <w:szCs w:val="24"/>
        </w:rPr>
      </w:pPr>
    </w:p>
    <w:p w14:paraId="27DFAB51" w14:textId="4ABC1B5E" w:rsidR="00FC4450" w:rsidRPr="006A4205" w:rsidRDefault="00FC4450" w:rsidP="00BD69FE">
      <w:pPr>
        <w:rPr>
          <w:b/>
          <w:sz w:val="24"/>
          <w:szCs w:val="24"/>
        </w:rPr>
      </w:pPr>
    </w:p>
    <w:p w14:paraId="2D72AFEE" w14:textId="23D3FB94" w:rsidR="00FC4450" w:rsidRPr="006A4205" w:rsidRDefault="00FC4450" w:rsidP="00BD69FE">
      <w:pPr>
        <w:rPr>
          <w:b/>
          <w:sz w:val="24"/>
          <w:szCs w:val="24"/>
        </w:rPr>
      </w:pPr>
    </w:p>
    <w:p w14:paraId="1667267F" w14:textId="0E3CA5CA" w:rsidR="00FC4450" w:rsidRPr="006A4205" w:rsidRDefault="00FC4450" w:rsidP="00BD69FE">
      <w:pPr>
        <w:rPr>
          <w:b/>
          <w:sz w:val="24"/>
          <w:szCs w:val="24"/>
        </w:rPr>
      </w:pPr>
    </w:p>
    <w:p w14:paraId="47B0ED15" w14:textId="69840908" w:rsidR="00FC4450" w:rsidRPr="006A4205" w:rsidRDefault="00FC4450" w:rsidP="00BD69FE">
      <w:pPr>
        <w:rPr>
          <w:b/>
          <w:sz w:val="24"/>
          <w:szCs w:val="24"/>
        </w:rPr>
      </w:pPr>
    </w:p>
    <w:p w14:paraId="095B5FE9" w14:textId="117B259E" w:rsidR="00FC4450" w:rsidRPr="006A4205" w:rsidRDefault="00FC4450" w:rsidP="00BD69FE">
      <w:pPr>
        <w:rPr>
          <w:b/>
          <w:sz w:val="24"/>
          <w:szCs w:val="24"/>
        </w:rPr>
      </w:pPr>
    </w:p>
    <w:p w14:paraId="3C5EEC2D" w14:textId="209742A8" w:rsidR="00FC4450" w:rsidRPr="006A4205" w:rsidRDefault="00FC4450" w:rsidP="00BD69FE">
      <w:pPr>
        <w:rPr>
          <w:b/>
          <w:sz w:val="24"/>
          <w:szCs w:val="24"/>
        </w:rPr>
      </w:pPr>
    </w:p>
    <w:p w14:paraId="65E4E55F" w14:textId="19404C26" w:rsidR="00FC4450" w:rsidRPr="006A4205" w:rsidRDefault="00FC4450" w:rsidP="00BD69FE">
      <w:pPr>
        <w:rPr>
          <w:b/>
          <w:sz w:val="24"/>
          <w:szCs w:val="24"/>
        </w:rPr>
      </w:pPr>
    </w:p>
    <w:sdt>
      <w:sdtPr>
        <w:rPr>
          <w:rFonts w:ascii="Arial" w:eastAsiaTheme="majorEastAsia" w:hAnsi="Arial" w:cs="Arial"/>
          <w:caps/>
          <w:lang w:val="en-GB" w:eastAsia="en-US"/>
        </w:rPr>
        <w:id w:val="-28027844"/>
        <w:docPartObj>
          <w:docPartGallery w:val="Cover Pages"/>
          <w:docPartUnique/>
        </w:docPartObj>
      </w:sdtPr>
      <w:sdtEndPr>
        <w:rPr>
          <w:rFonts w:eastAsia="+mn-ea"/>
          <w:b/>
          <w:caps w:val="0"/>
          <w:position w:val="1"/>
          <w:sz w:val="26"/>
          <w:szCs w:val="26"/>
        </w:rPr>
      </w:sdtEndPr>
      <w:sdtContent>
        <w:tbl>
          <w:tblPr>
            <w:tblStyle w:val="TableGrid1"/>
            <w:tblW w:w="5000" w:type="pct"/>
            <w:tblLook w:val="04A0" w:firstRow="1" w:lastRow="0" w:firstColumn="1" w:lastColumn="0" w:noHBand="0" w:noVBand="1"/>
          </w:tblPr>
          <w:tblGrid>
            <w:gridCol w:w="10054"/>
          </w:tblGrid>
          <w:tr w:rsidR="0023137D" w:rsidRPr="006A4205" w14:paraId="61E21B8E" w14:textId="77777777" w:rsidTr="0023137D">
            <w:trPr>
              <w:trHeight w:val="2880"/>
            </w:trPr>
            <w:tc>
              <w:tcPr>
                <w:tcW w:w="5000" w:type="pct"/>
              </w:tcPr>
              <w:p w14:paraId="2A71703F" w14:textId="77777777" w:rsidR="00FC4450" w:rsidRPr="006A4205" w:rsidRDefault="00FC4450" w:rsidP="00D13771">
                <w:pPr>
                  <w:pStyle w:val="NoSpacing"/>
                  <w:jc w:val="center"/>
                  <w:rPr>
                    <w:rFonts w:ascii="Arial" w:eastAsiaTheme="majorEastAsia" w:hAnsi="Arial" w:cs="Arial"/>
                    <w:caps/>
                  </w:rPr>
                </w:pPr>
              </w:p>
              <w:p w14:paraId="5CEBECA3" w14:textId="77777777" w:rsidR="00FC4450" w:rsidRPr="006A4205" w:rsidRDefault="00FC4450" w:rsidP="00D13771">
                <w:pPr>
                  <w:pStyle w:val="NoSpacing"/>
                  <w:jc w:val="center"/>
                  <w:rPr>
                    <w:rFonts w:ascii="Arial" w:eastAsiaTheme="majorEastAsia" w:hAnsi="Arial" w:cs="Arial"/>
                    <w:caps/>
                  </w:rPr>
                </w:pPr>
                <w:r w:rsidRPr="006A4205">
                  <w:rPr>
                    <w:rFonts w:ascii="Arial" w:eastAsiaTheme="majorEastAsia" w:hAnsi="Arial" w:cs="Arial"/>
                    <w:caps/>
                    <w:noProof/>
                    <w:lang w:val="en-GB" w:eastAsia="en-GB"/>
                  </w:rPr>
                  <w:drawing>
                    <wp:inline distT="0" distB="0" distL="0" distR="0" wp14:anchorId="3EBCE972" wp14:editId="1686A4F0">
                      <wp:extent cx="2705100" cy="1262380"/>
                      <wp:effectExtent l="0" t="0" r="0" b="0"/>
                      <wp:docPr id="7" name="Picture 7" descr="Logo of Indicator Governanc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9">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p>
            </w:tc>
          </w:tr>
          <w:tr w:rsidR="0023137D" w:rsidRPr="006A4205" w14:paraId="11FD673F" w14:textId="77777777" w:rsidTr="0023137D">
            <w:trPr>
              <w:trHeight w:val="1440"/>
            </w:trPr>
            <w:tc>
              <w:tcPr>
                <w:tcW w:w="5000" w:type="pct"/>
              </w:tcPr>
              <w:p w14:paraId="3A47F778" w14:textId="77777777" w:rsidR="00FC4450" w:rsidRPr="006A4205" w:rsidRDefault="00FC4450" w:rsidP="00D13771">
                <w:pPr>
                  <w:pStyle w:val="NoSpacing"/>
                  <w:jc w:val="center"/>
                  <w:rPr>
                    <w:rFonts w:ascii="Arial" w:eastAsiaTheme="majorEastAsia" w:hAnsi="Arial" w:cs="Arial"/>
                    <w:sz w:val="72"/>
                    <w:szCs w:val="80"/>
                  </w:rPr>
                </w:pPr>
              </w:p>
              <w:p w14:paraId="75ED8B1C" w14:textId="77777777" w:rsidR="00FC4450" w:rsidRPr="006A4205" w:rsidRDefault="00FC4450" w:rsidP="00D13771">
                <w:pPr>
                  <w:pStyle w:val="NoSpacing"/>
                  <w:jc w:val="center"/>
                  <w:rPr>
                    <w:rFonts w:ascii="Arial" w:eastAsiaTheme="majorEastAsia" w:hAnsi="Arial" w:cs="Arial"/>
                    <w:sz w:val="72"/>
                    <w:szCs w:val="80"/>
                  </w:rPr>
                </w:pPr>
              </w:p>
              <w:p w14:paraId="34FEAD2E" w14:textId="77777777" w:rsidR="00FC4450" w:rsidRPr="006A4205" w:rsidRDefault="00FC4450" w:rsidP="00D13771">
                <w:pPr>
                  <w:pStyle w:val="NoSpacing"/>
                  <w:jc w:val="center"/>
                  <w:rPr>
                    <w:rFonts w:ascii="Arial" w:eastAsiaTheme="majorEastAsia" w:hAnsi="Arial" w:cs="Arial"/>
                    <w:sz w:val="72"/>
                    <w:szCs w:val="80"/>
                  </w:rPr>
                </w:pPr>
              </w:p>
              <w:p w14:paraId="294688DE" w14:textId="77777777" w:rsidR="00FC4450" w:rsidRPr="006A4205" w:rsidRDefault="00FC4450" w:rsidP="00D13771">
                <w:pPr>
                  <w:pStyle w:val="NoSpacing"/>
                  <w:jc w:val="center"/>
                  <w:rPr>
                    <w:rFonts w:ascii="Arial" w:eastAsiaTheme="majorEastAsia" w:hAnsi="Arial" w:cs="Arial"/>
                    <w:sz w:val="72"/>
                    <w:szCs w:val="80"/>
                  </w:rPr>
                </w:pPr>
                <w:r w:rsidRPr="006A4205">
                  <w:rPr>
                    <w:rFonts w:ascii="Arial" w:eastAsiaTheme="majorEastAsia" w:hAnsi="Arial" w:cs="Arial"/>
                    <w:sz w:val="72"/>
                    <w:szCs w:val="80"/>
                  </w:rPr>
                  <w:t>Indicator Assurance Report</w:t>
                </w:r>
              </w:p>
            </w:tc>
          </w:tr>
          <w:tr w:rsidR="0023137D" w:rsidRPr="006A4205" w14:paraId="4B8C94E1" w14:textId="77777777" w:rsidTr="0023137D">
            <w:trPr>
              <w:trHeight w:val="360"/>
            </w:trPr>
            <w:tc>
              <w:tcPr>
                <w:tcW w:w="5000" w:type="pct"/>
              </w:tcPr>
              <w:p w14:paraId="416E9103" w14:textId="77777777" w:rsidR="00FC4450" w:rsidRPr="006A4205" w:rsidRDefault="00FC4450" w:rsidP="00D13771">
                <w:pPr>
                  <w:pStyle w:val="NormalWeb"/>
                  <w:spacing w:before="0" w:beforeAutospacing="0" w:after="0" w:afterAutospacing="0"/>
                  <w:jc w:val="center"/>
                  <w:rPr>
                    <w:rFonts w:ascii="Arial" w:eastAsia="+mn-ea" w:hAnsi="Arial" w:cs="Arial"/>
                    <w:b/>
                    <w:position w:val="1"/>
                    <w:sz w:val="36"/>
                    <w:szCs w:val="36"/>
                  </w:rPr>
                </w:pPr>
              </w:p>
              <w:p w14:paraId="49BDF19D" w14:textId="77777777" w:rsidR="00FC4450" w:rsidRPr="006A4205" w:rsidRDefault="00FC4450" w:rsidP="00D13771">
                <w:pPr>
                  <w:pStyle w:val="NormalWeb"/>
                  <w:spacing w:before="0" w:beforeAutospacing="0" w:after="0" w:afterAutospacing="0"/>
                  <w:jc w:val="center"/>
                  <w:rPr>
                    <w:rFonts w:ascii="Arial" w:eastAsia="+mn-ea" w:hAnsi="Arial" w:cs="Arial"/>
                    <w:b/>
                    <w:position w:val="1"/>
                    <w:sz w:val="36"/>
                    <w:szCs w:val="36"/>
                  </w:rPr>
                </w:pPr>
                <w:r w:rsidRPr="006A4205">
                  <w:rPr>
                    <w:rFonts w:ascii="Arial" w:eastAsia="+mn-ea" w:hAnsi="Arial" w:cs="Arial"/>
                    <w:b/>
                    <w:position w:val="1"/>
                    <w:sz w:val="32"/>
                    <w:szCs w:val="40"/>
                    <w:lang w:eastAsia="en-US"/>
                  </w:rPr>
                  <w:t xml:space="preserve"> </w:t>
                </w:r>
                <w:r w:rsidRPr="006A4205">
                  <w:rPr>
                    <w:rFonts w:ascii="Arial" w:eastAsia="+mn-ea" w:hAnsi="Arial" w:cs="Arial"/>
                    <w:b/>
                    <w:position w:val="1"/>
                    <w:sz w:val="36"/>
                    <w:szCs w:val="36"/>
                  </w:rPr>
                  <w:t>Patients with stroke admitted to an acute stroke unit within 4 hours of arrival to hospital</w:t>
                </w:r>
              </w:p>
              <w:p w14:paraId="16EADF7E" w14:textId="77777777" w:rsidR="00FC4450" w:rsidRPr="006A4205" w:rsidRDefault="00FC4450" w:rsidP="00D13771">
                <w:pPr>
                  <w:pStyle w:val="NoSpacing"/>
                  <w:jc w:val="center"/>
                  <w:rPr>
                    <w:rFonts w:ascii="Arial" w:hAnsi="Arial" w:cs="Arial"/>
                    <w:sz w:val="36"/>
                    <w:szCs w:val="36"/>
                  </w:rPr>
                </w:pPr>
              </w:p>
            </w:tc>
          </w:tr>
          <w:tr w:rsidR="0023137D" w:rsidRPr="006A4205" w14:paraId="68FEBA0B" w14:textId="77777777" w:rsidTr="0023137D">
            <w:trPr>
              <w:trHeight w:val="360"/>
            </w:trPr>
            <w:tc>
              <w:tcPr>
                <w:tcW w:w="5000" w:type="pct"/>
              </w:tcPr>
              <w:p w14:paraId="6B3846BD" w14:textId="77777777" w:rsidR="00FC4450" w:rsidRPr="006A4205" w:rsidRDefault="00FC4450" w:rsidP="00D13771">
                <w:pPr>
                  <w:pStyle w:val="NoSpacing"/>
                  <w:jc w:val="center"/>
                  <w:rPr>
                    <w:rFonts w:ascii="Arial" w:hAnsi="Arial" w:cs="Arial"/>
                    <w:b/>
                    <w:bCs/>
                    <w:sz w:val="28"/>
                    <w:szCs w:val="28"/>
                  </w:rPr>
                </w:pPr>
                <w:r w:rsidRPr="006A4205">
                  <w:rPr>
                    <w:rFonts w:ascii="Arial" w:hAnsi="Arial" w:cs="Arial"/>
                    <w:b/>
                    <w:bCs/>
                    <w:sz w:val="28"/>
                    <w:szCs w:val="28"/>
                  </w:rPr>
                  <w:t>IAP00094</w:t>
                </w:r>
              </w:p>
            </w:tc>
          </w:tr>
        </w:tbl>
        <w:p w14:paraId="0F341BBB" w14:textId="77777777" w:rsidR="00FC4450" w:rsidRPr="006A4205" w:rsidRDefault="00FC4450" w:rsidP="00FC4450">
          <w:pPr>
            <w:jc w:val="center"/>
          </w:pPr>
        </w:p>
        <w:p w14:paraId="5D187F57" w14:textId="77777777" w:rsidR="00FC4450" w:rsidRPr="006A4205" w:rsidRDefault="00FC4450" w:rsidP="00FC4450"/>
        <w:p w14:paraId="0FDA2578" w14:textId="77777777" w:rsidR="00FC4450" w:rsidRPr="006A4205" w:rsidRDefault="00FC4450" w:rsidP="00FC4450"/>
        <w:p w14:paraId="3EDC1F8C" w14:textId="6F048F8E" w:rsidR="00FC4450" w:rsidRPr="006A4205" w:rsidRDefault="006A4205" w:rsidP="00FC4450">
          <w:pPr>
            <w:rPr>
              <w:rFonts w:eastAsia="+mn-ea"/>
              <w:b/>
              <w:position w:val="1"/>
              <w:sz w:val="26"/>
              <w:szCs w:val="26"/>
              <w:lang w:eastAsia="en-GB"/>
            </w:rPr>
          </w:pPr>
          <w:r w:rsidRPr="006A4205">
            <w:rPr>
              <w:rFonts w:eastAsia="Times New Roman"/>
              <w:noProof/>
              <w:sz w:val="24"/>
              <w:szCs w:val="24"/>
              <w:lang w:eastAsia="en-GB"/>
            </w:rPr>
            <w:lastRenderedPageBreak/>
            <w:t>a</w:t>
          </w:r>
          <w:r w:rsidR="00FC4450" w:rsidRPr="006A4205">
            <w:rPr>
              <w:rFonts w:eastAsia="Times New Roman"/>
              <w:noProof/>
              <w:sz w:val="24"/>
              <w:szCs w:val="24"/>
              <w:lang w:eastAsia="en-GB"/>
            </w:rPr>
            <w:drawing>
              <wp:inline distT="0" distB="0" distL="0" distR="0" wp14:anchorId="75195231" wp14:editId="44159D85">
                <wp:extent cx="6452870" cy="1495425"/>
                <wp:effectExtent l="0" t="0" r="5080" b="9525"/>
                <wp:docPr id="22" name="Picture 22" descr="Logos of support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email">
                          <a:extLst>
                            <a:ext uri="{28A0092B-C50C-407E-A947-70E740481C1C}">
                              <a14:useLocalDpi xmlns:a14="http://schemas.microsoft.com/office/drawing/2010/main" val="0"/>
                            </a:ext>
                          </a:extLst>
                        </a:blip>
                        <a:srcRect/>
                        <a:stretch>
                          <a:fillRect/>
                        </a:stretch>
                      </pic:blipFill>
                      <pic:spPr bwMode="auto">
                        <a:xfrm>
                          <a:off x="0" y="0"/>
                          <a:ext cx="6452870" cy="1495425"/>
                        </a:xfrm>
                        <a:prstGeom prst="rect">
                          <a:avLst/>
                        </a:prstGeom>
                        <a:noFill/>
                      </pic:spPr>
                    </pic:pic>
                  </a:graphicData>
                </a:graphic>
              </wp:inline>
            </w:drawing>
          </w:r>
          <w:r w:rsidR="00FC4450" w:rsidRPr="006A4205">
            <w:rPr>
              <w:rFonts w:eastAsia="+mn-ea"/>
              <w:b/>
              <w:position w:val="1"/>
              <w:sz w:val="26"/>
              <w:szCs w:val="26"/>
            </w:rPr>
            <w:br w:type="page"/>
          </w:r>
        </w:p>
      </w:sdtContent>
    </w:sdt>
    <w:p w14:paraId="1DB3051E" w14:textId="77777777" w:rsidR="00FC4450" w:rsidRPr="006A4205" w:rsidRDefault="00FC4450" w:rsidP="00FC4450">
      <w:pPr>
        <w:pStyle w:val="NormalWeb"/>
        <w:spacing w:before="0" w:beforeAutospacing="0" w:after="0" w:afterAutospacing="0"/>
        <w:rPr>
          <w:rFonts w:ascii="Arial" w:eastAsia="+mn-ea" w:hAnsi="Arial" w:cs="Arial"/>
          <w:position w:val="1"/>
          <w:sz w:val="22"/>
          <w:szCs w:val="22"/>
        </w:rPr>
      </w:pPr>
    </w:p>
    <w:p w14:paraId="77D81FC5" w14:textId="77777777" w:rsidR="00FC4450" w:rsidRPr="006A4205" w:rsidRDefault="00FC4450" w:rsidP="00FC4450">
      <w:pPr>
        <w:pStyle w:val="NormalWeb"/>
        <w:spacing w:before="0" w:beforeAutospacing="0" w:after="0" w:afterAutospacing="0"/>
        <w:rPr>
          <w:rFonts w:ascii="Arial" w:eastAsia="+mn-ea" w:hAnsi="Arial" w:cs="Arial"/>
          <w:b/>
          <w:position w:val="1"/>
          <w:sz w:val="32"/>
          <w:szCs w:val="26"/>
        </w:rPr>
      </w:pPr>
      <w:r w:rsidRPr="006A4205">
        <w:rPr>
          <w:rFonts w:ascii="Arial" w:eastAsia="+mn-ea" w:hAnsi="Arial" w:cs="Arial"/>
          <w:b/>
          <w:position w:val="1"/>
          <w:sz w:val="32"/>
          <w:szCs w:val="26"/>
        </w:rPr>
        <w:t>Final Assurance Rating from the Indicator Governance Board</w:t>
      </w:r>
    </w:p>
    <w:p w14:paraId="3947BA88" w14:textId="77777777" w:rsidR="00FC4450" w:rsidRPr="006A4205" w:rsidRDefault="00FC4450" w:rsidP="00FC4450">
      <w:pPr>
        <w:pStyle w:val="NormalWeb"/>
        <w:spacing w:before="0" w:beforeAutospacing="0" w:after="0" w:afterAutospacing="0"/>
        <w:rPr>
          <w:rFonts w:ascii="Arial" w:eastAsia="+mn-ea" w:hAnsi="Arial" w:cs="Arial"/>
          <w:b/>
          <w:position w:val="1"/>
          <w:sz w:val="26"/>
          <w:szCs w:val="26"/>
        </w:rPr>
      </w:pPr>
    </w:p>
    <w:tbl>
      <w:tblPr>
        <w:tblStyle w:val="TableGrid1"/>
        <w:tblW w:w="0" w:type="auto"/>
        <w:tblLook w:val="04A0" w:firstRow="1" w:lastRow="0" w:firstColumn="1" w:lastColumn="0" w:noHBand="0" w:noVBand="1"/>
      </w:tblPr>
      <w:tblGrid>
        <w:gridCol w:w="3617"/>
        <w:gridCol w:w="1391"/>
      </w:tblGrid>
      <w:tr w:rsidR="006A4205" w:rsidRPr="006A4205" w14:paraId="50C2F29F" w14:textId="77777777" w:rsidTr="00F83902">
        <w:tc>
          <w:tcPr>
            <w:tcW w:w="3617" w:type="dxa"/>
          </w:tcPr>
          <w:p w14:paraId="1A25E932" w14:textId="77777777" w:rsidR="00F83902" w:rsidRPr="006A4205" w:rsidRDefault="00F83902" w:rsidP="00D13771">
            <w:pPr>
              <w:spacing w:before="120" w:after="120"/>
              <w:rPr>
                <w:rFonts w:eastAsia="+mn-ea"/>
                <w:b/>
                <w:position w:val="1"/>
                <w:szCs w:val="40"/>
              </w:rPr>
            </w:pPr>
            <w:r w:rsidRPr="006A4205">
              <w:rPr>
                <w:rFonts w:eastAsia="+mn-ea"/>
                <w:b/>
                <w:position w:val="1"/>
                <w:szCs w:val="40"/>
              </w:rPr>
              <w:t>Clarity</w:t>
            </w:r>
          </w:p>
        </w:tc>
        <w:tc>
          <w:tcPr>
            <w:tcW w:w="1391" w:type="dxa"/>
          </w:tcPr>
          <w:p w14:paraId="3B6FF2D0" w14:textId="28D92869" w:rsidR="00F83902" w:rsidRPr="006A4205" w:rsidRDefault="00F83902" w:rsidP="00D13771">
            <w:pPr>
              <w:jc w:val="center"/>
              <w:rPr>
                <w:rFonts w:eastAsia="+mn-ea"/>
                <w:b/>
                <w:position w:val="1"/>
                <w:sz w:val="32"/>
                <w:szCs w:val="40"/>
              </w:rPr>
            </w:pPr>
            <w:r w:rsidRPr="006A4205">
              <w:rPr>
                <w:rFonts w:eastAsia="+mn-ea"/>
                <w:b/>
                <w:position w:val="1"/>
                <w:sz w:val="32"/>
                <w:szCs w:val="40"/>
              </w:rPr>
              <w:t xml:space="preserve"> </w:t>
            </w:r>
            <w:r w:rsidRPr="006A4205">
              <w:rPr>
                <w:rFonts w:eastAsia="+mn-ea"/>
                <w:b/>
                <w:position w:val="1"/>
                <w:sz w:val="32"/>
                <w:szCs w:val="40"/>
              </w:rPr>
              <w:t xml:space="preserve">Fit for use </w:t>
            </w:r>
          </w:p>
        </w:tc>
      </w:tr>
      <w:tr w:rsidR="006A4205" w:rsidRPr="006A4205" w14:paraId="63305FA7" w14:textId="77777777" w:rsidTr="00F83902">
        <w:tc>
          <w:tcPr>
            <w:tcW w:w="3617" w:type="dxa"/>
          </w:tcPr>
          <w:p w14:paraId="504E590B" w14:textId="77777777" w:rsidR="00F83902" w:rsidRPr="006A4205" w:rsidRDefault="00F83902" w:rsidP="00D13771">
            <w:pPr>
              <w:spacing w:before="120" w:after="120"/>
              <w:rPr>
                <w:rFonts w:eastAsia="+mn-ea"/>
                <w:b/>
                <w:position w:val="1"/>
                <w:szCs w:val="40"/>
              </w:rPr>
            </w:pPr>
            <w:r w:rsidRPr="006A4205">
              <w:rPr>
                <w:rFonts w:eastAsia="+mn-ea"/>
                <w:b/>
                <w:position w:val="1"/>
                <w:szCs w:val="40"/>
              </w:rPr>
              <w:t>Rationale</w:t>
            </w:r>
          </w:p>
        </w:tc>
        <w:tc>
          <w:tcPr>
            <w:tcW w:w="1391" w:type="dxa"/>
          </w:tcPr>
          <w:p w14:paraId="68BAD954" w14:textId="2DF0143F" w:rsidR="00F83902" w:rsidRPr="006A4205" w:rsidRDefault="00F83902" w:rsidP="00D13771">
            <w:pPr>
              <w:jc w:val="center"/>
              <w:rPr>
                <w:rFonts w:eastAsia="+mn-ea"/>
                <w:b/>
                <w:position w:val="1"/>
                <w:sz w:val="32"/>
                <w:szCs w:val="40"/>
              </w:rPr>
            </w:pPr>
            <w:r w:rsidRPr="006A4205">
              <w:rPr>
                <w:rFonts w:eastAsia="+mn-ea"/>
                <w:b/>
                <w:position w:val="1"/>
                <w:sz w:val="32"/>
                <w:szCs w:val="40"/>
              </w:rPr>
              <w:t xml:space="preserve"> </w:t>
            </w:r>
            <w:r w:rsidRPr="006A4205">
              <w:rPr>
                <w:rFonts w:eastAsia="+mn-ea"/>
                <w:b/>
                <w:position w:val="1"/>
                <w:sz w:val="32"/>
                <w:szCs w:val="40"/>
              </w:rPr>
              <w:t>Fit for use with caveats</w:t>
            </w:r>
          </w:p>
        </w:tc>
      </w:tr>
      <w:tr w:rsidR="006A4205" w:rsidRPr="006A4205" w14:paraId="7E0BD581" w14:textId="77777777" w:rsidTr="00F83902">
        <w:tc>
          <w:tcPr>
            <w:tcW w:w="3617" w:type="dxa"/>
          </w:tcPr>
          <w:p w14:paraId="125F5FF3" w14:textId="77777777" w:rsidR="00F83902" w:rsidRPr="006A4205" w:rsidRDefault="00F83902" w:rsidP="00D13771">
            <w:pPr>
              <w:spacing w:before="120" w:after="120"/>
              <w:rPr>
                <w:rFonts w:eastAsia="+mn-ea"/>
                <w:b/>
                <w:position w:val="1"/>
                <w:szCs w:val="40"/>
              </w:rPr>
            </w:pPr>
            <w:r w:rsidRPr="006A4205">
              <w:rPr>
                <w:rFonts w:eastAsia="+mn-ea"/>
                <w:b/>
                <w:position w:val="1"/>
                <w:szCs w:val="40"/>
              </w:rPr>
              <w:t>Data</w:t>
            </w:r>
          </w:p>
        </w:tc>
        <w:tc>
          <w:tcPr>
            <w:tcW w:w="1391" w:type="dxa"/>
          </w:tcPr>
          <w:p w14:paraId="6FF0A58C" w14:textId="6E456F07" w:rsidR="00F83902" w:rsidRPr="006A4205" w:rsidRDefault="00F83902" w:rsidP="00D13771">
            <w:pPr>
              <w:jc w:val="center"/>
              <w:rPr>
                <w:rFonts w:eastAsia="+mn-ea"/>
                <w:b/>
                <w:position w:val="1"/>
                <w:sz w:val="32"/>
                <w:szCs w:val="40"/>
              </w:rPr>
            </w:pPr>
            <w:r w:rsidRPr="006A4205">
              <w:rPr>
                <w:rFonts w:eastAsia="+mn-ea"/>
                <w:b/>
                <w:position w:val="1"/>
                <w:sz w:val="32"/>
                <w:szCs w:val="40"/>
              </w:rPr>
              <w:t xml:space="preserve"> </w:t>
            </w:r>
            <w:r w:rsidRPr="006A4205">
              <w:rPr>
                <w:rFonts w:eastAsia="+mn-ea"/>
                <w:b/>
                <w:position w:val="1"/>
                <w:sz w:val="32"/>
                <w:szCs w:val="40"/>
              </w:rPr>
              <w:t>Fit for use with caveats</w:t>
            </w:r>
          </w:p>
        </w:tc>
      </w:tr>
      <w:tr w:rsidR="006A4205" w:rsidRPr="006A4205" w14:paraId="07CC47FE" w14:textId="77777777" w:rsidTr="00F83902">
        <w:tc>
          <w:tcPr>
            <w:tcW w:w="3617" w:type="dxa"/>
          </w:tcPr>
          <w:p w14:paraId="61A3F429" w14:textId="77777777" w:rsidR="00F83902" w:rsidRPr="006A4205" w:rsidRDefault="00F83902" w:rsidP="00D13771">
            <w:pPr>
              <w:spacing w:before="120" w:after="120"/>
              <w:rPr>
                <w:rFonts w:eastAsia="+mn-ea"/>
                <w:b/>
                <w:position w:val="1"/>
                <w:szCs w:val="40"/>
              </w:rPr>
            </w:pPr>
            <w:r w:rsidRPr="006A4205">
              <w:rPr>
                <w:rFonts w:eastAsia="+mn-ea"/>
                <w:b/>
                <w:position w:val="1"/>
                <w:szCs w:val="40"/>
              </w:rPr>
              <w:t>Construction</w:t>
            </w:r>
          </w:p>
        </w:tc>
        <w:tc>
          <w:tcPr>
            <w:tcW w:w="1391" w:type="dxa"/>
          </w:tcPr>
          <w:p w14:paraId="69DABE88" w14:textId="78C15DF2" w:rsidR="00F83902" w:rsidRPr="006A4205" w:rsidRDefault="00F83902" w:rsidP="00D13771">
            <w:pPr>
              <w:jc w:val="center"/>
              <w:rPr>
                <w:rFonts w:eastAsia="+mn-ea"/>
                <w:b/>
                <w:position w:val="1"/>
                <w:sz w:val="32"/>
                <w:szCs w:val="40"/>
              </w:rPr>
            </w:pPr>
            <w:r w:rsidRPr="006A4205">
              <w:rPr>
                <w:rFonts w:eastAsia="+mn-ea"/>
                <w:b/>
                <w:position w:val="1"/>
                <w:sz w:val="32"/>
                <w:szCs w:val="40"/>
              </w:rPr>
              <w:t xml:space="preserve"> </w:t>
            </w:r>
            <w:r w:rsidRPr="006A4205">
              <w:rPr>
                <w:rFonts w:eastAsia="+mn-ea"/>
                <w:b/>
                <w:position w:val="1"/>
                <w:sz w:val="32"/>
                <w:szCs w:val="40"/>
              </w:rPr>
              <w:t>Fit for use</w:t>
            </w:r>
          </w:p>
        </w:tc>
      </w:tr>
      <w:tr w:rsidR="006A4205" w:rsidRPr="006A4205" w14:paraId="3041A37E" w14:textId="77777777" w:rsidTr="00F83902">
        <w:tc>
          <w:tcPr>
            <w:tcW w:w="3617" w:type="dxa"/>
          </w:tcPr>
          <w:p w14:paraId="6F21847F" w14:textId="77777777" w:rsidR="00F83902" w:rsidRPr="006A4205" w:rsidRDefault="00F83902" w:rsidP="00D13771">
            <w:pPr>
              <w:spacing w:before="120" w:after="120"/>
              <w:rPr>
                <w:rFonts w:eastAsia="+mn-ea"/>
                <w:b/>
                <w:position w:val="1"/>
                <w:szCs w:val="40"/>
              </w:rPr>
            </w:pPr>
            <w:r w:rsidRPr="006A4205">
              <w:rPr>
                <w:rFonts w:eastAsia="+mn-ea"/>
                <w:b/>
                <w:position w:val="1"/>
                <w:szCs w:val="40"/>
              </w:rPr>
              <w:t>Presentation and Interpretation</w:t>
            </w:r>
          </w:p>
        </w:tc>
        <w:tc>
          <w:tcPr>
            <w:tcW w:w="1391" w:type="dxa"/>
          </w:tcPr>
          <w:p w14:paraId="73E4EC14" w14:textId="2D3DF73D" w:rsidR="00F83902" w:rsidRPr="006A4205" w:rsidRDefault="00F83902" w:rsidP="00D13771">
            <w:pPr>
              <w:jc w:val="center"/>
              <w:rPr>
                <w:rFonts w:eastAsia="+mn-ea"/>
                <w:b/>
                <w:position w:val="1"/>
                <w:sz w:val="32"/>
                <w:szCs w:val="40"/>
              </w:rPr>
            </w:pPr>
            <w:r w:rsidRPr="006A4205">
              <w:rPr>
                <w:rFonts w:eastAsia="+mn-ea"/>
                <w:b/>
                <w:position w:val="1"/>
                <w:sz w:val="32"/>
                <w:szCs w:val="40"/>
              </w:rPr>
              <w:t xml:space="preserve"> </w:t>
            </w:r>
            <w:r w:rsidRPr="006A4205">
              <w:rPr>
                <w:rFonts w:eastAsia="+mn-ea"/>
                <w:b/>
                <w:position w:val="1"/>
                <w:sz w:val="32"/>
                <w:szCs w:val="40"/>
              </w:rPr>
              <w:t>Fit for use with caveats</w:t>
            </w:r>
          </w:p>
        </w:tc>
      </w:tr>
      <w:tr w:rsidR="006A4205" w:rsidRPr="006A4205" w14:paraId="1DAABDCB" w14:textId="77777777" w:rsidTr="00F83902">
        <w:tc>
          <w:tcPr>
            <w:tcW w:w="3617" w:type="dxa"/>
          </w:tcPr>
          <w:p w14:paraId="1F5ED8F4" w14:textId="77777777" w:rsidR="00F83902" w:rsidRPr="006A4205" w:rsidRDefault="00F83902" w:rsidP="00D13771">
            <w:pPr>
              <w:spacing w:before="120" w:after="120"/>
              <w:rPr>
                <w:rFonts w:eastAsia="+mn-ea"/>
                <w:b/>
                <w:position w:val="1"/>
                <w:szCs w:val="40"/>
              </w:rPr>
            </w:pPr>
            <w:r w:rsidRPr="006A4205">
              <w:rPr>
                <w:rFonts w:eastAsia="+mn-ea"/>
                <w:b/>
                <w:position w:val="1"/>
                <w:szCs w:val="40"/>
              </w:rPr>
              <w:t>Risks and Usefulness</w:t>
            </w:r>
          </w:p>
        </w:tc>
        <w:tc>
          <w:tcPr>
            <w:tcW w:w="1391" w:type="dxa"/>
          </w:tcPr>
          <w:p w14:paraId="14B5CDF4" w14:textId="3D42AF69" w:rsidR="00F83902" w:rsidRPr="006A4205" w:rsidRDefault="00F83902" w:rsidP="00D13771">
            <w:pPr>
              <w:jc w:val="center"/>
              <w:rPr>
                <w:rFonts w:eastAsia="+mn-ea"/>
                <w:b/>
                <w:position w:val="1"/>
                <w:sz w:val="32"/>
                <w:szCs w:val="40"/>
              </w:rPr>
            </w:pPr>
            <w:r w:rsidRPr="006A4205">
              <w:rPr>
                <w:rFonts w:eastAsia="+mn-ea"/>
                <w:b/>
                <w:position w:val="1"/>
                <w:sz w:val="32"/>
                <w:szCs w:val="40"/>
              </w:rPr>
              <w:t>Fit for use with caveats</w:t>
            </w:r>
          </w:p>
        </w:tc>
      </w:tr>
      <w:tr w:rsidR="006A4205" w:rsidRPr="006A4205" w14:paraId="57D838CC" w14:textId="77777777" w:rsidTr="00F83902">
        <w:tc>
          <w:tcPr>
            <w:tcW w:w="3617" w:type="dxa"/>
          </w:tcPr>
          <w:p w14:paraId="16A32F36" w14:textId="3612D7F0" w:rsidR="00F83902" w:rsidRPr="006A4205" w:rsidRDefault="00F83902" w:rsidP="00F83902">
            <w:pPr>
              <w:spacing w:before="120" w:after="120"/>
              <w:rPr>
                <w:rFonts w:eastAsia="+mn-ea"/>
                <w:b/>
                <w:position w:val="1"/>
                <w:szCs w:val="40"/>
              </w:rPr>
            </w:pPr>
            <w:r w:rsidRPr="006A4205">
              <w:rPr>
                <w:rFonts w:eastAsia="+mn-ea"/>
                <w:b/>
                <w:position w:val="1"/>
                <w:szCs w:val="40"/>
              </w:rPr>
              <w:t>Overall rating</w:t>
            </w:r>
          </w:p>
        </w:tc>
        <w:tc>
          <w:tcPr>
            <w:tcW w:w="1391" w:type="dxa"/>
          </w:tcPr>
          <w:sdt>
            <w:sdtPr>
              <w:rPr>
                <w:rStyle w:val="Style1"/>
                <w:color w:val="auto"/>
              </w:rPr>
              <w:alias w:val="Overall rating"/>
              <w:tag w:val="Overall rating"/>
              <w:id w:val="-197241580"/>
              <w:placeholder>
                <w:docPart w:val="2111D86AFB2B41D49181A5E344EA189A"/>
              </w:placeholder>
              <w:dropDownList>
                <w:listItem w:value="Choose an item."/>
                <w:listItem w:displayText="Fit for use" w:value="Fit for use"/>
                <w:listItem w:displayText="Fit for use with caveats" w:value="Fit for use with caveats"/>
                <w:listItem w:displayText="Use with caution" w:value="Use with caution"/>
                <w:listItem w:displayText="Not fit for use" w:value="Not fit for use"/>
                <w:listItem w:displayText="Not enough information provided" w:value="Not enough information provided"/>
                <w:listItem w:displayText="Pending" w:value="Pending"/>
              </w:dropDownList>
            </w:sdtPr>
            <w:sdtContent>
              <w:p w14:paraId="0D56D93A" w14:textId="3640EDD4" w:rsidR="00F83902" w:rsidRPr="006A4205" w:rsidRDefault="00F83902" w:rsidP="00F83902">
                <w:pPr>
                  <w:jc w:val="center"/>
                  <w:rPr>
                    <w:rFonts w:eastAsia="+mn-ea"/>
                    <w:b/>
                    <w:noProof/>
                    <w:position w:val="1"/>
                    <w:sz w:val="32"/>
                    <w:szCs w:val="40"/>
                    <w:lang w:eastAsia="en-GB"/>
                  </w:rPr>
                </w:pPr>
                <w:r w:rsidRPr="006A4205">
                  <w:rPr>
                    <w:rStyle w:val="Style1"/>
                    <w:color w:val="auto"/>
                  </w:rPr>
                  <w:t>Fit for use with caveats</w:t>
                </w:r>
              </w:p>
            </w:sdtContent>
          </w:sdt>
        </w:tc>
      </w:tr>
    </w:tbl>
    <w:p w14:paraId="3A3FD868" w14:textId="77777777" w:rsidR="00FC4450" w:rsidRPr="006A4205" w:rsidRDefault="00FC4450" w:rsidP="00FC4450">
      <w:pPr>
        <w:pStyle w:val="NormalWeb"/>
        <w:spacing w:before="0" w:beforeAutospacing="0" w:after="0" w:afterAutospacing="0"/>
        <w:rPr>
          <w:rFonts w:ascii="Arial" w:eastAsia="+mn-ea" w:hAnsi="Arial" w:cs="Arial"/>
          <w:b/>
          <w:position w:val="1"/>
          <w:sz w:val="26"/>
          <w:szCs w:val="26"/>
        </w:rPr>
      </w:pPr>
    </w:p>
    <w:p w14:paraId="3E5DE872" w14:textId="77777777" w:rsidR="00FC4450" w:rsidRPr="006A4205" w:rsidRDefault="00FC4450" w:rsidP="00FC4450">
      <w:pPr>
        <w:pStyle w:val="NormalWeb"/>
        <w:spacing w:before="0" w:beforeAutospacing="0" w:after="0" w:afterAutospacing="0"/>
        <w:rPr>
          <w:rFonts w:ascii="Arial" w:eastAsia="+mn-ea" w:hAnsi="Arial" w:cs="Arial"/>
          <w:b/>
          <w:position w:val="1"/>
          <w:sz w:val="26"/>
          <w:szCs w:val="26"/>
        </w:rPr>
      </w:pPr>
    </w:p>
    <w:tbl>
      <w:tblPr>
        <w:tblStyle w:val="TableGrid"/>
        <w:tblW w:w="0" w:type="auto"/>
        <w:tblLook w:val="04A0" w:firstRow="1" w:lastRow="0" w:firstColumn="1" w:lastColumn="0" w:noHBand="0" w:noVBand="1"/>
      </w:tblPr>
      <w:tblGrid>
        <w:gridCol w:w="10064"/>
      </w:tblGrid>
      <w:tr w:rsidR="0023137D" w:rsidRPr="006A4205" w14:paraId="49375883" w14:textId="77777777" w:rsidTr="00D13771">
        <w:sdt>
          <w:sdtPr>
            <w:rPr>
              <w:rFonts w:ascii="Arial" w:eastAsia="+mn-ea" w:hAnsi="Arial" w:cs="Arial"/>
              <w:b/>
              <w:position w:val="1"/>
              <w:sz w:val="22"/>
              <w:szCs w:val="22"/>
            </w:rPr>
            <w:alias w:val="Library status"/>
            <w:tag w:val="Library status"/>
            <w:id w:val="309832324"/>
            <w:placeholder>
              <w:docPart w:val="86A3B89E3A754093999B927D69B8BE4C"/>
            </w:placeholder>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tiy Assured Indicators" w:value="This indicator has not been approved for inclusion in the National Library of Qualtiy Assured Indicators"/>
            </w:dropDownList>
          </w:sdtPr>
          <w:sdtContent>
            <w:tc>
              <w:tcPr>
                <w:tcW w:w="10280" w:type="dxa"/>
                <w:tcBorders>
                  <w:top w:val="nil"/>
                  <w:left w:val="nil"/>
                  <w:bottom w:val="nil"/>
                  <w:right w:val="nil"/>
                </w:tcBorders>
                <w:shd w:val="clear" w:color="auto" w:fill="DBE5F1" w:themeFill="accent1" w:themeFillTint="33"/>
              </w:tcPr>
              <w:p w14:paraId="33AB2F03" w14:textId="77777777" w:rsidR="00FC4450" w:rsidRPr="006A4205" w:rsidRDefault="00FC4450" w:rsidP="00D13771">
                <w:pPr>
                  <w:pStyle w:val="NormalWeb"/>
                  <w:spacing w:before="60" w:beforeAutospacing="0" w:after="60" w:afterAutospacing="0"/>
                  <w:rPr>
                    <w:rFonts w:ascii="Arial" w:eastAsia="+mn-ea" w:hAnsi="Arial" w:cs="Arial"/>
                    <w:b/>
                    <w:position w:val="1"/>
                    <w:sz w:val="22"/>
                    <w:szCs w:val="22"/>
                  </w:rPr>
                </w:pPr>
                <w:r w:rsidRPr="006A4205">
                  <w:rPr>
                    <w:rFonts w:ascii="Arial" w:eastAsia="+mn-ea" w:hAnsi="Arial" w:cs="Arial"/>
                    <w:b/>
                    <w:position w:val="1"/>
                    <w:sz w:val="22"/>
                    <w:szCs w:val="22"/>
                  </w:rPr>
                  <w:t>This indicator has been approved for inclusion in the National Library of Quality Assured Indicators</w:t>
                </w:r>
              </w:p>
            </w:tc>
          </w:sdtContent>
        </w:sdt>
      </w:tr>
    </w:tbl>
    <w:p w14:paraId="6B4B6BEF" w14:textId="77777777" w:rsidR="00FC4450" w:rsidRPr="006A4205" w:rsidRDefault="00FC4450" w:rsidP="00FC4450">
      <w:pPr>
        <w:pStyle w:val="NormalWeb"/>
        <w:spacing w:before="0" w:beforeAutospacing="0" w:after="0" w:afterAutospacing="0"/>
        <w:rPr>
          <w:rFonts w:ascii="Arial" w:eastAsia="+mn-ea" w:hAnsi="Arial" w:cs="Arial"/>
          <w:b/>
          <w:position w:val="1"/>
          <w:sz w:val="26"/>
          <w:szCs w:val="26"/>
        </w:rPr>
      </w:pPr>
    </w:p>
    <w:p w14:paraId="4778A191" w14:textId="77777777" w:rsidR="00FC4450" w:rsidRPr="006A4205" w:rsidRDefault="00FC4450" w:rsidP="00FC4450">
      <w:pPr>
        <w:pStyle w:val="NormalWeb"/>
        <w:spacing w:before="0" w:beforeAutospacing="0" w:after="0" w:afterAutospacing="0"/>
        <w:rPr>
          <w:rFonts w:ascii="Arial" w:eastAsia="+mn-ea" w:hAnsi="Arial" w:cs="Arial"/>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23137D" w:rsidRPr="006A4205" w14:paraId="62B4D836" w14:textId="77777777" w:rsidTr="00D13771">
        <w:tc>
          <w:tcPr>
            <w:tcW w:w="10280" w:type="dxa"/>
            <w:shd w:val="clear" w:color="auto" w:fill="DBE5F1" w:themeFill="accent1" w:themeFillTint="33"/>
          </w:tcPr>
          <w:p w14:paraId="79DB0752" w14:textId="77777777" w:rsidR="00FC4450" w:rsidRPr="006A4205" w:rsidRDefault="00FC4450" w:rsidP="00D13771">
            <w:pPr>
              <w:pStyle w:val="NormalWeb"/>
              <w:spacing w:before="0" w:beforeAutospacing="0" w:after="0" w:afterAutospacing="0"/>
              <w:rPr>
                <w:rFonts w:ascii="Arial" w:eastAsia="+mn-ea" w:hAnsi="Arial" w:cs="Arial"/>
                <w:b/>
                <w:position w:val="1"/>
                <w:sz w:val="26"/>
                <w:szCs w:val="26"/>
              </w:rPr>
            </w:pPr>
            <w:r w:rsidRPr="006A4205">
              <w:rPr>
                <w:rFonts w:ascii="Arial" w:eastAsia="+mn-ea" w:hAnsi="Arial" w:cs="Arial"/>
                <w:b/>
                <w:position w:val="1"/>
                <w:sz w:val="26"/>
                <w:szCs w:val="26"/>
              </w:rPr>
              <w:t>Key findings from Assurance</w:t>
            </w:r>
          </w:p>
        </w:tc>
      </w:tr>
      <w:tr w:rsidR="00FC4450" w:rsidRPr="006A4205" w14:paraId="044297DF" w14:textId="77777777" w:rsidTr="00D13771">
        <w:tc>
          <w:tcPr>
            <w:tcW w:w="10280" w:type="dxa"/>
          </w:tcPr>
          <w:p w14:paraId="4ED78089" w14:textId="77777777" w:rsidR="00FC4450" w:rsidRPr="006A4205" w:rsidRDefault="00FC4450" w:rsidP="00D13771">
            <w:pPr>
              <w:pStyle w:val="ListParagraph"/>
              <w:rPr>
                <w:rFonts w:ascii="Arial" w:eastAsia="+mn-ea" w:hAnsi="Arial" w:cs="Arial"/>
                <w:position w:val="1"/>
                <w:lang w:eastAsia="en-GB"/>
              </w:rPr>
            </w:pPr>
          </w:p>
          <w:p w14:paraId="3C6AD758" w14:textId="77777777" w:rsidR="00FC4450" w:rsidRPr="006A4205" w:rsidRDefault="00FC4450" w:rsidP="00D13771">
            <w:pPr>
              <w:rPr>
                <w:rFonts w:eastAsia="+mn-ea"/>
                <w:position w:val="1"/>
                <w:lang w:eastAsia="en-GB"/>
              </w:rPr>
            </w:pPr>
          </w:p>
          <w:p w14:paraId="69D4210F" w14:textId="77777777" w:rsidR="00FC4450" w:rsidRPr="006A4205" w:rsidRDefault="00FC4450" w:rsidP="00FC4450">
            <w:pPr>
              <w:pStyle w:val="ListParagraph"/>
              <w:numPr>
                <w:ilvl w:val="0"/>
                <w:numId w:val="21"/>
              </w:numPr>
              <w:spacing w:after="0" w:line="240" w:lineRule="auto"/>
              <w:rPr>
                <w:rFonts w:ascii="Arial" w:eastAsia="+mn-ea" w:hAnsi="Arial" w:cs="Arial"/>
                <w:position w:val="1"/>
                <w:lang w:eastAsia="en-GB"/>
              </w:rPr>
            </w:pPr>
            <w:r w:rsidRPr="006A4205">
              <w:rPr>
                <w:rFonts w:ascii="Arial" w:eastAsia="+mn-ea" w:hAnsi="Arial" w:cs="Arial"/>
                <w:position w:val="1"/>
                <w:lang w:eastAsia="en-GB"/>
              </w:rPr>
              <w:lastRenderedPageBreak/>
              <w:t>IGB members consider the indicator as suitable for inclusion in the Library, pending the sign off by the Chair of the action to clarify how the start time is recorded.  A review date of 3 years has been set.</w:t>
            </w:r>
          </w:p>
          <w:p w14:paraId="0A053157" w14:textId="77777777" w:rsidR="00FC4450" w:rsidRPr="006A4205" w:rsidRDefault="00FC4450" w:rsidP="00D13771">
            <w:pPr>
              <w:pStyle w:val="NormalWeb"/>
              <w:spacing w:before="240" w:beforeAutospacing="0" w:after="0" w:afterAutospacing="0"/>
              <w:rPr>
                <w:rFonts w:ascii="Arial" w:eastAsia="+mn-ea" w:hAnsi="Arial" w:cs="Arial"/>
                <w:position w:val="1"/>
                <w:sz w:val="22"/>
                <w:szCs w:val="22"/>
              </w:rPr>
            </w:pPr>
          </w:p>
        </w:tc>
      </w:tr>
    </w:tbl>
    <w:p w14:paraId="09C90182" w14:textId="77777777" w:rsidR="00FC4450" w:rsidRPr="006A4205" w:rsidRDefault="00FC4450" w:rsidP="00FC4450">
      <w:pPr>
        <w:pStyle w:val="NormalWeb"/>
        <w:spacing w:before="0" w:beforeAutospacing="0" w:after="0" w:afterAutospacing="0"/>
        <w:rPr>
          <w:rFonts w:ascii="Arial" w:eastAsia="+mn-ea" w:hAnsi="Arial" w:cs="Arial"/>
          <w:position w:val="1"/>
          <w:sz w:val="22"/>
          <w:szCs w:val="22"/>
        </w:rPr>
      </w:pPr>
    </w:p>
    <w:p w14:paraId="7F4B943E" w14:textId="77777777" w:rsidR="00FC4450" w:rsidRPr="006A4205" w:rsidRDefault="00FC4450" w:rsidP="00FC4450">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23137D" w:rsidRPr="006A4205" w14:paraId="65234D3B" w14:textId="77777777" w:rsidTr="00D13771">
        <w:tc>
          <w:tcPr>
            <w:tcW w:w="3369" w:type="dxa"/>
            <w:shd w:val="clear" w:color="auto" w:fill="DBE5F1" w:themeFill="accent1" w:themeFillTint="33"/>
          </w:tcPr>
          <w:p w14:paraId="1182FB53" w14:textId="77777777" w:rsidR="00FC4450" w:rsidRPr="006A4205" w:rsidRDefault="00FC4450" w:rsidP="00D13771">
            <w:pPr>
              <w:pStyle w:val="NormalWeb"/>
              <w:spacing w:before="60" w:beforeAutospacing="0" w:after="60" w:afterAutospacing="0"/>
              <w:rPr>
                <w:rFonts w:ascii="Arial" w:eastAsia="+mn-ea" w:hAnsi="Arial" w:cs="Arial"/>
                <w:b/>
                <w:position w:val="1"/>
                <w:sz w:val="22"/>
                <w:szCs w:val="22"/>
              </w:rPr>
            </w:pPr>
            <w:r w:rsidRPr="006A4205">
              <w:rPr>
                <w:rFonts w:ascii="Arial" w:eastAsia="+mn-ea" w:hAnsi="Arial" w:cs="Arial"/>
                <w:b/>
                <w:position w:val="1"/>
                <w:sz w:val="22"/>
                <w:szCs w:val="22"/>
              </w:rPr>
              <w:t>Approval date</w:t>
            </w:r>
          </w:p>
        </w:tc>
        <w:sdt>
          <w:sdtPr>
            <w:rPr>
              <w:rFonts w:ascii="Arial" w:eastAsia="+mn-ea" w:hAnsi="Arial" w:cs="Arial"/>
              <w:position w:val="1"/>
              <w:sz w:val="22"/>
              <w:szCs w:val="22"/>
            </w:rPr>
            <w:id w:val="1802733087"/>
            <w:date w:fullDate="2015-12-14T00:00:00Z">
              <w:dateFormat w:val="dd/MM/yyyy"/>
              <w:lid w:val="en-GB"/>
              <w:storeMappedDataAs w:val="dateTime"/>
              <w:calendar w:val="gregorian"/>
            </w:date>
          </w:sdtPr>
          <w:sdtContent>
            <w:tc>
              <w:tcPr>
                <w:tcW w:w="6945" w:type="dxa"/>
              </w:tcPr>
              <w:p w14:paraId="68F048BC" w14:textId="77777777" w:rsidR="00FC4450" w:rsidRPr="006A4205" w:rsidRDefault="00FC4450" w:rsidP="00D13771">
                <w:pPr>
                  <w:pStyle w:val="NormalWeb"/>
                  <w:spacing w:before="60" w:beforeAutospacing="0" w:after="60" w:afterAutospacing="0"/>
                  <w:rPr>
                    <w:rFonts w:ascii="Arial" w:eastAsia="+mn-ea" w:hAnsi="Arial" w:cs="Arial"/>
                    <w:position w:val="1"/>
                    <w:sz w:val="22"/>
                    <w:szCs w:val="22"/>
                  </w:rPr>
                </w:pPr>
                <w:r w:rsidRPr="006A4205">
                  <w:rPr>
                    <w:rFonts w:ascii="Arial" w:eastAsia="+mn-ea" w:hAnsi="Arial" w:cs="Arial"/>
                    <w:position w:val="1"/>
                    <w:sz w:val="22"/>
                    <w:szCs w:val="22"/>
                  </w:rPr>
                  <w:t>14/12/2015</w:t>
                </w:r>
              </w:p>
            </w:tc>
          </w:sdtContent>
        </w:sdt>
      </w:tr>
      <w:tr w:rsidR="0023137D" w:rsidRPr="006A4205" w14:paraId="4F777E6E" w14:textId="77777777" w:rsidTr="00D13771">
        <w:tc>
          <w:tcPr>
            <w:tcW w:w="3369" w:type="dxa"/>
            <w:shd w:val="clear" w:color="auto" w:fill="DBE5F1" w:themeFill="accent1" w:themeFillTint="33"/>
          </w:tcPr>
          <w:p w14:paraId="1656B0B8" w14:textId="77777777" w:rsidR="00FC4450" w:rsidRPr="006A4205" w:rsidRDefault="00FC4450" w:rsidP="00D13771">
            <w:pPr>
              <w:pStyle w:val="NormalWeb"/>
              <w:spacing w:before="60" w:beforeAutospacing="0" w:after="60" w:afterAutospacing="0"/>
              <w:rPr>
                <w:rFonts w:ascii="Arial" w:eastAsia="+mn-ea" w:hAnsi="Arial" w:cs="Arial"/>
                <w:b/>
                <w:position w:val="1"/>
                <w:sz w:val="22"/>
                <w:szCs w:val="22"/>
              </w:rPr>
            </w:pPr>
            <w:r w:rsidRPr="006A4205">
              <w:rPr>
                <w:rFonts w:ascii="Arial" w:eastAsia="+mn-ea" w:hAnsi="Arial" w:cs="Arial"/>
                <w:b/>
                <w:position w:val="1"/>
                <w:sz w:val="22"/>
                <w:szCs w:val="22"/>
              </w:rPr>
              <w:t>Review date</w:t>
            </w:r>
          </w:p>
        </w:tc>
        <w:sdt>
          <w:sdtPr>
            <w:rPr>
              <w:rFonts w:ascii="Arial" w:eastAsia="+mn-ea" w:hAnsi="Arial" w:cs="Arial"/>
              <w:position w:val="1"/>
              <w:sz w:val="22"/>
              <w:szCs w:val="22"/>
            </w:rPr>
            <w:id w:val="969868933"/>
            <w:date w:fullDate="2018-12-14T00:00:00Z">
              <w:dateFormat w:val="dd/MM/yyyy"/>
              <w:lid w:val="en-GB"/>
              <w:storeMappedDataAs w:val="dateTime"/>
              <w:calendar w:val="gregorian"/>
            </w:date>
          </w:sdtPr>
          <w:sdtContent>
            <w:tc>
              <w:tcPr>
                <w:tcW w:w="6945" w:type="dxa"/>
              </w:tcPr>
              <w:p w14:paraId="16C645FB" w14:textId="77777777" w:rsidR="00FC4450" w:rsidRPr="006A4205" w:rsidRDefault="00FC4450" w:rsidP="00D13771">
                <w:pPr>
                  <w:pStyle w:val="NormalWeb"/>
                  <w:spacing w:before="60" w:beforeAutospacing="0" w:after="60" w:afterAutospacing="0"/>
                  <w:rPr>
                    <w:rFonts w:ascii="Arial" w:eastAsia="+mn-ea" w:hAnsi="Arial" w:cs="Arial"/>
                    <w:position w:val="1"/>
                    <w:sz w:val="22"/>
                    <w:szCs w:val="22"/>
                  </w:rPr>
                </w:pPr>
                <w:r w:rsidRPr="006A4205">
                  <w:rPr>
                    <w:rFonts w:ascii="Arial" w:eastAsia="+mn-ea" w:hAnsi="Arial" w:cs="Arial"/>
                    <w:position w:val="1"/>
                    <w:sz w:val="22"/>
                    <w:szCs w:val="22"/>
                  </w:rPr>
                  <w:t>14/12/2018</w:t>
                </w:r>
              </w:p>
            </w:tc>
          </w:sdtContent>
        </w:sdt>
      </w:tr>
    </w:tbl>
    <w:p w14:paraId="363A3068" w14:textId="77777777" w:rsidR="00FC4450" w:rsidRPr="006A4205" w:rsidRDefault="00FC4450" w:rsidP="00FC4450">
      <w:pPr>
        <w:pStyle w:val="NormalWeb"/>
        <w:spacing w:before="0" w:beforeAutospacing="0" w:after="0" w:afterAutospacing="0"/>
        <w:rPr>
          <w:rFonts w:ascii="Arial" w:eastAsia="+mn-ea" w:hAnsi="Arial" w:cs="Arial"/>
          <w:position w:val="1"/>
          <w:sz w:val="22"/>
          <w:szCs w:val="22"/>
        </w:rPr>
      </w:pPr>
    </w:p>
    <w:p w14:paraId="715FD594" w14:textId="77777777" w:rsidR="00FC4450" w:rsidRPr="006A4205" w:rsidRDefault="00FC4450" w:rsidP="00FC4450">
      <w:pPr>
        <w:pStyle w:val="NormalWeb"/>
        <w:spacing w:before="0" w:beforeAutospacing="0" w:after="0" w:afterAutospacing="0"/>
        <w:ind w:left="142" w:hanging="142"/>
        <w:rPr>
          <w:rFonts w:ascii="Arial" w:eastAsia="+mn-ea" w:hAnsi="Arial" w:cs="Arial"/>
          <w:position w:val="1"/>
          <w:sz w:val="22"/>
          <w:szCs w:val="22"/>
        </w:rPr>
      </w:pPr>
    </w:p>
    <w:p w14:paraId="049179C4" w14:textId="77777777" w:rsidR="00FC4450" w:rsidRPr="006A4205" w:rsidRDefault="00FC4450" w:rsidP="00FC4450">
      <w:r w:rsidRPr="006A4205">
        <w:br w:type="page"/>
      </w:r>
    </w:p>
    <w:p w14:paraId="5BF9165D" w14:textId="77777777" w:rsidR="00FC4450" w:rsidRPr="006A4205" w:rsidRDefault="00FC4450" w:rsidP="00FC4450">
      <w:pPr>
        <w:pStyle w:val="NormalWeb"/>
        <w:spacing w:before="0" w:beforeAutospacing="0" w:after="0" w:afterAutospacing="0"/>
        <w:rPr>
          <w:rFonts w:ascii="Arial" w:eastAsia="+mn-ea" w:hAnsi="Arial" w:cs="Arial"/>
          <w:b/>
          <w:position w:val="1"/>
          <w:sz w:val="32"/>
          <w:szCs w:val="32"/>
        </w:rPr>
      </w:pPr>
      <w:r w:rsidRPr="006A4205">
        <w:rPr>
          <w:rFonts w:ascii="Arial" w:eastAsia="+mn-ea" w:hAnsi="Arial" w:cs="Arial"/>
          <w:b/>
          <w:bCs/>
          <w:position w:val="1"/>
          <w:sz w:val="32"/>
          <w:szCs w:val="32"/>
        </w:rPr>
        <w:lastRenderedPageBreak/>
        <w:t xml:space="preserve">Review - MRG Assessment Summary </w:t>
      </w:r>
      <w:r w:rsidRPr="006A4205">
        <w:rPr>
          <w:rFonts w:ascii="Arial" w:eastAsia="+mn-ea" w:hAnsi="Arial" w:cs="Arial"/>
          <w:b/>
          <w:position w:val="1"/>
          <w:sz w:val="32"/>
          <w:szCs w:val="32"/>
        </w:rPr>
        <w:t xml:space="preserve">- </w:t>
      </w:r>
      <w:sdt>
        <w:sdtPr>
          <w:rPr>
            <w:rFonts w:ascii="Arial" w:eastAsia="+mn-ea" w:hAnsi="Arial" w:cs="Arial"/>
            <w:b/>
            <w:position w:val="1"/>
            <w:sz w:val="32"/>
            <w:szCs w:val="32"/>
          </w:rPr>
          <w:id w:val="-15469250"/>
          <w:date w:fullDate="2015-09-10T00:00:00Z">
            <w:dateFormat w:val="dd/MM/yyyy"/>
            <w:lid w:val="en-GB"/>
            <w:storeMappedDataAs w:val="dateTime"/>
            <w:calendar w:val="gregorian"/>
          </w:date>
        </w:sdtPr>
        <w:sdtContent>
          <w:r w:rsidRPr="006A4205">
            <w:rPr>
              <w:rFonts w:ascii="Arial" w:eastAsia="+mn-ea" w:hAnsi="Arial" w:cs="Arial"/>
              <w:b/>
              <w:position w:val="1"/>
              <w:sz w:val="32"/>
              <w:szCs w:val="32"/>
            </w:rPr>
            <w:t>10/09/2015</w:t>
          </w:r>
        </w:sdtContent>
      </w:sdt>
    </w:p>
    <w:p w14:paraId="7DDBD688" w14:textId="77777777" w:rsidR="00FC4450" w:rsidRPr="006A4205" w:rsidRDefault="00FC4450" w:rsidP="00FC4450">
      <w:pPr>
        <w:pStyle w:val="NormalWeb"/>
        <w:spacing w:before="0" w:beforeAutospacing="0" w:after="0" w:afterAutospacing="0"/>
        <w:rPr>
          <w:rFonts w:ascii="Arial" w:eastAsia="+mn-ea" w:hAnsi="Arial" w:cs="Arial"/>
          <w:b/>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23137D" w:rsidRPr="006A4205" w14:paraId="18A25A06" w14:textId="77777777" w:rsidTr="00D13771">
        <w:tc>
          <w:tcPr>
            <w:tcW w:w="3369" w:type="dxa"/>
            <w:shd w:val="clear" w:color="auto" w:fill="DBE5F1" w:themeFill="accent1" w:themeFillTint="33"/>
          </w:tcPr>
          <w:p w14:paraId="75C21D0F" w14:textId="77777777" w:rsidR="00FC4450" w:rsidRPr="006A4205" w:rsidRDefault="00FC4450" w:rsidP="00D13771">
            <w:pPr>
              <w:pStyle w:val="NormalWeb"/>
              <w:spacing w:beforeLines="60" w:before="144" w:beforeAutospacing="0" w:afterLines="60" w:after="144" w:afterAutospacing="0"/>
              <w:rPr>
                <w:rFonts w:ascii="Arial" w:eastAsia="+mn-ea" w:hAnsi="Arial" w:cs="Arial"/>
                <w:b/>
                <w:position w:val="1"/>
                <w:sz w:val="22"/>
                <w:szCs w:val="22"/>
              </w:rPr>
            </w:pPr>
            <w:r w:rsidRPr="006A4205">
              <w:rPr>
                <w:rFonts w:ascii="Arial" w:eastAsia="+mn-ea" w:hAnsi="Arial" w:cs="Arial"/>
                <w:b/>
                <w:position w:val="1"/>
                <w:sz w:val="22"/>
                <w:szCs w:val="22"/>
              </w:rPr>
              <w:t>Methodology appraisal body</w:t>
            </w:r>
          </w:p>
        </w:tc>
        <w:tc>
          <w:tcPr>
            <w:tcW w:w="6945" w:type="dxa"/>
          </w:tcPr>
          <w:p w14:paraId="32E1B9D1" w14:textId="77777777" w:rsidR="00FC4450" w:rsidRPr="006A4205" w:rsidRDefault="0023137D" w:rsidP="00D13771">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746196676"/>
                <w:placeholder>
                  <w:docPart w:val="86A3B89E3A754093999B927D69B8BE4C"/>
                </w:placeholder>
                <w:dropDownList>
                  <w:listItem w:value="Choose an item."/>
                  <w:listItem w:displayText="HSCIC's Indicator &amp; Methodology Assurance Service" w:value="HSCIC's Indicator &amp; Methodology Assurance Service"/>
                </w:dropDownList>
              </w:sdtPr>
              <w:sdtContent>
                <w:r w:rsidR="00FC4450" w:rsidRPr="006A4205">
                  <w:rPr>
                    <w:rFonts w:ascii="Arial" w:eastAsia="+mn-ea" w:hAnsi="Arial" w:cs="Arial"/>
                    <w:position w:val="1"/>
                    <w:sz w:val="22"/>
                    <w:szCs w:val="22"/>
                  </w:rPr>
                  <w:t>HSCIC's Indicator &amp; Methodology Assurance Service</w:t>
                </w:r>
              </w:sdtContent>
            </w:sdt>
          </w:p>
        </w:tc>
      </w:tr>
      <w:tr w:rsidR="0023137D" w:rsidRPr="006A4205" w14:paraId="75AA0D2D" w14:textId="77777777" w:rsidTr="00D13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27645C84" w14:textId="77777777" w:rsidR="00FC4450" w:rsidRPr="006A4205" w:rsidRDefault="00FC4450" w:rsidP="00D13771">
            <w:pPr>
              <w:pStyle w:val="NormalWeb"/>
              <w:spacing w:beforeLines="60" w:before="144" w:beforeAutospacing="0" w:afterLines="60" w:after="144" w:afterAutospacing="0"/>
              <w:rPr>
                <w:rFonts w:ascii="Arial" w:eastAsia="+mn-ea" w:hAnsi="Arial" w:cs="Arial"/>
                <w:position w:val="1"/>
                <w:sz w:val="22"/>
                <w:szCs w:val="22"/>
              </w:rPr>
            </w:pPr>
            <w:r w:rsidRPr="006A4205">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1002898441"/>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tc>
              <w:tcPr>
                <w:tcW w:w="6945" w:type="dxa"/>
                <w:tcBorders>
                  <w:top w:val="nil"/>
                  <w:left w:val="nil"/>
                  <w:bottom w:val="nil"/>
                  <w:right w:val="nil"/>
                </w:tcBorders>
              </w:tcPr>
              <w:p w14:paraId="503E009B" w14:textId="77777777" w:rsidR="00FC4450" w:rsidRPr="006A4205" w:rsidRDefault="00FC4450" w:rsidP="00D13771">
                <w:pPr>
                  <w:pStyle w:val="NormalWeb"/>
                  <w:spacing w:beforeLines="60" w:before="144" w:beforeAutospacing="0" w:afterLines="60" w:after="144" w:afterAutospacing="0"/>
                  <w:rPr>
                    <w:rFonts w:ascii="Arial" w:eastAsia="+mn-ea" w:hAnsi="Arial" w:cs="Arial"/>
                    <w:position w:val="1"/>
                    <w:sz w:val="22"/>
                    <w:szCs w:val="22"/>
                  </w:rPr>
                </w:pPr>
                <w:r w:rsidRPr="006A4205">
                  <w:rPr>
                    <w:rFonts w:ascii="Arial" w:eastAsia="+mn-ea" w:hAnsi="Arial" w:cs="Arial"/>
                    <w:position w:val="1"/>
                    <w:sz w:val="22"/>
                    <w:szCs w:val="22"/>
                  </w:rPr>
                  <w:t>Scheduled review (review date reached)</w:t>
                </w:r>
              </w:p>
            </w:tc>
          </w:sdtContent>
        </w:sdt>
      </w:tr>
      <w:tr w:rsidR="0023137D" w:rsidRPr="006A4205" w14:paraId="32D90D5B" w14:textId="77777777" w:rsidTr="00D13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17C87382" w14:textId="77777777" w:rsidR="00FC4450" w:rsidRPr="006A4205" w:rsidRDefault="00FC4450" w:rsidP="00D13771">
            <w:pPr>
              <w:pStyle w:val="NormalWeb"/>
              <w:spacing w:beforeLines="60" w:before="144" w:beforeAutospacing="0" w:afterLines="60" w:after="144" w:afterAutospacing="0"/>
              <w:rPr>
                <w:rFonts w:ascii="Arial" w:eastAsia="+mn-ea" w:hAnsi="Arial" w:cs="Arial"/>
                <w:position w:val="1"/>
                <w:sz w:val="22"/>
                <w:szCs w:val="22"/>
              </w:rPr>
            </w:pPr>
            <w:r w:rsidRPr="006A4205">
              <w:rPr>
                <w:rFonts w:ascii="Arial" w:eastAsia="+mn-ea" w:hAnsi="Arial" w:cs="Arial"/>
                <w:b/>
                <w:position w:val="1"/>
                <w:sz w:val="22"/>
                <w:szCs w:val="22"/>
              </w:rPr>
              <w:t>Iteration</w:t>
            </w:r>
          </w:p>
        </w:tc>
        <w:sdt>
          <w:sdtPr>
            <w:rPr>
              <w:rFonts w:ascii="Arial" w:eastAsia="+mn-ea" w:hAnsi="Arial" w:cs="Arial"/>
              <w:position w:val="1"/>
              <w:sz w:val="22"/>
              <w:szCs w:val="22"/>
            </w:rPr>
            <w:id w:val="1560052994"/>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dropDownList>
          </w:sdtPr>
          <w:sdtContent>
            <w:tc>
              <w:tcPr>
                <w:tcW w:w="6945" w:type="dxa"/>
                <w:tcBorders>
                  <w:top w:val="nil"/>
                  <w:left w:val="nil"/>
                  <w:bottom w:val="nil"/>
                  <w:right w:val="nil"/>
                </w:tcBorders>
              </w:tcPr>
              <w:p w14:paraId="0003F4F5" w14:textId="77777777" w:rsidR="00FC4450" w:rsidRPr="006A4205" w:rsidRDefault="00FC4450" w:rsidP="00D13771">
                <w:pPr>
                  <w:pStyle w:val="NormalWeb"/>
                  <w:spacing w:beforeLines="60" w:before="144" w:beforeAutospacing="0" w:afterLines="60" w:after="144" w:afterAutospacing="0"/>
                  <w:rPr>
                    <w:rFonts w:ascii="Arial" w:eastAsia="+mn-ea" w:hAnsi="Arial" w:cs="Arial"/>
                    <w:position w:val="1"/>
                    <w:sz w:val="22"/>
                    <w:szCs w:val="22"/>
                  </w:rPr>
                </w:pPr>
                <w:r w:rsidRPr="006A4205">
                  <w:rPr>
                    <w:rFonts w:ascii="Arial" w:eastAsia="+mn-ea" w:hAnsi="Arial" w:cs="Arial"/>
                    <w:position w:val="1"/>
                    <w:sz w:val="22"/>
                    <w:szCs w:val="22"/>
                  </w:rPr>
                  <w:t>1st MRG meeting</w:t>
                </w:r>
              </w:p>
            </w:tc>
          </w:sdtContent>
        </w:sdt>
      </w:tr>
    </w:tbl>
    <w:p w14:paraId="4BE2384C" w14:textId="77777777" w:rsidR="00FC4450" w:rsidRPr="006A4205" w:rsidRDefault="00FC4450" w:rsidP="00FC4450"/>
    <w:p w14:paraId="409693EA" w14:textId="77777777" w:rsidR="00FC4450" w:rsidRPr="006A4205" w:rsidRDefault="00FC4450" w:rsidP="00FC4450">
      <w:pPr>
        <w:pStyle w:val="NormalWeb"/>
        <w:spacing w:before="0" w:beforeAutospacing="0" w:after="0" w:afterAutospacing="0"/>
        <w:rPr>
          <w:rFonts w:ascii="Arial" w:eastAsia="+mn-ea" w:hAnsi="Arial" w:cs="Arial"/>
          <w:b/>
          <w:position w:val="1"/>
          <w:sz w:val="26"/>
          <w:szCs w:val="26"/>
        </w:rPr>
      </w:pPr>
      <w:r w:rsidRPr="006A4205">
        <w:rPr>
          <w:rFonts w:ascii="Arial" w:eastAsia="+mn-ea" w:hAnsi="Arial" w:cs="Arial"/>
          <w:b/>
          <w:position w:val="1"/>
          <w:sz w:val="26"/>
          <w:szCs w:val="26"/>
        </w:rPr>
        <w:t>Suggested Assurance Rating by Methodology Appraisal Body</w:t>
      </w:r>
    </w:p>
    <w:p w14:paraId="6BB54123" w14:textId="77777777" w:rsidR="00FC4450" w:rsidRPr="006A4205" w:rsidRDefault="00FC4450" w:rsidP="00FC4450">
      <w:pPr>
        <w:pStyle w:val="NormalWeb"/>
        <w:spacing w:before="0" w:beforeAutospacing="0" w:after="0" w:afterAutospacing="0"/>
        <w:rPr>
          <w:rFonts w:ascii="Arial" w:eastAsia="+mn-ea" w:hAnsi="Arial" w:cs="Arial"/>
          <w:b/>
          <w:position w:val="1"/>
          <w:sz w:val="26"/>
          <w:szCs w:val="26"/>
        </w:rPr>
      </w:pPr>
    </w:p>
    <w:tbl>
      <w:tblPr>
        <w:tblStyle w:val="TableGrid1"/>
        <w:tblW w:w="0" w:type="auto"/>
        <w:tblLook w:val="04A0" w:firstRow="1" w:lastRow="0" w:firstColumn="1" w:lastColumn="0" w:noHBand="0" w:noVBand="1"/>
      </w:tblPr>
      <w:tblGrid>
        <w:gridCol w:w="3617"/>
        <w:gridCol w:w="1391"/>
      </w:tblGrid>
      <w:tr w:rsidR="006A4205" w:rsidRPr="006A4205" w14:paraId="2B153E77" w14:textId="77777777" w:rsidTr="00F83902">
        <w:tc>
          <w:tcPr>
            <w:tcW w:w="3617" w:type="dxa"/>
          </w:tcPr>
          <w:p w14:paraId="032FC7B7" w14:textId="77777777" w:rsidR="00F83902" w:rsidRPr="006A4205" w:rsidRDefault="00F83902" w:rsidP="00D13771">
            <w:pPr>
              <w:spacing w:before="120" w:after="120"/>
              <w:rPr>
                <w:rFonts w:eastAsia="+mn-ea"/>
                <w:b/>
                <w:position w:val="1"/>
                <w:szCs w:val="40"/>
              </w:rPr>
            </w:pPr>
            <w:r w:rsidRPr="006A4205">
              <w:rPr>
                <w:rFonts w:eastAsia="+mn-ea"/>
                <w:b/>
                <w:position w:val="1"/>
                <w:szCs w:val="40"/>
              </w:rPr>
              <w:t>Clarity</w:t>
            </w:r>
          </w:p>
        </w:tc>
        <w:tc>
          <w:tcPr>
            <w:tcW w:w="1391" w:type="dxa"/>
          </w:tcPr>
          <w:p w14:paraId="5B0D5F7E" w14:textId="3120E2BB" w:rsidR="00F83902" w:rsidRPr="006A4205" w:rsidRDefault="00F83902" w:rsidP="00D13771">
            <w:pPr>
              <w:jc w:val="center"/>
              <w:rPr>
                <w:rFonts w:eastAsia="+mn-ea"/>
                <w:b/>
                <w:position w:val="1"/>
                <w:sz w:val="32"/>
                <w:szCs w:val="40"/>
              </w:rPr>
            </w:pPr>
            <w:r w:rsidRPr="006A4205">
              <w:rPr>
                <w:rFonts w:eastAsia="+mn-ea"/>
                <w:b/>
                <w:position w:val="1"/>
                <w:sz w:val="32"/>
                <w:szCs w:val="40"/>
              </w:rPr>
              <w:t>Fit for use</w:t>
            </w:r>
          </w:p>
        </w:tc>
      </w:tr>
      <w:tr w:rsidR="006A4205" w:rsidRPr="006A4205" w14:paraId="1A401763" w14:textId="77777777" w:rsidTr="00F83902">
        <w:tc>
          <w:tcPr>
            <w:tcW w:w="3617" w:type="dxa"/>
          </w:tcPr>
          <w:p w14:paraId="47C543A9" w14:textId="77777777" w:rsidR="00F83902" w:rsidRPr="006A4205" w:rsidRDefault="00F83902" w:rsidP="00D13771">
            <w:pPr>
              <w:spacing w:before="120" w:after="120"/>
              <w:rPr>
                <w:rFonts w:eastAsia="+mn-ea"/>
                <w:b/>
                <w:position w:val="1"/>
                <w:szCs w:val="40"/>
              </w:rPr>
            </w:pPr>
            <w:r w:rsidRPr="006A4205">
              <w:rPr>
                <w:rFonts w:eastAsia="+mn-ea"/>
                <w:b/>
                <w:position w:val="1"/>
                <w:szCs w:val="40"/>
              </w:rPr>
              <w:t>Rationale</w:t>
            </w:r>
          </w:p>
        </w:tc>
        <w:tc>
          <w:tcPr>
            <w:tcW w:w="1391" w:type="dxa"/>
          </w:tcPr>
          <w:p w14:paraId="75C178B1" w14:textId="55A6EF22" w:rsidR="00F83902" w:rsidRPr="006A4205" w:rsidRDefault="00F83902" w:rsidP="00D13771">
            <w:pPr>
              <w:jc w:val="center"/>
              <w:rPr>
                <w:rFonts w:eastAsia="+mn-ea"/>
                <w:b/>
                <w:position w:val="1"/>
                <w:sz w:val="32"/>
                <w:szCs w:val="40"/>
              </w:rPr>
            </w:pPr>
            <w:r w:rsidRPr="006A4205">
              <w:rPr>
                <w:rFonts w:eastAsia="+mn-ea"/>
                <w:b/>
                <w:position w:val="1"/>
                <w:sz w:val="32"/>
                <w:szCs w:val="40"/>
              </w:rPr>
              <w:t xml:space="preserve"> </w:t>
            </w:r>
            <w:r w:rsidRPr="006A4205">
              <w:rPr>
                <w:rFonts w:eastAsia="+mn-ea"/>
                <w:b/>
                <w:position w:val="1"/>
                <w:sz w:val="32"/>
                <w:szCs w:val="40"/>
              </w:rPr>
              <w:t>Fit for use with caveats</w:t>
            </w:r>
          </w:p>
        </w:tc>
      </w:tr>
      <w:tr w:rsidR="006A4205" w:rsidRPr="006A4205" w14:paraId="0DE330F7" w14:textId="77777777" w:rsidTr="00F83902">
        <w:tc>
          <w:tcPr>
            <w:tcW w:w="3617" w:type="dxa"/>
          </w:tcPr>
          <w:p w14:paraId="23CF718C" w14:textId="77777777" w:rsidR="00F83902" w:rsidRPr="006A4205" w:rsidRDefault="00F83902" w:rsidP="00D13771">
            <w:pPr>
              <w:spacing w:before="120" w:after="120"/>
              <w:rPr>
                <w:rFonts w:eastAsia="+mn-ea"/>
                <w:b/>
                <w:position w:val="1"/>
                <w:szCs w:val="40"/>
              </w:rPr>
            </w:pPr>
            <w:r w:rsidRPr="006A4205">
              <w:rPr>
                <w:rFonts w:eastAsia="+mn-ea"/>
                <w:b/>
                <w:position w:val="1"/>
                <w:szCs w:val="40"/>
              </w:rPr>
              <w:t>Data</w:t>
            </w:r>
          </w:p>
        </w:tc>
        <w:tc>
          <w:tcPr>
            <w:tcW w:w="1391" w:type="dxa"/>
          </w:tcPr>
          <w:p w14:paraId="6843D8DB" w14:textId="0030C4F8" w:rsidR="00F83902" w:rsidRPr="006A4205" w:rsidRDefault="00F83902" w:rsidP="00D13771">
            <w:pPr>
              <w:jc w:val="center"/>
              <w:rPr>
                <w:rFonts w:eastAsia="+mn-ea"/>
                <w:b/>
                <w:position w:val="1"/>
                <w:sz w:val="32"/>
                <w:szCs w:val="40"/>
              </w:rPr>
            </w:pPr>
            <w:r w:rsidRPr="006A4205">
              <w:rPr>
                <w:rFonts w:eastAsia="+mn-ea"/>
                <w:b/>
                <w:position w:val="1"/>
                <w:sz w:val="32"/>
                <w:szCs w:val="40"/>
              </w:rPr>
              <w:t xml:space="preserve"> </w:t>
            </w:r>
            <w:r w:rsidRPr="006A4205">
              <w:rPr>
                <w:rFonts w:eastAsia="+mn-ea"/>
                <w:b/>
                <w:position w:val="1"/>
                <w:sz w:val="32"/>
                <w:szCs w:val="40"/>
              </w:rPr>
              <w:t>Fit for use with caveats</w:t>
            </w:r>
          </w:p>
        </w:tc>
      </w:tr>
      <w:tr w:rsidR="006A4205" w:rsidRPr="006A4205" w14:paraId="397A84C3" w14:textId="77777777" w:rsidTr="00F83902">
        <w:tc>
          <w:tcPr>
            <w:tcW w:w="3617" w:type="dxa"/>
          </w:tcPr>
          <w:p w14:paraId="4D30842B" w14:textId="77777777" w:rsidR="00F83902" w:rsidRPr="006A4205" w:rsidRDefault="00F83902" w:rsidP="00D13771">
            <w:pPr>
              <w:spacing w:before="120" w:after="120"/>
              <w:rPr>
                <w:rFonts w:eastAsia="+mn-ea"/>
                <w:b/>
                <w:position w:val="1"/>
                <w:szCs w:val="40"/>
              </w:rPr>
            </w:pPr>
            <w:r w:rsidRPr="006A4205">
              <w:rPr>
                <w:rFonts w:eastAsia="+mn-ea"/>
                <w:b/>
                <w:position w:val="1"/>
                <w:szCs w:val="40"/>
              </w:rPr>
              <w:t>Construction</w:t>
            </w:r>
          </w:p>
        </w:tc>
        <w:tc>
          <w:tcPr>
            <w:tcW w:w="1391" w:type="dxa"/>
          </w:tcPr>
          <w:p w14:paraId="594B514B" w14:textId="6A011ADC" w:rsidR="00F83902" w:rsidRPr="006A4205" w:rsidRDefault="00F83902" w:rsidP="00D13771">
            <w:pPr>
              <w:jc w:val="center"/>
              <w:rPr>
                <w:rFonts w:eastAsia="+mn-ea"/>
                <w:b/>
                <w:position w:val="1"/>
                <w:sz w:val="32"/>
                <w:szCs w:val="40"/>
              </w:rPr>
            </w:pPr>
            <w:r w:rsidRPr="006A4205">
              <w:rPr>
                <w:rFonts w:eastAsia="+mn-ea"/>
                <w:b/>
                <w:position w:val="1"/>
                <w:sz w:val="32"/>
                <w:szCs w:val="40"/>
              </w:rPr>
              <w:t xml:space="preserve"> </w:t>
            </w:r>
            <w:r w:rsidRPr="006A4205">
              <w:rPr>
                <w:rFonts w:eastAsia="+mn-ea"/>
                <w:b/>
                <w:position w:val="1"/>
                <w:sz w:val="32"/>
                <w:szCs w:val="40"/>
              </w:rPr>
              <w:t>Fit for use</w:t>
            </w:r>
          </w:p>
        </w:tc>
      </w:tr>
      <w:tr w:rsidR="006A4205" w:rsidRPr="006A4205" w14:paraId="31E690FB" w14:textId="77777777" w:rsidTr="00F83902">
        <w:tc>
          <w:tcPr>
            <w:tcW w:w="3617" w:type="dxa"/>
          </w:tcPr>
          <w:p w14:paraId="456E392A" w14:textId="77777777" w:rsidR="00F83902" w:rsidRPr="006A4205" w:rsidRDefault="00F83902" w:rsidP="00D13771">
            <w:pPr>
              <w:spacing w:before="120" w:after="120"/>
              <w:rPr>
                <w:rFonts w:eastAsia="+mn-ea"/>
                <w:b/>
                <w:position w:val="1"/>
                <w:szCs w:val="40"/>
              </w:rPr>
            </w:pPr>
            <w:r w:rsidRPr="006A4205">
              <w:rPr>
                <w:rFonts w:eastAsia="+mn-ea"/>
                <w:b/>
                <w:position w:val="1"/>
                <w:szCs w:val="40"/>
              </w:rPr>
              <w:t>Presentation and Interpretation</w:t>
            </w:r>
          </w:p>
        </w:tc>
        <w:tc>
          <w:tcPr>
            <w:tcW w:w="1391" w:type="dxa"/>
          </w:tcPr>
          <w:p w14:paraId="3093D1DB" w14:textId="47704FAD" w:rsidR="00F83902" w:rsidRPr="006A4205" w:rsidRDefault="00F83902" w:rsidP="00D13771">
            <w:pPr>
              <w:jc w:val="center"/>
              <w:rPr>
                <w:rFonts w:eastAsia="+mn-ea"/>
                <w:b/>
                <w:position w:val="1"/>
                <w:sz w:val="32"/>
                <w:szCs w:val="40"/>
              </w:rPr>
            </w:pPr>
            <w:r w:rsidRPr="006A4205">
              <w:rPr>
                <w:rFonts w:eastAsia="+mn-ea"/>
                <w:b/>
                <w:position w:val="1"/>
                <w:sz w:val="32"/>
                <w:szCs w:val="40"/>
              </w:rPr>
              <w:t xml:space="preserve"> </w:t>
            </w:r>
            <w:r w:rsidRPr="006A4205">
              <w:rPr>
                <w:rFonts w:eastAsia="+mn-ea"/>
                <w:b/>
                <w:position w:val="1"/>
                <w:sz w:val="32"/>
                <w:szCs w:val="40"/>
              </w:rPr>
              <w:t>Fit for use with caveats</w:t>
            </w:r>
          </w:p>
        </w:tc>
      </w:tr>
      <w:tr w:rsidR="006A4205" w:rsidRPr="006A4205" w14:paraId="647A3A2E" w14:textId="77777777" w:rsidTr="00F83902">
        <w:tc>
          <w:tcPr>
            <w:tcW w:w="3617" w:type="dxa"/>
          </w:tcPr>
          <w:p w14:paraId="4F448FC9" w14:textId="77777777" w:rsidR="00F83902" w:rsidRPr="006A4205" w:rsidRDefault="00F83902" w:rsidP="00D13771">
            <w:pPr>
              <w:spacing w:before="120" w:after="120"/>
              <w:rPr>
                <w:rFonts w:eastAsia="+mn-ea"/>
                <w:b/>
                <w:position w:val="1"/>
                <w:szCs w:val="40"/>
              </w:rPr>
            </w:pPr>
            <w:r w:rsidRPr="006A4205">
              <w:rPr>
                <w:rFonts w:eastAsia="+mn-ea"/>
                <w:b/>
                <w:position w:val="1"/>
                <w:szCs w:val="40"/>
              </w:rPr>
              <w:t>Risks and Usefulness</w:t>
            </w:r>
          </w:p>
        </w:tc>
        <w:tc>
          <w:tcPr>
            <w:tcW w:w="1391" w:type="dxa"/>
          </w:tcPr>
          <w:p w14:paraId="144CE1AC" w14:textId="3AAD7B56" w:rsidR="00F83902" w:rsidRPr="006A4205" w:rsidRDefault="00F83902" w:rsidP="00D13771">
            <w:pPr>
              <w:jc w:val="center"/>
              <w:rPr>
                <w:rFonts w:eastAsia="+mn-ea"/>
                <w:b/>
                <w:position w:val="1"/>
                <w:sz w:val="32"/>
                <w:szCs w:val="40"/>
              </w:rPr>
            </w:pPr>
            <w:r w:rsidRPr="006A4205">
              <w:rPr>
                <w:rFonts w:eastAsia="+mn-ea"/>
                <w:b/>
                <w:position w:val="1"/>
                <w:sz w:val="32"/>
                <w:szCs w:val="40"/>
              </w:rPr>
              <w:t>Fit for use with caveats</w:t>
            </w:r>
          </w:p>
        </w:tc>
      </w:tr>
      <w:tr w:rsidR="006A4205" w:rsidRPr="006A4205" w14:paraId="01482411" w14:textId="77777777" w:rsidTr="00F83902">
        <w:tc>
          <w:tcPr>
            <w:tcW w:w="3617" w:type="dxa"/>
          </w:tcPr>
          <w:p w14:paraId="5DF04E23" w14:textId="1F67BAEB" w:rsidR="00F83902" w:rsidRPr="006A4205" w:rsidRDefault="00F83902" w:rsidP="00F83902">
            <w:pPr>
              <w:spacing w:before="120" w:after="120"/>
              <w:rPr>
                <w:rFonts w:eastAsia="+mn-ea"/>
                <w:b/>
                <w:position w:val="1"/>
                <w:szCs w:val="40"/>
              </w:rPr>
            </w:pPr>
            <w:r w:rsidRPr="006A4205">
              <w:rPr>
                <w:rFonts w:eastAsia="+mn-ea"/>
                <w:b/>
                <w:position w:val="1"/>
                <w:szCs w:val="40"/>
              </w:rPr>
              <w:t>Overall rating</w:t>
            </w:r>
          </w:p>
        </w:tc>
        <w:tc>
          <w:tcPr>
            <w:tcW w:w="1391" w:type="dxa"/>
          </w:tcPr>
          <w:sdt>
            <w:sdtPr>
              <w:rPr>
                <w:rStyle w:val="Style1"/>
                <w:color w:val="auto"/>
              </w:rPr>
              <w:alias w:val="Overall rating"/>
              <w:tag w:val="Overall rating"/>
              <w:id w:val="-1028943525"/>
              <w:dropDownList>
                <w:listItem w:value="Choose an item."/>
                <w:listItem w:displayText="Fit for use" w:value="Fit for use"/>
                <w:listItem w:displayText="Fit for use with caveats" w:value="Fit for use with caveats"/>
                <w:listItem w:displayText="Use with caution" w:value="Use with caution"/>
                <w:listItem w:displayText="Not fit for use" w:value="Not fit for use"/>
                <w:listItem w:displayText="Not enough information provided" w:value="Not enough information provided"/>
              </w:dropDownList>
            </w:sdtPr>
            <w:sdtContent>
              <w:p w14:paraId="66F28794" w14:textId="715F830A" w:rsidR="00F83902" w:rsidRPr="006A4205" w:rsidRDefault="00F83902" w:rsidP="00F83902">
                <w:pPr>
                  <w:jc w:val="center"/>
                  <w:rPr>
                    <w:rFonts w:eastAsia="+mn-ea"/>
                    <w:b/>
                    <w:noProof/>
                    <w:position w:val="1"/>
                    <w:sz w:val="32"/>
                    <w:szCs w:val="40"/>
                    <w:lang w:eastAsia="en-GB"/>
                  </w:rPr>
                </w:pPr>
                <w:r w:rsidRPr="006A4205">
                  <w:rPr>
                    <w:rStyle w:val="Style1"/>
                    <w:color w:val="auto"/>
                  </w:rPr>
                  <w:t>Fit for use with caveats</w:t>
                </w:r>
              </w:p>
            </w:sdtContent>
          </w:sdt>
        </w:tc>
      </w:tr>
    </w:tbl>
    <w:p w14:paraId="4016E77A" w14:textId="77777777" w:rsidR="00FC4450" w:rsidRPr="006A4205" w:rsidRDefault="00FC4450" w:rsidP="00FC4450">
      <w:pPr>
        <w:pStyle w:val="NormalWeb"/>
        <w:spacing w:before="0" w:beforeAutospacing="0" w:after="0" w:afterAutospacing="0"/>
        <w:rPr>
          <w:rFonts w:ascii="Arial" w:eastAsia="+mn-ea" w:hAnsi="Arial" w:cs="Arial"/>
          <w:b/>
          <w:position w:val="1"/>
          <w:sz w:val="26"/>
          <w:szCs w:val="26"/>
        </w:rPr>
      </w:pPr>
    </w:p>
    <w:p w14:paraId="49BB1B52" w14:textId="77777777" w:rsidR="00FC4450" w:rsidRPr="006A4205" w:rsidRDefault="00FC4450" w:rsidP="00FC4450">
      <w:pPr>
        <w:spacing w:before="240"/>
        <w:rPr>
          <w:rFonts w:eastAsia="+mn-ea"/>
          <w:b/>
          <w:position w:val="1"/>
          <w:sz w:val="24"/>
          <w:szCs w:val="40"/>
        </w:rPr>
      </w:pPr>
      <w:r w:rsidRPr="006A4205">
        <w:rPr>
          <w:rFonts w:eastAsia="+mn-ea"/>
          <w:b/>
          <w:position w:val="1"/>
          <w:sz w:val="24"/>
          <w:szCs w:val="40"/>
        </w:rPr>
        <w:t>Summary Recommendation to Applicant:</w:t>
      </w:r>
    </w:p>
    <w:sdt>
      <w:sdtPr>
        <w:rPr>
          <w:rFonts w:eastAsia="+mn-ea"/>
          <w:position w:val="1"/>
        </w:rPr>
        <w:id w:val="692660743"/>
        <w:text w:multiLine="1"/>
      </w:sdtPr>
      <w:sdtContent>
        <w:p w14:paraId="2A13F720" w14:textId="77777777" w:rsidR="00FC4450" w:rsidRPr="006A4205" w:rsidRDefault="00FC4450" w:rsidP="00FC4450">
          <w:pPr>
            <w:spacing w:before="240"/>
            <w:rPr>
              <w:rFonts w:eastAsia="+mn-ea"/>
              <w:position w:val="1"/>
            </w:rPr>
          </w:pPr>
          <w:r w:rsidRPr="006A4205">
            <w:rPr>
              <w:rFonts w:eastAsia="+mn-ea"/>
              <w:position w:val="1"/>
            </w:rPr>
            <w:t xml:space="preserve">MRG noted that the indicator has been previously assured as suitable for inclusion in the Library of Quality Assured Indicators, however this was under an earlier iteration of the assurance process.  Members thanked the applicant for the “uplift” in documentation which has allowed the indicator to be assessed against the standard criteria assessment and “levels of assurance”.  </w:t>
          </w:r>
          <w:r w:rsidRPr="006A4205">
            <w:rPr>
              <w:rFonts w:eastAsia="+mn-ea"/>
              <w:position w:val="1"/>
            </w:rPr>
            <w:br/>
          </w:r>
          <w:r w:rsidRPr="006A4205">
            <w:rPr>
              <w:rFonts w:eastAsia="+mn-ea"/>
              <w:position w:val="1"/>
            </w:rPr>
            <w:br/>
            <w:t xml:space="preserve">Upon review the indicator has been given an overall rating of “Fit for use with caveats”, as MRG were generally content with the information provided in the application form. </w:t>
          </w:r>
          <w:proofErr w:type="gramStart"/>
          <w:r w:rsidRPr="006A4205">
            <w:rPr>
              <w:rFonts w:eastAsia="+mn-ea"/>
              <w:position w:val="1"/>
            </w:rPr>
            <w:t>Therefore</w:t>
          </w:r>
          <w:proofErr w:type="gramEnd"/>
          <w:r w:rsidRPr="006A4205">
            <w:rPr>
              <w:rFonts w:eastAsia="+mn-ea"/>
              <w:position w:val="1"/>
            </w:rPr>
            <w:t xml:space="preserve"> they are endorsing the indicator for inclusion in the Library. However, there are improvements which could be made, which can be found in the appraisal log (below).</w:t>
          </w:r>
        </w:p>
      </w:sdtContent>
    </w:sdt>
    <w:p w14:paraId="5AFC5466" w14:textId="77777777" w:rsidR="00FC4450" w:rsidRPr="006A4205" w:rsidRDefault="00FC4450" w:rsidP="00FC4450">
      <w:pPr>
        <w:spacing w:before="240"/>
        <w:rPr>
          <w:rFonts w:eastAsia="+mn-ea"/>
          <w:b/>
          <w:position w:val="1"/>
          <w:sz w:val="24"/>
          <w:szCs w:val="40"/>
        </w:rPr>
      </w:pPr>
      <w:r w:rsidRPr="006A4205">
        <w:rPr>
          <w:rFonts w:eastAsia="+mn-ea"/>
          <w:b/>
          <w:position w:val="1"/>
          <w:sz w:val="24"/>
          <w:szCs w:val="40"/>
        </w:rPr>
        <w:t>Summary Recommendation to IGB:</w:t>
      </w:r>
    </w:p>
    <w:p w14:paraId="1D3EBBBA" w14:textId="77777777" w:rsidR="00FC4450" w:rsidRPr="006A4205" w:rsidRDefault="00FC4450" w:rsidP="00FC4450">
      <w:pPr>
        <w:spacing w:before="240"/>
        <w:rPr>
          <w:lang w:eastAsia="en-GB"/>
        </w:rPr>
      </w:pPr>
      <w:r w:rsidRPr="006A4205">
        <w:rPr>
          <w:lang w:eastAsia="en-GB"/>
        </w:rPr>
        <w:t>MRG endorse the indicator for inclusion in the Library, however there are small improvements which could be made to the metadata, specifically around the justification of the data source, how and why HES is used to measure case ascertainment, and the interpretation guidelines. In addition, there is currently no named sponsor for the indicator.</w:t>
      </w:r>
    </w:p>
    <w:p w14:paraId="0AB48CEA" w14:textId="77777777" w:rsidR="00FC4450" w:rsidRPr="006A4205" w:rsidRDefault="00FC4450" w:rsidP="00FC4450">
      <w:r w:rsidRPr="006A4205">
        <w:t xml:space="preserve"> </w:t>
      </w:r>
    </w:p>
    <w:p w14:paraId="4B8EA547" w14:textId="77777777" w:rsidR="00FC4450" w:rsidRPr="006A4205" w:rsidRDefault="00FC4450" w:rsidP="00FC4450">
      <w:pPr>
        <w:rPr>
          <w:b/>
          <w:spacing w:val="5"/>
          <w:kern w:val="28"/>
          <w:szCs w:val="52"/>
        </w:rPr>
      </w:pPr>
      <w:r w:rsidRPr="006A4205">
        <w:rPr>
          <w:b/>
        </w:rPr>
        <w:t>Please find a detailed description of recommendations and actions in the appraisal log at the end of the document.</w:t>
      </w:r>
    </w:p>
    <w:p w14:paraId="3A677E71" w14:textId="77777777" w:rsidR="00FC4450" w:rsidRPr="006A4205" w:rsidRDefault="00FC4450" w:rsidP="00FC4450">
      <w:pPr>
        <w:rPr>
          <w:rFonts w:eastAsia="+mn-ea"/>
          <w:sz w:val="40"/>
        </w:rPr>
      </w:pPr>
      <w:r w:rsidRPr="006A4205">
        <w:rPr>
          <w:rFonts w:eastAsia="+mn-ea"/>
          <w:sz w:val="40"/>
        </w:rPr>
        <w:br w:type="page"/>
      </w:r>
    </w:p>
    <w:p w14:paraId="2F6A933D" w14:textId="77777777" w:rsidR="00FC4450" w:rsidRPr="006A4205" w:rsidRDefault="00FC4450" w:rsidP="00FC4450">
      <w:pPr>
        <w:pStyle w:val="NormalWeb"/>
        <w:spacing w:before="0" w:beforeAutospacing="0" w:after="0" w:afterAutospacing="0"/>
        <w:rPr>
          <w:rFonts w:ascii="Arial" w:eastAsia="+mn-ea" w:hAnsi="Arial" w:cs="Arial"/>
          <w:b/>
          <w:position w:val="1"/>
          <w:sz w:val="32"/>
          <w:szCs w:val="32"/>
        </w:rPr>
      </w:pPr>
      <w:r w:rsidRPr="006A4205">
        <w:rPr>
          <w:rFonts w:ascii="Arial" w:eastAsia="+mn-ea" w:hAnsi="Arial" w:cs="Arial"/>
          <w:b/>
          <w:position w:val="1"/>
          <w:sz w:val="32"/>
          <w:szCs w:val="32"/>
        </w:rPr>
        <w:lastRenderedPageBreak/>
        <w:t>What do the Assurance Ratings mean?</w:t>
      </w:r>
    </w:p>
    <w:p w14:paraId="269F4B00" w14:textId="77777777" w:rsidR="00FC4450" w:rsidRPr="006A4205" w:rsidRDefault="00FC4450" w:rsidP="00FC4450"/>
    <w:tbl>
      <w:tblPr>
        <w:tblStyle w:val="TableGrid1"/>
        <w:tblW w:w="0" w:type="auto"/>
        <w:tblLook w:val="04A0" w:firstRow="1" w:lastRow="0" w:firstColumn="1" w:lastColumn="0" w:noHBand="0" w:noVBand="1"/>
      </w:tblPr>
      <w:tblGrid>
        <w:gridCol w:w="2693"/>
        <w:gridCol w:w="6095"/>
      </w:tblGrid>
      <w:tr w:rsidR="006A4205" w:rsidRPr="006A4205" w14:paraId="2E115527" w14:textId="77777777" w:rsidTr="00F83902">
        <w:tc>
          <w:tcPr>
            <w:tcW w:w="2693" w:type="dxa"/>
          </w:tcPr>
          <w:p w14:paraId="33BC9CE3" w14:textId="3D47778C" w:rsidR="00F83902" w:rsidRPr="006A4205" w:rsidRDefault="00F83902" w:rsidP="00D13771">
            <w:pPr>
              <w:spacing w:before="120" w:after="120"/>
              <w:rPr>
                <w:b/>
              </w:rPr>
            </w:pPr>
            <w:r w:rsidRPr="006A4205">
              <w:rPr>
                <w:b/>
                <w:sz w:val="28"/>
                <w:szCs w:val="28"/>
              </w:rPr>
              <w:t>Rating</w:t>
            </w:r>
          </w:p>
        </w:tc>
        <w:tc>
          <w:tcPr>
            <w:tcW w:w="6095" w:type="dxa"/>
          </w:tcPr>
          <w:p w14:paraId="65DB6DD4" w14:textId="61817C76" w:rsidR="00F83902" w:rsidRPr="006A4205" w:rsidRDefault="00F83902" w:rsidP="00D13771">
            <w:pPr>
              <w:spacing w:before="120" w:after="120"/>
            </w:pPr>
            <w:r w:rsidRPr="006A4205">
              <w:rPr>
                <w:b/>
                <w:sz w:val="28"/>
                <w:szCs w:val="28"/>
              </w:rPr>
              <w:t>Description</w:t>
            </w:r>
          </w:p>
        </w:tc>
      </w:tr>
      <w:tr w:rsidR="006A4205" w:rsidRPr="006A4205" w14:paraId="76F1F1F5" w14:textId="77777777" w:rsidTr="00F83902">
        <w:tc>
          <w:tcPr>
            <w:tcW w:w="2693" w:type="dxa"/>
          </w:tcPr>
          <w:p w14:paraId="307BC579" w14:textId="77777777" w:rsidR="00F83902" w:rsidRPr="006A4205" w:rsidRDefault="00F83902" w:rsidP="00D13771">
            <w:pPr>
              <w:spacing w:before="120" w:after="120"/>
              <w:rPr>
                <w:b/>
              </w:rPr>
            </w:pPr>
            <w:r w:rsidRPr="006A4205">
              <w:rPr>
                <w:b/>
              </w:rPr>
              <w:t>Fit for use</w:t>
            </w:r>
          </w:p>
        </w:tc>
        <w:tc>
          <w:tcPr>
            <w:tcW w:w="6095" w:type="dxa"/>
          </w:tcPr>
          <w:p w14:paraId="17536FBA" w14:textId="77777777" w:rsidR="00F83902" w:rsidRPr="006A4205" w:rsidRDefault="00F83902" w:rsidP="00D13771">
            <w:pPr>
              <w:spacing w:before="120" w:after="120"/>
            </w:pPr>
            <w:r w:rsidRPr="006A4205">
              <w:t>This indicator can be used with confidence that it is constructed in a sound manner that is fit for purpose.</w:t>
            </w:r>
          </w:p>
        </w:tc>
      </w:tr>
      <w:tr w:rsidR="006A4205" w:rsidRPr="006A4205" w14:paraId="030C200F" w14:textId="77777777" w:rsidTr="00F83902">
        <w:tc>
          <w:tcPr>
            <w:tcW w:w="2693" w:type="dxa"/>
          </w:tcPr>
          <w:p w14:paraId="2D48CCFD" w14:textId="77777777" w:rsidR="00F83902" w:rsidRPr="006A4205" w:rsidRDefault="00F83902" w:rsidP="00D13771">
            <w:pPr>
              <w:spacing w:before="120" w:after="120"/>
              <w:rPr>
                <w:b/>
              </w:rPr>
            </w:pPr>
            <w:r w:rsidRPr="006A4205">
              <w:rPr>
                <w:b/>
              </w:rPr>
              <w:t>Fit for use with caveats</w:t>
            </w:r>
          </w:p>
        </w:tc>
        <w:tc>
          <w:tcPr>
            <w:tcW w:w="6095" w:type="dxa"/>
          </w:tcPr>
          <w:p w14:paraId="5CECC9F2" w14:textId="77777777" w:rsidR="00F83902" w:rsidRPr="006A4205" w:rsidRDefault="00F83902" w:rsidP="00D13771">
            <w:pPr>
              <w:spacing w:before="120" w:after="120"/>
            </w:pPr>
            <w:r w:rsidRPr="006A4205">
              <w:t xml:space="preserve">The indicator is fit for </w:t>
            </w:r>
            <w:proofErr w:type="gramStart"/>
            <w:r w:rsidRPr="006A4205">
              <w:t>use,</w:t>
            </w:r>
            <w:proofErr w:type="gramEnd"/>
            <w:r w:rsidRPr="006A4205">
              <w:t xml:space="preserve"> however users should be aware of caveats and/or recommendations for improvement that have been identified during the assurance process.</w:t>
            </w:r>
          </w:p>
        </w:tc>
      </w:tr>
      <w:tr w:rsidR="006A4205" w:rsidRPr="006A4205" w14:paraId="64AC5645" w14:textId="77777777" w:rsidTr="00F83902">
        <w:tc>
          <w:tcPr>
            <w:tcW w:w="2693" w:type="dxa"/>
          </w:tcPr>
          <w:p w14:paraId="611C6F59" w14:textId="77777777" w:rsidR="00F83902" w:rsidRPr="006A4205" w:rsidRDefault="00F83902" w:rsidP="00D13771">
            <w:pPr>
              <w:spacing w:before="120" w:after="120"/>
              <w:rPr>
                <w:b/>
              </w:rPr>
            </w:pPr>
            <w:r w:rsidRPr="006A4205">
              <w:rPr>
                <w:b/>
              </w:rPr>
              <w:t>Use with caution</w:t>
            </w:r>
          </w:p>
        </w:tc>
        <w:tc>
          <w:tcPr>
            <w:tcW w:w="6095" w:type="dxa"/>
          </w:tcPr>
          <w:p w14:paraId="1AE88112" w14:textId="77777777" w:rsidR="00F83902" w:rsidRPr="006A4205" w:rsidRDefault="00F83902" w:rsidP="00D13771">
            <w:pPr>
              <w:spacing w:before="120" w:after="120"/>
            </w:pPr>
            <w:r w:rsidRPr="006A4205">
              <w:t xml:space="preserve">The indicator is based on a sound methodology for which the assurance process </w:t>
            </w:r>
            <w:proofErr w:type="gramStart"/>
            <w:r w:rsidRPr="006A4205">
              <w:t>endorse</w:t>
            </w:r>
            <w:proofErr w:type="gramEnd"/>
            <w:r w:rsidRPr="006A4205">
              <w:t xml:space="preserve"> the use, however issues have been identified with the national data source which have implications for its use as an indicator.</w:t>
            </w:r>
          </w:p>
        </w:tc>
      </w:tr>
      <w:tr w:rsidR="006A4205" w:rsidRPr="006A4205" w14:paraId="09E5D6CD" w14:textId="77777777" w:rsidTr="00F83902">
        <w:tc>
          <w:tcPr>
            <w:tcW w:w="2693" w:type="dxa"/>
          </w:tcPr>
          <w:p w14:paraId="573B6CEA" w14:textId="77777777" w:rsidR="00F83902" w:rsidRPr="006A4205" w:rsidRDefault="00F83902" w:rsidP="00D13771">
            <w:pPr>
              <w:spacing w:before="120" w:after="120"/>
              <w:rPr>
                <w:b/>
              </w:rPr>
            </w:pPr>
            <w:r w:rsidRPr="006A4205">
              <w:rPr>
                <w:b/>
              </w:rPr>
              <w:t>Not fit for use</w:t>
            </w:r>
          </w:p>
        </w:tc>
        <w:tc>
          <w:tcPr>
            <w:tcW w:w="6095" w:type="dxa"/>
          </w:tcPr>
          <w:p w14:paraId="1DCE2ECB" w14:textId="77777777" w:rsidR="00F83902" w:rsidRPr="006A4205" w:rsidRDefault="00F83902" w:rsidP="00D13771">
            <w:pPr>
              <w:spacing w:before="120" w:after="120"/>
            </w:pPr>
            <w:r w:rsidRPr="006A4205">
              <w:t>Issues have been identified with the indicator which have resulted in the assurance process currently not endorsing its use as a quality indicator.</w:t>
            </w:r>
          </w:p>
        </w:tc>
      </w:tr>
      <w:tr w:rsidR="006A4205" w:rsidRPr="006A4205" w14:paraId="5492FBFB" w14:textId="77777777" w:rsidTr="00F83902">
        <w:tc>
          <w:tcPr>
            <w:tcW w:w="2693" w:type="dxa"/>
          </w:tcPr>
          <w:p w14:paraId="0801BB56" w14:textId="77777777" w:rsidR="00F83902" w:rsidRPr="006A4205" w:rsidRDefault="00F83902" w:rsidP="00D13771">
            <w:pPr>
              <w:spacing w:before="120" w:after="120"/>
              <w:rPr>
                <w:b/>
              </w:rPr>
            </w:pPr>
            <w:r w:rsidRPr="006A4205">
              <w:rPr>
                <w:b/>
              </w:rPr>
              <w:t>Not enough information provided</w:t>
            </w:r>
          </w:p>
        </w:tc>
        <w:tc>
          <w:tcPr>
            <w:tcW w:w="6095" w:type="dxa"/>
          </w:tcPr>
          <w:p w14:paraId="457C81F9" w14:textId="77777777" w:rsidR="00F83902" w:rsidRPr="006A4205" w:rsidRDefault="00F83902" w:rsidP="00D13771">
            <w:pPr>
              <w:spacing w:before="120" w:after="120"/>
            </w:pPr>
            <w:r w:rsidRPr="006A4205">
              <w:t>There has not been enough information supplied to the assurance process to be able to accurately give the indicator a level of assurance.</w:t>
            </w:r>
          </w:p>
        </w:tc>
      </w:tr>
    </w:tbl>
    <w:p w14:paraId="25D9B3D0" w14:textId="77777777" w:rsidR="00FC4450" w:rsidRPr="006A4205" w:rsidRDefault="00FC4450" w:rsidP="00FC4450">
      <w:pPr>
        <w:pStyle w:val="NormalWeb"/>
        <w:spacing w:before="0" w:beforeAutospacing="0" w:after="0" w:afterAutospacing="0"/>
        <w:rPr>
          <w:rFonts w:ascii="Arial" w:eastAsia="+mn-ea" w:hAnsi="Arial" w:cs="Arial"/>
          <w:sz w:val="40"/>
        </w:rPr>
      </w:pPr>
      <w:r w:rsidRPr="006A4205">
        <w:rPr>
          <w:rFonts w:ascii="Arial" w:eastAsia="+mn-ea" w:hAnsi="Arial" w:cs="Arial"/>
          <w:sz w:val="40"/>
        </w:rPr>
        <w:br w:type="page"/>
      </w:r>
    </w:p>
    <w:p w14:paraId="2BD3EE0F" w14:textId="77777777" w:rsidR="00FC4450" w:rsidRPr="006A4205" w:rsidRDefault="00FC4450" w:rsidP="00FC4450">
      <w:pPr>
        <w:spacing w:before="240"/>
        <w:rPr>
          <w:rFonts w:eastAsia="+mn-ea"/>
          <w:b/>
          <w:position w:val="1"/>
          <w:sz w:val="32"/>
          <w:szCs w:val="40"/>
          <w:lang w:eastAsia="en-GB"/>
        </w:rPr>
        <w:sectPr w:rsidR="00FC4450" w:rsidRPr="006A4205" w:rsidSect="00D13771">
          <w:headerReference w:type="first" r:id="rId31"/>
          <w:footerReference w:type="first" r:id="rId32"/>
          <w:pgSz w:w="11906" w:h="16838"/>
          <w:pgMar w:top="851" w:right="991" w:bottom="1440" w:left="851" w:header="567" w:footer="708" w:gutter="0"/>
          <w:pgNumType w:start="0"/>
          <w:cols w:space="708"/>
          <w:titlePg/>
          <w:docGrid w:linePitch="360"/>
        </w:sectPr>
      </w:pPr>
    </w:p>
    <w:p w14:paraId="7C607177" w14:textId="77777777" w:rsidR="00FC4450" w:rsidRPr="006A4205" w:rsidRDefault="00FC4450" w:rsidP="00FC4450">
      <w:pPr>
        <w:pStyle w:val="NormalWeb"/>
        <w:spacing w:before="0" w:beforeAutospacing="0" w:after="0" w:afterAutospacing="0"/>
        <w:rPr>
          <w:rFonts w:ascii="Arial" w:eastAsia="+mn-ea" w:hAnsi="Arial" w:cs="Arial"/>
          <w:b/>
          <w:position w:val="1"/>
          <w:sz w:val="32"/>
          <w:szCs w:val="26"/>
        </w:rPr>
      </w:pPr>
      <w:r w:rsidRPr="006A4205">
        <w:rPr>
          <w:rFonts w:ascii="Arial" w:eastAsia="+mn-ea" w:hAnsi="Arial" w:cs="Arial"/>
          <w:b/>
          <w:position w:val="1"/>
          <w:sz w:val="32"/>
          <w:szCs w:val="26"/>
        </w:rPr>
        <w:lastRenderedPageBreak/>
        <w:t xml:space="preserve">Appraisal Log </w:t>
      </w:r>
    </w:p>
    <w:p w14:paraId="1AEDCF07" w14:textId="2079C60C" w:rsidR="00FC4450" w:rsidRPr="006A4205" w:rsidRDefault="00F83902" w:rsidP="00FC4450">
      <w:pPr>
        <w:pStyle w:val="NormalWeb"/>
        <w:spacing w:before="0" w:beforeAutospacing="0" w:after="0" w:afterAutospacing="0"/>
        <w:rPr>
          <w:rFonts w:ascii="Arial" w:eastAsia="+mn-ea" w:hAnsi="Arial" w:cs="Arial"/>
          <w:b/>
          <w:position w:val="1"/>
          <w:sz w:val="32"/>
          <w:szCs w:val="26"/>
        </w:rPr>
      </w:pPr>
      <w:r w:rsidRPr="006A4205">
        <w:rPr>
          <w:rFonts w:ascii="Arial" w:hAnsi="Arial" w:cs="Arial"/>
          <w:b/>
          <w:sz w:val="28"/>
          <w:szCs w:val="28"/>
        </w:rPr>
        <w:t>Clarity</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6A4205" w:rsidRPr="006A4205" w14:paraId="58197AC6" w14:textId="77777777" w:rsidTr="00F83902">
        <w:tc>
          <w:tcPr>
            <w:tcW w:w="298" w:type="pct"/>
          </w:tcPr>
          <w:p w14:paraId="35013B41" w14:textId="77777777" w:rsidR="00FC4450" w:rsidRPr="006A4205" w:rsidRDefault="00FC4450" w:rsidP="00D13771">
            <w:pPr>
              <w:rPr>
                <w:b/>
                <w:i/>
              </w:rPr>
            </w:pPr>
            <w:r w:rsidRPr="006A4205">
              <w:rPr>
                <w:b/>
                <w:i/>
              </w:rPr>
              <w:t>Rec. no</w:t>
            </w:r>
          </w:p>
        </w:tc>
        <w:tc>
          <w:tcPr>
            <w:tcW w:w="1460" w:type="pct"/>
          </w:tcPr>
          <w:p w14:paraId="0B4AEFC1" w14:textId="77777777" w:rsidR="00FC4450" w:rsidRPr="006A4205" w:rsidRDefault="00FC4450" w:rsidP="00D13771">
            <w:pPr>
              <w:rPr>
                <w:b/>
                <w:i/>
              </w:rPr>
            </w:pPr>
            <w:r w:rsidRPr="006A4205">
              <w:rPr>
                <w:b/>
                <w:i/>
              </w:rPr>
              <w:t>Issue or recommendation</w:t>
            </w:r>
          </w:p>
        </w:tc>
        <w:tc>
          <w:tcPr>
            <w:tcW w:w="406" w:type="pct"/>
          </w:tcPr>
          <w:p w14:paraId="54DC68FF" w14:textId="77777777" w:rsidR="00FC4450" w:rsidRPr="006A4205" w:rsidRDefault="00FC4450" w:rsidP="00D13771">
            <w:pPr>
              <w:rPr>
                <w:b/>
                <w:i/>
              </w:rPr>
            </w:pPr>
            <w:r w:rsidRPr="006A4205">
              <w:rPr>
                <w:b/>
                <w:i/>
              </w:rPr>
              <w:t>Raised by / Date</w:t>
            </w:r>
          </w:p>
        </w:tc>
        <w:tc>
          <w:tcPr>
            <w:tcW w:w="1555" w:type="pct"/>
          </w:tcPr>
          <w:p w14:paraId="26B4ED15" w14:textId="77777777" w:rsidR="00FC4450" w:rsidRPr="006A4205" w:rsidRDefault="00FC4450" w:rsidP="00D13771">
            <w:pPr>
              <w:rPr>
                <w:b/>
                <w:i/>
              </w:rPr>
            </w:pPr>
            <w:r w:rsidRPr="006A4205">
              <w:rPr>
                <w:b/>
                <w:i/>
              </w:rPr>
              <w:t>Response or Action taken by applicant</w:t>
            </w:r>
          </w:p>
        </w:tc>
        <w:tc>
          <w:tcPr>
            <w:tcW w:w="435" w:type="pct"/>
          </w:tcPr>
          <w:p w14:paraId="05F80E6E" w14:textId="77777777" w:rsidR="00FC4450" w:rsidRPr="006A4205" w:rsidRDefault="00FC4450" w:rsidP="00D13771">
            <w:pPr>
              <w:rPr>
                <w:b/>
                <w:i/>
              </w:rPr>
            </w:pPr>
            <w:r w:rsidRPr="006A4205">
              <w:rPr>
                <w:b/>
                <w:i/>
              </w:rPr>
              <w:t>Response date</w:t>
            </w:r>
          </w:p>
        </w:tc>
        <w:tc>
          <w:tcPr>
            <w:tcW w:w="410" w:type="pct"/>
          </w:tcPr>
          <w:p w14:paraId="184E5699" w14:textId="77777777" w:rsidR="00FC4450" w:rsidRPr="006A4205" w:rsidRDefault="00FC4450" w:rsidP="00D13771">
            <w:pPr>
              <w:rPr>
                <w:b/>
                <w:i/>
              </w:rPr>
            </w:pPr>
            <w:r w:rsidRPr="006A4205">
              <w:rPr>
                <w:b/>
                <w:i/>
              </w:rPr>
              <w:t>Resolved</w:t>
            </w:r>
          </w:p>
        </w:tc>
        <w:tc>
          <w:tcPr>
            <w:tcW w:w="436" w:type="pct"/>
          </w:tcPr>
          <w:p w14:paraId="105CEDBF" w14:textId="77777777" w:rsidR="00FC4450" w:rsidRPr="006A4205" w:rsidRDefault="00FC4450" w:rsidP="00D13771">
            <w:pPr>
              <w:rPr>
                <w:b/>
                <w:i/>
              </w:rPr>
            </w:pPr>
            <w:r w:rsidRPr="006A4205">
              <w:rPr>
                <w:b/>
                <w:i/>
              </w:rPr>
              <w:t>Sign off by / Date</w:t>
            </w:r>
          </w:p>
        </w:tc>
      </w:tr>
      <w:tr w:rsidR="006A4205" w:rsidRPr="006A4205" w14:paraId="7C15B42D" w14:textId="77777777" w:rsidTr="00F83902">
        <w:tc>
          <w:tcPr>
            <w:tcW w:w="298" w:type="pct"/>
          </w:tcPr>
          <w:p w14:paraId="6487D538" w14:textId="77777777" w:rsidR="00FC4450" w:rsidRPr="006A4205" w:rsidRDefault="00FC4450" w:rsidP="00D13771">
            <w:r w:rsidRPr="006A4205">
              <w:t>1a</w:t>
            </w:r>
          </w:p>
        </w:tc>
        <w:tc>
          <w:tcPr>
            <w:tcW w:w="1460" w:type="pct"/>
          </w:tcPr>
          <w:p w14:paraId="4A0BB6A3" w14:textId="77777777" w:rsidR="00FC4450" w:rsidRPr="006A4205" w:rsidRDefault="00FC4450" w:rsidP="00D13771"/>
        </w:tc>
        <w:tc>
          <w:tcPr>
            <w:tcW w:w="406" w:type="pct"/>
          </w:tcPr>
          <w:p w14:paraId="3E6A5744" w14:textId="77777777" w:rsidR="00FC4450" w:rsidRPr="006A4205" w:rsidRDefault="00FC4450" w:rsidP="00D13771"/>
        </w:tc>
        <w:tc>
          <w:tcPr>
            <w:tcW w:w="1555" w:type="pct"/>
          </w:tcPr>
          <w:p w14:paraId="10A2B38F" w14:textId="77777777" w:rsidR="00FC4450" w:rsidRPr="006A4205" w:rsidRDefault="00FC4450" w:rsidP="00D13771"/>
        </w:tc>
        <w:tc>
          <w:tcPr>
            <w:tcW w:w="435" w:type="pct"/>
          </w:tcPr>
          <w:p w14:paraId="4CCF1EFC" w14:textId="77777777" w:rsidR="00FC4450" w:rsidRPr="006A4205" w:rsidRDefault="00FC4450" w:rsidP="00D13771"/>
        </w:tc>
        <w:sdt>
          <w:sdtPr>
            <w:id w:val="692496695"/>
            <w14:checkbox>
              <w14:checked w14:val="0"/>
              <w14:checkedState w14:val="2612" w14:font="MS Gothic"/>
              <w14:uncheckedState w14:val="2610" w14:font="MS Gothic"/>
            </w14:checkbox>
          </w:sdtPr>
          <w:sdtContent>
            <w:tc>
              <w:tcPr>
                <w:tcW w:w="410" w:type="pct"/>
              </w:tcPr>
              <w:p w14:paraId="40E47F91" w14:textId="77777777" w:rsidR="00FC4450" w:rsidRPr="006A4205" w:rsidRDefault="00FC4450" w:rsidP="00D13771">
                <w:pPr>
                  <w:jc w:val="center"/>
                </w:pPr>
                <w:r w:rsidRPr="006A4205">
                  <w:rPr>
                    <w:rFonts w:ascii="Segoe UI Symbol" w:eastAsia="MS Gothic" w:hAnsi="Segoe UI Symbol" w:cs="Segoe UI Symbol"/>
                  </w:rPr>
                  <w:t>☐</w:t>
                </w:r>
              </w:p>
            </w:tc>
          </w:sdtContent>
        </w:sdt>
        <w:tc>
          <w:tcPr>
            <w:tcW w:w="436" w:type="pct"/>
          </w:tcPr>
          <w:p w14:paraId="18FEA53C" w14:textId="77777777" w:rsidR="00FC4450" w:rsidRPr="006A4205" w:rsidRDefault="00FC4450" w:rsidP="00D13771"/>
        </w:tc>
      </w:tr>
    </w:tbl>
    <w:p w14:paraId="67AE2A31" w14:textId="6156CF90" w:rsidR="00FC4450" w:rsidRPr="006A4205" w:rsidRDefault="00F83902" w:rsidP="00FC4450">
      <w:r w:rsidRPr="006A4205">
        <w:rPr>
          <w:b/>
          <w:sz w:val="28"/>
          <w:szCs w:val="28"/>
        </w:rPr>
        <w:t>Rationale</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6A4205" w:rsidRPr="006A4205" w14:paraId="3EE490C5" w14:textId="77777777" w:rsidTr="00F83902">
        <w:tc>
          <w:tcPr>
            <w:tcW w:w="298" w:type="pct"/>
          </w:tcPr>
          <w:p w14:paraId="3C776EED" w14:textId="77777777" w:rsidR="00FC4450" w:rsidRPr="006A4205" w:rsidRDefault="00FC4450" w:rsidP="00D13771">
            <w:pPr>
              <w:rPr>
                <w:b/>
                <w:i/>
              </w:rPr>
            </w:pPr>
            <w:r w:rsidRPr="006A4205">
              <w:rPr>
                <w:b/>
                <w:i/>
              </w:rPr>
              <w:t>Rec. no</w:t>
            </w:r>
          </w:p>
        </w:tc>
        <w:tc>
          <w:tcPr>
            <w:tcW w:w="1460" w:type="pct"/>
          </w:tcPr>
          <w:p w14:paraId="4CE75EA7" w14:textId="77777777" w:rsidR="00FC4450" w:rsidRPr="006A4205" w:rsidRDefault="00FC4450" w:rsidP="00D13771">
            <w:pPr>
              <w:rPr>
                <w:b/>
                <w:i/>
              </w:rPr>
            </w:pPr>
            <w:r w:rsidRPr="006A4205">
              <w:rPr>
                <w:b/>
                <w:i/>
              </w:rPr>
              <w:t>Issue or recommendation</w:t>
            </w:r>
          </w:p>
        </w:tc>
        <w:tc>
          <w:tcPr>
            <w:tcW w:w="406" w:type="pct"/>
          </w:tcPr>
          <w:p w14:paraId="6326FD5D" w14:textId="77777777" w:rsidR="00FC4450" w:rsidRPr="006A4205" w:rsidRDefault="00FC4450" w:rsidP="00D13771">
            <w:pPr>
              <w:rPr>
                <w:b/>
                <w:i/>
              </w:rPr>
            </w:pPr>
            <w:r w:rsidRPr="006A4205">
              <w:rPr>
                <w:b/>
                <w:i/>
              </w:rPr>
              <w:t>Raised by / Date</w:t>
            </w:r>
          </w:p>
        </w:tc>
        <w:tc>
          <w:tcPr>
            <w:tcW w:w="1555" w:type="pct"/>
          </w:tcPr>
          <w:p w14:paraId="69D2CAAD" w14:textId="77777777" w:rsidR="00FC4450" w:rsidRPr="006A4205" w:rsidRDefault="00FC4450" w:rsidP="00D13771">
            <w:pPr>
              <w:rPr>
                <w:b/>
                <w:i/>
              </w:rPr>
            </w:pPr>
            <w:r w:rsidRPr="006A4205">
              <w:rPr>
                <w:b/>
                <w:i/>
              </w:rPr>
              <w:t>Response or Action taken by applicant</w:t>
            </w:r>
          </w:p>
        </w:tc>
        <w:tc>
          <w:tcPr>
            <w:tcW w:w="435" w:type="pct"/>
          </w:tcPr>
          <w:p w14:paraId="56B62C48" w14:textId="77777777" w:rsidR="00FC4450" w:rsidRPr="006A4205" w:rsidRDefault="00FC4450" w:rsidP="00D13771">
            <w:pPr>
              <w:rPr>
                <w:b/>
                <w:i/>
              </w:rPr>
            </w:pPr>
            <w:r w:rsidRPr="006A4205">
              <w:rPr>
                <w:b/>
                <w:i/>
              </w:rPr>
              <w:t>Response date</w:t>
            </w:r>
          </w:p>
        </w:tc>
        <w:tc>
          <w:tcPr>
            <w:tcW w:w="410" w:type="pct"/>
          </w:tcPr>
          <w:p w14:paraId="25CDB367" w14:textId="77777777" w:rsidR="00FC4450" w:rsidRPr="006A4205" w:rsidRDefault="00FC4450" w:rsidP="00D13771">
            <w:pPr>
              <w:rPr>
                <w:b/>
                <w:i/>
              </w:rPr>
            </w:pPr>
            <w:r w:rsidRPr="006A4205">
              <w:rPr>
                <w:b/>
                <w:i/>
              </w:rPr>
              <w:t>Resolved</w:t>
            </w:r>
          </w:p>
        </w:tc>
        <w:tc>
          <w:tcPr>
            <w:tcW w:w="436" w:type="pct"/>
          </w:tcPr>
          <w:p w14:paraId="5F6849D0" w14:textId="77777777" w:rsidR="00FC4450" w:rsidRPr="006A4205" w:rsidRDefault="00FC4450" w:rsidP="00D13771">
            <w:pPr>
              <w:rPr>
                <w:b/>
                <w:i/>
              </w:rPr>
            </w:pPr>
            <w:r w:rsidRPr="006A4205">
              <w:rPr>
                <w:b/>
                <w:i/>
              </w:rPr>
              <w:t>Sign off by / Date</w:t>
            </w:r>
          </w:p>
        </w:tc>
      </w:tr>
      <w:tr w:rsidR="006A4205" w:rsidRPr="006A4205" w14:paraId="5F542913" w14:textId="77777777" w:rsidTr="00F83902">
        <w:tc>
          <w:tcPr>
            <w:tcW w:w="298" w:type="pct"/>
          </w:tcPr>
          <w:p w14:paraId="6192B818" w14:textId="77777777" w:rsidR="00FC4450" w:rsidRPr="006A4205" w:rsidRDefault="00FC4450" w:rsidP="00D13771">
            <w:r w:rsidRPr="006A4205">
              <w:t>2a</w:t>
            </w:r>
          </w:p>
        </w:tc>
        <w:tc>
          <w:tcPr>
            <w:tcW w:w="1460" w:type="pct"/>
          </w:tcPr>
          <w:p w14:paraId="54AD6B73" w14:textId="77777777" w:rsidR="00FC4450" w:rsidRPr="006A4205" w:rsidRDefault="00FC4450" w:rsidP="00D13771">
            <w:r w:rsidRPr="006A4205">
              <w:t>Clarification is sought from RCP around the reasoning for the inclusion of inpatients and how this impacts the indicator.</w:t>
            </w:r>
          </w:p>
        </w:tc>
        <w:tc>
          <w:tcPr>
            <w:tcW w:w="406" w:type="pct"/>
          </w:tcPr>
          <w:p w14:paraId="1C0008D9" w14:textId="77777777" w:rsidR="00FC4450" w:rsidRPr="006A4205" w:rsidRDefault="00FC4450" w:rsidP="00D13771">
            <w:r w:rsidRPr="006A4205">
              <w:t>MRG</w:t>
            </w:r>
          </w:p>
          <w:p w14:paraId="48604027" w14:textId="77777777" w:rsidR="00FC4450" w:rsidRPr="006A4205" w:rsidRDefault="00FC4450" w:rsidP="00D13771"/>
          <w:p w14:paraId="2F89F169" w14:textId="77777777" w:rsidR="00FC4450" w:rsidRPr="006A4205" w:rsidRDefault="00FC4450" w:rsidP="00D13771">
            <w:r w:rsidRPr="006A4205">
              <w:t>27/3/12</w:t>
            </w:r>
          </w:p>
        </w:tc>
        <w:tc>
          <w:tcPr>
            <w:tcW w:w="1555" w:type="pct"/>
          </w:tcPr>
          <w:p w14:paraId="59FF096F"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There is evidence that patients who have a stroke in hospital are sometimes treated less quickly because it is not </w:t>
            </w:r>
            <w:proofErr w:type="gramStart"/>
            <w:r w:rsidRPr="006A4205">
              <w:rPr>
                <w:rFonts w:eastAsia="Times New Roman"/>
                <w:lang w:eastAsia="en-GB"/>
              </w:rPr>
              <w:t>recognised</w:t>
            </w:r>
            <w:proofErr w:type="gramEnd"/>
            <w:r w:rsidRPr="006A4205">
              <w:rPr>
                <w:rFonts w:eastAsia="Times New Roman"/>
                <w:lang w:eastAsia="en-GB"/>
              </w:rPr>
              <w:t xml:space="preserve"> or systems are not set up well for in-hospital pathways. The audit has always defined the timelines in this </w:t>
            </w:r>
            <w:proofErr w:type="gramStart"/>
            <w:r w:rsidRPr="006A4205">
              <w:rPr>
                <w:rFonts w:eastAsia="Times New Roman"/>
                <w:lang w:eastAsia="en-GB"/>
              </w:rPr>
              <w:t>way</w:t>
            </w:r>
            <w:proofErr w:type="gramEnd"/>
            <w:r w:rsidRPr="006A4205">
              <w:rPr>
                <w:rFonts w:eastAsia="Times New Roman"/>
                <w:lang w:eastAsia="en-GB"/>
              </w:rPr>
              <w:t xml:space="preserve"> and it is recognised as helpful by the steering group and hospital clinicians.</w:t>
            </w:r>
          </w:p>
        </w:tc>
        <w:tc>
          <w:tcPr>
            <w:tcW w:w="435" w:type="pct"/>
          </w:tcPr>
          <w:p w14:paraId="2819BB52" w14:textId="77777777" w:rsidR="00FC4450" w:rsidRPr="006A4205" w:rsidRDefault="00FC4450" w:rsidP="00D13771">
            <w:pPr>
              <w:jc w:val="center"/>
            </w:pPr>
            <w:r w:rsidRPr="006A4205">
              <w:t>13/08/15</w:t>
            </w:r>
          </w:p>
        </w:tc>
        <w:sdt>
          <w:sdtPr>
            <w:id w:val="-1223366796"/>
            <w14:checkbox>
              <w14:checked w14:val="1"/>
              <w14:checkedState w14:val="00FE" w14:font="Wingdings"/>
              <w14:uncheckedState w14:val="006F" w14:font="Wingdings"/>
            </w14:checkbox>
          </w:sdtPr>
          <w:sdtContent>
            <w:tc>
              <w:tcPr>
                <w:tcW w:w="410" w:type="pct"/>
              </w:tcPr>
              <w:p w14:paraId="7E340403" w14:textId="77777777" w:rsidR="00FC4450" w:rsidRPr="006A4205" w:rsidRDefault="00FC4450" w:rsidP="00D13771">
                <w:pPr>
                  <w:jc w:val="center"/>
                </w:pPr>
                <w:r w:rsidRPr="006A4205">
                  <w:sym w:font="Wingdings" w:char="F0FE"/>
                </w:r>
              </w:p>
            </w:tc>
          </w:sdtContent>
        </w:sdt>
        <w:tc>
          <w:tcPr>
            <w:tcW w:w="436" w:type="pct"/>
          </w:tcPr>
          <w:p w14:paraId="2C8AF561" w14:textId="77777777" w:rsidR="00FC4450" w:rsidRPr="006A4205" w:rsidRDefault="00FC4450" w:rsidP="00D13771">
            <w:pPr>
              <w:rPr>
                <w:sz w:val="18"/>
                <w:szCs w:val="20"/>
              </w:rPr>
            </w:pPr>
            <w:r w:rsidRPr="006A4205">
              <w:rPr>
                <w:sz w:val="18"/>
                <w:szCs w:val="20"/>
              </w:rPr>
              <w:t>MRG</w:t>
            </w:r>
          </w:p>
          <w:p w14:paraId="69F461AD" w14:textId="77777777" w:rsidR="00FC4450" w:rsidRPr="006A4205" w:rsidRDefault="00FC4450" w:rsidP="00D13771">
            <w:pPr>
              <w:rPr>
                <w:sz w:val="18"/>
                <w:szCs w:val="20"/>
              </w:rPr>
            </w:pPr>
            <w:r w:rsidRPr="006A4205">
              <w:rPr>
                <w:sz w:val="18"/>
                <w:szCs w:val="20"/>
              </w:rPr>
              <w:t>10/09/15</w:t>
            </w:r>
          </w:p>
        </w:tc>
      </w:tr>
      <w:tr w:rsidR="006A4205" w:rsidRPr="006A4205" w14:paraId="25D31355" w14:textId="77777777" w:rsidTr="00F83902">
        <w:tc>
          <w:tcPr>
            <w:tcW w:w="298" w:type="pct"/>
          </w:tcPr>
          <w:p w14:paraId="3AB8A814" w14:textId="77777777" w:rsidR="00FC4450" w:rsidRPr="006A4205" w:rsidRDefault="00FC4450" w:rsidP="00D13771">
            <w:r w:rsidRPr="006A4205">
              <w:t>2b</w:t>
            </w:r>
          </w:p>
        </w:tc>
        <w:tc>
          <w:tcPr>
            <w:tcW w:w="1460" w:type="pct"/>
          </w:tcPr>
          <w:p w14:paraId="5914C980" w14:textId="77777777" w:rsidR="00FC4450" w:rsidRPr="006A4205" w:rsidRDefault="00FC4450" w:rsidP="00D13771">
            <w:r w:rsidRPr="006A4205">
              <w:t>A sponsor for the indicator needs to be identified.</w:t>
            </w:r>
          </w:p>
        </w:tc>
        <w:tc>
          <w:tcPr>
            <w:tcW w:w="406" w:type="pct"/>
          </w:tcPr>
          <w:p w14:paraId="0D832339" w14:textId="77777777" w:rsidR="00FC4450" w:rsidRPr="006A4205" w:rsidRDefault="00FC4450" w:rsidP="00D13771">
            <w:r w:rsidRPr="006A4205">
              <w:t>MRG</w:t>
            </w:r>
          </w:p>
          <w:p w14:paraId="7AEAEE83" w14:textId="77777777" w:rsidR="00FC4450" w:rsidRPr="006A4205" w:rsidRDefault="00FC4450" w:rsidP="00D13771"/>
          <w:p w14:paraId="21CD0942" w14:textId="77777777" w:rsidR="00FC4450" w:rsidRPr="006A4205" w:rsidRDefault="00FC4450" w:rsidP="00D13771">
            <w:r w:rsidRPr="006A4205">
              <w:t>10/09/15</w:t>
            </w:r>
          </w:p>
        </w:tc>
        <w:tc>
          <w:tcPr>
            <w:tcW w:w="1555" w:type="pct"/>
          </w:tcPr>
          <w:p w14:paraId="51E8F195" w14:textId="77777777" w:rsidR="00FC4450" w:rsidRPr="006A4205" w:rsidRDefault="00FC4450" w:rsidP="00D13771">
            <w:r w:rsidRPr="006A4205">
              <w:t>The sponsor of the CCG OIS is Richard Owen, Outcomes Strategy Lead, NHS Medical Directorate, NHS England.</w:t>
            </w:r>
          </w:p>
        </w:tc>
        <w:tc>
          <w:tcPr>
            <w:tcW w:w="435" w:type="pct"/>
          </w:tcPr>
          <w:p w14:paraId="7088BB57" w14:textId="77777777" w:rsidR="00FC4450" w:rsidRPr="006A4205" w:rsidRDefault="00FC4450" w:rsidP="00D13771">
            <w:pPr>
              <w:jc w:val="center"/>
            </w:pPr>
          </w:p>
        </w:tc>
        <w:sdt>
          <w:sdtPr>
            <w:id w:val="-1105881597"/>
            <w14:checkbox>
              <w14:checked w14:val="0"/>
              <w14:checkedState w14:val="00FE" w14:font="Wingdings"/>
              <w14:uncheckedState w14:val="006F" w14:font="Wingdings"/>
            </w14:checkbox>
          </w:sdtPr>
          <w:sdtContent>
            <w:tc>
              <w:tcPr>
                <w:tcW w:w="410" w:type="pct"/>
              </w:tcPr>
              <w:p w14:paraId="4887ED1E" w14:textId="77777777" w:rsidR="00FC4450" w:rsidRPr="006A4205" w:rsidRDefault="00FC4450" w:rsidP="00D13771">
                <w:pPr>
                  <w:jc w:val="center"/>
                </w:pPr>
                <w:r w:rsidRPr="006A4205">
                  <w:sym w:font="Wingdings" w:char="F06F"/>
                </w:r>
              </w:p>
            </w:tc>
          </w:sdtContent>
        </w:sdt>
        <w:tc>
          <w:tcPr>
            <w:tcW w:w="436" w:type="pct"/>
          </w:tcPr>
          <w:p w14:paraId="21A0831F" w14:textId="77777777" w:rsidR="00FC4450" w:rsidRPr="006A4205" w:rsidRDefault="00FC4450" w:rsidP="00D13771">
            <w:pPr>
              <w:rPr>
                <w:sz w:val="18"/>
                <w:szCs w:val="20"/>
              </w:rPr>
            </w:pPr>
          </w:p>
        </w:tc>
      </w:tr>
      <w:tr w:rsidR="006A4205" w:rsidRPr="006A4205" w14:paraId="0CB12F56" w14:textId="77777777" w:rsidTr="00F83902">
        <w:tc>
          <w:tcPr>
            <w:tcW w:w="298" w:type="pct"/>
          </w:tcPr>
          <w:p w14:paraId="2D9959E7" w14:textId="77777777" w:rsidR="00FC4450" w:rsidRPr="006A4205" w:rsidRDefault="00FC4450" w:rsidP="00D13771">
            <w:r w:rsidRPr="006A4205">
              <w:t>2c</w:t>
            </w:r>
          </w:p>
        </w:tc>
        <w:tc>
          <w:tcPr>
            <w:tcW w:w="1460" w:type="pct"/>
          </w:tcPr>
          <w:p w14:paraId="6F1ACB55" w14:textId="77777777" w:rsidR="00FC4450" w:rsidRPr="006A4205" w:rsidRDefault="00FC4450" w:rsidP="00D13771">
            <w:r w:rsidRPr="006A4205">
              <w:t>The definition should be clear as to the types of stroke included in the indicator.</w:t>
            </w:r>
          </w:p>
        </w:tc>
        <w:tc>
          <w:tcPr>
            <w:tcW w:w="406" w:type="pct"/>
          </w:tcPr>
          <w:p w14:paraId="71F7629A" w14:textId="77777777" w:rsidR="00FC4450" w:rsidRPr="006A4205" w:rsidRDefault="00FC4450" w:rsidP="00D13771">
            <w:r w:rsidRPr="006A4205">
              <w:t>MRG</w:t>
            </w:r>
          </w:p>
          <w:p w14:paraId="3A8EAF59" w14:textId="77777777" w:rsidR="00FC4450" w:rsidRPr="006A4205" w:rsidRDefault="00FC4450" w:rsidP="00D13771"/>
          <w:p w14:paraId="0EE9B77C" w14:textId="77777777" w:rsidR="00FC4450" w:rsidRPr="006A4205" w:rsidRDefault="00FC4450" w:rsidP="00D13771">
            <w:r w:rsidRPr="006A4205">
              <w:t>10/09/15</w:t>
            </w:r>
          </w:p>
        </w:tc>
        <w:tc>
          <w:tcPr>
            <w:tcW w:w="1555" w:type="pct"/>
          </w:tcPr>
          <w:p w14:paraId="3730D4D5" w14:textId="77777777" w:rsidR="00FC4450" w:rsidRPr="006A4205" w:rsidRDefault="00FC4450" w:rsidP="00D13771">
            <w:pPr>
              <w:spacing w:before="120" w:after="120"/>
            </w:pPr>
            <w:r w:rsidRPr="006A4205">
              <w:t>A sentence is included in the definition section of the IAS application form and Indicator Quality Statement, stating: Stroke is defined within this indicator as intracerebral haemorrhage (ICD-10 code: I61), cerebral infarction (I63) and stroke, not specified as haemorrhage or infarction (I64).</w:t>
            </w:r>
          </w:p>
        </w:tc>
        <w:tc>
          <w:tcPr>
            <w:tcW w:w="435" w:type="pct"/>
          </w:tcPr>
          <w:p w14:paraId="6761BF7A" w14:textId="77777777" w:rsidR="00FC4450" w:rsidRPr="006A4205" w:rsidRDefault="00FC4450" w:rsidP="00D13771">
            <w:pPr>
              <w:jc w:val="center"/>
            </w:pPr>
          </w:p>
        </w:tc>
        <w:sdt>
          <w:sdtPr>
            <w:id w:val="-834139063"/>
            <w14:checkbox>
              <w14:checked w14:val="0"/>
              <w14:checkedState w14:val="00FE" w14:font="Wingdings"/>
              <w14:uncheckedState w14:val="006F" w14:font="Wingdings"/>
            </w14:checkbox>
          </w:sdtPr>
          <w:sdtContent>
            <w:tc>
              <w:tcPr>
                <w:tcW w:w="410" w:type="pct"/>
              </w:tcPr>
              <w:p w14:paraId="2BFB8BD4" w14:textId="77777777" w:rsidR="00FC4450" w:rsidRPr="006A4205" w:rsidRDefault="00FC4450" w:rsidP="00D13771">
                <w:pPr>
                  <w:jc w:val="center"/>
                </w:pPr>
                <w:r w:rsidRPr="006A4205">
                  <w:sym w:font="Wingdings" w:char="F06F"/>
                </w:r>
              </w:p>
            </w:tc>
          </w:sdtContent>
        </w:sdt>
        <w:tc>
          <w:tcPr>
            <w:tcW w:w="436" w:type="pct"/>
          </w:tcPr>
          <w:p w14:paraId="6C301C0E" w14:textId="77777777" w:rsidR="00FC4450" w:rsidRPr="006A4205" w:rsidRDefault="00FC4450" w:rsidP="00D13771">
            <w:pPr>
              <w:rPr>
                <w:sz w:val="18"/>
                <w:szCs w:val="20"/>
              </w:rPr>
            </w:pPr>
          </w:p>
        </w:tc>
      </w:tr>
    </w:tbl>
    <w:p w14:paraId="0471BF9A" w14:textId="77777777" w:rsidR="00FC4450" w:rsidRPr="006A4205" w:rsidRDefault="00FC4450" w:rsidP="00FC4450"/>
    <w:p w14:paraId="2EE86770" w14:textId="77777777" w:rsidR="00F83902" w:rsidRPr="006A4205" w:rsidRDefault="00F83902"/>
    <w:p w14:paraId="6A80EDE2" w14:textId="5DB6BFE8" w:rsidR="00F83902" w:rsidRPr="006A4205" w:rsidRDefault="00F83902">
      <w:r w:rsidRPr="006A4205">
        <w:rPr>
          <w:b/>
          <w:sz w:val="28"/>
          <w:szCs w:val="28"/>
        </w:rPr>
        <w:lastRenderedPageBreak/>
        <w:t>Data</w:t>
      </w:r>
    </w:p>
    <w:tbl>
      <w:tblPr>
        <w:tblStyle w:val="TableGrid1"/>
        <w:tblW w:w="14794" w:type="dxa"/>
        <w:tblLayout w:type="fixed"/>
        <w:tblLook w:val="04A0" w:firstRow="1" w:lastRow="0" w:firstColumn="1" w:lastColumn="0" w:noHBand="0" w:noVBand="1"/>
      </w:tblPr>
      <w:tblGrid>
        <w:gridCol w:w="958"/>
        <w:gridCol w:w="4394"/>
        <w:gridCol w:w="1275"/>
        <w:gridCol w:w="4678"/>
        <w:gridCol w:w="1092"/>
        <w:gridCol w:w="1033"/>
        <w:gridCol w:w="1364"/>
      </w:tblGrid>
      <w:tr w:rsidR="006A4205" w:rsidRPr="006A4205" w14:paraId="5F935801" w14:textId="77777777" w:rsidTr="00F83902">
        <w:tc>
          <w:tcPr>
            <w:tcW w:w="958" w:type="dxa"/>
          </w:tcPr>
          <w:p w14:paraId="7EB0C766" w14:textId="77777777" w:rsidR="00FC4450" w:rsidRPr="006A4205" w:rsidRDefault="00FC4450" w:rsidP="00D13771">
            <w:pPr>
              <w:rPr>
                <w:b/>
                <w:i/>
              </w:rPr>
            </w:pPr>
            <w:r w:rsidRPr="006A4205">
              <w:rPr>
                <w:b/>
                <w:i/>
              </w:rPr>
              <w:t>Rec. no</w:t>
            </w:r>
          </w:p>
        </w:tc>
        <w:tc>
          <w:tcPr>
            <w:tcW w:w="4394" w:type="dxa"/>
          </w:tcPr>
          <w:p w14:paraId="5EDE8DA9" w14:textId="77777777" w:rsidR="00FC4450" w:rsidRPr="006A4205" w:rsidRDefault="00FC4450" w:rsidP="00D13771">
            <w:pPr>
              <w:rPr>
                <w:b/>
                <w:i/>
              </w:rPr>
            </w:pPr>
            <w:r w:rsidRPr="006A4205">
              <w:rPr>
                <w:b/>
                <w:i/>
              </w:rPr>
              <w:t>Issue or recommendation</w:t>
            </w:r>
          </w:p>
        </w:tc>
        <w:tc>
          <w:tcPr>
            <w:tcW w:w="1275" w:type="dxa"/>
          </w:tcPr>
          <w:p w14:paraId="1AED851B" w14:textId="77777777" w:rsidR="00FC4450" w:rsidRPr="006A4205" w:rsidRDefault="00FC4450" w:rsidP="00D13771">
            <w:pPr>
              <w:rPr>
                <w:b/>
                <w:i/>
              </w:rPr>
            </w:pPr>
            <w:r w:rsidRPr="006A4205">
              <w:rPr>
                <w:b/>
                <w:i/>
              </w:rPr>
              <w:t>Raised by / Date</w:t>
            </w:r>
          </w:p>
        </w:tc>
        <w:tc>
          <w:tcPr>
            <w:tcW w:w="4678" w:type="dxa"/>
          </w:tcPr>
          <w:p w14:paraId="25182830" w14:textId="77777777" w:rsidR="00FC4450" w:rsidRPr="006A4205" w:rsidRDefault="00FC4450" w:rsidP="00D13771">
            <w:pPr>
              <w:rPr>
                <w:b/>
                <w:i/>
              </w:rPr>
            </w:pPr>
            <w:r w:rsidRPr="006A4205">
              <w:rPr>
                <w:b/>
                <w:i/>
              </w:rPr>
              <w:t>Response or Action taken by applicant</w:t>
            </w:r>
          </w:p>
        </w:tc>
        <w:tc>
          <w:tcPr>
            <w:tcW w:w="1092" w:type="dxa"/>
          </w:tcPr>
          <w:p w14:paraId="2ACA88F0" w14:textId="77777777" w:rsidR="00FC4450" w:rsidRPr="006A4205" w:rsidRDefault="00FC4450" w:rsidP="00D13771">
            <w:pPr>
              <w:rPr>
                <w:b/>
                <w:i/>
              </w:rPr>
            </w:pPr>
            <w:r w:rsidRPr="006A4205">
              <w:rPr>
                <w:b/>
                <w:i/>
              </w:rPr>
              <w:t>Response date</w:t>
            </w:r>
          </w:p>
        </w:tc>
        <w:tc>
          <w:tcPr>
            <w:tcW w:w="1033" w:type="dxa"/>
          </w:tcPr>
          <w:p w14:paraId="36F42E50" w14:textId="77777777" w:rsidR="00FC4450" w:rsidRPr="006A4205" w:rsidRDefault="00FC4450" w:rsidP="00D13771">
            <w:pPr>
              <w:rPr>
                <w:b/>
                <w:i/>
              </w:rPr>
            </w:pPr>
            <w:r w:rsidRPr="006A4205">
              <w:rPr>
                <w:b/>
                <w:i/>
              </w:rPr>
              <w:t>Resolved</w:t>
            </w:r>
          </w:p>
        </w:tc>
        <w:tc>
          <w:tcPr>
            <w:tcW w:w="1364" w:type="dxa"/>
          </w:tcPr>
          <w:p w14:paraId="50A185B5" w14:textId="77777777" w:rsidR="00FC4450" w:rsidRPr="006A4205" w:rsidRDefault="00FC4450" w:rsidP="00D13771">
            <w:pPr>
              <w:rPr>
                <w:b/>
                <w:i/>
              </w:rPr>
            </w:pPr>
            <w:r w:rsidRPr="006A4205">
              <w:rPr>
                <w:b/>
                <w:i/>
              </w:rPr>
              <w:t>Sign off by / Date</w:t>
            </w:r>
          </w:p>
        </w:tc>
      </w:tr>
      <w:tr w:rsidR="006A4205" w:rsidRPr="006A4205" w14:paraId="2190E651" w14:textId="77777777" w:rsidTr="00F83902">
        <w:tc>
          <w:tcPr>
            <w:tcW w:w="958" w:type="dxa"/>
          </w:tcPr>
          <w:p w14:paraId="32A403BE" w14:textId="77777777" w:rsidR="00FC4450" w:rsidRPr="006A4205" w:rsidRDefault="00FC4450" w:rsidP="00D13771">
            <w:pPr>
              <w:rPr>
                <w:rFonts w:eastAsia="Times New Roman"/>
                <w:lang w:eastAsia="en-GB"/>
              </w:rPr>
            </w:pPr>
            <w:r w:rsidRPr="006A4205">
              <w:rPr>
                <w:rFonts w:eastAsia="Times New Roman"/>
                <w:lang w:eastAsia="en-GB"/>
              </w:rPr>
              <w:t>3a</w:t>
            </w:r>
          </w:p>
        </w:tc>
        <w:tc>
          <w:tcPr>
            <w:tcW w:w="4394" w:type="dxa"/>
          </w:tcPr>
          <w:p w14:paraId="593060A5" w14:textId="77777777" w:rsidR="00FC4450" w:rsidRPr="006A4205" w:rsidRDefault="00FC4450" w:rsidP="00D13771">
            <w:pPr>
              <w:rPr>
                <w:rFonts w:eastAsia="Times New Roman"/>
                <w:lang w:eastAsia="en-GB"/>
              </w:rPr>
            </w:pPr>
            <w:r w:rsidRPr="006A4205">
              <w:rPr>
                <w:rFonts w:eastAsia="Times New Roman"/>
                <w:lang w:eastAsia="en-GB"/>
              </w:rPr>
              <w:t xml:space="preserve">Concern was raised around the completeness of the data.  As such if these indicators were to be progressed there would need to be a statement of the completeness of the data to provide context to the results.  To provide confidence in recording levels there would need to be analysis of the completeness at hospital level, and also at CCG level. </w:t>
            </w:r>
          </w:p>
          <w:p w14:paraId="2FF884DE" w14:textId="77777777" w:rsidR="00FC4450" w:rsidRPr="006A4205" w:rsidRDefault="00FC4450" w:rsidP="00D13771">
            <w:pPr>
              <w:rPr>
                <w:rFonts w:eastAsia="Times New Roman"/>
                <w:lang w:eastAsia="en-GB"/>
              </w:rPr>
            </w:pPr>
            <w:r w:rsidRPr="006A4205">
              <w:rPr>
                <w:rFonts w:eastAsia="Times New Roman"/>
                <w:lang w:eastAsia="en-GB"/>
              </w:rPr>
              <w:t xml:space="preserve">MRG suggested that RCP could be asked to look at a </w:t>
            </w:r>
            <w:proofErr w:type="gramStart"/>
            <w:r w:rsidRPr="006A4205">
              <w:rPr>
                <w:rFonts w:eastAsia="Times New Roman"/>
                <w:lang w:eastAsia="en-GB"/>
              </w:rPr>
              <w:t>high level</w:t>
            </w:r>
            <w:proofErr w:type="gramEnd"/>
            <w:r w:rsidRPr="006A4205">
              <w:rPr>
                <w:rFonts w:eastAsia="Times New Roman"/>
                <w:lang w:eastAsia="en-GB"/>
              </w:rPr>
              <w:t xml:space="preserve"> cross validation with HES to compare the broad participation numbers by trust.</w:t>
            </w:r>
          </w:p>
        </w:tc>
        <w:tc>
          <w:tcPr>
            <w:tcW w:w="1275" w:type="dxa"/>
          </w:tcPr>
          <w:p w14:paraId="6C0DF3D7" w14:textId="77777777" w:rsidR="00FC4450" w:rsidRPr="006A4205" w:rsidRDefault="00FC4450" w:rsidP="00D13771">
            <w:pPr>
              <w:rPr>
                <w:rFonts w:eastAsia="Times New Roman"/>
                <w:lang w:eastAsia="en-GB"/>
              </w:rPr>
            </w:pPr>
            <w:r w:rsidRPr="006A4205">
              <w:rPr>
                <w:rFonts w:eastAsia="Times New Roman"/>
                <w:lang w:eastAsia="en-GB"/>
              </w:rPr>
              <w:t>MRG</w:t>
            </w:r>
          </w:p>
          <w:p w14:paraId="6E506BF9" w14:textId="77777777" w:rsidR="00FC4450" w:rsidRPr="006A4205" w:rsidRDefault="00FC4450" w:rsidP="00D13771">
            <w:pPr>
              <w:rPr>
                <w:rFonts w:eastAsia="Times New Roman"/>
                <w:lang w:eastAsia="en-GB"/>
              </w:rPr>
            </w:pPr>
          </w:p>
          <w:p w14:paraId="1E4B2CD0" w14:textId="77777777" w:rsidR="00FC4450" w:rsidRPr="006A4205" w:rsidRDefault="00FC4450" w:rsidP="00D13771">
            <w:pPr>
              <w:rPr>
                <w:rFonts w:eastAsia="Times New Roman"/>
                <w:lang w:eastAsia="en-GB"/>
              </w:rPr>
            </w:pPr>
            <w:r w:rsidRPr="006A4205">
              <w:rPr>
                <w:rFonts w:eastAsia="Times New Roman"/>
                <w:lang w:eastAsia="en-GB"/>
              </w:rPr>
              <w:t>27/3/12</w:t>
            </w:r>
          </w:p>
        </w:tc>
        <w:tc>
          <w:tcPr>
            <w:tcW w:w="4678" w:type="dxa"/>
          </w:tcPr>
          <w:p w14:paraId="4502FD0E" w14:textId="77777777" w:rsidR="00FC4450" w:rsidRPr="006A4205" w:rsidRDefault="00FC4450" w:rsidP="00D13771">
            <w:pPr>
              <w:spacing w:before="120" w:after="120"/>
              <w:rPr>
                <w:rFonts w:eastAsia="Times New Roman"/>
                <w:lang w:eastAsia="en-GB"/>
              </w:rPr>
            </w:pPr>
            <w:r w:rsidRPr="006A4205">
              <w:rPr>
                <w:rFonts w:eastAsia="Times New Roman"/>
                <w:lang w:eastAsia="en-GB"/>
              </w:rPr>
              <w:t>The indicator is published in the context of case ascertainment between SSNAP and HES. This is the percentage of patients with primary ICD-10 codes I61, I63 and I64 in HES who are included in SSNAP for the same time period.</w:t>
            </w:r>
          </w:p>
          <w:p w14:paraId="1EB2E598" w14:textId="77777777" w:rsidR="00FC4450" w:rsidRPr="006A4205" w:rsidRDefault="00FC4450" w:rsidP="00D13771">
            <w:pPr>
              <w:spacing w:before="120" w:after="120"/>
              <w:rPr>
                <w:rFonts w:eastAsia="Times New Roman"/>
                <w:lang w:eastAsia="en-GB"/>
              </w:rPr>
            </w:pPr>
            <w:r w:rsidRPr="006A4205">
              <w:rPr>
                <w:rFonts w:eastAsia="Times New Roman"/>
                <w:lang w:eastAsia="en-GB"/>
              </w:rPr>
              <w:t>The SSNAP is a mandatory collection and overall case ascertainment increased from 72% in Quarter 1 to 95% in Quarter 4, 2013/14 (Quarter 2: 83%, Quarter 3: 90%). It has further improved to 97% by Quarter 4, 2014/15. Case ascertainment is reported alongside the indicator for all CCGs in the published CCG OIS data files. Only five CCGs (2.4%) had their percentages suppressed in the published 2013/14 data due to less than 50% case ascertainment with HES.</w:t>
            </w:r>
          </w:p>
          <w:p w14:paraId="501EB416"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Patient records are only included in audit analyses if they include the minimum requirements of completion of mandatory fields. The minimum includes all of the fields required to calculate this indicator. Case ascertainment is reported publicly at hospital level and therefore there is a strong incentive for hospitals to ensure they have submitted all of their patients to the audit and completed </w:t>
            </w:r>
            <w:r w:rsidRPr="006A4205">
              <w:rPr>
                <w:rFonts w:eastAsia="Times New Roman"/>
                <w:lang w:eastAsia="en-GB"/>
              </w:rPr>
              <w:lastRenderedPageBreak/>
              <w:t>the mandatory fields. The data is received via a secure web tool which has strong built-in validation meaning that data is fully complete.</w:t>
            </w:r>
          </w:p>
        </w:tc>
        <w:tc>
          <w:tcPr>
            <w:tcW w:w="1092" w:type="dxa"/>
          </w:tcPr>
          <w:p w14:paraId="44EF8EDA" w14:textId="77777777" w:rsidR="00FC4450" w:rsidRPr="006A4205" w:rsidRDefault="00FC4450" w:rsidP="00D13771">
            <w:pPr>
              <w:jc w:val="center"/>
              <w:rPr>
                <w:rFonts w:eastAsia="Times New Roman"/>
                <w:lang w:eastAsia="en-GB"/>
              </w:rPr>
            </w:pPr>
            <w:r w:rsidRPr="006A4205">
              <w:lastRenderedPageBreak/>
              <w:t>13/08/15</w:t>
            </w:r>
          </w:p>
        </w:tc>
        <w:sdt>
          <w:sdtPr>
            <w:id w:val="1493914746"/>
            <w14:checkbox>
              <w14:checked w14:val="1"/>
              <w14:checkedState w14:val="00FE" w14:font="Wingdings"/>
              <w14:uncheckedState w14:val="006F" w14:font="Wingdings"/>
            </w14:checkbox>
          </w:sdtPr>
          <w:sdtContent>
            <w:tc>
              <w:tcPr>
                <w:tcW w:w="1033" w:type="dxa"/>
              </w:tcPr>
              <w:p w14:paraId="35481963" w14:textId="77777777" w:rsidR="00FC4450" w:rsidRPr="006A4205" w:rsidRDefault="00FC4450" w:rsidP="00D13771">
                <w:pPr>
                  <w:jc w:val="center"/>
                  <w:rPr>
                    <w:rFonts w:eastAsia="Times New Roman"/>
                    <w:lang w:eastAsia="en-GB"/>
                  </w:rPr>
                </w:pPr>
                <w:r w:rsidRPr="006A4205">
                  <w:sym w:font="Wingdings" w:char="F0FE"/>
                </w:r>
              </w:p>
            </w:tc>
          </w:sdtContent>
        </w:sdt>
        <w:tc>
          <w:tcPr>
            <w:tcW w:w="1364" w:type="dxa"/>
          </w:tcPr>
          <w:p w14:paraId="2A02BCCA" w14:textId="77777777" w:rsidR="00FC4450" w:rsidRPr="006A4205" w:rsidRDefault="00FC4450" w:rsidP="00D13771">
            <w:pPr>
              <w:rPr>
                <w:sz w:val="18"/>
                <w:szCs w:val="20"/>
              </w:rPr>
            </w:pPr>
            <w:r w:rsidRPr="006A4205">
              <w:rPr>
                <w:sz w:val="18"/>
                <w:szCs w:val="20"/>
              </w:rPr>
              <w:t>MRG</w:t>
            </w:r>
          </w:p>
          <w:p w14:paraId="46115258" w14:textId="77777777" w:rsidR="00FC4450" w:rsidRPr="006A4205" w:rsidRDefault="00FC4450" w:rsidP="00D13771">
            <w:pPr>
              <w:rPr>
                <w:rFonts w:eastAsia="Times New Roman"/>
                <w:sz w:val="18"/>
                <w:szCs w:val="20"/>
                <w:lang w:eastAsia="en-GB"/>
              </w:rPr>
            </w:pPr>
            <w:r w:rsidRPr="006A4205">
              <w:rPr>
                <w:sz w:val="18"/>
                <w:szCs w:val="20"/>
              </w:rPr>
              <w:t>10/09/15</w:t>
            </w:r>
          </w:p>
        </w:tc>
      </w:tr>
      <w:tr w:rsidR="006A4205" w:rsidRPr="006A4205" w14:paraId="2E00558B" w14:textId="77777777" w:rsidTr="00F83902">
        <w:tc>
          <w:tcPr>
            <w:tcW w:w="958" w:type="dxa"/>
          </w:tcPr>
          <w:p w14:paraId="4EE07DED" w14:textId="77777777" w:rsidR="00FC4450" w:rsidRPr="006A4205" w:rsidRDefault="00FC4450" w:rsidP="00D13771">
            <w:pPr>
              <w:rPr>
                <w:rFonts w:eastAsia="Times New Roman"/>
                <w:lang w:eastAsia="en-GB"/>
              </w:rPr>
            </w:pPr>
            <w:r w:rsidRPr="006A4205">
              <w:rPr>
                <w:rFonts w:eastAsia="Times New Roman"/>
                <w:lang w:eastAsia="en-GB"/>
              </w:rPr>
              <w:t>3b</w:t>
            </w:r>
          </w:p>
        </w:tc>
        <w:tc>
          <w:tcPr>
            <w:tcW w:w="4394" w:type="dxa"/>
          </w:tcPr>
          <w:p w14:paraId="154BD866" w14:textId="77777777" w:rsidR="00FC4450" w:rsidRPr="006A4205" w:rsidRDefault="00FC4450" w:rsidP="00D13771">
            <w:pPr>
              <w:rPr>
                <w:rFonts w:eastAsia="Times New Roman"/>
                <w:lang w:eastAsia="en-GB"/>
              </w:rPr>
            </w:pPr>
            <w:r w:rsidRPr="006A4205">
              <w:rPr>
                <w:rFonts w:eastAsia="Times New Roman"/>
                <w:lang w:eastAsia="en-GB"/>
              </w:rPr>
              <w:t>Further clarification is sought on how representative the audit data is at CCG level.</w:t>
            </w:r>
          </w:p>
        </w:tc>
        <w:tc>
          <w:tcPr>
            <w:tcW w:w="1275" w:type="dxa"/>
          </w:tcPr>
          <w:p w14:paraId="19B978BB" w14:textId="77777777" w:rsidR="00FC4450" w:rsidRPr="006A4205" w:rsidRDefault="00FC4450" w:rsidP="00D13771">
            <w:pPr>
              <w:rPr>
                <w:rFonts w:eastAsia="Times New Roman"/>
                <w:lang w:eastAsia="en-GB"/>
              </w:rPr>
            </w:pPr>
            <w:r w:rsidRPr="006A4205">
              <w:rPr>
                <w:rFonts w:eastAsia="Times New Roman"/>
                <w:lang w:eastAsia="en-GB"/>
              </w:rPr>
              <w:t>MRG</w:t>
            </w:r>
          </w:p>
          <w:p w14:paraId="7B594FD5" w14:textId="77777777" w:rsidR="00FC4450" w:rsidRPr="006A4205" w:rsidRDefault="00FC4450" w:rsidP="00D13771">
            <w:pPr>
              <w:rPr>
                <w:rFonts w:eastAsia="Times New Roman"/>
                <w:lang w:eastAsia="en-GB"/>
              </w:rPr>
            </w:pPr>
          </w:p>
          <w:p w14:paraId="2C589D89" w14:textId="77777777" w:rsidR="00FC4450" w:rsidRPr="006A4205" w:rsidRDefault="00FC4450" w:rsidP="00D13771">
            <w:pPr>
              <w:rPr>
                <w:rFonts w:eastAsia="Times New Roman"/>
                <w:lang w:eastAsia="en-GB"/>
              </w:rPr>
            </w:pPr>
            <w:r w:rsidRPr="006A4205">
              <w:rPr>
                <w:rFonts w:eastAsia="Times New Roman"/>
                <w:lang w:eastAsia="en-GB"/>
              </w:rPr>
              <w:t>27/3/12</w:t>
            </w:r>
          </w:p>
        </w:tc>
        <w:tc>
          <w:tcPr>
            <w:tcW w:w="4678" w:type="dxa"/>
          </w:tcPr>
          <w:p w14:paraId="5EA04DAF"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Only five CCGs were suppressed in the 2013/14 data, due to having insufficient case ascertainment between SSNAP and HES. The audit data is considered to be sufficiently representative to be used at CCG level given the levels of case ascertainment and the suppression rules in place. </w:t>
            </w:r>
          </w:p>
        </w:tc>
        <w:tc>
          <w:tcPr>
            <w:tcW w:w="1092" w:type="dxa"/>
          </w:tcPr>
          <w:p w14:paraId="46D12643" w14:textId="77777777" w:rsidR="00FC4450" w:rsidRPr="006A4205" w:rsidRDefault="00FC4450" w:rsidP="00D13771">
            <w:pPr>
              <w:jc w:val="center"/>
              <w:rPr>
                <w:rFonts w:eastAsia="Times New Roman"/>
                <w:lang w:eastAsia="en-GB"/>
              </w:rPr>
            </w:pPr>
            <w:r w:rsidRPr="006A4205">
              <w:t>13/08/15</w:t>
            </w:r>
          </w:p>
        </w:tc>
        <w:sdt>
          <w:sdtPr>
            <w:id w:val="1964924485"/>
            <w14:checkbox>
              <w14:checked w14:val="1"/>
              <w14:checkedState w14:val="00FE" w14:font="Wingdings"/>
              <w14:uncheckedState w14:val="006F" w14:font="Wingdings"/>
            </w14:checkbox>
          </w:sdtPr>
          <w:sdtContent>
            <w:tc>
              <w:tcPr>
                <w:tcW w:w="1033" w:type="dxa"/>
              </w:tcPr>
              <w:p w14:paraId="60B5C390" w14:textId="77777777" w:rsidR="00FC4450" w:rsidRPr="006A4205" w:rsidRDefault="00FC4450" w:rsidP="00D13771">
                <w:pPr>
                  <w:jc w:val="center"/>
                </w:pPr>
                <w:r w:rsidRPr="006A4205">
                  <w:sym w:font="Wingdings" w:char="F0FE"/>
                </w:r>
              </w:p>
            </w:tc>
          </w:sdtContent>
        </w:sdt>
        <w:tc>
          <w:tcPr>
            <w:tcW w:w="1364" w:type="dxa"/>
          </w:tcPr>
          <w:p w14:paraId="381C4261" w14:textId="77777777" w:rsidR="00FC4450" w:rsidRPr="006A4205" w:rsidRDefault="00FC4450" w:rsidP="00D13771">
            <w:pPr>
              <w:rPr>
                <w:sz w:val="18"/>
                <w:szCs w:val="20"/>
              </w:rPr>
            </w:pPr>
            <w:r w:rsidRPr="006A4205">
              <w:rPr>
                <w:sz w:val="18"/>
                <w:szCs w:val="20"/>
              </w:rPr>
              <w:t>MRG</w:t>
            </w:r>
          </w:p>
          <w:p w14:paraId="2F2B5FA0" w14:textId="77777777" w:rsidR="00FC4450" w:rsidRPr="006A4205" w:rsidRDefault="00FC4450" w:rsidP="00D13771">
            <w:pPr>
              <w:rPr>
                <w:rFonts w:eastAsia="Times New Roman"/>
                <w:sz w:val="18"/>
                <w:szCs w:val="20"/>
                <w:lang w:eastAsia="en-GB"/>
              </w:rPr>
            </w:pPr>
            <w:r w:rsidRPr="006A4205">
              <w:rPr>
                <w:sz w:val="18"/>
                <w:szCs w:val="20"/>
              </w:rPr>
              <w:t>10/09/15</w:t>
            </w:r>
          </w:p>
        </w:tc>
      </w:tr>
      <w:tr w:rsidR="006A4205" w:rsidRPr="006A4205" w14:paraId="5DBCFC53" w14:textId="77777777" w:rsidTr="00F83902">
        <w:tc>
          <w:tcPr>
            <w:tcW w:w="958" w:type="dxa"/>
          </w:tcPr>
          <w:p w14:paraId="5DDE75DC" w14:textId="77777777" w:rsidR="00FC4450" w:rsidRPr="006A4205" w:rsidRDefault="00FC4450" w:rsidP="00D13771">
            <w:pPr>
              <w:rPr>
                <w:rFonts w:eastAsia="Times New Roman"/>
                <w:lang w:eastAsia="en-GB"/>
              </w:rPr>
            </w:pPr>
            <w:r w:rsidRPr="006A4205">
              <w:rPr>
                <w:rFonts w:eastAsia="Times New Roman"/>
                <w:lang w:eastAsia="en-GB"/>
              </w:rPr>
              <w:t>3c</w:t>
            </w:r>
          </w:p>
        </w:tc>
        <w:tc>
          <w:tcPr>
            <w:tcW w:w="4394" w:type="dxa"/>
          </w:tcPr>
          <w:p w14:paraId="3A5C53E3" w14:textId="77777777" w:rsidR="00FC4450" w:rsidRPr="006A4205" w:rsidRDefault="00FC4450" w:rsidP="00D13771">
            <w:pPr>
              <w:rPr>
                <w:rFonts w:eastAsia="Times New Roman"/>
                <w:lang w:eastAsia="en-GB"/>
              </w:rPr>
            </w:pPr>
            <w:r w:rsidRPr="006A4205">
              <w:rPr>
                <w:rFonts w:eastAsia="Times New Roman"/>
                <w:lang w:eastAsia="en-GB"/>
              </w:rPr>
              <w:t>Further clarification is sought on the time periods defined in the indicators, including frequency, collection periods, reporting periods etc.</w:t>
            </w:r>
          </w:p>
        </w:tc>
        <w:tc>
          <w:tcPr>
            <w:tcW w:w="1275" w:type="dxa"/>
          </w:tcPr>
          <w:p w14:paraId="030AF293" w14:textId="77777777" w:rsidR="00FC4450" w:rsidRPr="006A4205" w:rsidRDefault="00FC4450" w:rsidP="00D13771">
            <w:pPr>
              <w:rPr>
                <w:rFonts w:eastAsia="Times New Roman"/>
                <w:lang w:eastAsia="en-GB"/>
              </w:rPr>
            </w:pPr>
            <w:r w:rsidRPr="006A4205">
              <w:rPr>
                <w:rFonts w:eastAsia="Times New Roman"/>
                <w:lang w:eastAsia="en-GB"/>
              </w:rPr>
              <w:t>MRG</w:t>
            </w:r>
          </w:p>
          <w:p w14:paraId="5608B357" w14:textId="77777777" w:rsidR="00FC4450" w:rsidRPr="006A4205" w:rsidRDefault="00FC4450" w:rsidP="00D13771">
            <w:pPr>
              <w:rPr>
                <w:rFonts w:eastAsia="Times New Roman"/>
                <w:lang w:eastAsia="en-GB"/>
              </w:rPr>
            </w:pPr>
          </w:p>
          <w:p w14:paraId="26D4E474" w14:textId="77777777" w:rsidR="00FC4450" w:rsidRPr="006A4205" w:rsidRDefault="00FC4450" w:rsidP="00D13771">
            <w:pPr>
              <w:rPr>
                <w:rFonts w:eastAsia="Times New Roman"/>
                <w:lang w:eastAsia="en-GB"/>
              </w:rPr>
            </w:pPr>
            <w:r w:rsidRPr="006A4205">
              <w:rPr>
                <w:rFonts w:eastAsia="Times New Roman"/>
                <w:lang w:eastAsia="en-GB"/>
              </w:rPr>
              <w:t>27/3/12</w:t>
            </w:r>
          </w:p>
        </w:tc>
        <w:tc>
          <w:tcPr>
            <w:tcW w:w="4678" w:type="dxa"/>
          </w:tcPr>
          <w:p w14:paraId="504D0A6F"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CCG OIS indicator data are reported annually. SSNAP data for the full financial year is available approximately eight months after the financial year end; </w:t>
            </w:r>
            <w:proofErr w:type="gramStart"/>
            <w:r w:rsidRPr="006A4205">
              <w:rPr>
                <w:rFonts w:eastAsia="Times New Roman"/>
                <w:lang w:eastAsia="en-GB"/>
              </w:rPr>
              <w:t>therefore</w:t>
            </w:r>
            <w:proofErr w:type="gramEnd"/>
            <w:r w:rsidRPr="006A4205">
              <w:rPr>
                <w:rFonts w:eastAsia="Times New Roman"/>
                <w:lang w:eastAsia="en-GB"/>
              </w:rPr>
              <w:t xml:space="preserve"> the indicator is published each year in December.</w:t>
            </w:r>
            <w:r w:rsidRPr="006A4205">
              <w:t xml:space="preserve"> </w:t>
            </w:r>
            <w:r w:rsidRPr="006A4205">
              <w:rPr>
                <w:rFonts w:eastAsia="Times New Roman"/>
                <w:lang w:eastAsia="en-GB"/>
              </w:rPr>
              <w:t>The indicator was published for the first time in December 2014, using 2013/14 for each CCG in England. 2014/15 data is due to be published in December 2015.</w:t>
            </w:r>
          </w:p>
          <w:p w14:paraId="36962B6D"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CCG OIS indicators are official statistics and the December 2014 publication date was pre-announced. There was no gap between the planned and actual publication date. </w:t>
            </w:r>
          </w:p>
        </w:tc>
        <w:tc>
          <w:tcPr>
            <w:tcW w:w="1092" w:type="dxa"/>
          </w:tcPr>
          <w:p w14:paraId="3A0CCC0A" w14:textId="77777777" w:rsidR="00FC4450" w:rsidRPr="006A4205" w:rsidRDefault="00FC4450" w:rsidP="00D13771">
            <w:pPr>
              <w:jc w:val="center"/>
              <w:rPr>
                <w:rFonts w:eastAsia="Times New Roman"/>
                <w:lang w:eastAsia="en-GB"/>
              </w:rPr>
            </w:pPr>
            <w:r w:rsidRPr="006A4205">
              <w:t>13/08/15</w:t>
            </w:r>
          </w:p>
        </w:tc>
        <w:sdt>
          <w:sdtPr>
            <w:id w:val="-1187903450"/>
            <w14:checkbox>
              <w14:checked w14:val="1"/>
              <w14:checkedState w14:val="00FE" w14:font="Wingdings"/>
              <w14:uncheckedState w14:val="006F" w14:font="Wingdings"/>
            </w14:checkbox>
          </w:sdtPr>
          <w:sdtContent>
            <w:tc>
              <w:tcPr>
                <w:tcW w:w="1033" w:type="dxa"/>
              </w:tcPr>
              <w:p w14:paraId="17FC7480" w14:textId="77777777" w:rsidR="00FC4450" w:rsidRPr="006A4205" w:rsidRDefault="00FC4450" w:rsidP="00D13771">
                <w:pPr>
                  <w:jc w:val="center"/>
                </w:pPr>
                <w:r w:rsidRPr="006A4205">
                  <w:sym w:font="Wingdings" w:char="F0FE"/>
                </w:r>
              </w:p>
            </w:tc>
          </w:sdtContent>
        </w:sdt>
        <w:tc>
          <w:tcPr>
            <w:tcW w:w="1364" w:type="dxa"/>
          </w:tcPr>
          <w:p w14:paraId="4B0E164F" w14:textId="77777777" w:rsidR="00FC4450" w:rsidRPr="006A4205" w:rsidRDefault="00FC4450" w:rsidP="00D13771">
            <w:pPr>
              <w:rPr>
                <w:sz w:val="18"/>
                <w:szCs w:val="20"/>
              </w:rPr>
            </w:pPr>
            <w:r w:rsidRPr="006A4205">
              <w:rPr>
                <w:sz w:val="18"/>
                <w:szCs w:val="20"/>
              </w:rPr>
              <w:t>MRG</w:t>
            </w:r>
          </w:p>
          <w:p w14:paraId="767ABD4C" w14:textId="77777777" w:rsidR="00FC4450" w:rsidRPr="006A4205" w:rsidRDefault="00FC4450" w:rsidP="00D13771">
            <w:pPr>
              <w:rPr>
                <w:rFonts w:eastAsia="Times New Roman"/>
                <w:sz w:val="18"/>
                <w:szCs w:val="20"/>
                <w:lang w:eastAsia="en-GB"/>
              </w:rPr>
            </w:pPr>
            <w:r w:rsidRPr="006A4205">
              <w:rPr>
                <w:sz w:val="18"/>
                <w:szCs w:val="20"/>
              </w:rPr>
              <w:t>10/09/15</w:t>
            </w:r>
          </w:p>
        </w:tc>
      </w:tr>
      <w:tr w:rsidR="006A4205" w:rsidRPr="006A4205" w14:paraId="66A735EB" w14:textId="77777777" w:rsidTr="00F83902">
        <w:tc>
          <w:tcPr>
            <w:tcW w:w="958" w:type="dxa"/>
          </w:tcPr>
          <w:p w14:paraId="3628F5C3" w14:textId="77777777" w:rsidR="00FC4450" w:rsidRPr="006A4205" w:rsidRDefault="00FC4450" w:rsidP="00D13771">
            <w:pPr>
              <w:rPr>
                <w:rFonts w:eastAsia="Times New Roman"/>
                <w:lang w:eastAsia="en-GB"/>
              </w:rPr>
            </w:pPr>
            <w:r w:rsidRPr="006A4205">
              <w:rPr>
                <w:rFonts w:eastAsia="Times New Roman"/>
                <w:lang w:eastAsia="en-GB"/>
              </w:rPr>
              <w:t>3d</w:t>
            </w:r>
          </w:p>
        </w:tc>
        <w:tc>
          <w:tcPr>
            <w:tcW w:w="4394" w:type="dxa"/>
          </w:tcPr>
          <w:p w14:paraId="5C690C1C" w14:textId="77777777" w:rsidR="00FC4450" w:rsidRPr="006A4205" w:rsidRDefault="00FC4450" w:rsidP="00D13771">
            <w:pPr>
              <w:rPr>
                <w:rFonts w:eastAsia="Times New Roman"/>
                <w:lang w:eastAsia="en-GB"/>
              </w:rPr>
            </w:pPr>
            <w:r w:rsidRPr="006A4205">
              <w:rPr>
                <w:rFonts w:eastAsia="Times New Roman"/>
                <w:lang w:eastAsia="en-GB"/>
              </w:rPr>
              <w:t>RCP to be asked to clarify and list exclusions in the indicators.</w:t>
            </w:r>
          </w:p>
        </w:tc>
        <w:tc>
          <w:tcPr>
            <w:tcW w:w="1275" w:type="dxa"/>
          </w:tcPr>
          <w:p w14:paraId="450278F2" w14:textId="77777777" w:rsidR="00FC4450" w:rsidRPr="006A4205" w:rsidRDefault="00FC4450" w:rsidP="00D13771">
            <w:pPr>
              <w:rPr>
                <w:rFonts w:eastAsia="Times New Roman"/>
                <w:lang w:eastAsia="en-GB"/>
              </w:rPr>
            </w:pPr>
            <w:r w:rsidRPr="006A4205">
              <w:rPr>
                <w:rFonts w:eastAsia="Times New Roman"/>
                <w:lang w:eastAsia="en-GB"/>
              </w:rPr>
              <w:t>MRG</w:t>
            </w:r>
          </w:p>
          <w:p w14:paraId="0AE6AF8A" w14:textId="77777777" w:rsidR="00FC4450" w:rsidRPr="006A4205" w:rsidRDefault="00FC4450" w:rsidP="00D13771">
            <w:pPr>
              <w:rPr>
                <w:rFonts w:eastAsia="Times New Roman"/>
                <w:lang w:eastAsia="en-GB"/>
              </w:rPr>
            </w:pPr>
          </w:p>
          <w:p w14:paraId="4EE8E985" w14:textId="77777777" w:rsidR="00FC4450" w:rsidRPr="006A4205" w:rsidRDefault="00FC4450" w:rsidP="00D13771">
            <w:pPr>
              <w:rPr>
                <w:rFonts w:eastAsia="Times New Roman"/>
                <w:lang w:eastAsia="en-GB"/>
              </w:rPr>
            </w:pPr>
            <w:r w:rsidRPr="006A4205">
              <w:rPr>
                <w:rFonts w:eastAsia="Times New Roman"/>
                <w:lang w:eastAsia="en-GB"/>
              </w:rPr>
              <w:t>27/3/12</w:t>
            </w:r>
          </w:p>
        </w:tc>
        <w:tc>
          <w:tcPr>
            <w:tcW w:w="4678" w:type="dxa"/>
          </w:tcPr>
          <w:p w14:paraId="5853697C" w14:textId="77777777" w:rsidR="00FC4450" w:rsidRPr="006A4205" w:rsidRDefault="00FC4450" w:rsidP="00D13771">
            <w:pPr>
              <w:rPr>
                <w:rFonts w:eastAsia="Times New Roman"/>
                <w:lang w:eastAsia="en-GB"/>
              </w:rPr>
            </w:pPr>
          </w:p>
          <w:p w14:paraId="13028F8B"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The indicator has the following denominator: </w:t>
            </w:r>
          </w:p>
          <w:p w14:paraId="644984A3" w14:textId="77777777" w:rsidR="00FC4450" w:rsidRPr="006A4205" w:rsidRDefault="00FC4450" w:rsidP="00D13771">
            <w:pPr>
              <w:spacing w:before="120" w:after="120"/>
              <w:rPr>
                <w:rFonts w:eastAsia="Times New Roman"/>
                <w:i/>
                <w:lang w:eastAsia="en-GB"/>
              </w:rPr>
            </w:pPr>
            <w:r w:rsidRPr="006A4205">
              <w:rPr>
                <w:rFonts w:eastAsia="Times New Roman"/>
                <w:i/>
                <w:lang w:eastAsia="en-GB"/>
              </w:rPr>
              <w:t xml:space="preserve">All patients admitted to hospital with a primary diagnosis of stroke, except for those </w:t>
            </w:r>
            <w:r w:rsidRPr="006A4205">
              <w:rPr>
                <w:rFonts w:eastAsia="Times New Roman"/>
                <w:i/>
                <w:lang w:eastAsia="en-GB"/>
              </w:rPr>
              <w:lastRenderedPageBreak/>
              <w:t>whose first ward of admission was ITU, CCU or HDU.</w:t>
            </w:r>
          </w:p>
          <w:p w14:paraId="73724371" w14:textId="77777777" w:rsidR="00FC4450" w:rsidRPr="006A4205" w:rsidRDefault="00FC4450" w:rsidP="00D13771">
            <w:pPr>
              <w:spacing w:before="120" w:after="120"/>
              <w:rPr>
                <w:rFonts w:eastAsia="Times New Roman"/>
                <w:i/>
                <w:lang w:eastAsia="en-GB"/>
              </w:rPr>
            </w:pPr>
            <w:r w:rsidRPr="006A4205">
              <w:rPr>
                <w:rFonts w:eastAsia="Times New Roman"/>
                <w:i/>
                <w:lang w:eastAsia="en-GB"/>
              </w:rPr>
              <w:t>(ITU = Intensive Treatment Unit, CCU = Critical Care Unit, HDU = High Dependency Unit)</w:t>
            </w:r>
          </w:p>
          <w:p w14:paraId="01924B47" w14:textId="77777777" w:rsidR="00FC4450" w:rsidRPr="006A4205" w:rsidRDefault="00FC4450" w:rsidP="00D13771">
            <w:pPr>
              <w:spacing w:before="120" w:after="120"/>
              <w:rPr>
                <w:rFonts w:eastAsia="Times New Roman"/>
                <w:lang w:eastAsia="en-GB"/>
              </w:rPr>
            </w:pPr>
            <w:r w:rsidRPr="006A4205">
              <w:rPr>
                <w:rFonts w:eastAsia="Times New Roman"/>
                <w:lang w:eastAsia="en-GB"/>
              </w:rPr>
              <w:t>The RCP have confirmed that the reason for these exclusions is that some patients’ condition is sufficiently serious that the most appropriate place to meet their needs is ITU, CCU or HDU. These exclusions prevent any perverse incentives to have all patients on a stroke unit even if they are better off being treated elsewhere.</w:t>
            </w:r>
          </w:p>
        </w:tc>
        <w:tc>
          <w:tcPr>
            <w:tcW w:w="1092" w:type="dxa"/>
          </w:tcPr>
          <w:p w14:paraId="645E94C5" w14:textId="77777777" w:rsidR="00FC4450" w:rsidRPr="006A4205" w:rsidRDefault="00FC4450" w:rsidP="00D13771">
            <w:pPr>
              <w:jc w:val="center"/>
              <w:rPr>
                <w:rFonts w:eastAsia="Times New Roman"/>
                <w:lang w:eastAsia="en-GB"/>
              </w:rPr>
            </w:pPr>
            <w:r w:rsidRPr="006A4205">
              <w:lastRenderedPageBreak/>
              <w:t>13/08/15</w:t>
            </w:r>
          </w:p>
        </w:tc>
        <w:sdt>
          <w:sdtPr>
            <w:id w:val="-1316944255"/>
            <w14:checkbox>
              <w14:checked w14:val="1"/>
              <w14:checkedState w14:val="00FE" w14:font="Wingdings"/>
              <w14:uncheckedState w14:val="006F" w14:font="Wingdings"/>
            </w14:checkbox>
          </w:sdtPr>
          <w:sdtContent>
            <w:tc>
              <w:tcPr>
                <w:tcW w:w="1033" w:type="dxa"/>
              </w:tcPr>
              <w:p w14:paraId="1B7E2954" w14:textId="77777777" w:rsidR="00FC4450" w:rsidRPr="006A4205" w:rsidRDefault="00FC4450" w:rsidP="00D13771">
                <w:pPr>
                  <w:jc w:val="center"/>
                </w:pPr>
                <w:r w:rsidRPr="006A4205">
                  <w:sym w:font="Wingdings" w:char="F0FE"/>
                </w:r>
              </w:p>
            </w:tc>
          </w:sdtContent>
        </w:sdt>
        <w:tc>
          <w:tcPr>
            <w:tcW w:w="1364" w:type="dxa"/>
          </w:tcPr>
          <w:p w14:paraId="52043FB3" w14:textId="77777777" w:rsidR="00FC4450" w:rsidRPr="006A4205" w:rsidRDefault="00FC4450" w:rsidP="00D13771">
            <w:pPr>
              <w:rPr>
                <w:sz w:val="18"/>
                <w:szCs w:val="20"/>
              </w:rPr>
            </w:pPr>
            <w:r w:rsidRPr="006A4205">
              <w:rPr>
                <w:sz w:val="18"/>
                <w:szCs w:val="20"/>
              </w:rPr>
              <w:t>MRG</w:t>
            </w:r>
          </w:p>
          <w:p w14:paraId="080C9B1C" w14:textId="77777777" w:rsidR="00FC4450" w:rsidRPr="006A4205" w:rsidRDefault="00FC4450" w:rsidP="00D13771">
            <w:pPr>
              <w:rPr>
                <w:rFonts w:eastAsia="Times New Roman"/>
                <w:sz w:val="18"/>
                <w:szCs w:val="20"/>
                <w:lang w:eastAsia="en-GB"/>
              </w:rPr>
            </w:pPr>
            <w:r w:rsidRPr="006A4205">
              <w:rPr>
                <w:sz w:val="18"/>
                <w:szCs w:val="20"/>
              </w:rPr>
              <w:t>10/09/15</w:t>
            </w:r>
          </w:p>
        </w:tc>
      </w:tr>
      <w:tr w:rsidR="006A4205" w:rsidRPr="006A4205" w14:paraId="02527AE9" w14:textId="77777777" w:rsidTr="00F83902">
        <w:tc>
          <w:tcPr>
            <w:tcW w:w="958" w:type="dxa"/>
          </w:tcPr>
          <w:p w14:paraId="37CC73C7" w14:textId="77777777" w:rsidR="00FC4450" w:rsidRPr="006A4205" w:rsidRDefault="00FC4450" w:rsidP="00D13771">
            <w:pPr>
              <w:rPr>
                <w:rFonts w:eastAsia="Times New Roman"/>
                <w:lang w:eastAsia="en-GB"/>
              </w:rPr>
            </w:pPr>
            <w:r w:rsidRPr="006A4205">
              <w:rPr>
                <w:rFonts w:eastAsia="Times New Roman"/>
                <w:lang w:eastAsia="en-GB"/>
              </w:rPr>
              <w:t>3e</w:t>
            </w:r>
          </w:p>
        </w:tc>
        <w:tc>
          <w:tcPr>
            <w:tcW w:w="4394" w:type="dxa"/>
          </w:tcPr>
          <w:p w14:paraId="3982795A" w14:textId="77777777" w:rsidR="00FC4450" w:rsidRPr="006A4205" w:rsidRDefault="00FC4450" w:rsidP="00D13771">
            <w:pPr>
              <w:rPr>
                <w:rFonts w:eastAsia="Times New Roman"/>
                <w:lang w:eastAsia="en-GB"/>
              </w:rPr>
            </w:pPr>
            <w:r w:rsidRPr="006A4205">
              <w:rPr>
                <w:rFonts w:eastAsia="Times New Roman"/>
                <w:lang w:eastAsia="en-GB"/>
              </w:rPr>
              <w:t xml:space="preserve">MRG recommended that investigations into whether case ascertainment is the same for different age and sex breakdowns as selection bias could affect the calculation of the indicators.  </w:t>
            </w:r>
          </w:p>
        </w:tc>
        <w:tc>
          <w:tcPr>
            <w:tcW w:w="1275" w:type="dxa"/>
          </w:tcPr>
          <w:p w14:paraId="5D76464A" w14:textId="77777777" w:rsidR="00FC4450" w:rsidRPr="006A4205" w:rsidRDefault="00FC4450" w:rsidP="00D13771">
            <w:pPr>
              <w:rPr>
                <w:rFonts w:eastAsia="Times New Roman"/>
                <w:lang w:eastAsia="en-GB"/>
              </w:rPr>
            </w:pPr>
            <w:r w:rsidRPr="006A4205">
              <w:rPr>
                <w:rFonts w:eastAsia="Times New Roman"/>
                <w:lang w:eastAsia="en-GB"/>
              </w:rPr>
              <w:t>MRG</w:t>
            </w:r>
          </w:p>
          <w:p w14:paraId="1D73617F" w14:textId="77777777" w:rsidR="00FC4450" w:rsidRPr="006A4205" w:rsidRDefault="00FC4450" w:rsidP="00D13771">
            <w:pPr>
              <w:rPr>
                <w:rFonts w:eastAsia="Times New Roman"/>
                <w:lang w:eastAsia="en-GB"/>
              </w:rPr>
            </w:pPr>
          </w:p>
          <w:p w14:paraId="6E700C17" w14:textId="77777777" w:rsidR="00FC4450" w:rsidRPr="006A4205" w:rsidRDefault="00FC4450" w:rsidP="00D13771">
            <w:pPr>
              <w:rPr>
                <w:rFonts w:eastAsia="Times New Roman"/>
                <w:lang w:eastAsia="en-GB"/>
              </w:rPr>
            </w:pPr>
            <w:r w:rsidRPr="006A4205">
              <w:rPr>
                <w:rFonts w:eastAsia="Times New Roman"/>
                <w:lang w:eastAsia="en-GB"/>
              </w:rPr>
              <w:t>6/9/12</w:t>
            </w:r>
          </w:p>
        </w:tc>
        <w:tc>
          <w:tcPr>
            <w:tcW w:w="4678" w:type="dxa"/>
          </w:tcPr>
          <w:p w14:paraId="5B8CCF15"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The age and sex breakdowns were investigated by the RCP in 2012 and found to be comparable with published literature and therefore not felt to represent a selection bias. </w:t>
            </w:r>
          </w:p>
          <w:p w14:paraId="43F134DE"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The SSNAP annual report provides some overall demographic details of patients included in the SSNAP </w:t>
            </w:r>
            <w:hyperlink r:id="rId33" w:history="1">
              <w:r w:rsidRPr="006A4205">
                <w:rPr>
                  <w:rFonts w:eastAsia="Times New Roman"/>
                  <w:u w:val="single"/>
                  <w:lang w:eastAsia="en-GB"/>
                </w:rPr>
                <w:t>https://www.strokeaudit.org/Documents/Newspress/SSNAP-Annual-Report-(April-2013-March-2014).pdf</w:t>
              </w:r>
            </w:hyperlink>
            <w:r w:rsidRPr="006A4205">
              <w:rPr>
                <w:rFonts w:eastAsia="Times New Roman"/>
                <w:lang w:eastAsia="en-GB"/>
              </w:rPr>
              <w:t xml:space="preserve"> </w:t>
            </w:r>
          </w:p>
          <w:p w14:paraId="1785F321"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Along with a host of other detailed audit information, the quarterly SSNAP public report provides specific details on the </w:t>
            </w:r>
            <w:proofErr w:type="spellStart"/>
            <w:r w:rsidRPr="006A4205">
              <w:rPr>
                <w:rFonts w:eastAsia="Times New Roman"/>
                <w:lang w:eastAsia="en-GB"/>
              </w:rPr>
              <w:t>casemix</w:t>
            </w:r>
            <w:proofErr w:type="spellEnd"/>
            <w:r w:rsidRPr="006A4205">
              <w:rPr>
                <w:rFonts w:eastAsia="Times New Roman"/>
                <w:lang w:eastAsia="en-GB"/>
              </w:rPr>
              <w:t xml:space="preserve"> breakdowns, including patient numbers, gender, age, co-morbidities, stroke </w:t>
            </w:r>
            <w:r w:rsidRPr="006A4205">
              <w:rPr>
                <w:rFonts w:eastAsia="Times New Roman"/>
                <w:lang w:eastAsia="en-GB"/>
              </w:rPr>
              <w:lastRenderedPageBreak/>
              <w:t xml:space="preserve">type, Modified Rankin Scales scores, NIHSS and the onset of symptoms (Section 2: </w:t>
            </w:r>
            <w:proofErr w:type="spellStart"/>
            <w:r w:rsidRPr="006A4205">
              <w:rPr>
                <w:rFonts w:eastAsia="Times New Roman"/>
                <w:lang w:eastAsia="en-GB"/>
              </w:rPr>
              <w:t>Casemix</w:t>
            </w:r>
            <w:proofErr w:type="spellEnd"/>
            <w:r w:rsidRPr="006A4205">
              <w:rPr>
                <w:rFonts w:eastAsia="Times New Roman"/>
                <w:lang w:eastAsia="en-GB"/>
              </w:rPr>
              <w:t xml:space="preserve">, p48) </w:t>
            </w:r>
            <w:hyperlink r:id="rId34" w:history="1">
              <w:r w:rsidRPr="006A4205">
                <w:rPr>
                  <w:rStyle w:val="Hyperlink"/>
                  <w:rFonts w:eastAsia="Times New Roman"/>
                  <w:color w:val="auto"/>
                  <w:lang w:eastAsia="en-GB"/>
                </w:rPr>
                <w:t>https://www.strokeaudit.org/Documents/Results/National/OctDec2014/OctDec2014-PublicReport.aspx</w:t>
              </w:r>
            </w:hyperlink>
          </w:p>
        </w:tc>
        <w:tc>
          <w:tcPr>
            <w:tcW w:w="1092" w:type="dxa"/>
          </w:tcPr>
          <w:p w14:paraId="08CD0199" w14:textId="77777777" w:rsidR="00FC4450" w:rsidRPr="006A4205" w:rsidRDefault="00FC4450" w:rsidP="00D13771">
            <w:pPr>
              <w:jc w:val="center"/>
              <w:rPr>
                <w:rFonts w:eastAsia="Times New Roman"/>
                <w:lang w:eastAsia="en-GB"/>
              </w:rPr>
            </w:pPr>
            <w:r w:rsidRPr="006A4205">
              <w:lastRenderedPageBreak/>
              <w:t>13/08/15</w:t>
            </w:r>
          </w:p>
        </w:tc>
        <w:sdt>
          <w:sdtPr>
            <w:id w:val="829942572"/>
            <w14:checkbox>
              <w14:checked w14:val="1"/>
              <w14:checkedState w14:val="00FE" w14:font="Wingdings"/>
              <w14:uncheckedState w14:val="006F" w14:font="Wingdings"/>
            </w14:checkbox>
          </w:sdtPr>
          <w:sdtContent>
            <w:tc>
              <w:tcPr>
                <w:tcW w:w="1033" w:type="dxa"/>
              </w:tcPr>
              <w:p w14:paraId="3BC2FE6F" w14:textId="77777777" w:rsidR="00FC4450" w:rsidRPr="006A4205" w:rsidRDefault="00FC4450" w:rsidP="00D13771">
                <w:pPr>
                  <w:jc w:val="center"/>
                </w:pPr>
                <w:r w:rsidRPr="006A4205">
                  <w:sym w:font="Wingdings" w:char="F0FE"/>
                </w:r>
              </w:p>
            </w:tc>
          </w:sdtContent>
        </w:sdt>
        <w:tc>
          <w:tcPr>
            <w:tcW w:w="1364" w:type="dxa"/>
          </w:tcPr>
          <w:p w14:paraId="42A7B679" w14:textId="77777777" w:rsidR="00FC4450" w:rsidRPr="006A4205" w:rsidRDefault="00FC4450" w:rsidP="00D13771">
            <w:pPr>
              <w:rPr>
                <w:sz w:val="18"/>
                <w:szCs w:val="20"/>
              </w:rPr>
            </w:pPr>
            <w:r w:rsidRPr="006A4205">
              <w:rPr>
                <w:sz w:val="18"/>
                <w:szCs w:val="20"/>
              </w:rPr>
              <w:t>MRG</w:t>
            </w:r>
          </w:p>
          <w:p w14:paraId="37102B1B" w14:textId="77777777" w:rsidR="00FC4450" w:rsidRPr="006A4205" w:rsidRDefault="00FC4450" w:rsidP="00D13771">
            <w:pPr>
              <w:rPr>
                <w:rFonts w:eastAsia="Times New Roman"/>
                <w:sz w:val="18"/>
                <w:szCs w:val="20"/>
                <w:lang w:eastAsia="en-GB"/>
              </w:rPr>
            </w:pPr>
            <w:r w:rsidRPr="006A4205">
              <w:rPr>
                <w:sz w:val="18"/>
                <w:szCs w:val="20"/>
              </w:rPr>
              <w:t>10/09/15</w:t>
            </w:r>
          </w:p>
        </w:tc>
      </w:tr>
      <w:tr w:rsidR="006A4205" w:rsidRPr="006A4205" w14:paraId="17A617AE" w14:textId="77777777" w:rsidTr="00F83902">
        <w:tc>
          <w:tcPr>
            <w:tcW w:w="958" w:type="dxa"/>
          </w:tcPr>
          <w:p w14:paraId="3141F6CA" w14:textId="77777777" w:rsidR="00FC4450" w:rsidRPr="006A4205" w:rsidRDefault="00FC4450" w:rsidP="00D13771">
            <w:pPr>
              <w:rPr>
                <w:rFonts w:eastAsia="Times New Roman"/>
                <w:lang w:eastAsia="en-GB"/>
              </w:rPr>
            </w:pPr>
            <w:r w:rsidRPr="006A4205">
              <w:rPr>
                <w:rFonts w:eastAsia="Times New Roman"/>
                <w:lang w:eastAsia="en-GB"/>
              </w:rPr>
              <w:t>3f</w:t>
            </w:r>
          </w:p>
        </w:tc>
        <w:tc>
          <w:tcPr>
            <w:tcW w:w="4394" w:type="dxa"/>
          </w:tcPr>
          <w:p w14:paraId="4AA57B6D" w14:textId="77777777" w:rsidR="00FC4450" w:rsidRPr="006A4205" w:rsidRDefault="00FC4450" w:rsidP="00D13771">
            <w:pPr>
              <w:rPr>
                <w:rFonts w:eastAsia="Times New Roman"/>
                <w:lang w:eastAsia="en-GB"/>
              </w:rPr>
            </w:pPr>
            <w:r w:rsidRPr="006A4205">
              <w:rPr>
                <w:rFonts w:eastAsia="Times New Roman"/>
                <w:lang w:eastAsia="en-GB"/>
              </w:rPr>
              <w:t>The rationale for selecting the ICD-10 codes used to identify stroke patients should be clearly stated in the documentation for each indicator.</w:t>
            </w:r>
          </w:p>
          <w:p w14:paraId="497CDF7C" w14:textId="77777777" w:rsidR="00FC4450" w:rsidRPr="006A4205" w:rsidRDefault="00FC4450" w:rsidP="00D13771">
            <w:pPr>
              <w:rPr>
                <w:rFonts w:eastAsia="Times New Roman"/>
                <w:lang w:eastAsia="en-GB"/>
              </w:rPr>
            </w:pPr>
          </w:p>
          <w:p w14:paraId="56967E8C" w14:textId="77777777" w:rsidR="00FC4450" w:rsidRPr="006A4205" w:rsidRDefault="00FC4450" w:rsidP="00D13771">
            <w:pPr>
              <w:rPr>
                <w:rFonts w:eastAsia="Times New Roman"/>
                <w:lang w:eastAsia="en-GB"/>
              </w:rPr>
            </w:pPr>
          </w:p>
          <w:p w14:paraId="6681AD47" w14:textId="77777777" w:rsidR="00FC4450" w:rsidRPr="006A4205" w:rsidRDefault="00FC4450" w:rsidP="00D13771">
            <w:pPr>
              <w:rPr>
                <w:rFonts w:eastAsia="Times New Roman"/>
                <w:lang w:eastAsia="en-GB"/>
              </w:rPr>
            </w:pPr>
          </w:p>
          <w:p w14:paraId="17E176A1" w14:textId="77777777" w:rsidR="00FC4450" w:rsidRPr="006A4205" w:rsidRDefault="00FC4450" w:rsidP="00D13771">
            <w:pPr>
              <w:rPr>
                <w:rFonts w:eastAsia="Times New Roman"/>
                <w:lang w:eastAsia="en-GB"/>
              </w:rPr>
            </w:pPr>
          </w:p>
          <w:p w14:paraId="3F90BF4D" w14:textId="77777777" w:rsidR="00FC4450" w:rsidRPr="006A4205" w:rsidRDefault="00FC4450" w:rsidP="00D13771">
            <w:pPr>
              <w:rPr>
                <w:rFonts w:eastAsia="Times New Roman"/>
                <w:lang w:eastAsia="en-GB"/>
              </w:rPr>
            </w:pPr>
          </w:p>
          <w:p w14:paraId="2F07CB62" w14:textId="77777777" w:rsidR="00FC4450" w:rsidRPr="006A4205" w:rsidRDefault="00FC4450" w:rsidP="00D13771">
            <w:pPr>
              <w:rPr>
                <w:rFonts w:eastAsia="Times New Roman"/>
                <w:lang w:eastAsia="en-GB"/>
              </w:rPr>
            </w:pPr>
          </w:p>
          <w:p w14:paraId="59124358" w14:textId="77777777" w:rsidR="00FC4450" w:rsidRPr="006A4205" w:rsidRDefault="00FC4450" w:rsidP="00D13771">
            <w:pPr>
              <w:rPr>
                <w:rFonts w:eastAsia="Times New Roman"/>
                <w:lang w:eastAsia="en-GB"/>
              </w:rPr>
            </w:pPr>
          </w:p>
          <w:p w14:paraId="2CAE7185" w14:textId="77777777" w:rsidR="00FC4450" w:rsidRPr="006A4205" w:rsidRDefault="00FC4450" w:rsidP="00D13771">
            <w:pPr>
              <w:rPr>
                <w:rFonts w:eastAsia="Times New Roman"/>
                <w:lang w:eastAsia="en-GB"/>
              </w:rPr>
            </w:pPr>
          </w:p>
          <w:p w14:paraId="3B45BA08" w14:textId="77777777" w:rsidR="00FC4450" w:rsidRPr="006A4205" w:rsidRDefault="00FC4450" w:rsidP="00D13771">
            <w:pPr>
              <w:rPr>
                <w:rFonts w:eastAsia="Times New Roman"/>
                <w:lang w:eastAsia="en-GB"/>
              </w:rPr>
            </w:pPr>
          </w:p>
          <w:p w14:paraId="7CFEA004" w14:textId="77777777" w:rsidR="00FC4450" w:rsidRPr="006A4205" w:rsidRDefault="00FC4450" w:rsidP="00D13771">
            <w:pPr>
              <w:rPr>
                <w:rFonts w:eastAsia="Times New Roman"/>
                <w:lang w:eastAsia="en-GB"/>
              </w:rPr>
            </w:pPr>
          </w:p>
          <w:p w14:paraId="4F4DB4DC" w14:textId="77777777" w:rsidR="00FC4450" w:rsidRPr="006A4205" w:rsidRDefault="00FC4450" w:rsidP="00D13771">
            <w:pPr>
              <w:rPr>
                <w:rFonts w:eastAsia="Times New Roman"/>
                <w:lang w:eastAsia="en-GB"/>
              </w:rPr>
            </w:pPr>
          </w:p>
          <w:p w14:paraId="73203C0D" w14:textId="77777777" w:rsidR="00FC4450" w:rsidRPr="006A4205" w:rsidRDefault="00FC4450" w:rsidP="00D13771">
            <w:pPr>
              <w:rPr>
                <w:rFonts w:eastAsia="Times New Roman"/>
                <w:lang w:eastAsia="en-GB"/>
              </w:rPr>
            </w:pPr>
          </w:p>
          <w:p w14:paraId="36ACC0A6" w14:textId="77777777" w:rsidR="00FC4450" w:rsidRPr="006A4205" w:rsidRDefault="00FC4450" w:rsidP="00D13771">
            <w:pPr>
              <w:rPr>
                <w:rFonts w:eastAsia="Times New Roman"/>
                <w:lang w:eastAsia="en-GB"/>
              </w:rPr>
            </w:pPr>
            <w:r w:rsidRPr="006A4205">
              <w:rPr>
                <w:rFonts w:eastAsia="Times New Roman"/>
                <w:lang w:eastAsia="en-GB"/>
              </w:rPr>
              <w:t>Update:</w:t>
            </w:r>
          </w:p>
          <w:p w14:paraId="1C6778F3" w14:textId="77777777" w:rsidR="00FC4450" w:rsidRPr="006A4205" w:rsidRDefault="00FC4450" w:rsidP="00D13771">
            <w:pPr>
              <w:rPr>
                <w:rFonts w:eastAsia="Times New Roman"/>
                <w:lang w:eastAsia="en-GB"/>
              </w:rPr>
            </w:pPr>
            <w:r w:rsidRPr="006A4205">
              <w:rPr>
                <w:rFonts w:eastAsia="Times New Roman"/>
                <w:lang w:eastAsia="en-GB"/>
              </w:rPr>
              <w:t>There is a discrepancy between what SSNAP and the clinical classifications service consider a stroke, therefore further justification for the codes used is required and the definition should be updated (as stated in recommendation 2c).</w:t>
            </w:r>
          </w:p>
        </w:tc>
        <w:tc>
          <w:tcPr>
            <w:tcW w:w="1275" w:type="dxa"/>
          </w:tcPr>
          <w:p w14:paraId="4897B12F" w14:textId="77777777" w:rsidR="00FC4450" w:rsidRPr="006A4205" w:rsidRDefault="00FC4450" w:rsidP="00D13771">
            <w:pPr>
              <w:rPr>
                <w:rFonts w:eastAsia="Times New Roman"/>
                <w:lang w:eastAsia="en-GB"/>
              </w:rPr>
            </w:pPr>
            <w:r w:rsidRPr="006A4205">
              <w:rPr>
                <w:rFonts w:eastAsia="Times New Roman"/>
                <w:lang w:eastAsia="en-GB"/>
              </w:rPr>
              <w:t>MRG</w:t>
            </w:r>
          </w:p>
          <w:p w14:paraId="7E7526AC" w14:textId="77777777" w:rsidR="00FC4450" w:rsidRPr="006A4205" w:rsidRDefault="00FC4450" w:rsidP="00D13771">
            <w:pPr>
              <w:rPr>
                <w:rFonts w:eastAsia="Times New Roman"/>
                <w:lang w:eastAsia="en-GB"/>
              </w:rPr>
            </w:pPr>
          </w:p>
          <w:p w14:paraId="6F598313" w14:textId="77777777" w:rsidR="00FC4450" w:rsidRPr="006A4205" w:rsidRDefault="00FC4450" w:rsidP="00D13771">
            <w:pPr>
              <w:rPr>
                <w:rFonts w:eastAsia="Times New Roman"/>
                <w:lang w:eastAsia="en-GB"/>
              </w:rPr>
            </w:pPr>
            <w:r w:rsidRPr="006A4205">
              <w:rPr>
                <w:rFonts w:eastAsia="Times New Roman"/>
                <w:lang w:eastAsia="en-GB"/>
              </w:rPr>
              <w:t>6/9/12</w:t>
            </w:r>
          </w:p>
          <w:p w14:paraId="58067400" w14:textId="77777777" w:rsidR="00FC4450" w:rsidRPr="006A4205" w:rsidRDefault="00FC4450" w:rsidP="00D13771">
            <w:pPr>
              <w:rPr>
                <w:rFonts w:eastAsia="Times New Roman"/>
                <w:lang w:eastAsia="en-GB"/>
              </w:rPr>
            </w:pPr>
          </w:p>
          <w:p w14:paraId="0A9D06D6" w14:textId="77777777" w:rsidR="00FC4450" w:rsidRPr="006A4205" w:rsidRDefault="00FC4450" w:rsidP="00D13771">
            <w:pPr>
              <w:rPr>
                <w:rFonts w:eastAsia="Times New Roman"/>
                <w:lang w:eastAsia="en-GB"/>
              </w:rPr>
            </w:pPr>
          </w:p>
          <w:p w14:paraId="451BE342" w14:textId="77777777" w:rsidR="00FC4450" w:rsidRPr="006A4205" w:rsidRDefault="00FC4450" w:rsidP="00D13771">
            <w:pPr>
              <w:rPr>
                <w:rFonts w:eastAsia="Times New Roman"/>
                <w:lang w:eastAsia="en-GB"/>
              </w:rPr>
            </w:pPr>
          </w:p>
          <w:p w14:paraId="59EA3890" w14:textId="77777777" w:rsidR="00FC4450" w:rsidRPr="006A4205" w:rsidRDefault="00FC4450" w:rsidP="00D13771">
            <w:pPr>
              <w:rPr>
                <w:rFonts w:eastAsia="Times New Roman"/>
                <w:lang w:eastAsia="en-GB"/>
              </w:rPr>
            </w:pPr>
          </w:p>
          <w:p w14:paraId="0988C123" w14:textId="77777777" w:rsidR="00FC4450" w:rsidRPr="006A4205" w:rsidRDefault="00FC4450" w:rsidP="00D13771">
            <w:pPr>
              <w:rPr>
                <w:rFonts w:eastAsia="Times New Roman"/>
                <w:lang w:eastAsia="en-GB"/>
              </w:rPr>
            </w:pPr>
          </w:p>
          <w:p w14:paraId="5E660081" w14:textId="77777777" w:rsidR="00FC4450" w:rsidRPr="006A4205" w:rsidRDefault="00FC4450" w:rsidP="00D13771">
            <w:pPr>
              <w:rPr>
                <w:rFonts w:eastAsia="Times New Roman"/>
                <w:lang w:eastAsia="en-GB"/>
              </w:rPr>
            </w:pPr>
          </w:p>
          <w:p w14:paraId="0A2E35D3" w14:textId="77777777" w:rsidR="00FC4450" w:rsidRPr="006A4205" w:rsidRDefault="00FC4450" w:rsidP="00D13771">
            <w:pPr>
              <w:rPr>
                <w:rFonts w:eastAsia="Times New Roman"/>
                <w:lang w:eastAsia="en-GB"/>
              </w:rPr>
            </w:pPr>
          </w:p>
          <w:p w14:paraId="29D394C7" w14:textId="77777777" w:rsidR="00FC4450" w:rsidRPr="006A4205" w:rsidRDefault="00FC4450" w:rsidP="00D13771">
            <w:pPr>
              <w:rPr>
                <w:rFonts w:eastAsia="Times New Roman"/>
                <w:lang w:eastAsia="en-GB"/>
              </w:rPr>
            </w:pPr>
          </w:p>
          <w:p w14:paraId="34FF67D1" w14:textId="77777777" w:rsidR="00FC4450" w:rsidRPr="006A4205" w:rsidRDefault="00FC4450" w:rsidP="00D13771">
            <w:pPr>
              <w:rPr>
                <w:rFonts w:eastAsia="Times New Roman"/>
                <w:lang w:eastAsia="en-GB"/>
              </w:rPr>
            </w:pPr>
          </w:p>
          <w:p w14:paraId="453E8861" w14:textId="77777777" w:rsidR="00FC4450" w:rsidRPr="006A4205" w:rsidRDefault="00FC4450" w:rsidP="00D13771">
            <w:pPr>
              <w:rPr>
                <w:rFonts w:eastAsia="Times New Roman"/>
                <w:lang w:eastAsia="en-GB"/>
              </w:rPr>
            </w:pPr>
          </w:p>
          <w:p w14:paraId="0B02C7B6" w14:textId="77777777" w:rsidR="00FC4450" w:rsidRPr="006A4205" w:rsidRDefault="00FC4450" w:rsidP="00D13771">
            <w:pPr>
              <w:rPr>
                <w:rFonts w:eastAsia="Times New Roman"/>
                <w:lang w:eastAsia="en-GB"/>
              </w:rPr>
            </w:pPr>
          </w:p>
          <w:p w14:paraId="04B435C3" w14:textId="77777777" w:rsidR="00FC4450" w:rsidRPr="006A4205" w:rsidRDefault="00FC4450" w:rsidP="00D13771">
            <w:pPr>
              <w:rPr>
                <w:rFonts w:eastAsia="Times New Roman"/>
                <w:lang w:eastAsia="en-GB"/>
              </w:rPr>
            </w:pPr>
          </w:p>
          <w:p w14:paraId="107F2680" w14:textId="77777777" w:rsidR="00FC4450" w:rsidRPr="006A4205" w:rsidRDefault="00FC4450" w:rsidP="00D13771">
            <w:pPr>
              <w:rPr>
                <w:rFonts w:eastAsia="Times New Roman"/>
                <w:lang w:eastAsia="en-GB"/>
              </w:rPr>
            </w:pPr>
            <w:r w:rsidRPr="006A4205">
              <w:rPr>
                <w:rFonts w:eastAsia="Times New Roman"/>
                <w:lang w:eastAsia="en-GB"/>
              </w:rPr>
              <w:t>MRG</w:t>
            </w:r>
          </w:p>
          <w:p w14:paraId="78F4B9DD" w14:textId="77777777" w:rsidR="00FC4450" w:rsidRPr="006A4205" w:rsidRDefault="00FC4450" w:rsidP="00D13771">
            <w:pPr>
              <w:rPr>
                <w:rFonts w:eastAsia="Times New Roman"/>
                <w:lang w:eastAsia="en-GB"/>
              </w:rPr>
            </w:pPr>
          </w:p>
          <w:p w14:paraId="5F8B4A6B" w14:textId="77777777" w:rsidR="00FC4450" w:rsidRPr="006A4205" w:rsidRDefault="00FC4450" w:rsidP="00D13771">
            <w:pPr>
              <w:rPr>
                <w:rFonts w:eastAsia="Times New Roman"/>
                <w:lang w:eastAsia="en-GB"/>
              </w:rPr>
            </w:pPr>
            <w:r w:rsidRPr="006A4205">
              <w:rPr>
                <w:rFonts w:eastAsia="Times New Roman"/>
                <w:lang w:eastAsia="en-GB"/>
              </w:rPr>
              <w:t>10/09/15</w:t>
            </w:r>
          </w:p>
          <w:p w14:paraId="7DB2E3E0" w14:textId="77777777" w:rsidR="00FC4450" w:rsidRPr="006A4205" w:rsidRDefault="00FC4450" w:rsidP="00D13771">
            <w:pPr>
              <w:rPr>
                <w:rFonts w:eastAsia="Times New Roman"/>
                <w:lang w:eastAsia="en-GB"/>
              </w:rPr>
            </w:pPr>
          </w:p>
        </w:tc>
        <w:tc>
          <w:tcPr>
            <w:tcW w:w="4678" w:type="dxa"/>
          </w:tcPr>
          <w:p w14:paraId="52DD15FD" w14:textId="77777777" w:rsidR="00FC4450" w:rsidRPr="006A4205" w:rsidRDefault="00FC4450" w:rsidP="00D13771">
            <w:pPr>
              <w:spacing w:before="120" w:after="120"/>
              <w:rPr>
                <w:rFonts w:eastAsia="Times New Roman"/>
                <w:lang w:eastAsia="en-GB"/>
              </w:rPr>
            </w:pPr>
            <w:r w:rsidRPr="006A4205">
              <w:rPr>
                <w:rFonts w:eastAsia="Times New Roman"/>
                <w:lang w:eastAsia="en-GB"/>
              </w:rPr>
              <w:t>The SSNAP uses the following ICD-10 diagnosis codes to identify stroke patients:</w:t>
            </w:r>
          </w:p>
          <w:p w14:paraId="06A17071" w14:textId="77777777" w:rsidR="00FC4450" w:rsidRPr="006A4205" w:rsidRDefault="00FC4450" w:rsidP="00FC4450">
            <w:pPr>
              <w:numPr>
                <w:ilvl w:val="0"/>
                <w:numId w:val="22"/>
              </w:numPr>
              <w:ind w:left="714" w:hanging="357"/>
              <w:rPr>
                <w:rFonts w:eastAsia="Times New Roman"/>
                <w:lang w:eastAsia="en-GB"/>
              </w:rPr>
            </w:pPr>
            <w:r w:rsidRPr="006A4205">
              <w:rPr>
                <w:rFonts w:eastAsia="Times New Roman"/>
                <w:lang w:eastAsia="en-GB"/>
              </w:rPr>
              <w:t>I61 - Intracerebral haemorrhage</w:t>
            </w:r>
          </w:p>
          <w:p w14:paraId="7A63573E" w14:textId="77777777" w:rsidR="00FC4450" w:rsidRPr="006A4205" w:rsidRDefault="00FC4450" w:rsidP="00FC4450">
            <w:pPr>
              <w:numPr>
                <w:ilvl w:val="0"/>
                <w:numId w:val="22"/>
              </w:numPr>
              <w:ind w:left="714" w:hanging="357"/>
              <w:rPr>
                <w:rFonts w:eastAsia="Times New Roman"/>
                <w:lang w:eastAsia="en-GB"/>
              </w:rPr>
            </w:pPr>
            <w:r w:rsidRPr="006A4205">
              <w:rPr>
                <w:rFonts w:eastAsia="Times New Roman"/>
                <w:lang w:eastAsia="en-GB"/>
              </w:rPr>
              <w:t>I63 - Cerebral infarction</w:t>
            </w:r>
          </w:p>
          <w:p w14:paraId="5016EE91" w14:textId="77777777" w:rsidR="00FC4450" w:rsidRPr="006A4205" w:rsidRDefault="00FC4450" w:rsidP="00FC4450">
            <w:pPr>
              <w:numPr>
                <w:ilvl w:val="0"/>
                <w:numId w:val="22"/>
              </w:numPr>
              <w:ind w:left="714" w:hanging="357"/>
              <w:rPr>
                <w:rFonts w:eastAsia="Times New Roman"/>
                <w:lang w:eastAsia="en-GB"/>
              </w:rPr>
            </w:pPr>
            <w:r w:rsidRPr="006A4205">
              <w:rPr>
                <w:rFonts w:eastAsia="Times New Roman"/>
                <w:lang w:eastAsia="en-GB"/>
              </w:rPr>
              <w:t>I64 - Stroke, not specified as haemorrhage or infarction</w:t>
            </w:r>
          </w:p>
          <w:p w14:paraId="1ACB130F" w14:textId="77777777" w:rsidR="00FC4450" w:rsidRPr="006A4205" w:rsidRDefault="00FC4450" w:rsidP="00D13771">
            <w:pPr>
              <w:spacing w:before="120" w:after="120"/>
              <w:rPr>
                <w:rFonts w:eastAsia="Times New Roman"/>
                <w:lang w:eastAsia="en-GB"/>
              </w:rPr>
            </w:pPr>
            <w:r w:rsidRPr="006A4205">
              <w:rPr>
                <w:rFonts w:eastAsia="Times New Roman"/>
                <w:lang w:eastAsia="en-GB"/>
              </w:rPr>
              <w:t>The coding advice from the Clinical Classifications Service also includes I60 (Subarachnoid haemorrhage) and I62 (Other nontraumatic intracranial haemorrhage), however this advice would not be endorsed by the RCP as subarachnoid haemorrhage and other non-traumatic intracranial haemorrhage have a different care pathway and outcome.</w:t>
            </w:r>
          </w:p>
          <w:p w14:paraId="7BA6ECE1" w14:textId="77777777" w:rsidR="00FC4450" w:rsidRPr="006A4205" w:rsidRDefault="00FC4450" w:rsidP="00D13771">
            <w:pPr>
              <w:spacing w:before="120" w:after="120"/>
              <w:rPr>
                <w:rFonts w:eastAsia="Times New Roman"/>
                <w:lang w:eastAsia="en-GB"/>
              </w:rPr>
            </w:pPr>
          </w:p>
          <w:p w14:paraId="4DDA6A0D" w14:textId="77777777" w:rsidR="00FC4450" w:rsidRPr="006A4205" w:rsidRDefault="00FC4450" w:rsidP="00D13771">
            <w:r w:rsidRPr="006A4205">
              <w:t>Update:</w:t>
            </w:r>
          </w:p>
          <w:p w14:paraId="4F23475E" w14:textId="77777777" w:rsidR="00FC4450" w:rsidRPr="006A4205" w:rsidRDefault="00FC4450" w:rsidP="00D13771">
            <w:pPr>
              <w:spacing w:before="120" w:after="120"/>
              <w:rPr>
                <w:rFonts w:eastAsia="Times New Roman"/>
                <w:lang w:eastAsia="en-GB"/>
              </w:rPr>
            </w:pPr>
            <w:r w:rsidRPr="006A4205">
              <w:t xml:space="preserve">Subarachnoid haemorrhages and other non-traumatic intracranial haemorrhages are routinely and nearly always managed entirely outside of the stroke unit by neurosurgeons or by interventional neuroradiologists, which </w:t>
            </w:r>
            <w:r w:rsidRPr="006A4205">
              <w:lastRenderedPageBreak/>
              <w:t>is what is recommended in national guidelines for these cases. The indicators need to reflect the care given on appropriate clinical pathways, not arbitrary groupings.</w:t>
            </w:r>
          </w:p>
        </w:tc>
        <w:tc>
          <w:tcPr>
            <w:tcW w:w="1092" w:type="dxa"/>
          </w:tcPr>
          <w:p w14:paraId="1775C867" w14:textId="77777777" w:rsidR="00FC4450" w:rsidRPr="006A4205" w:rsidRDefault="00FC4450" w:rsidP="00D13771">
            <w:pPr>
              <w:jc w:val="center"/>
              <w:rPr>
                <w:rFonts w:eastAsia="Times New Roman"/>
                <w:lang w:eastAsia="en-GB"/>
              </w:rPr>
            </w:pPr>
            <w:r w:rsidRPr="006A4205">
              <w:rPr>
                <w:rFonts w:eastAsia="Times New Roman"/>
                <w:lang w:eastAsia="en-GB"/>
              </w:rPr>
              <w:lastRenderedPageBreak/>
              <w:t>During initial assurance</w:t>
            </w:r>
          </w:p>
          <w:p w14:paraId="1C95D66F" w14:textId="77777777" w:rsidR="00FC4450" w:rsidRPr="006A4205" w:rsidRDefault="00FC4450" w:rsidP="00D13771">
            <w:pPr>
              <w:jc w:val="center"/>
              <w:rPr>
                <w:rFonts w:eastAsia="Times New Roman"/>
                <w:lang w:eastAsia="en-GB"/>
              </w:rPr>
            </w:pPr>
          </w:p>
          <w:p w14:paraId="3B5030F3" w14:textId="77777777" w:rsidR="00FC4450" w:rsidRPr="006A4205" w:rsidRDefault="00FC4450" w:rsidP="00D13771">
            <w:pPr>
              <w:jc w:val="center"/>
              <w:rPr>
                <w:rFonts w:eastAsia="Times New Roman"/>
                <w:lang w:eastAsia="en-GB"/>
              </w:rPr>
            </w:pPr>
          </w:p>
          <w:p w14:paraId="0E729ED7" w14:textId="77777777" w:rsidR="00FC4450" w:rsidRPr="006A4205" w:rsidRDefault="00FC4450" w:rsidP="00D13771">
            <w:pPr>
              <w:jc w:val="center"/>
              <w:rPr>
                <w:rFonts w:eastAsia="Times New Roman"/>
                <w:lang w:eastAsia="en-GB"/>
              </w:rPr>
            </w:pPr>
          </w:p>
          <w:p w14:paraId="5E44594C" w14:textId="77777777" w:rsidR="00FC4450" w:rsidRPr="006A4205" w:rsidRDefault="00FC4450" w:rsidP="00D13771">
            <w:pPr>
              <w:jc w:val="center"/>
              <w:rPr>
                <w:rFonts w:eastAsia="Times New Roman"/>
                <w:lang w:eastAsia="en-GB"/>
              </w:rPr>
            </w:pPr>
          </w:p>
          <w:p w14:paraId="7F22A57A" w14:textId="77777777" w:rsidR="00FC4450" w:rsidRPr="006A4205" w:rsidRDefault="00FC4450" w:rsidP="00D13771">
            <w:pPr>
              <w:jc w:val="center"/>
              <w:rPr>
                <w:rFonts w:eastAsia="Times New Roman"/>
                <w:lang w:eastAsia="en-GB"/>
              </w:rPr>
            </w:pPr>
          </w:p>
          <w:p w14:paraId="6F333699" w14:textId="77777777" w:rsidR="00FC4450" w:rsidRPr="006A4205" w:rsidRDefault="00FC4450" w:rsidP="00D13771">
            <w:pPr>
              <w:jc w:val="center"/>
              <w:rPr>
                <w:rFonts w:eastAsia="Times New Roman"/>
                <w:lang w:eastAsia="en-GB"/>
              </w:rPr>
            </w:pPr>
          </w:p>
          <w:p w14:paraId="1AC28066" w14:textId="77777777" w:rsidR="00FC4450" w:rsidRPr="006A4205" w:rsidRDefault="00FC4450" w:rsidP="00D13771">
            <w:pPr>
              <w:jc w:val="center"/>
              <w:rPr>
                <w:rFonts w:eastAsia="Times New Roman"/>
                <w:lang w:eastAsia="en-GB"/>
              </w:rPr>
            </w:pPr>
          </w:p>
          <w:p w14:paraId="32C4836D" w14:textId="77777777" w:rsidR="00FC4450" w:rsidRPr="006A4205" w:rsidRDefault="00FC4450" w:rsidP="00D13771">
            <w:pPr>
              <w:jc w:val="center"/>
              <w:rPr>
                <w:rFonts w:eastAsia="Times New Roman"/>
                <w:lang w:eastAsia="en-GB"/>
              </w:rPr>
            </w:pPr>
          </w:p>
          <w:p w14:paraId="37F2B32E" w14:textId="77777777" w:rsidR="00FC4450" w:rsidRPr="006A4205" w:rsidRDefault="00FC4450" w:rsidP="00D13771">
            <w:pPr>
              <w:jc w:val="center"/>
              <w:rPr>
                <w:rFonts w:eastAsia="Times New Roman"/>
                <w:lang w:eastAsia="en-GB"/>
              </w:rPr>
            </w:pPr>
          </w:p>
        </w:tc>
        <w:sdt>
          <w:sdtPr>
            <w:id w:val="1176075895"/>
            <w14:checkbox>
              <w14:checked w14:val="0"/>
              <w14:checkedState w14:val="00FE" w14:font="Wingdings"/>
              <w14:uncheckedState w14:val="006F" w14:font="Wingdings"/>
            </w14:checkbox>
          </w:sdtPr>
          <w:sdtContent>
            <w:tc>
              <w:tcPr>
                <w:tcW w:w="1033" w:type="dxa"/>
              </w:tcPr>
              <w:p w14:paraId="74D0C998" w14:textId="77777777" w:rsidR="00FC4450" w:rsidRPr="006A4205" w:rsidRDefault="00FC4450" w:rsidP="00D13771">
                <w:pPr>
                  <w:jc w:val="center"/>
                </w:pPr>
                <w:r w:rsidRPr="006A4205">
                  <w:sym w:font="Wingdings" w:char="F06F"/>
                </w:r>
              </w:p>
            </w:tc>
          </w:sdtContent>
        </w:sdt>
        <w:tc>
          <w:tcPr>
            <w:tcW w:w="1364" w:type="dxa"/>
          </w:tcPr>
          <w:p w14:paraId="08D2BCEA" w14:textId="77777777" w:rsidR="00FC4450" w:rsidRPr="006A4205" w:rsidRDefault="00FC4450" w:rsidP="00D13771">
            <w:pPr>
              <w:jc w:val="center"/>
              <w:rPr>
                <w:rFonts w:eastAsia="Times New Roman"/>
                <w:sz w:val="18"/>
                <w:szCs w:val="20"/>
                <w:lang w:eastAsia="en-GB"/>
              </w:rPr>
            </w:pPr>
          </w:p>
        </w:tc>
      </w:tr>
      <w:tr w:rsidR="006A4205" w:rsidRPr="006A4205" w14:paraId="0DFB27CF" w14:textId="77777777" w:rsidTr="00F83902">
        <w:tc>
          <w:tcPr>
            <w:tcW w:w="958" w:type="dxa"/>
          </w:tcPr>
          <w:p w14:paraId="59E72A4D" w14:textId="77777777" w:rsidR="00FC4450" w:rsidRPr="006A4205" w:rsidRDefault="00FC4450" w:rsidP="00D13771">
            <w:pPr>
              <w:rPr>
                <w:rFonts w:eastAsia="Times New Roman"/>
                <w:lang w:eastAsia="en-GB"/>
              </w:rPr>
            </w:pPr>
            <w:r w:rsidRPr="006A4205">
              <w:rPr>
                <w:rFonts w:eastAsia="Times New Roman"/>
                <w:lang w:eastAsia="en-GB"/>
              </w:rPr>
              <w:t>3g</w:t>
            </w:r>
          </w:p>
        </w:tc>
        <w:tc>
          <w:tcPr>
            <w:tcW w:w="4394" w:type="dxa"/>
          </w:tcPr>
          <w:p w14:paraId="144EBFBD" w14:textId="77777777" w:rsidR="00FC4450" w:rsidRPr="006A4205" w:rsidRDefault="00FC4450" w:rsidP="00D13771">
            <w:pPr>
              <w:rPr>
                <w:rFonts w:eastAsia="Times New Roman"/>
                <w:lang w:eastAsia="en-GB"/>
              </w:rPr>
            </w:pPr>
            <w:r w:rsidRPr="006A4205">
              <w:rPr>
                <w:rFonts w:eastAsia="Times New Roman"/>
                <w:lang w:eastAsia="en-GB"/>
              </w:rPr>
              <w:t xml:space="preserve">MRG recommended that clarity over the timescales involved was required.  </w:t>
            </w:r>
          </w:p>
        </w:tc>
        <w:tc>
          <w:tcPr>
            <w:tcW w:w="1275" w:type="dxa"/>
          </w:tcPr>
          <w:p w14:paraId="2C1E817D" w14:textId="77777777" w:rsidR="00FC4450" w:rsidRPr="006A4205" w:rsidRDefault="00FC4450" w:rsidP="00D13771">
            <w:pPr>
              <w:rPr>
                <w:rFonts w:eastAsia="Times New Roman"/>
                <w:lang w:eastAsia="en-GB"/>
              </w:rPr>
            </w:pPr>
            <w:r w:rsidRPr="006A4205">
              <w:rPr>
                <w:rFonts w:eastAsia="Times New Roman"/>
                <w:lang w:eastAsia="en-GB"/>
              </w:rPr>
              <w:t>MRG</w:t>
            </w:r>
          </w:p>
          <w:p w14:paraId="295A6B5C" w14:textId="77777777" w:rsidR="00FC4450" w:rsidRPr="006A4205" w:rsidRDefault="00FC4450" w:rsidP="00D13771">
            <w:pPr>
              <w:rPr>
                <w:rFonts w:eastAsia="Times New Roman"/>
                <w:lang w:eastAsia="en-GB"/>
              </w:rPr>
            </w:pPr>
          </w:p>
          <w:p w14:paraId="0CD55ED3" w14:textId="77777777" w:rsidR="00FC4450" w:rsidRPr="006A4205" w:rsidRDefault="00FC4450" w:rsidP="00D13771">
            <w:pPr>
              <w:rPr>
                <w:rFonts w:eastAsia="Times New Roman"/>
                <w:lang w:eastAsia="en-GB"/>
              </w:rPr>
            </w:pPr>
            <w:r w:rsidRPr="006A4205">
              <w:rPr>
                <w:rFonts w:eastAsia="Times New Roman"/>
                <w:lang w:eastAsia="en-GB"/>
              </w:rPr>
              <w:t>6/9/12</w:t>
            </w:r>
          </w:p>
        </w:tc>
        <w:tc>
          <w:tcPr>
            <w:tcW w:w="4678" w:type="dxa"/>
          </w:tcPr>
          <w:p w14:paraId="70A3732E" w14:textId="77777777" w:rsidR="00FC4450" w:rsidRPr="006A4205" w:rsidRDefault="00FC4450" w:rsidP="00D13771">
            <w:pPr>
              <w:rPr>
                <w:rFonts w:eastAsia="Times New Roman"/>
                <w:lang w:eastAsia="en-GB"/>
              </w:rPr>
            </w:pPr>
            <w:r w:rsidRPr="006A4205">
              <w:rPr>
                <w:rFonts w:eastAsia="Times New Roman"/>
                <w:lang w:eastAsia="en-GB"/>
              </w:rPr>
              <w:t>See section 3c.</w:t>
            </w:r>
          </w:p>
        </w:tc>
        <w:tc>
          <w:tcPr>
            <w:tcW w:w="1092" w:type="dxa"/>
          </w:tcPr>
          <w:p w14:paraId="4986A432" w14:textId="77777777" w:rsidR="00FC4450" w:rsidRPr="006A4205" w:rsidRDefault="00FC4450" w:rsidP="00D13771">
            <w:pPr>
              <w:jc w:val="center"/>
              <w:rPr>
                <w:rFonts w:eastAsia="Times New Roman"/>
                <w:lang w:eastAsia="en-GB"/>
              </w:rPr>
            </w:pPr>
            <w:r w:rsidRPr="006A4205">
              <w:t>13/08/15</w:t>
            </w:r>
          </w:p>
        </w:tc>
        <w:sdt>
          <w:sdtPr>
            <w:id w:val="-602038116"/>
            <w14:checkbox>
              <w14:checked w14:val="1"/>
              <w14:checkedState w14:val="00FE" w14:font="Wingdings"/>
              <w14:uncheckedState w14:val="006F" w14:font="Wingdings"/>
            </w14:checkbox>
          </w:sdtPr>
          <w:sdtContent>
            <w:tc>
              <w:tcPr>
                <w:tcW w:w="1033" w:type="dxa"/>
              </w:tcPr>
              <w:p w14:paraId="4D55EF00" w14:textId="77777777" w:rsidR="00FC4450" w:rsidRPr="006A4205" w:rsidRDefault="00FC4450" w:rsidP="00D13771">
                <w:pPr>
                  <w:jc w:val="center"/>
                </w:pPr>
                <w:r w:rsidRPr="006A4205">
                  <w:sym w:font="Wingdings" w:char="F0FE"/>
                </w:r>
              </w:p>
            </w:tc>
          </w:sdtContent>
        </w:sdt>
        <w:tc>
          <w:tcPr>
            <w:tcW w:w="1364" w:type="dxa"/>
          </w:tcPr>
          <w:p w14:paraId="74BEAEDC" w14:textId="77777777" w:rsidR="00FC4450" w:rsidRPr="006A4205" w:rsidRDefault="00FC4450" w:rsidP="00D13771">
            <w:pPr>
              <w:rPr>
                <w:sz w:val="18"/>
                <w:szCs w:val="20"/>
              </w:rPr>
            </w:pPr>
            <w:r w:rsidRPr="006A4205">
              <w:rPr>
                <w:sz w:val="18"/>
                <w:szCs w:val="20"/>
              </w:rPr>
              <w:t>MRG</w:t>
            </w:r>
          </w:p>
          <w:p w14:paraId="52472249" w14:textId="77777777" w:rsidR="00FC4450" w:rsidRPr="006A4205" w:rsidRDefault="00FC4450" w:rsidP="00D13771">
            <w:pPr>
              <w:rPr>
                <w:rFonts w:eastAsia="Times New Roman"/>
                <w:sz w:val="18"/>
                <w:szCs w:val="20"/>
                <w:lang w:eastAsia="en-GB"/>
              </w:rPr>
            </w:pPr>
            <w:r w:rsidRPr="006A4205">
              <w:rPr>
                <w:sz w:val="18"/>
                <w:szCs w:val="20"/>
              </w:rPr>
              <w:t>10/09/15</w:t>
            </w:r>
          </w:p>
        </w:tc>
      </w:tr>
      <w:tr w:rsidR="006A4205" w:rsidRPr="006A4205" w14:paraId="2829D3CE" w14:textId="77777777" w:rsidTr="00F83902">
        <w:tc>
          <w:tcPr>
            <w:tcW w:w="958" w:type="dxa"/>
          </w:tcPr>
          <w:p w14:paraId="7732E924" w14:textId="77777777" w:rsidR="00FC4450" w:rsidRPr="006A4205" w:rsidRDefault="00FC4450" w:rsidP="00D13771">
            <w:pPr>
              <w:rPr>
                <w:rFonts w:eastAsia="Times New Roman"/>
                <w:lang w:eastAsia="en-GB"/>
              </w:rPr>
            </w:pPr>
            <w:r w:rsidRPr="006A4205">
              <w:rPr>
                <w:rFonts w:eastAsia="Times New Roman"/>
                <w:lang w:eastAsia="en-GB"/>
              </w:rPr>
              <w:t>3h</w:t>
            </w:r>
          </w:p>
        </w:tc>
        <w:tc>
          <w:tcPr>
            <w:tcW w:w="4394" w:type="dxa"/>
          </w:tcPr>
          <w:p w14:paraId="77270C13" w14:textId="77777777" w:rsidR="00FC4450" w:rsidRPr="006A4205" w:rsidRDefault="00FC4450" w:rsidP="00D13771">
            <w:pPr>
              <w:rPr>
                <w:rFonts w:eastAsia="Times New Roman"/>
                <w:lang w:eastAsia="en-GB"/>
              </w:rPr>
            </w:pPr>
            <w:r w:rsidRPr="006A4205">
              <w:rPr>
                <w:rFonts w:eastAsia="Times New Roman"/>
                <w:lang w:eastAsia="en-GB"/>
              </w:rPr>
              <w:t>The narrative around why SSNAP is being used as opposed to HES should be strengthened.  The application states that over-coding occurs in HES, however the results in section 5.9 show that case “ascertainment” against HES is over 100%.</w:t>
            </w:r>
          </w:p>
        </w:tc>
        <w:tc>
          <w:tcPr>
            <w:tcW w:w="1275" w:type="dxa"/>
          </w:tcPr>
          <w:p w14:paraId="30073ACD" w14:textId="77777777" w:rsidR="00FC4450" w:rsidRPr="006A4205" w:rsidRDefault="00FC4450" w:rsidP="00D13771">
            <w:pPr>
              <w:rPr>
                <w:rFonts w:eastAsia="Times New Roman"/>
                <w:lang w:eastAsia="en-GB"/>
              </w:rPr>
            </w:pPr>
            <w:r w:rsidRPr="006A4205">
              <w:rPr>
                <w:rFonts w:eastAsia="Times New Roman"/>
                <w:lang w:eastAsia="en-GB"/>
              </w:rPr>
              <w:t>MRG</w:t>
            </w:r>
          </w:p>
          <w:p w14:paraId="206794BB" w14:textId="77777777" w:rsidR="00FC4450" w:rsidRPr="006A4205" w:rsidRDefault="00FC4450" w:rsidP="00D13771">
            <w:pPr>
              <w:rPr>
                <w:rFonts w:eastAsia="Times New Roman"/>
                <w:lang w:eastAsia="en-GB"/>
              </w:rPr>
            </w:pPr>
          </w:p>
          <w:p w14:paraId="40C17DA2" w14:textId="77777777" w:rsidR="00FC4450" w:rsidRPr="006A4205" w:rsidRDefault="00FC4450" w:rsidP="00D13771">
            <w:pPr>
              <w:rPr>
                <w:rFonts w:eastAsia="Times New Roman"/>
                <w:lang w:eastAsia="en-GB"/>
              </w:rPr>
            </w:pPr>
            <w:r w:rsidRPr="006A4205">
              <w:rPr>
                <w:rFonts w:eastAsia="Times New Roman"/>
                <w:lang w:eastAsia="en-GB"/>
              </w:rPr>
              <w:t>10/09/15</w:t>
            </w:r>
          </w:p>
        </w:tc>
        <w:tc>
          <w:tcPr>
            <w:tcW w:w="4678" w:type="dxa"/>
          </w:tcPr>
          <w:p w14:paraId="59FD966D" w14:textId="77777777" w:rsidR="00FC4450" w:rsidRPr="006A4205" w:rsidRDefault="00FC4450" w:rsidP="00D13771">
            <w:pPr>
              <w:spacing w:before="120" w:after="120"/>
              <w:rPr>
                <w:rFonts w:eastAsia="Times New Roman"/>
                <w:lang w:eastAsia="en-GB"/>
              </w:rPr>
            </w:pPr>
            <w:r w:rsidRPr="006A4205">
              <w:t>The application for this indicator did not state that over-coding occurs in HES. The application stated that HES does not contain the necessary detail required to measure this indicator.</w:t>
            </w:r>
          </w:p>
        </w:tc>
        <w:tc>
          <w:tcPr>
            <w:tcW w:w="1092" w:type="dxa"/>
          </w:tcPr>
          <w:p w14:paraId="7080C6FC" w14:textId="77777777" w:rsidR="00FC4450" w:rsidRPr="006A4205" w:rsidRDefault="00FC4450" w:rsidP="00D13771">
            <w:pPr>
              <w:jc w:val="center"/>
              <w:rPr>
                <w:rFonts w:eastAsia="Times New Roman"/>
                <w:lang w:eastAsia="en-GB"/>
              </w:rPr>
            </w:pPr>
          </w:p>
        </w:tc>
        <w:sdt>
          <w:sdtPr>
            <w:id w:val="-816418278"/>
            <w14:checkbox>
              <w14:checked w14:val="0"/>
              <w14:checkedState w14:val="00FE" w14:font="Wingdings"/>
              <w14:uncheckedState w14:val="006F" w14:font="Wingdings"/>
            </w14:checkbox>
          </w:sdtPr>
          <w:sdtContent>
            <w:tc>
              <w:tcPr>
                <w:tcW w:w="1033" w:type="dxa"/>
              </w:tcPr>
              <w:p w14:paraId="175EA743" w14:textId="77777777" w:rsidR="00FC4450" w:rsidRPr="006A4205" w:rsidRDefault="00FC4450" w:rsidP="00D13771">
                <w:pPr>
                  <w:jc w:val="center"/>
                </w:pPr>
                <w:r w:rsidRPr="006A4205">
                  <w:sym w:font="Wingdings" w:char="F06F"/>
                </w:r>
              </w:p>
            </w:tc>
          </w:sdtContent>
        </w:sdt>
        <w:tc>
          <w:tcPr>
            <w:tcW w:w="1364" w:type="dxa"/>
          </w:tcPr>
          <w:p w14:paraId="2543769B" w14:textId="77777777" w:rsidR="00FC4450" w:rsidRPr="006A4205" w:rsidRDefault="00FC4450" w:rsidP="00D13771">
            <w:pPr>
              <w:rPr>
                <w:rFonts w:eastAsia="Times New Roman"/>
                <w:sz w:val="18"/>
                <w:szCs w:val="20"/>
                <w:lang w:eastAsia="en-GB"/>
              </w:rPr>
            </w:pPr>
          </w:p>
        </w:tc>
      </w:tr>
      <w:tr w:rsidR="006A4205" w:rsidRPr="006A4205" w14:paraId="656E4684" w14:textId="77777777" w:rsidTr="00F83902">
        <w:tc>
          <w:tcPr>
            <w:tcW w:w="958" w:type="dxa"/>
          </w:tcPr>
          <w:p w14:paraId="67AF41DA" w14:textId="77777777" w:rsidR="00FC4450" w:rsidRPr="006A4205" w:rsidRDefault="00FC4450" w:rsidP="00D13771">
            <w:pPr>
              <w:rPr>
                <w:rFonts w:eastAsia="Times New Roman"/>
                <w:lang w:eastAsia="en-GB"/>
              </w:rPr>
            </w:pPr>
            <w:r w:rsidRPr="006A4205">
              <w:rPr>
                <w:rFonts w:eastAsia="Times New Roman"/>
                <w:lang w:eastAsia="en-GB"/>
              </w:rPr>
              <w:t>3i</w:t>
            </w:r>
          </w:p>
        </w:tc>
        <w:tc>
          <w:tcPr>
            <w:tcW w:w="4394" w:type="dxa"/>
          </w:tcPr>
          <w:p w14:paraId="497E34FE" w14:textId="77777777" w:rsidR="00FC4450" w:rsidRPr="006A4205" w:rsidRDefault="00FC4450" w:rsidP="00D13771">
            <w:pPr>
              <w:rPr>
                <w:rFonts w:eastAsia="Times New Roman"/>
                <w:lang w:eastAsia="en-GB"/>
              </w:rPr>
            </w:pPr>
            <w:r w:rsidRPr="006A4205">
              <w:rPr>
                <w:rFonts w:eastAsia="Times New Roman"/>
                <w:lang w:eastAsia="en-GB"/>
              </w:rPr>
              <w:t>The applicant should consider how useful it is to provide case ascertainment against HES data, since it is recognised that over-coding occurs in HES, making the figure hard to interpret. If the figure is to be presented, MRG recommend changing the name from “case ascertainment” to “case comparison” and to present bands above 90+%.</w:t>
            </w:r>
          </w:p>
        </w:tc>
        <w:tc>
          <w:tcPr>
            <w:tcW w:w="1275" w:type="dxa"/>
          </w:tcPr>
          <w:p w14:paraId="09C3C43A" w14:textId="77777777" w:rsidR="00FC4450" w:rsidRPr="006A4205" w:rsidRDefault="00FC4450" w:rsidP="00D13771">
            <w:pPr>
              <w:rPr>
                <w:rFonts w:eastAsia="Times New Roman"/>
                <w:lang w:eastAsia="en-GB"/>
              </w:rPr>
            </w:pPr>
            <w:r w:rsidRPr="006A4205">
              <w:rPr>
                <w:rFonts w:eastAsia="Times New Roman"/>
                <w:lang w:eastAsia="en-GB"/>
              </w:rPr>
              <w:t>MRG</w:t>
            </w:r>
          </w:p>
          <w:p w14:paraId="364B9147" w14:textId="77777777" w:rsidR="00FC4450" w:rsidRPr="006A4205" w:rsidRDefault="00FC4450" w:rsidP="00D13771">
            <w:pPr>
              <w:rPr>
                <w:rFonts w:eastAsia="Times New Roman"/>
                <w:lang w:eastAsia="en-GB"/>
              </w:rPr>
            </w:pPr>
          </w:p>
          <w:p w14:paraId="0C113114" w14:textId="77777777" w:rsidR="00FC4450" w:rsidRPr="006A4205" w:rsidRDefault="00FC4450" w:rsidP="00D13771">
            <w:pPr>
              <w:rPr>
                <w:rFonts w:eastAsia="Times New Roman"/>
                <w:lang w:eastAsia="en-GB"/>
              </w:rPr>
            </w:pPr>
            <w:r w:rsidRPr="006A4205">
              <w:rPr>
                <w:rFonts w:eastAsia="Times New Roman"/>
                <w:lang w:eastAsia="en-GB"/>
              </w:rPr>
              <w:t>10/09/15</w:t>
            </w:r>
          </w:p>
        </w:tc>
        <w:tc>
          <w:tcPr>
            <w:tcW w:w="4678" w:type="dxa"/>
          </w:tcPr>
          <w:p w14:paraId="0A948F68"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This contextual case ascertainment information aligns to the information and bandings presented in the RCP SSNAP publication. The RCP view is that it is not case comparison as it is not comparing the same year’s HES with SSNAP. Since the purpose of including case ascertainment is to highlight CCGs with low case ascertainment indicating that hospitals within the CCG have not been entering in all their patients onto SSNAP (and the results may therefore not reflect the care that all the CCGs patients received), having bands above 100% would not be useful. HES is not the ‘gold standard’, but it is a useful indication of case selection. </w:t>
            </w:r>
          </w:p>
          <w:p w14:paraId="004E32AC" w14:textId="77777777" w:rsidR="00FC4450" w:rsidRPr="006A4205" w:rsidRDefault="00FC4450" w:rsidP="00D13771">
            <w:pPr>
              <w:spacing w:before="120" w:after="120"/>
              <w:rPr>
                <w:rFonts w:eastAsia="Times New Roman"/>
                <w:lang w:eastAsia="en-GB"/>
              </w:rPr>
            </w:pPr>
            <w:r w:rsidRPr="006A4205">
              <w:rPr>
                <w:rFonts w:eastAsia="Times New Roman"/>
                <w:lang w:eastAsia="en-GB"/>
              </w:rPr>
              <w:lastRenderedPageBreak/>
              <w:t>The HES case ascertainment figure (‘Estimated expected number of patients from HES’) is the number of patients who have been coded as a primary diagnosis of stroke during their admission in a year’s worth of HES, split by the patient’s CCG recorded in the HES record. The indicator is not reported for CCGs with less than 50% case ascertainment.</w:t>
            </w:r>
          </w:p>
        </w:tc>
        <w:tc>
          <w:tcPr>
            <w:tcW w:w="1092" w:type="dxa"/>
          </w:tcPr>
          <w:p w14:paraId="52FA9234" w14:textId="77777777" w:rsidR="00FC4450" w:rsidRPr="006A4205" w:rsidRDefault="00FC4450" w:rsidP="00D13771">
            <w:pPr>
              <w:jc w:val="center"/>
              <w:rPr>
                <w:rFonts w:eastAsia="Times New Roman"/>
                <w:lang w:eastAsia="en-GB"/>
              </w:rPr>
            </w:pPr>
          </w:p>
        </w:tc>
        <w:sdt>
          <w:sdtPr>
            <w:id w:val="-1267067775"/>
            <w14:checkbox>
              <w14:checked w14:val="0"/>
              <w14:checkedState w14:val="00FE" w14:font="Wingdings"/>
              <w14:uncheckedState w14:val="006F" w14:font="Wingdings"/>
            </w14:checkbox>
          </w:sdtPr>
          <w:sdtContent>
            <w:tc>
              <w:tcPr>
                <w:tcW w:w="1033" w:type="dxa"/>
              </w:tcPr>
              <w:p w14:paraId="71C7A4B0" w14:textId="77777777" w:rsidR="00FC4450" w:rsidRPr="006A4205" w:rsidRDefault="00FC4450" w:rsidP="00D13771">
                <w:pPr>
                  <w:jc w:val="center"/>
                </w:pPr>
                <w:r w:rsidRPr="006A4205">
                  <w:sym w:font="Wingdings" w:char="F06F"/>
                </w:r>
              </w:p>
            </w:tc>
          </w:sdtContent>
        </w:sdt>
        <w:tc>
          <w:tcPr>
            <w:tcW w:w="1364" w:type="dxa"/>
          </w:tcPr>
          <w:p w14:paraId="1305ED53" w14:textId="77777777" w:rsidR="00FC4450" w:rsidRPr="006A4205" w:rsidRDefault="00FC4450" w:rsidP="00D13771">
            <w:pPr>
              <w:rPr>
                <w:rFonts w:eastAsia="Times New Roman"/>
                <w:sz w:val="18"/>
                <w:szCs w:val="20"/>
                <w:lang w:eastAsia="en-GB"/>
              </w:rPr>
            </w:pPr>
          </w:p>
        </w:tc>
      </w:tr>
      <w:tr w:rsidR="006A4205" w:rsidRPr="006A4205" w14:paraId="1196D165" w14:textId="77777777" w:rsidTr="00F83902">
        <w:tc>
          <w:tcPr>
            <w:tcW w:w="958" w:type="dxa"/>
          </w:tcPr>
          <w:p w14:paraId="52942D17" w14:textId="77777777" w:rsidR="00FC4450" w:rsidRPr="006A4205" w:rsidRDefault="00FC4450" w:rsidP="00D13771">
            <w:pPr>
              <w:rPr>
                <w:rFonts w:eastAsia="Times New Roman"/>
                <w:lang w:eastAsia="en-GB"/>
              </w:rPr>
            </w:pPr>
            <w:r w:rsidRPr="006A4205">
              <w:rPr>
                <w:rFonts w:eastAsia="Times New Roman"/>
                <w:lang w:eastAsia="en-GB"/>
              </w:rPr>
              <w:t>3j</w:t>
            </w:r>
          </w:p>
        </w:tc>
        <w:tc>
          <w:tcPr>
            <w:tcW w:w="4394" w:type="dxa"/>
          </w:tcPr>
          <w:p w14:paraId="19929DDB" w14:textId="77777777" w:rsidR="00FC4450" w:rsidRPr="006A4205" w:rsidRDefault="00FC4450" w:rsidP="00D13771">
            <w:pPr>
              <w:rPr>
                <w:rFonts w:eastAsia="Times New Roman"/>
                <w:lang w:eastAsia="en-GB"/>
              </w:rPr>
            </w:pPr>
            <w:r w:rsidRPr="006A4205">
              <w:rPr>
                <w:rFonts w:eastAsia="Times New Roman"/>
                <w:lang w:eastAsia="en-GB"/>
              </w:rPr>
              <w:t>The first paragraph in section 3.11 regarding justifications of inclusions/exclusions contains an error in the justification for excluding ITU/CCU/HDU.</w:t>
            </w:r>
          </w:p>
        </w:tc>
        <w:tc>
          <w:tcPr>
            <w:tcW w:w="1275" w:type="dxa"/>
          </w:tcPr>
          <w:p w14:paraId="28BE8D83" w14:textId="77777777" w:rsidR="00FC4450" w:rsidRPr="006A4205" w:rsidRDefault="00FC4450" w:rsidP="00D13771">
            <w:pPr>
              <w:rPr>
                <w:rFonts w:eastAsia="Times New Roman"/>
                <w:lang w:eastAsia="en-GB"/>
              </w:rPr>
            </w:pPr>
            <w:r w:rsidRPr="006A4205">
              <w:rPr>
                <w:rFonts w:eastAsia="Times New Roman"/>
                <w:lang w:eastAsia="en-GB"/>
              </w:rPr>
              <w:t>MRG</w:t>
            </w:r>
          </w:p>
          <w:p w14:paraId="3147A1D9" w14:textId="77777777" w:rsidR="00FC4450" w:rsidRPr="006A4205" w:rsidRDefault="00FC4450" w:rsidP="00D13771">
            <w:pPr>
              <w:rPr>
                <w:rFonts w:eastAsia="Times New Roman"/>
                <w:lang w:eastAsia="en-GB"/>
              </w:rPr>
            </w:pPr>
          </w:p>
          <w:p w14:paraId="2418D1B5" w14:textId="77777777" w:rsidR="00FC4450" w:rsidRPr="006A4205" w:rsidRDefault="00FC4450" w:rsidP="00D13771">
            <w:pPr>
              <w:rPr>
                <w:rFonts w:eastAsia="Times New Roman"/>
                <w:lang w:eastAsia="en-GB"/>
              </w:rPr>
            </w:pPr>
            <w:r w:rsidRPr="006A4205">
              <w:rPr>
                <w:rFonts w:eastAsia="Times New Roman"/>
                <w:lang w:eastAsia="en-GB"/>
              </w:rPr>
              <w:t>10/09/15</w:t>
            </w:r>
          </w:p>
        </w:tc>
        <w:tc>
          <w:tcPr>
            <w:tcW w:w="4678" w:type="dxa"/>
          </w:tcPr>
          <w:p w14:paraId="6731D85B" w14:textId="77777777" w:rsidR="00FC4450" w:rsidRPr="006A4205" w:rsidRDefault="00FC4450" w:rsidP="00D13771">
            <w:pPr>
              <w:spacing w:before="120" w:after="120"/>
              <w:rPr>
                <w:rFonts w:eastAsia="Times New Roman"/>
                <w:lang w:eastAsia="en-GB"/>
              </w:rPr>
            </w:pPr>
            <w:r w:rsidRPr="006A4205">
              <w:rPr>
                <w:rFonts w:eastAsia="Times New Roman"/>
                <w:lang w:eastAsia="en-GB"/>
              </w:rPr>
              <w:t>The justification for inclusion of the Audit Question 1.14 filter has been amended to:</w:t>
            </w:r>
          </w:p>
          <w:p w14:paraId="7E45FF76" w14:textId="77777777" w:rsidR="00FC4450" w:rsidRPr="006A4205" w:rsidRDefault="00FC4450" w:rsidP="00D13771">
            <w:pPr>
              <w:spacing w:before="120" w:after="120"/>
              <w:rPr>
                <w:rFonts w:eastAsia="Times New Roman"/>
                <w:lang w:eastAsia="en-GB"/>
              </w:rPr>
            </w:pPr>
            <w:r w:rsidRPr="006A4205">
              <w:rPr>
                <w:rFonts w:eastAsia="Times New Roman"/>
                <w:lang w:eastAsia="en-GB"/>
              </w:rPr>
              <w:t>Audit Question 1.14 is not equal to ‘ITU/CCU/HDU’ – Excludes patients who have been admitted to ITU (Intensive Treatment Unit), CCU (Critical Care Unit) or HDU (High Dependency Unit). Some patients’ condition is sufficiently serious that the most appropriate place to meet their needs is ITU, CCU or HDU. The reason for the audit having these exclusions is to prevent any perverse incentives to have all patients on a stroke unit even if they are better off being treated elsewhere.</w:t>
            </w:r>
          </w:p>
        </w:tc>
        <w:tc>
          <w:tcPr>
            <w:tcW w:w="1092" w:type="dxa"/>
          </w:tcPr>
          <w:p w14:paraId="5E663AFD" w14:textId="77777777" w:rsidR="00FC4450" w:rsidRPr="006A4205" w:rsidRDefault="00FC4450" w:rsidP="00D13771">
            <w:pPr>
              <w:jc w:val="center"/>
              <w:rPr>
                <w:rFonts w:eastAsia="Times New Roman"/>
                <w:lang w:eastAsia="en-GB"/>
              </w:rPr>
            </w:pPr>
          </w:p>
        </w:tc>
        <w:sdt>
          <w:sdtPr>
            <w:id w:val="-1549143058"/>
            <w14:checkbox>
              <w14:checked w14:val="0"/>
              <w14:checkedState w14:val="00FE" w14:font="Wingdings"/>
              <w14:uncheckedState w14:val="006F" w14:font="Wingdings"/>
            </w14:checkbox>
          </w:sdtPr>
          <w:sdtContent>
            <w:tc>
              <w:tcPr>
                <w:tcW w:w="1033" w:type="dxa"/>
              </w:tcPr>
              <w:p w14:paraId="12F1F61F" w14:textId="77777777" w:rsidR="00FC4450" w:rsidRPr="006A4205" w:rsidRDefault="00FC4450" w:rsidP="00D13771">
                <w:pPr>
                  <w:jc w:val="center"/>
                </w:pPr>
                <w:r w:rsidRPr="006A4205">
                  <w:sym w:font="Wingdings" w:char="F06F"/>
                </w:r>
              </w:p>
            </w:tc>
          </w:sdtContent>
        </w:sdt>
        <w:tc>
          <w:tcPr>
            <w:tcW w:w="1364" w:type="dxa"/>
          </w:tcPr>
          <w:p w14:paraId="677BC08D" w14:textId="77777777" w:rsidR="00FC4450" w:rsidRPr="006A4205" w:rsidRDefault="00FC4450" w:rsidP="00D13771">
            <w:pPr>
              <w:rPr>
                <w:rFonts w:eastAsia="Times New Roman"/>
                <w:sz w:val="18"/>
                <w:szCs w:val="20"/>
                <w:lang w:eastAsia="en-GB"/>
              </w:rPr>
            </w:pPr>
          </w:p>
        </w:tc>
      </w:tr>
    </w:tbl>
    <w:p w14:paraId="61EBBFF2" w14:textId="77777777" w:rsidR="00FC4450" w:rsidRPr="006A4205" w:rsidRDefault="00FC4450" w:rsidP="00FC4450"/>
    <w:p w14:paraId="5913B797" w14:textId="6EB7C3DF" w:rsidR="00F83902" w:rsidRPr="006A4205" w:rsidRDefault="00F83902">
      <w:r w:rsidRPr="006A4205">
        <w:rPr>
          <w:b/>
          <w:sz w:val="28"/>
          <w:szCs w:val="28"/>
        </w:rPr>
        <w:t>Construction</w:t>
      </w:r>
    </w:p>
    <w:tbl>
      <w:tblPr>
        <w:tblStyle w:val="TableGrid1"/>
        <w:tblW w:w="5000" w:type="pct"/>
        <w:tblLook w:val="04A0" w:firstRow="1" w:lastRow="0" w:firstColumn="1" w:lastColumn="0" w:noHBand="0" w:noVBand="1"/>
      </w:tblPr>
      <w:tblGrid>
        <w:gridCol w:w="681"/>
        <w:gridCol w:w="3944"/>
        <w:gridCol w:w="1318"/>
        <w:gridCol w:w="4283"/>
        <w:gridCol w:w="1268"/>
        <w:gridCol w:w="1195"/>
        <w:gridCol w:w="1879"/>
      </w:tblGrid>
      <w:tr w:rsidR="006A4205" w:rsidRPr="006A4205" w14:paraId="59804398" w14:textId="77777777" w:rsidTr="00F83902">
        <w:tc>
          <w:tcPr>
            <w:tcW w:w="234" w:type="pct"/>
          </w:tcPr>
          <w:p w14:paraId="42E12AB9" w14:textId="77777777" w:rsidR="00FC4450" w:rsidRPr="006A4205" w:rsidRDefault="00FC4450" w:rsidP="00D13771">
            <w:pPr>
              <w:rPr>
                <w:b/>
                <w:i/>
              </w:rPr>
            </w:pPr>
            <w:r w:rsidRPr="006A4205">
              <w:rPr>
                <w:b/>
                <w:i/>
              </w:rPr>
              <w:t>Rec. no</w:t>
            </w:r>
          </w:p>
        </w:tc>
        <w:tc>
          <w:tcPr>
            <w:tcW w:w="1354" w:type="pct"/>
          </w:tcPr>
          <w:p w14:paraId="5330C4F0" w14:textId="77777777" w:rsidR="00FC4450" w:rsidRPr="006A4205" w:rsidRDefault="00FC4450" w:rsidP="00D13771">
            <w:pPr>
              <w:rPr>
                <w:b/>
                <w:i/>
              </w:rPr>
            </w:pPr>
            <w:r w:rsidRPr="006A4205">
              <w:rPr>
                <w:b/>
                <w:i/>
              </w:rPr>
              <w:t>Issue or recommendation</w:t>
            </w:r>
          </w:p>
        </w:tc>
        <w:tc>
          <w:tcPr>
            <w:tcW w:w="452" w:type="pct"/>
          </w:tcPr>
          <w:p w14:paraId="10FFFAD7" w14:textId="77777777" w:rsidR="00FC4450" w:rsidRPr="006A4205" w:rsidRDefault="00FC4450" w:rsidP="00D13771">
            <w:pPr>
              <w:rPr>
                <w:b/>
                <w:i/>
              </w:rPr>
            </w:pPr>
            <w:r w:rsidRPr="006A4205">
              <w:rPr>
                <w:b/>
                <w:i/>
              </w:rPr>
              <w:t>Raised by / Date</w:t>
            </w:r>
          </w:p>
        </w:tc>
        <w:tc>
          <w:tcPr>
            <w:tcW w:w="1470" w:type="pct"/>
          </w:tcPr>
          <w:p w14:paraId="4746C0CE" w14:textId="77777777" w:rsidR="00FC4450" w:rsidRPr="006A4205" w:rsidRDefault="00FC4450" w:rsidP="00D13771">
            <w:pPr>
              <w:rPr>
                <w:b/>
                <w:i/>
              </w:rPr>
            </w:pPr>
            <w:r w:rsidRPr="006A4205">
              <w:rPr>
                <w:b/>
                <w:i/>
              </w:rPr>
              <w:t>Response or Action taken by applicant</w:t>
            </w:r>
          </w:p>
        </w:tc>
        <w:tc>
          <w:tcPr>
            <w:tcW w:w="435" w:type="pct"/>
          </w:tcPr>
          <w:p w14:paraId="005F693E" w14:textId="77777777" w:rsidR="00FC4450" w:rsidRPr="006A4205" w:rsidRDefault="00FC4450" w:rsidP="00D13771">
            <w:pPr>
              <w:rPr>
                <w:b/>
                <w:i/>
              </w:rPr>
            </w:pPr>
            <w:r w:rsidRPr="006A4205">
              <w:rPr>
                <w:b/>
                <w:i/>
              </w:rPr>
              <w:t>Response date</w:t>
            </w:r>
          </w:p>
        </w:tc>
        <w:tc>
          <w:tcPr>
            <w:tcW w:w="410" w:type="pct"/>
          </w:tcPr>
          <w:p w14:paraId="67553129" w14:textId="77777777" w:rsidR="00FC4450" w:rsidRPr="006A4205" w:rsidRDefault="00FC4450" w:rsidP="00D13771">
            <w:pPr>
              <w:rPr>
                <w:b/>
                <w:i/>
              </w:rPr>
            </w:pPr>
            <w:r w:rsidRPr="006A4205">
              <w:rPr>
                <w:b/>
                <w:i/>
              </w:rPr>
              <w:t>Resolved</w:t>
            </w:r>
          </w:p>
        </w:tc>
        <w:tc>
          <w:tcPr>
            <w:tcW w:w="645" w:type="pct"/>
          </w:tcPr>
          <w:p w14:paraId="4A4BD03B" w14:textId="77777777" w:rsidR="00FC4450" w:rsidRPr="006A4205" w:rsidRDefault="00FC4450" w:rsidP="00D13771">
            <w:pPr>
              <w:rPr>
                <w:b/>
                <w:i/>
              </w:rPr>
            </w:pPr>
            <w:r w:rsidRPr="006A4205">
              <w:rPr>
                <w:b/>
                <w:i/>
              </w:rPr>
              <w:t>Sign off by / Date</w:t>
            </w:r>
          </w:p>
        </w:tc>
      </w:tr>
      <w:tr w:rsidR="006A4205" w:rsidRPr="006A4205" w14:paraId="3BEBD6CC" w14:textId="77777777" w:rsidTr="00F83902">
        <w:tc>
          <w:tcPr>
            <w:tcW w:w="234" w:type="pct"/>
          </w:tcPr>
          <w:p w14:paraId="28AE0818" w14:textId="77777777" w:rsidR="00FC4450" w:rsidRPr="006A4205" w:rsidRDefault="00FC4450" w:rsidP="00D13771">
            <w:r w:rsidRPr="006A4205">
              <w:t>4a</w:t>
            </w:r>
          </w:p>
        </w:tc>
        <w:tc>
          <w:tcPr>
            <w:tcW w:w="1354" w:type="pct"/>
          </w:tcPr>
          <w:p w14:paraId="37794D72" w14:textId="77777777" w:rsidR="00FC4450" w:rsidRPr="006A4205" w:rsidRDefault="00FC4450" w:rsidP="00D13771">
            <w:r w:rsidRPr="006A4205">
              <w:rPr>
                <w:lang w:val="en-US"/>
              </w:rPr>
              <w:t xml:space="preserve">IGB sought further clarification as to how arrival time was being recorded </w:t>
            </w:r>
            <w:proofErr w:type="gramStart"/>
            <w:r w:rsidRPr="006A4205">
              <w:rPr>
                <w:lang w:val="en-US"/>
              </w:rPr>
              <w:lastRenderedPageBreak/>
              <w:t>in regards to</w:t>
            </w:r>
            <w:proofErr w:type="gramEnd"/>
            <w:r w:rsidRPr="006A4205">
              <w:rPr>
                <w:lang w:val="en-US"/>
              </w:rPr>
              <w:t xml:space="preserve"> the numerator, and at what point the clock starts for the 4 hours measurement.  IGB were interested in whether there is the potential for </w:t>
            </w:r>
            <w:proofErr w:type="spellStart"/>
            <w:r w:rsidRPr="006A4205">
              <w:rPr>
                <w:lang w:val="en-US"/>
              </w:rPr>
              <w:t>organisations</w:t>
            </w:r>
            <w:proofErr w:type="spellEnd"/>
            <w:r w:rsidRPr="006A4205">
              <w:rPr>
                <w:lang w:val="en-US"/>
              </w:rPr>
              <w:t xml:space="preserve"> to record the information differently which in turn could skew the interpretation of the indicator.</w:t>
            </w:r>
          </w:p>
        </w:tc>
        <w:tc>
          <w:tcPr>
            <w:tcW w:w="452" w:type="pct"/>
          </w:tcPr>
          <w:p w14:paraId="439CE841" w14:textId="77777777" w:rsidR="00FC4450" w:rsidRPr="006A4205" w:rsidRDefault="00FC4450" w:rsidP="00D13771">
            <w:r w:rsidRPr="006A4205">
              <w:lastRenderedPageBreak/>
              <w:t>IGB – 14/12/2015</w:t>
            </w:r>
          </w:p>
        </w:tc>
        <w:tc>
          <w:tcPr>
            <w:tcW w:w="1470" w:type="pct"/>
          </w:tcPr>
          <w:p w14:paraId="7586D748" w14:textId="77777777" w:rsidR="00FC4450" w:rsidRPr="006A4205" w:rsidRDefault="00FC4450" w:rsidP="00D13771">
            <w:pPr>
              <w:rPr>
                <w:lang w:val="en-US"/>
              </w:rPr>
            </w:pPr>
            <w:r w:rsidRPr="006A4205">
              <w:rPr>
                <w:lang w:val="en-US"/>
              </w:rPr>
              <w:t xml:space="preserve">The RCP SSNAP team have confirmed that the arrival at hospital time is </w:t>
            </w:r>
            <w:r w:rsidRPr="006A4205">
              <w:rPr>
                <w:lang w:val="en-US"/>
              </w:rPr>
              <w:lastRenderedPageBreak/>
              <w:t xml:space="preserve">recorded by the clinical team who treat the stroke patient, along with all other audit questions in SSNAP and any other national audit. It would be recorded on the patient’s medical notes as part of the A&amp;E record or the Electronic Patient </w:t>
            </w:r>
            <w:proofErr w:type="gramStart"/>
            <w:r w:rsidRPr="006A4205">
              <w:rPr>
                <w:lang w:val="en-US"/>
              </w:rPr>
              <w:t>Record, and</w:t>
            </w:r>
            <w:proofErr w:type="gramEnd"/>
            <w:r w:rsidRPr="006A4205">
              <w:rPr>
                <w:lang w:val="en-US"/>
              </w:rPr>
              <w:t xml:space="preserve"> is a mandatory field in the audit. </w:t>
            </w:r>
          </w:p>
          <w:p w14:paraId="50FDE4E9" w14:textId="77777777" w:rsidR="00FC4450" w:rsidRPr="006A4205" w:rsidRDefault="00FC4450" w:rsidP="00D13771">
            <w:r w:rsidRPr="006A4205">
              <w:rPr>
                <w:lang w:val="en-US"/>
              </w:rPr>
              <w:t>As Developers we would also suggest that the time of arrival to hospital is a concept which is well understood by staff within trusts and that it is in their interests to complete it accurately.  Like any measure it could in theory be gamed but that could be true for all indicators.  The audit currently reports performance at 60% for this indicator nationally, when over 90% would be expected; this suggests that the data is not being gamed.</w:t>
            </w:r>
            <w:r w:rsidRPr="006A4205">
              <w:t> </w:t>
            </w:r>
          </w:p>
        </w:tc>
        <w:tc>
          <w:tcPr>
            <w:tcW w:w="435" w:type="pct"/>
          </w:tcPr>
          <w:p w14:paraId="37438CF2" w14:textId="77777777" w:rsidR="00FC4450" w:rsidRPr="006A4205" w:rsidRDefault="00FC4450" w:rsidP="00D13771"/>
        </w:tc>
        <w:sdt>
          <w:sdtPr>
            <w:id w:val="1667126029"/>
            <w14:checkbox>
              <w14:checked w14:val="1"/>
              <w14:checkedState w14:val="2612" w14:font="MS Gothic"/>
              <w14:uncheckedState w14:val="2610" w14:font="MS Gothic"/>
            </w14:checkbox>
          </w:sdtPr>
          <w:sdtContent>
            <w:tc>
              <w:tcPr>
                <w:tcW w:w="410" w:type="pct"/>
              </w:tcPr>
              <w:p w14:paraId="3582F2A3" w14:textId="77777777" w:rsidR="00FC4450" w:rsidRPr="006A4205" w:rsidRDefault="00FC4450" w:rsidP="00D13771">
                <w:pPr>
                  <w:jc w:val="center"/>
                </w:pPr>
                <w:r w:rsidRPr="006A4205">
                  <w:rPr>
                    <w:rFonts w:ascii="Segoe UI Symbol" w:eastAsia="MS Gothic" w:hAnsi="Segoe UI Symbol" w:cs="Segoe UI Symbol"/>
                  </w:rPr>
                  <w:t>☒</w:t>
                </w:r>
              </w:p>
            </w:tc>
          </w:sdtContent>
        </w:sdt>
        <w:tc>
          <w:tcPr>
            <w:tcW w:w="645" w:type="pct"/>
          </w:tcPr>
          <w:p w14:paraId="7BA31F11" w14:textId="77777777" w:rsidR="00FC4450" w:rsidRPr="006A4205" w:rsidRDefault="00FC4450" w:rsidP="00D13771">
            <w:r w:rsidRPr="006A4205">
              <w:t xml:space="preserve">26/06/2017 (Retrospective </w:t>
            </w:r>
            <w:r w:rsidRPr="006A4205">
              <w:lastRenderedPageBreak/>
              <w:t>sign-off due to delayed communications)</w:t>
            </w:r>
          </w:p>
        </w:tc>
      </w:tr>
    </w:tbl>
    <w:p w14:paraId="619C2141" w14:textId="77777777" w:rsidR="00FC4450" w:rsidRPr="006A4205" w:rsidRDefault="00FC4450" w:rsidP="00FC4450"/>
    <w:p w14:paraId="699B9233" w14:textId="370BC47B" w:rsidR="00CA1A5C" w:rsidRPr="006A4205" w:rsidRDefault="00CA1A5C">
      <w:r w:rsidRPr="006A4205">
        <w:rPr>
          <w:b/>
          <w:sz w:val="28"/>
          <w:szCs w:val="28"/>
        </w:rPr>
        <w:t>Presentation and Interpretation</w:t>
      </w:r>
    </w:p>
    <w:tbl>
      <w:tblPr>
        <w:tblStyle w:val="TableGrid1"/>
        <w:tblW w:w="5000" w:type="pct"/>
        <w:tblLook w:val="04A0" w:firstRow="1" w:lastRow="0" w:firstColumn="1" w:lastColumn="0" w:noHBand="0" w:noVBand="1"/>
      </w:tblPr>
      <w:tblGrid>
        <w:gridCol w:w="771"/>
        <w:gridCol w:w="4155"/>
        <w:gridCol w:w="1084"/>
        <w:gridCol w:w="4924"/>
        <w:gridCol w:w="1268"/>
        <w:gridCol w:w="1195"/>
        <w:gridCol w:w="1171"/>
      </w:tblGrid>
      <w:tr w:rsidR="006A4205" w:rsidRPr="006A4205" w14:paraId="7B88B3A9" w14:textId="77777777" w:rsidTr="00CA1A5C">
        <w:tc>
          <w:tcPr>
            <w:tcW w:w="265" w:type="pct"/>
          </w:tcPr>
          <w:p w14:paraId="37B48DD3" w14:textId="77777777" w:rsidR="00FC4450" w:rsidRPr="006A4205" w:rsidRDefault="00FC4450" w:rsidP="00D13771">
            <w:pPr>
              <w:rPr>
                <w:b/>
                <w:i/>
              </w:rPr>
            </w:pPr>
            <w:r w:rsidRPr="006A4205">
              <w:rPr>
                <w:b/>
                <w:i/>
              </w:rPr>
              <w:t>Rec. no</w:t>
            </w:r>
          </w:p>
        </w:tc>
        <w:tc>
          <w:tcPr>
            <w:tcW w:w="1426" w:type="pct"/>
          </w:tcPr>
          <w:p w14:paraId="24B1BC48" w14:textId="77777777" w:rsidR="00FC4450" w:rsidRPr="006A4205" w:rsidRDefault="00FC4450" w:rsidP="00D13771">
            <w:pPr>
              <w:rPr>
                <w:b/>
                <w:i/>
              </w:rPr>
            </w:pPr>
            <w:r w:rsidRPr="006A4205">
              <w:rPr>
                <w:b/>
                <w:i/>
              </w:rPr>
              <w:t>Issue or recommendation</w:t>
            </w:r>
          </w:p>
        </w:tc>
        <w:tc>
          <w:tcPr>
            <w:tcW w:w="372" w:type="pct"/>
          </w:tcPr>
          <w:p w14:paraId="5190EDD2" w14:textId="77777777" w:rsidR="00FC4450" w:rsidRPr="006A4205" w:rsidRDefault="00FC4450" w:rsidP="00D13771">
            <w:pPr>
              <w:rPr>
                <w:b/>
                <w:i/>
              </w:rPr>
            </w:pPr>
            <w:r w:rsidRPr="006A4205">
              <w:rPr>
                <w:b/>
                <w:i/>
              </w:rPr>
              <w:t>Raised by / Date</w:t>
            </w:r>
          </w:p>
        </w:tc>
        <w:tc>
          <w:tcPr>
            <w:tcW w:w="1690" w:type="pct"/>
          </w:tcPr>
          <w:p w14:paraId="40007F0F" w14:textId="77777777" w:rsidR="00FC4450" w:rsidRPr="006A4205" w:rsidRDefault="00FC4450" w:rsidP="00D13771">
            <w:pPr>
              <w:rPr>
                <w:b/>
                <w:i/>
              </w:rPr>
            </w:pPr>
            <w:r w:rsidRPr="006A4205">
              <w:rPr>
                <w:b/>
                <w:i/>
              </w:rPr>
              <w:t>Response or Action taken by applicant</w:t>
            </w:r>
          </w:p>
        </w:tc>
        <w:tc>
          <w:tcPr>
            <w:tcW w:w="435" w:type="pct"/>
          </w:tcPr>
          <w:p w14:paraId="6E174042" w14:textId="77777777" w:rsidR="00FC4450" w:rsidRPr="006A4205" w:rsidRDefault="00FC4450" w:rsidP="00D13771">
            <w:pPr>
              <w:rPr>
                <w:b/>
                <w:i/>
              </w:rPr>
            </w:pPr>
            <w:r w:rsidRPr="006A4205">
              <w:rPr>
                <w:b/>
                <w:i/>
              </w:rPr>
              <w:t>Response date</w:t>
            </w:r>
          </w:p>
        </w:tc>
        <w:tc>
          <w:tcPr>
            <w:tcW w:w="410" w:type="pct"/>
          </w:tcPr>
          <w:p w14:paraId="0D090DB4" w14:textId="77777777" w:rsidR="00FC4450" w:rsidRPr="006A4205" w:rsidRDefault="00FC4450" w:rsidP="00D13771">
            <w:pPr>
              <w:rPr>
                <w:b/>
                <w:i/>
              </w:rPr>
            </w:pPr>
            <w:r w:rsidRPr="006A4205">
              <w:rPr>
                <w:b/>
                <w:i/>
              </w:rPr>
              <w:t>Resolved</w:t>
            </w:r>
          </w:p>
        </w:tc>
        <w:tc>
          <w:tcPr>
            <w:tcW w:w="402" w:type="pct"/>
          </w:tcPr>
          <w:p w14:paraId="2F5F7142" w14:textId="77777777" w:rsidR="00FC4450" w:rsidRPr="006A4205" w:rsidRDefault="00FC4450" w:rsidP="00D13771">
            <w:pPr>
              <w:rPr>
                <w:b/>
                <w:i/>
              </w:rPr>
            </w:pPr>
            <w:r w:rsidRPr="006A4205">
              <w:rPr>
                <w:b/>
                <w:i/>
              </w:rPr>
              <w:t>Sign off by / Date</w:t>
            </w:r>
          </w:p>
        </w:tc>
      </w:tr>
      <w:tr w:rsidR="006A4205" w:rsidRPr="006A4205" w14:paraId="4C63BBBD" w14:textId="77777777" w:rsidTr="00CA1A5C">
        <w:tc>
          <w:tcPr>
            <w:tcW w:w="265" w:type="pct"/>
          </w:tcPr>
          <w:p w14:paraId="46614D8F" w14:textId="77777777" w:rsidR="00FC4450" w:rsidRPr="006A4205" w:rsidRDefault="00FC4450" w:rsidP="00D13771">
            <w:pPr>
              <w:rPr>
                <w:rFonts w:eastAsia="Times New Roman"/>
                <w:lang w:eastAsia="en-GB"/>
              </w:rPr>
            </w:pPr>
            <w:r w:rsidRPr="006A4205">
              <w:rPr>
                <w:rFonts w:eastAsia="Times New Roman"/>
                <w:lang w:eastAsia="en-GB"/>
              </w:rPr>
              <w:t>5a</w:t>
            </w:r>
          </w:p>
        </w:tc>
        <w:tc>
          <w:tcPr>
            <w:tcW w:w="1426" w:type="pct"/>
          </w:tcPr>
          <w:p w14:paraId="1DE947D5" w14:textId="77777777" w:rsidR="00FC4450" w:rsidRPr="006A4205" w:rsidRDefault="00FC4450" w:rsidP="00D13771">
            <w:pPr>
              <w:rPr>
                <w:rFonts w:eastAsia="Times New Roman"/>
                <w:lang w:eastAsia="en-GB"/>
              </w:rPr>
            </w:pPr>
            <w:r w:rsidRPr="006A4205">
              <w:rPr>
                <w:rFonts w:eastAsia="Times New Roman"/>
                <w:lang w:eastAsia="en-GB"/>
              </w:rPr>
              <w:t>The metadata needs to be clear regarding what the target value for the indicator is, and generally around how the indicator should be interpreted.</w:t>
            </w:r>
          </w:p>
        </w:tc>
        <w:tc>
          <w:tcPr>
            <w:tcW w:w="372" w:type="pct"/>
          </w:tcPr>
          <w:p w14:paraId="19758AE7" w14:textId="77777777" w:rsidR="00FC4450" w:rsidRPr="006A4205" w:rsidRDefault="00FC4450" w:rsidP="00D13771">
            <w:pPr>
              <w:rPr>
                <w:rFonts w:eastAsia="Times New Roman"/>
                <w:lang w:eastAsia="en-GB"/>
              </w:rPr>
            </w:pPr>
            <w:r w:rsidRPr="006A4205">
              <w:rPr>
                <w:rFonts w:eastAsia="Times New Roman"/>
                <w:lang w:eastAsia="en-GB"/>
              </w:rPr>
              <w:t>MRG</w:t>
            </w:r>
          </w:p>
          <w:p w14:paraId="4D5E6F32" w14:textId="77777777" w:rsidR="00FC4450" w:rsidRPr="006A4205" w:rsidRDefault="00FC4450" w:rsidP="00D13771">
            <w:pPr>
              <w:rPr>
                <w:rFonts w:eastAsia="Times New Roman"/>
                <w:lang w:eastAsia="en-GB"/>
              </w:rPr>
            </w:pPr>
          </w:p>
          <w:p w14:paraId="3ADCC29B" w14:textId="77777777" w:rsidR="00FC4450" w:rsidRPr="006A4205" w:rsidRDefault="00FC4450" w:rsidP="00D13771">
            <w:pPr>
              <w:rPr>
                <w:rFonts w:eastAsia="Times New Roman"/>
                <w:lang w:eastAsia="en-GB"/>
              </w:rPr>
            </w:pPr>
            <w:r w:rsidRPr="006A4205">
              <w:rPr>
                <w:rFonts w:eastAsia="Times New Roman"/>
                <w:lang w:eastAsia="en-GB"/>
              </w:rPr>
              <w:t>10/09/15</w:t>
            </w:r>
          </w:p>
        </w:tc>
        <w:tc>
          <w:tcPr>
            <w:tcW w:w="1690" w:type="pct"/>
          </w:tcPr>
          <w:p w14:paraId="42228E4C"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NHS England state in their summary of the CCG OIS that ‘The Indicator Set does not in itself set thresholds or levels of ambition for CCGs, it is intended as a tool for CCGs to drive local improvement and set priorities.’ </w:t>
            </w:r>
            <w:hyperlink r:id="rId35" w:history="1">
              <w:r w:rsidRPr="006A4205">
                <w:rPr>
                  <w:rStyle w:val="Hyperlink"/>
                  <w:rFonts w:eastAsia="Times New Roman"/>
                  <w:color w:val="auto"/>
                  <w:lang w:eastAsia="en-GB"/>
                </w:rPr>
                <w:t>http://www.england.nhs.uk/resources/resources-for-ccgs/ccg-out-tool/ccg-ois/</w:t>
              </w:r>
            </w:hyperlink>
            <w:r w:rsidRPr="006A4205">
              <w:rPr>
                <w:rFonts w:eastAsia="Times New Roman"/>
                <w:lang w:eastAsia="en-GB"/>
              </w:rPr>
              <w:t xml:space="preserve"> </w:t>
            </w:r>
          </w:p>
          <w:p w14:paraId="42B9D938" w14:textId="77777777" w:rsidR="00FC4450" w:rsidRPr="006A4205" w:rsidRDefault="00FC4450" w:rsidP="00D13771">
            <w:pPr>
              <w:spacing w:before="120" w:after="120"/>
              <w:rPr>
                <w:rFonts w:eastAsia="Times New Roman"/>
                <w:lang w:eastAsia="en-GB"/>
              </w:rPr>
            </w:pPr>
            <w:r w:rsidRPr="006A4205">
              <w:rPr>
                <w:rFonts w:eastAsia="Times New Roman"/>
                <w:lang w:eastAsia="en-GB"/>
              </w:rPr>
              <w:t>A high percentage of patients with stroke admitted to an acute stroke unit within 4 hours of arrival to hospital is desirable. When presenting the data, the RCP use the following bandings which are accepted by the clinical teams that submit SSNAP data as aspirational markers of performance: below 55.0%, 55.0-59.9%, 60.0-74.9%, 75.0–89.9%, 90.0% or higher.</w:t>
            </w:r>
          </w:p>
        </w:tc>
        <w:tc>
          <w:tcPr>
            <w:tcW w:w="435" w:type="pct"/>
          </w:tcPr>
          <w:p w14:paraId="6ECF0A7D" w14:textId="77777777" w:rsidR="00FC4450" w:rsidRPr="006A4205" w:rsidRDefault="00FC4450" w:rsidP="00D13771">
            <w:pPr>
              <w:rPr>
                <w:rFonts w:eastAsia="Times New Roman"/>
                <w:lang w:eastAsia="en-GB"/>
              </w:rPr>
            </w:pPr>
          </w:p>
        </w:tc>
        <w:sdt>
          <w:sdtPr>
            <w:id w:val="-1507133123"/>
            <w14:checkbox>
              <w14:checked w14:val="0"/>
              <w14:checkedState w14:val="00FE" w14:font="Wingdings"/>
              <w14:uncheckedState w14:val="006F" w14:font="Wingdings"/>
            </w14:checkbox>
          </w:sdtPr>
          <w:sdtContent>
            <w:tc>
              <w:tcPr>
                <w:tcW w:w="410" w:type="pct"/>
              </w:tcPr>
              <w:p w14:paraId="17D252C0" w14:textId="77777777" w:rsidR="00FC4450" w:rsidRPr="006A4205" w:rsidRDefault="00FC4450" w:rsidP="00D13771">
                <w:pPr>
                  <w:jc w:val="center"/>
                  <w:rPr>
                    <w:rFonts w:eastAsia="Times New Roman"/>
                    <w:lang w:eastAsia="en-GB"/>
                  </w:rPr>
                </w:pPr>
                <w:r w:rsidRPr="006A4205">
                  <w:sym w:font="Wingdings" w:char="F06F"/>
                </w:r>
              </w:p>
            </w:tc>
          </w:sdtContent>
        </w:sdt>
        <w:tc>
          <w:tcPr>
            <w:tcW w:w="402" w:type="pct"/>
          </w:tcPr>
          <w:p w14:paraId="7ABD549B" w14:textId="77777777" w:rsidR="00FC4450" w:rsidRPr="006A4205" w:rsidRDefault="00FC4450" w:rsidP="00D13771">
            <w:pPr>
              <w:rPr>
                <w:rFonts w:eastAsia="Times New Roman"/>
                <w:sz w:val="20"/>
                <w:szCs w:val="20"/>
                <w:lang w:eastAsia="en-GB"/>
              </w:rPr>
            </w:pPr>
          </w:p>
        </w:tc>
      </w:tr>
    </w:tbl>
    <w:p w14:paraId="29261E33" w14:textId="77777777" w:rsidR="00FC4450" w:rsidRPr="006A4205" w:rsidRDefault="00FC4450" w:rsidP="00FC4450"/>
    <w:p w14:paraId="220298D1" w14:textId="75CCA12B" w:rsidR="00CA1A5C" w:rsidRPr="006A4205" w:rsidRDefault="00CA1A5C">
      <w:r w:rsidRPr="006A4205">
        <w:rPr>
          <w:b/>
          <w:sz w:val="28"/>
          <w:szCs w:val="28"/>
        </w:rPr>
        <w:t>Risks and Usefulness</w:t>
      </w:r>
    </w:p>
    <w:tbl>
      <w:tblPr>
        <w:tblStyle w:val="TableGrid1"/>
        <w:tblW w:w="5000" w:type="pct"/>
        <w:tblLook w:val="04A0" w:firstRow="1" w:lastRow="0" w:firstColumn="1" w:lastColumn="0" w:noHBand="0" w:noVBand="1"/>
      </w:tblPr>
      <w:tblGrid>
        <w:gridCol w:w="867"/>
        <w:gridCol w:w="4254"/>
        <w:gridCol w:w="1183"/>
        <w:gridCol w:w="4531"/>
        <w:gridCol w:w="1268"/>
        <w:gridCol w:w="1195"/>
        <w:gridCol w:w="1270"/>
      </w:tblGrid>
      <w:tr w:rsidR="006A4205" w:rsidRPr="006A4205" w14:paraId="409796B5" w14:textId="77777777" w:rsidTr="00CA1A5C">
        <w:tc>
          <w:tcPr>
            <w:tcW w:w="298" w:type="pct"/>
          </w:tcPr>
          <w:p w14:paraId="0AA30C67" w14:textId="77777777" w:rsidR="00FC4450" w:rsidRPr="006A4205" w:rsidRDefault="00FC4450" w:rsidP="00D13771">
            <w:pPr>
              <w:rPr>
                <w:b/>
                <w:i/>
              </w:rPr>
            </w:pPr>
            <w:r w:rsidRPr="006A4205">
              <w:rPr>
                <w:b/>
                <w:i/>
              </w:rPr>
              <w:t>Rec. no</w:t>
            </w:r>
          </w:p>
        </w:tc>
        <w:tc>
          <w:tcPr>
            <w:tcW w:w="1460" w:type="pct"/>
          </w:tcPr>
          <w:p w14:paraId="2C1F8B7C" w14:textId="77777777" w:rsidR="00FC4450" w:rsidRPr="006A4205" w:rsidRDefault="00FC4450" w:rsidP="00D13771">
            <w:pPr>
              <w:rPr>
                <w:b/>
                <w:i/>
              </w:rPr>
            </w:pPr>
            <w:r w:rsidRPr="006A4205">
              <w:rPr>
                <w:b/>
                <w:i/>
              </w:rPr>
              <w:t>Issue or recommendation</w:t>
            </w:r>
          </w:p>
        </w:tc>
        <w:tc>
          <w:tcPr>
            <w:tcW w:w="406" w:type="pct"/>
          </w:tcPr>
          <w:p w14:paraId="5136D323" w14:textId="77777777" w:rsidR="00FC4450" w:rsidRPr="006A4205" w:rsidRDefault="00FC4450" w:rsidP="00D13771">
            <w:pPr>
              <w:rPr>
                <w:b/>
                <w:i/>
              </w:rPr>
            </w:pPr>
            <w:r w:rsidRPr="006A4205">
              <w:rPr>
                <w:b/>
                <w:i/>
              </w:rPr>
              <w:t>Raised by / Date</w:t>
            </w:r>
          </w:p>
        </w:tc>
        <w:tc>
          <w:tcPr>
            <w:tcW w:w="1555" w:type="pct"/>
          </w:tcPr>
          <w:p w14:paraId="3F4EBD4E" w14:textId="77777777" w:rsidR="00FC4450" w:rsidRPr="006A4205" w:rsidRDefault="00FC4450" w:rsidP="00D13771">
            <w:pPr>
              <w:rPr>
                <w:b/>
                <w:i/>
              </w:rPr>
            </w:pPr>
            <w:r w:rsidRPr="006A4205">
              <w:rPr>
                <w:b/>
                <w:i/>
              </w:rPr>
              <w:t>Response or Action taken by applicant</w:t>
            </w:r>
          </w:p>
        </w:tc>
        <w:tc>
          <w:tcPr>
            <w:tcW w:w="435" w:type="pct"/>
          </w:tcPr>
          <w:p w14:paraId="4AC14023" w14:textId="77777777" w:rsidR="00FC4450" w:rsidRPr="006A4205" w:rsidRDefault="00FC4450" w:rsidP="00D13771">
            <w:pPr>
              <w:rPr>
                <w:b/>
                <w:i/>
              </w:rPr>
            </w:pPr>
            <w:r w:rsidRPr="006A4205">
              <w:rPr>
                <w:b/>
                <w:i/>
              </w:rPr>
              <w:t>Response date</w:t>
            </w:r>
          </w:p>
        </w:tc>
        <w:tc>
          <w:tcPr>
            <w:tcW w:w="410" w:type="pct"/>
          </w:tcPr>
          <w:p w14:paraId="72C660A5" w14:textId="77777777" w:rsidR="00FC4450" w:rsidRPr="006A4205" w:rsidRDefault="00FC4450" w:rsidP="00D13771">
            <w:pPr>
              <w:rPr>
                <w:b/>
                <w:i/>
              </w:rPr>
            </w:pPr>
            <w:r w:rsidRPr="006A4205">
              <w:rPr>
                <w:b/>
                <w:i/>
              </w:rPr>
              <w:t>Resolved</w:t>
            </w:r>
          </w:p>
        </w:tc>
        <w:tc>
          <w:tcPr>
            <w:tcW w:w="436" w:type="pct"/>
          </w:tcPr>
          <w:p w14:paraId="3F76834A" w14:textId="77777777" w:rsidR="00FC4450" w:rsidRPr="006A4205" w:rsidRDefault="00FC4450" w:rsidP="00D13771">
            <w:pPr>
              <w:rPr>
                <w:b/>
                <w:i/>
              </w:rPr>
            </w:pPr>
            <w:r w:rsidRPr="006A4205">
              <w:rPr>
                <w:b/>
                <w:i/>
              </w:rPr>
              <w:t>Sign off by / Date</w:t>
            </w:r>
          </w:p>
        </w:tc>
      </w:tr>
      <w:tr w:rsidR="006A4205" w:rsidRPr="006A4205" w14:paraId="3DB4238B" w14:textId="77777777" w:rsidTr="00CA1A5C">
        <w:tc>
          <w:tcPr>
            <w:tcW w:w="298" w:type="pct"/>
          </w:tcPr>
          <w:p w14:paraId="127D7C04" w14:textId="77777777" w:rsidR="00FC4450" w:rsidRPr="006A4205" w:rsidRDefault="00FC4450" w:rsidP="00D13771">
            <w:pPr>
              <w:rPr>
                <w:rFonts w:eastAsia="Times New Roman"/>
                <w:lang w:eastAsia="en-GB"/>
              </w:rPr>
            </w:pPr>
            <w:r w:rsidRPr="006A4205">
              <w:rPr>
                <w:rFonts w:eastAsia="Times New Roman"/>
                <w:lang w:eastAsia="en-GB"/>
              </w:rPr>
              <w:t>6a</w:t>
            </w:r>
          </w:p>
        </w:tc>
        <w:tc>
          <w:tcPr>
            <w:tcW w:w="1460" w:type="pct"/>
          </w:tcPr>
          <w:p w14:paraId="730B6C42" w14:textId="77777777" w:rsidR="00FC4450" w:rsidRPr="006A4205" w:rsidRDefault="00FC4450" w:rsidP="00D13771">
            <w:pPr>
              <w:rPr>
                <w:rFonts w:eastAsia="Times New Roman"/>
                <w:lang w:eastAsia="en-GB"/>
              </w:rPr>
            </w:pPr>
            <w:r w:rsidRPr="006A4205">
              <w:rPr>
                <w:rFonts w:eastAsia="Times New Roman"/>
                <w:lang w:eastAsia="en-GB"/>
              </w:rPr>
              <w:t xml:space="preserve">MRG recommended that work on </w:t>
            </w:r>
            <w:proofErr w:type="gramStart"/>
            <w:r w:rsidRPr="006A4205">
              <w:rPr>
                <w:rFonts w:eastAsia="Times New Roman"/>
                <w:lang w:eastAsia="en-GB"/>
              </w:rPr>
              <w:t>cross-validating</w:t>
            </w:r>
            <w:proofErr w:type="gramEnd"/>
            <w:r w:rsidRPr="006A4205">
              <w:rPr>
                <w:rFonts w:eastAsia="Times New Roman"/>
                <w:lang w:eastAsia="en-GB"/>
              </w:rPr>
              <w:t xml:space="preserve"> the audit data set with HES data should continue, as the credibility of the indicators could be impacted by conflicting sources.  MRG recommended including a contextual indicator on the relationship between the audit and HES data as this would also encourage improvements in data quality.  </w:t>
            </w:r>
          </w:p>
        </w:tc>
        <w:tc>
          <w:tcPr>
            <w:tcW w:w="406" w:type="pct"/>
          </w:tcPr>
          <w:p w14:paraId="184512C5" w14:textId="77777777" w:rsidR="00FC4450" w:rsidRPr="006A4205" w:rsidRDefault="00FC4450" w:rsidP="00D13771">
            <w:pPr>
              <w:rPr>
                <w:rFonts w:eastAsia="Times New Roman"/>
                <w:lang w:eastAsia="en-GB"/>
              </w:rPr>
            </w:pPr>
            <w:r w:rsidRPr="006A4205">
              <w:rPr>
                <w:rFonts w:eastAsia="Times New Roman"/>
                <w:lang w:eastAsia="en-GB"/>
              </w:rPr>
              <w:t>MRG</w:t>
            </w:r>
          </w:p>
          <w:p w14:paraId="2CEDCD89" w14:textId="77777777" w:rsidR="00FC4450" w:rsidRPr="006A4205" w:rsidRDefault="00FC4450" w:rsidP="00D13771">
            <w:pPr>
              <w:rPr>
                <w:rFonts w:eastAsia="Times New Roman"/>
                <w:lang w:eastAsia="en-GB"/>
              </w:rPr>
            </w:pPr>
          </w:p>
          <w:p w14:paraId="39F2BC90" w14:textId="77777777" w:rsidR="00FC4450" w:rsidRPr="006A4205" w:rsidRDefault="00FC4450" w:rsidP="00D13771">
            <w:pPr>
              <w:rPr>
                <w:rFonts w:eastAsia="Times New Roman"/>
                <w:lang w:eastAsia="en-GB"/>
              </w:rPr>
            </w:pPr>
            <w:r w:rsidRPr="006A4205">
              <w:rPr>
                <w:rFonts w:eastAsia="Times New Roman"/>
                <w:lang w:eastAsia="en-GB"/>
              </w:rPr>
              <w:t>6/9/12</w:t>
            </w:r>
          </w:p>
        </w:tc>
        <w:tc>
          <w:tcPr>
            <w:tcW w:w="1555" w:type="pct"/>
          </w:tcPr>
          <w:p w14:paraId="3038B834" w14:textId="77777777" w:rsidR="00FC4450" w:rsidRPr="006A4205" w:rsidRDefault="00FC4450" w:rsidP="00D13771">
            <w:pPr>
              <w:rPr>
                <w:rFonts w:eastAsia="Times New Roman"/>
                <w:lang w:eastAsia="en-GB"/>
              </w:rPr>
            </w:pPr>
            <w:r w:rsidRPr="006A4205">
              <w:rPr>
                <w:rFonts w:eastAsia="Times New Roman"/>
                <w:lang w:eastAsia="en-GB"/>
              </w:rPr>
              <w:t>See section 3a.</w:t>
            </w:r>
          </w:p>
        </w:tc>
        <w:tc>
          <w:tcPr>
            <w:tcW w:w="435" w:type="pct"/>
          </w:tcPr>
          <w:p w14:paraId="0AFF7F35" w14:textId="77777777" w:rsidR="00FC4450" w:rsidRPr="006A4205" w:rsidRDefault="00FC4450" w:rsidP="00D13771">
            <w:pPr>
              <w:rPr>
                <w:rFonts w:eastAsia="Times New Roman"/>
                <w:lang w:eastAsia="en-GB"/>
              </w:rPr>
            </w:pPr>
          </w:p>
        </w:tc>
        <w:sdt>
          <w:sdtPr>
            <w:id w:val="1711609622"/>
            <w14:checkbox>
              <w14:checked w14:val="1"/>
              <w14:checkedState w14:val="00FE" w14:font="Wingdings"/>
              <w14:uncheckedState w14:val="006F" w14:font="Wingdings"/>
            </w14:checkbox>
          </w:sdtPr>
          <w:sdtContent>
            <w:tc>
              <w:tcPr>
                <w:tcW w:w="410" w:type="pct"/>
              </w:tcPr>
              <w:p w14:paraId="06BFBF57" w14:textId="77777777" w:rsidR="00FC4450" w:rsidRPr="006A4205" w:rsidRDefault="00FC4450" w:rsidP="00D13771">
                <w:pPr>
                  <w:jc w:val="center"/>
                  <w:rPr>
                    <w:rFonts w:eastAsia="Times New Roman"/>
                    <w:lang w:eastAsia="en-GB"/>
                  </w:rPr>
                </w:pPr>
                <w:r w:rsidRPr="006A4205">
                  <w:sym w:font="Wingdings" w:char="F0FE"/>
                </w:r>
              </w:p>
            </w:tc>
          </w:sdtContent>
        </w:sdt>
        <w:tc>
          <w:tcPr>
            <w:tcW w:w="436" w:type="pct"/>
          </w:tcPr>
          <w:p w14:paraId="051C3118" w14:textId="77777777" w:rsidR="00FC4450" w:rsidRPr="006A4205" w:rsidRDefault="00FC4450" w:rsidP="00D13771">
            <w:pPr>
              <w:rPr>
                <w:sz w:val="18"/>
                <w:szCs w:val="20"/>
              </w:rPr>
            </w:pPr>
            <w:r w:rsidRPr="006A4205">
              <w:rPr>
                <w:sz w:val="18"/>
                <w:szCs w:val="20"/>
              </w:rPr>
              <w:t>MRG</w:t>
            </w:r>
          </w:p>
          <w:p w14:paraId="259419F2" w14:textId="77777777" w:rsidR="00FC4450" w:rsidRPr="006A4205" w:rsidRDefault="00FC4450" w:rsidP="00D13771">
            <w:pPr>
              <w:rPr>
                <w:rFonts w:eastAsia="Times New Roman"/>
                <w:sz w:val="20"/>
                <w:szCs w:val="20"/>
                <w:lang w:eastAsia="en-GB"/>
              </w:rPr>
            </w:pPr>
            <w:r w:rsidRPr="006A4205">
              <w:rPr>
                <w:sz w:val="18"/>
                <w:szCs w:val="20"/>
              </w:rPr>
              <w:t>10/09/15</w:t>
            </w:r>
          </w:p>
        </w:tc>
      </w:tr>
      <w:tr w:rsidR="006A4205" w:rsidRPr="006A4205" w14:paraId="0E3BF72E" w14:textId="77777777" w:rsidTr="00CA1A5C">
        <w:tc>
          <w:tcPr>
            <w:tcW w:w="298" w:type="pct"/>
          </w:tcPr>
          <w:p w14:paraId="42C4620A" w14:textId="77777777" w:rsidR="00FC4450" w:rsidRPr="006A4205" w:rsidRDefault="00FC4450" w:rsidP="00D13771">
            <w:pPr>
              <w:rPr>
                <w:rFonts w:eastAsia="Times New Roman"/>
                <w:lang w:eastAsia="en-GB"/>
              </w:rPr>
            </w:pPr>
            <w:r w:rsidRPr="006A4205">
              <w:rPr>
                <w:rFonts w:eastAsia="Times New Roman"/>
                <w:lang w:eastAsia="en-GB"/>
              </w:rPr>
              <w:t>6b</w:t>
            </w:r>
          </w:p>
        </w:tc>
        <w:tc>
          <w:tcPr>
            <w:tcW w:w="1460" w:type="pct"/>
          </w:tcPr>
          <w:p w14:paraId="02F1EB9C" w14:textId="77777777" w:rsidR="00FC4450" w:rsidRPr="006A4205" w:rsidRDefault="00FC4450" w:rsidP="00D13771">
            <w:pPr>
              <w:rPr>
                <w:rFonts w:eastAsia="Times New Roman"/>
                <w:lang w:eastAsia="en-GB"/>
              </w:rPr>
            </w:pPr>
            <w:r w:rsidRPr="006A4205">
              <w:rPr>
                <w:rFonts w:eastAsia="Times New Roman"/>
                <w:lang w:eastAsia="en-GB"/>
              </w:rPr>
              <w:t xml:space="preserve">Section 6.1 contains information </w:t>
            </w:r>
            <w:proofErr w:type="gramStart"/>
            <w:r w:rsidRPr="006A4205">
              <w:rPr>
                <w:rFonts w:eastAsia="Times New Roman"/>
                <w:lang w:eastAsia="en-GB"/>
              </w:rPr>
              <w:t>about  regarding</w:t>
            </w:r>
            <w:proofErr w:type="gramEnd"/>
            <w:r w:rsidRPr="006A4205">
              <w:rPr>
                <w:rFonts w:eastAsia="Times New Roman"/>
                <w:lang w:eastAsia="en-GB"/>
              </w:rPr>
              <w:t xml:space="preserve"> the target for this indicator by April 2011. MRG queried whether there was any more up-to-date information available.</w:t>
            </w:r>
          </w:p>
        </w:tc>
        <w:tc>
          <w:tcPr>
            <w:tcW w:w="406" w:type="pct"/>
          </w:tcPr>
          <w:p w14:paraId="15E86836" w14:textId="77777777" w:rsidR="00FC4450" w:rsidRPr="006A4205" w:rsidRDefault="00FC4450" w:rsidP="00D13771">
            <w:pPr>
              <w:rPr>
                <w:rFonts w:eastAsia="Times New Roman"/>
                <w:lang w:eastAsia="en-GB"/>
              </w:rPr>
            </w:pPr>
            <w:r w:rsidRPr="006A4205">
              <w:rPr>
                <w:rFonts w:eastAsia="Times New Roman"/>
                <w:lang w:eastAsia="en-GB"/>
              </w:rPr>
              <w:t>MRG</w:t>
            </w:r>
          </w:p>
          <w:p w14:paraId="0FF29D5D" w14:textId="77777777" w:rsidR="00FC4450" w:rsidRPr="006A4205" w:rsidRDefault="00FC4450" w:rsidP="00D13771">
            <w:pPr>
              <w:rPr>
                <w:rFonts w:eastAsia="Times New Roman"/>
                <w:lang w:eastAsia="en-GB"/>
              </w:rPr>
            </w:pPr>
          </w:p>
          <w:p w14:paraId="698BB6AC" w14:textId="77777777" w:rsidR="00FC4450" w:rsidRPr="006A4205" w:rsidRDefault="00FC4450" w:rsidP="00D13771">
            <w:pPr>
              <w:rPr>
                <w:rFonts w:eastAsia="Times New Roman"/>
                <w:lang w:eastAsia="en-GB"/>
              </w:rPr>
            </w:pPr>
            <w:r w:rsidRPr="006A4205">
              <w:rPr>
                <w:rFonts w:eastAsia="Times New Roman"/>
                <w:lang w:eastAsia="en-GB"/>
              </w:rPr>
              <w:t>10/09/15</w:t>
            </w:r>
          </w:p>
        </w:tc>
        <w:tc>
          <w:tcPr>
            <w:tcW w:w="1555" w:type="pct"/>
          </w:tcPr>
          <w:p w14:paraId="2FEBE609" w14:textId="77777777" w:rsidR="00FC4450" w:rsidRPr="006A4205" w:rsidRDefault="00FC4450" w:rsidP="00D13771">
            <w:pPr>
              <w:spacing w:before="120" w:after="120"/>
              <w:rPr>
                <w:rFonts w:eastAsia="Times New Roman"/>
                <w:lang w:eastAsia="en-GB"/>
              </w:rPr>
            </w:pPr>
            <w:r w:rsidRPr="006A4205">
              <w:rPr>
                <w:rFonts w:eastAsia="Times New Roman"/>
                <w:lang w:eastAsia="en-GB"/>
              </w:rPr>
              <w:t xml:space="preserve">The Accelerating Stroke Improvement (ASI) indicator was only included within the ‘Similar existing indicators’ section of the application form to show where this </w:t>
            </w:r>
            <w:r w:rsidRPr="006A4205">
              <w:rPr>
                <w:rFonts w:eastAsia="Times New Roman"/>
                <w:lang w:eastAsia="en-GB"/>
              </w:rPr>
              <w:lastRenderedPageBreak/>
              <w:t>indicator originated from. The ASI indicator is no longer produced.</w:t>
            </w:r>
          </w:p>
        </w:tc>
        <w:tc>
          <w:tcPr>
            <w:tcW w:w="435" w:type="pct"/>
          </w:tcPr>
          <w:p w14:paraId="07E4C349" w14:textId="77777777" w:rsidR="00FC4450" w:rsidRPr="006A4205" w:rsidRDefault="00FC4450" w:rsidP="00D13771">
            <w:pPr>
              <w:rPr>
                <w:rFonts w:eastAsia="Times New Roman"/>
                <w:lang w:eastAsia="en-GB"/>
              </w:rPr>
            </w:pPr>
          </w:p>
        </w:tc>
        <w:sdt>
          <w:sdtPr>
            <w:id w:val="-964429507"/>
            <w14:checkbox>
              <w14:checked w14:val="0"/>
              <w14:checkedState w14:val="00FE" w14:font="Wingdings"/>
              <w14:uncheckedState w14:val="006F" w14:font="Wingdings"/>
            </w14:checkbox>
          </w:sdtPr>
          <w:sdtContent>
            <w:tc>
              <w:tcPr>
                <w:tcW w:w="410" w:type="pct"/>
              </w:tcPr>
              <w:p w14:paraId="6E247D17" w14:textId="77777777" w:rsidR="00FC4450" w:rsidRPr="006A4205" w:rsidRDefault="00FC4450" w:rsidP="00D13771">
                <w:pPr>
                  <w:jc w:val="center"/>
                </w:pPr>
                <w:r w:rsidRPr="006A4205">
                  <w:sym w:font="Wingdings" w:char="F06F"/>
                </w:r>
              </w:p>
            </w:tc>
          </w:sdtContent>
        </w:sdt>
        <w:tc>
          <w:tcPr>
            <w:tcW w:w="436" w:type="pct"/>
          </w:tcPr>
          <w:p w14:paraId="08DFD6B1" w14:textId="77777777" w:rsidR="00FC4450" w:rsidRPr="006A4205" w:rsidRDefault="00FC4450" w:rsidP="00D13771">
            <w:pPr>
              <w:rPr>
                <w:sz w:val="18"/>
                <w:szCs w:val="20"/>
              </w:rPr>
            </w:pPr>
          </w:p>
        </w:tc>
      </w:tr>
    </w:tbl>
    <w:p w14:paraId="2D866000" w14:textId="77777777" w:rsidR="00FC4450" w:rsidRPr="006A4205" w:rsidRDefault="00FC4450" w:rsidP="00FC4450">
      <w:pPr>
        <w:rPr>
          <w:sz w:val="20"/>
          <w:szCs w:val="20"/>
        </w:rPr>
        <w:sectPr w:rsidR="00FC4450" w:rsidRPr="006A4205" w:rsidSect="00D13771">
          <w:pgSz w:w="16838" w:h="11906" w:orient="landscape"/>
          <w:pgMar w:top="851" w:right="820" w:bottom="426" w:left="1440" w:header="851" w:footer="709" w:gutter="0"/>
          <w:cols w:space="708"/>
          <w:docGrid w:linePitch="360"/>
        </w:sectPr>
      </w:pPr>
    </w:p>
    <w:p w14:paraId="171DB3FF" w14:textId="77777777" w:rsidR="00FC4450" w:rsidRPr="006A4205" w:rsidRDefault="00FC4450" w:rsidP="00FC4450">
      <w:pPr>
        <w:rPr>
          <w:b/>
        </w:rPr>
      </w:pPr>
    </w:p>
    <w:p w14:paraId="698F08DD" w14:textId="77777777" w:rsidR="00FC4450" w:rsidRPr="006A4205" w:rsidRDefault="00FC4450" w:rsidP="00FC4450">
      <w:pPr>
        <w:rPr>
          <w:b/>
        </w:rPr>
      </w:pPr>
      <w:r w:rsidRPr="006A4205">
        <w:rPr>
          <w:b/>
          <w:noProof/>
          <w:lang w:eastAsia="en-GB"/>
        </w:rPr>
        <mc:AlternateContent>
          <mc:Choice Requires="wps">
            <w:drawing>
              <wp:inline distT="0" distB="0" distL="0" distR="0" wp14:anchorId="28DE7E3E" wp14:editId="7A9DE26B">
                <wp:extent cx="6219825" cy="1403985"/>
                <wp:effectExtent l="0" t="0" r="9525"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3985"/>
                        </a:xfrm>
                        <a:prstGeom prst="rect">
                          <a:avLst/>
                        </a:prstGeom>
                        <a:solidFill>
                          <a:schemeClr val="accent1">
                            <a:lumMod val="20000"/>
                            <a:lumOff val="80000"/>
                          </a:schemeClr>
                        </a:solidFill>
                        <a:ln w="9525">
                          <a:noFill/>
                          <a:miter lim="800000"/>
                          <a:headEnd/>
                          <a:tailEnd/>
                        </a:ln>
                      </wps:spPr>
                      <wps:txbx>
                        <w:txbxContent>
                          <w:p w14:paraId="6F43147B" w14:textId="77777777" w:rsidR="0023137D" w:rsidRDefault="0023137D" w:rsidP="00FC4450">
                            <w:pPr>
                              <w:rPr>
                                <w:rFonts w:cstheme="minorHAnsi"/>
                                <w:b/>
                                <w:color w:val="1F497D" w:themeColor="text2"/>
                              </w:rPr>
                            </w:pPr>
                            <w:r>
                              <w:rPr>
                                <w:rFonts w:cstheme="minorHAnsi"/>
                                <w:b/>
                                <w:color w:val="1F497D" w:themeColor="text2"/>
                              </w:rPr>
                              <w:t xml:space="preserve">Any complaints or appeals against the decisions made during the assurance process should be made to the Indicator &amp; Methodology Assurance Service (IMAS) Team at HSCIC. Likewise, if you are unclear regarding any of the recommendations in this </w:t>
                            </w:r>
                            <w:proofErr w:type="gramStart"/>
                            <w:r>
                              <w:rPr>
                                <w:rFonts w:cstheme="minorHAnsi"/>
                                <w:b/>
                                <w:color w:val="1F497D" w:themeColor="text2"/>
                              </w:rPr>
                              <w:t>report, or</w:t>
                            </w:r>
                            <w:proofErr w:type="gramEnd"/>
                            <w:r>
                              <w:rPr>
                                <w:rFonts w:cstheme="minorHAnsi"/>
                                <w:b/>
                                <w:color w:val="1F497D" w:themeColor="text2"/>
                              </w:rPr>
                              <w:t xml:space="preserve"> have any queries about the assurance process in general, please contact the IMAS team.</w:t>
                            </w:r>
                          </w:p>
                          <w:p w14:paraId="7B75A94B" w14:textId="77777777" w:rsidR="0023137D" w:rsidRDefault="0023137D" w:rsidP="00FC4450">
                            <w:pPr>
                              <w:rPr>
                                <w:rFonts w:cstheme="minorHAnsi"/>
                                <w:b/>
                                <w:color w:val="1F497D" w:themeColor="text2"/>
                              </w:rPr>
                            </w:pPr>
                          </w:p>
                          <w:p w14:paraId="6BEC90C3" w14:textId="77777777" w:rsidR="0023137D" w:rsidRDefault="0023137D" w:rsidP="00FC4450">
                            <w:pPr>
                              <w:rPr>
                                <w:rFonts w:cstheme="minorHAnsi"/>
                                <w:b/>
                                <w:color w:val="1F497D" w:themeColor="text2"/>
                              </w:rPr>
                            </w:pPr>
                            <w:r>
                              <w:rPr>
                                <w:rFonts w:cstheme="minorHAnsi"/>
                                <w:b/>
                                <w:color w:val="1F497D" w:themeColor="text2"/>
                              </w:rPr>
                              <w:t>Indicator and Methodology Assurance Service</w:t>
                            </w:r>
                          </w:p>
                          <w:p w14:paraId="6D7A860B" w14:textId="77777777" w:rsidR="0023137D" w:rsidRDefault="0023137D" w:rsidP="00FC4450">
                            <w:pPr>
                              <w:rPr>
                                <w:rFonts w:cstheme="minorHAnsi"/>
                                <w:b/>
                                <w:color w:val="1F497D" w:themeColor="text2"/>
                              </w:rPr>
                            </w:pPr>
                            <w:r>
                              <w:rPr>
                                <w:rFonts w:cstheme="minorHAnsi"/>
                                <w:b/>
                                <w:color w:val="1F497D" w:themeColor="text2"/>
                              </w:rPr>
                              <w:t>Health and Social Care Information Centre</w:t>
                            </w:r>
                          </w:p>
                          <w:p w14:paraId="107541EB" w14:textId="77777777" w:rsidR="0023137D" w:rsidRDefault="0023137D" w:rsidP="00FC4450">
                            <w:pPr>
                              <w:rPr>
                                <w:rFonts w:cstheme="minorHAnsi"/>
                                <w:b/>
                                <w:color w:val="1F497D" w:themeColor="text2"/>
                              </w:rPr>
                            </w:pPr>
                            <w:r>
                              <w:rPr>
                                <w:rFonts w:cstheme="minorHAnsi"/>
                                <w:b/>
                                <w:color w:val="1F497D" w:themeColor="text2"/>
                              </w:rPr>
                              <w:t>1 Trevelyan Square, Boar Lane,</w:t>
                            </w:r>
                          </w:p>
                          <w:p w14:paraId="7D6E99D4" w14:textId="77777777" w:rsidR="0023137D" w:rsidRDefault="0023137D" w:rsidP="00FC4450">
                            <w:pPr>
                              <w:rPr>
                                <w:rFonts w:cstheme="minorHAnsi"/>
                                <w:b/>
                                <w:color w:val="1F497D" w:themeColor="text2"/>
                              </w:rPr>
                            </w:pPr>
                            <w:r>
                              <w:rPr>
                                <w:rFonts w:cstheme="minorHAnsi"/>
                                <w:b/>
                                <w:color w:val="1F497D" w:themeColor="text2"/>
                              </w:rPr>
                              <w:t xml:space="preserve">LEEDS </w:t>
                            </w:r>
                          </w:p>
                          <w:p w14:paraId="17104278" w14:textId="77777777" w:rsidR="0023137D" w:rsidRDefault="0023137D" w:rsidP="00FC4450">
                            <w:pPr>
                              <w:rPr>
                                <w:rFonts w:cstheme="minorHAnsi"/>
                                <w:b/>
                                <w:color w:val="1F497D" w:themeColor="text2"/>
                              </w:rPr>
                            </w:pPr>
                            <w:r>
                              <w:rPr>
                                <w:rFonts w:cstheme="minorHAnsi"/>
                                <w:b/>
                                <w:color w:val="1F497D" w:themeColor="text2"/>
                              </w:rPr>
                              <w:t>LS1 6AE.</w:t>
                            </w:r>
                          </w:p>
                          <w:p w14:paraId="65D2B129" w14:textId="77777777" w:rsidR="0023137D" w:rsidRDefault="0023137D" w:rsidP="00FC4450">
                            <w:pPr>
                              <w:rPr>
                                <w:rFonts w:cstheme="minorHAnsi"/>
                                <w:b/>
                                <w:color w:val="1F497D" w:themeColor="text2"/>
                              </w:rPr>
                            </w:pPr>
                          </w:p>
                          <w:p w14:paraId="5EE35B3E" w14:textId="77777777" w:rsidR="0023137D" w:rsidRDefault="0023137D" w:rsidP="00FC4450">
                            <w:pPr>
                              <w:rPr>
                                <w:rFonts w:cstheme="minorHAnsi"/>
                                <w:b/>
                                <w:color w:val="1F497D" w:themeColor="text2"/>
                              </w:rPr>
                            </w:pPr>
                            <w:r>
                              <w:rPr>
                                <w:rFonts w:cstheme="minorHAnsi"/>
                                <w:b/>
                                <w:color w:val="1F497D" w:themeColor="text2"/>
                              </w:rPr>
                              <w:t xml:space="preserve">Email: </w:t>
                            </w:r>
                            <w:hyperlink r:id="rId36" w:history="1">
                              <w:r w:rsidRPr="00195C54">
                                <w:rPr>
                                  <w:rStyle w:val="Hyperlink"/>
                                  <w:rFonts w:cstheme="minorHAnsi"/>
                                  <w:b/>
                                </w:rPr>
                                <w:t>indicator.assurance@hscic.gov.uk</w:t>
                              </w:r>
                            </w:hyperlink>
                          </w:p>
                          <w:p w14:paraId="53304233" w14:textId="77777777" w:rsidR="0023137D" w:rsidRDefault="0023137D" w:rsidP="00FC4450">
                            <w:pPr>
                              <w:rPr>
                                <w:rFonts w:cstheme="minorHAnsi"/>
                                <w:b/>
                                <w:color w:val="1F497D" w:themeColor="text2"/>
                              </w:rPr>
                            </w:pPr>
                            <w:r>
                              <w:rPr>
                                <w:rFonts w:cstheme="minorHAnsi"/>
                                <w:b/>
                                <w:color w:val="1F497D" w:themeColor="text2"/>
                              </w:rPr>
                              <w:t xml:space="preserve">Website: </w:t>
                            </w:r>
                            <w:hyperlink r:id="rId37" w:history="1">
                              <w:r w:rsidRPr="00195C54">
                                <w:rPr>
                                  <w:rStyle w:val="Hyperlink"/>
                                  <w:rFonts w:cstheme="minorHAnsi"/>
                                  <w:b/>
                                </w:rPr>
                                <w:t>http://www.hscic.gov.uk/article/1674/Indicator-Assurance-Service</w:t>
                              </w:r>
                            </w:hyperlink>
                          </w:p>
                        </w:txbxContent>
                      </wps:txbx>
                      <wps:bodyPr rot="0" vert="horz" wrap="square" lIns="91440" tIns="45720" rIns="91440" bIns="45720" anchor="t" anchorCtr="0">
                        <a:spAutoFit/>
                      </wps:bodyPr>
                    </wps:wsp>
                  </a:graphicData>
                </a:graphic>
              </wp:inline>
            </w:drawing>
          </mc:Choice>
          <mc:Fallback>
            <w:pict>
              <v:shapetype w14:anchorId="28DE7E3E" id="_x0000_t202" coordsize="21600,21600" o:spt="202" path="m,l,21600r21600,l21600,xe">
                <v:stroke joinstyle="miter"/>
                <v:path gradientshapeok="t" o:connecttype="rect"/>
              </v:shapetype>
              <v:shape id="Text Box 2" o:spid="_x0000_s1026" type="#_x0000_t202" style="width:489.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" fillcolor="#dbe5f1 [660]" stroked="f">
                <v:textbox style="mso-fit-shape-to-text:t">
                  <w:txbxContent>
                    <w:p w14:paraId="6F43147B" w14:textId="77777777" w:rsidR="0023137D" w:rsidRDefault="0023137D" w:rsidP="00FC4450">
                      <w:pPr>
                        <w:rPr>
                          <w:rFonts w:cstheme="minorHAnsi"/>
                          <w:b/>
                          <w:color w:val="1F497D" w:themeColor="text2"/>
                        </w:rPr>
                      </w:pPr>
                      <w:r>
                        <w:rPr>
                          <w:rFonts w:cstheme="minorHAnsi"/>
                          <w:b/>
                          <w:color w:val="1F497D" w:themeColor="text2"/>
                        </w:rPr>
                        <w:t xml:space="preserve">Any complaints or appeals against the decisions made during the assurance process should be made to the Indicator &amp; Methodology Assurance Service (IMAS) Team at HSCIC. Likewise, if you are unclear regarding any of the recommendations in this </w:t>
                      </w:r>
                      <w:proofErr w:type="gramStart"/>
                      <w:r>
                        <w:rPr>
                          <w:rFonts w:cstheme="minorHAnsi"/>
                          <w:b/>
                          <w:color w:val="1F497D" w:themeColor="text2"/>
                        </w:rPr>
                        <w:t>report, or</w:t>
                      </w:r>
                      <w:proofErr w:type="gramEnd"/>
                      <w:r>
                        <w:rPr>
                          <w:rFonts w:cstheme="minorHAnsi"/>
                          <w:b/>
                          <w:color w:val="1F497D" w:themeColor="text2"/>
                        </w:rPr>
                        <w:t xml:space="preserve"> have any queries about the assurance process in general, please contact the IMAS team.</w:t>
                      </w:r>
                    </w:p>
                    <w:p w14:paraId="7B75A94B" w14:textId="77777777" w:rsidR="0023137D" w:rsidRDefault="0023137D" w:rsidP="00FC4450">
                      <w:pPr>
                        <w:rPr>
                          <w:rFonts w:cstheme="minorHAnsi"/>
                          <w:b/>
                          <w:color w:val="1F497D" w:themeColor="text2"/>
                        </w:rPr>
                      </w:pPr>
                    </w:p>
                    <w:p w14:paraId="6BEC90C3" w14:textId="77777777" w:rsidR="0023137D" w:rsidRDefault="0023137D" w:rsidP="00FC4450">
                      <w:pPr>
                        <w:rPr>
                          <w:rFonts w:cstheme="minorHAnsi"/>
                          <w:b/>
                          <w:color w:val="1F497D" w:themeColor="text2"/>
                        </w:rPr>
                      </w:pPr>
                      <w:r>
                        <w:rPr>
                          <w:rFonts w:cstheme="minorHAnsi"/>
                          <w:b/>
                          <w:color w:val="1F497D" w:themeColor="text2"/>
                        </w:rPr>
                        <w:t>Indicator and Methodology Assurance Service</w:t>
                      </w:r>
                    </w:p>
                    <w:p w14:paraId="6D7A860B" w14:textId="77777777" w:rsidR="0023137D" w:rsidRDefault="0023137D" w:rsidP="00FC4450">
                      <w:pPr>
                        <w:rPr>
                          <w:rFonts w:cstheme="minorHAnsi"/>
                          <w:b/>
                          <w:color w:val="1F497D" w:themeColor="text2"/>
                        </w:rPr>
                      </w:pPr>
                      <w:r>
                        <w:rPr>
                          <w:rFonts w:cstheme="minorHAnsi"/>
                          <w:b/>
                          <w:color w:val="1F497D" w:themeColor="text2"/>
                        </w:rPr>
                        <w:t>Health and Social Care Information Centre</w:t>
                      </w:r>
                    </w:p>
                    <w:p w14:paraId="107541EB" w14:textId="77777777" w:rsidR="0023137D" w:rsidRDefault="0023137D" w:rsidP="00FC4450">
                      <w:pPr>
                        <w:rPr>
                          <w:rFonts w:cstheme="minorHAnsi"/>
                          <w:b/>
                          <w:color w:val="1F497D" w:themeColor="text2"/>
                        </w:rPr>
                      </w:pPr>
                      <w:r>
                        <w:rPr>
                          <w:rFonts w:cstheme="minorHAnsi"/>
                          <w:b/>
                          <w:color w:val="1F497D" w:themeColor="text2"/>
                        </w:rPr>
                        <w:t>1 Trevelyan Square, Boar Lane,</w:t>
                      </w:r>
                    </w:p>
                    <w:p w14:paraId="7D6E99D4" w14:textId="77777777" w:rsidR="0023137D" w:rsidRDefault="0023137D" w:rsidP="00FC4450">
                      <w:pPr>
                        <w:rPr>
                          <w:rFonts w:cstheme="minorHAnsi"/>
                          <w:b/>
                          <w:color w:val="1F497D" w:themeColor="text2"/>
                        </w:rPr>
                      </w:pPr>
                      <w:r>
                        <w:rPr>
                          <w:rFonts w:cstheme="minorHAnsi"/>
                          <w:b/>
                          <w:color w:val="1F497D" w:themeColor="text2"/>
                        </w:rPr>
                        <w:t xml:space="preserve">LEEDS </w:t>
                      </w:r>
                    </w:p>
                    <w:p w14:paraId="17104278" w14:textId="77777777" w:rsidR="0023137D" w:rsidRDefault="0023137D" w:rsidP="00FC4450">
                      <w:pPr>
                        <w:rPr>
                          <w:rFonts w:cstheme="minorHAnsi"/>
                          <w:b/>
                          <w:color w:val="1F497D" w:themeColor="text2"/>
                        </w:rPr>
                      </w:pPr>
                      <w:r>
                        <w:rPr>
                          <w:rFonts w:cstheme="minorHAnsi"/>
                          <w:b/>
                          <w:color w:val="1F497D" w:themeColor="text2"/>
                        </w:rPr>
                        <w:t>LS1 6AE.</w:t>
                      </w:r>
                    </w:p>
                    <w:p w14:paraId="65D2B129" w14:textId="77777777" w:rsidR="0023137D" w:rsidRDefault="0023137D" w:rsidP="00FC4450">
                      <w:pPr>
                        <w:rPr>
                          <w:rFonts w:cstheme="minorHAnsi"/>
                          <w:b/>
                          <w:color w:val="1F497D" w:themeColor="text2"/>
                        </w:rPr>
                      </w:pPr>
                    </w:p>
                    <w:p w14:paraId="5EE35B3E" w14:textId="77777777" w:rsidR="0023137D" w:rsidRDefault="0023137D" w:rsidP="00FC4450">
                      <w:pPr>
                        <w:rPr>
                          <w:rFonts w:cstheme="minorHAnsi"/>
                          <w:b/>
                          <w:color w:val="1F497D" w:themeColor="text2"/>
                        </w:rPr>
                      </w:pPr>
                      <w:r>
                        <w:rPr>
                          <w:rFonts w:cstheme="minorHAnsi"/>
                          <w:b/>
                          <w:color w:val="1F497D" w:themeColor="text2"/>
                        </w:rPr>
                        <w:t xml:space="preserve">Email: </w:t>
                      </w:r>
                      <w:hyperlink r:id="rId38" w:history="1">
                        <w:r w:rsidRPr="00195C54">
                          <w:rPr>
                            <w:rStyle w:val="Hyperlink"/>
                            <w:rFonts w:cstheme="minorHAnsi"/>
                            <w:b/>
                          </w:rPr>
                          <w:t>indicator.assurance@hscic.gov.uk</w:t>
                        </w:r>
                      </w:hyperlink>
                    </w:p>
                    <w:p w14:paraId="53304233" w14:textId="77777777" w:rsidR="0023137D" w:rsidRDefault="0023137D" w:rsidP="00FC4450">
                      <w:pPr>
                        <w:rPr>
                          <w:rFonts w:cstheme="minorHAnsi"/>
                          <w:b/>
                          <w:color w:val="1F497D" w:themeColor="text2"/>
                        </w:rPr>
                      </w:pPr>
                      <w:r>
                        <w:rPr>
                          <w:rFonts w:cstheme="minorHAnsi"/>
                          <w:b/>
                          <w:color w:val="1F497D" w:themeColor="text2"/>
                        </w:rPr>
                        <w:t xml:space="preserve">Website: </w:t>
                      </w:r>
                      <w:hyperlink r:id="rId39" w:history="1">
                        <w:r w:rsidRPr="00195C54">
                          <w:rPr>
                            <w:rStyle w:val="Hyperlink"/>
                            <w:rFonts w:cstheme="minorHAnsi"/>
                            <w:b/>
                          </w:rPr>
                          <w:t>http://www.hscic.gov.uk/article/1674/Indicator-Assurance-Service</w:t>
                        </w:r>
                      </w:hyperlink>
                    </w:p>
                  </w:txbxContent>
                </v:textbox>
                <w10:anchorlock/>
              </v:shape>
            </w:pict>
          </mc:Fallback>
        </mc:AlternateContent>
      </w:r>
    </w:p>
    <w:p w14:paraId="2F53EE36" w14:textId="77777777" w:rsidR="00FC4450" w:rsidRPr="006A4205" w:rsidRDefault="00FC4450" w:rsidP="00FC4450">
      <w:pPr>
        <w:rPr>
          <w:b/>
        </w:rPr>
      </w:pPr>
    </w:p>
    <w:p w14:paraId="41E664FC" w14:textId="77777777" w:rsidR="00FC4450" w:rsidRPr="006A4205" w:rsidRDefault="00FC4450" w:rsidP="00FC4450">
      <w:pPr>
        <w:rPr>
          <w:b/>
        </w:rPr>
      </w:pPr>
    </w:p>
    <w:bookmarkEnd w:id="0"/>
    <w:p w14:paraId="52B61117" w14:textId="77777777" w:rsidR="00FC4450" w:rsidRPr="006A4205" w:rsidRDefault="00FC4450" w:rsidP="00BD69FE">
      <w:pPr>
        <w:rPr>
          <w:b/>
          <w:sz w:val="24"/>
          <w:szCs w:val="24"/>
        </w:rPr>
      </w:pPr>
    </w:p>
    <w:sectPr w:rsidR="00FC4450" w:rsidRPr="006A4205" w:rsidSect="00266A7E">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305F2" w14:textId="77777777" w:rsidR="0023137D" w:rsidRDefault="0023137D" w:rsidP="00316612">
      <w:r>
        <w:separator/>
      </w:r>
    </w:p>
  </w:endnote>
  <w:endnote w:type="continuationSeparator" w:id="0">
    <w:p w14:paraId="2E9D67A1" w14:textId="77777777" w:rsidR="0023137D" w:rsidRDefault="0023137D" w:rsidP="0031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56831" w14:textId="77777777" w:rsidR="0023137D" w:rsidRDefault="0023137D" w:rsidP="00D13771"/>
  <w:sdt>
    <w:sdtPr>
      <w:rPr>
        <w:sz w:val="18"/>
        <w:szCs w:val="18"/>
      </w:rPr>
      <w:id w:val="-861506761"/>
      <w:docPartObj>
        <w:docPartGallery w:val="Page Numbers (Bottom of Page)"/>
        <w:docPartUnique/>
      </w:docPartObj>
    </w:sdtPr>
    <w:sdtEndPr>
      <w:rPr>
        <w:noProof/>
      </w:rPr>
    </w:sdtEndPr>
    <w:sdtContent>
      <w:p w14:paraId="0D3BE770" w14:textId="4328DABF" w:rsidR="0023137D" w:rsidRPr="0023137D" w:rsidRDefault="0023137D" w:rsidP="0023137D">
        <w:pPr>
          <w:tabs>
            <w:tab w:val="left" w:pos="426"/>
            <w:tab w:val="center" w:pos="4513"/>
            <w:tab w:val="right" w:pos="9026"/>
          </w:tabs>
          <w:rPr>
            <w:sz w:val="18"/>
            <w:szCs w:val="18"/>
          </w:rPr>
        </w:pPr>
        <w:r w:rsidRPr="0023137D">
          <w:rPr>
            <w:sz w:val="18"/>
            <w:szCs w:val="18"/>
          </w:rPr>
          <w:t>IAP000</w:t>
        </w:r>
        <w:r>
          <w:rPr>
            <w:sz w:val="18"/>
            <w:szCs w:val="18"/>
          </w:rPr>
          <w:t>94</w:t>
        </w:r>
        <w:r w:rsidRPr="0023137D">
          <w:rPr>
            <w:sz w:val="18"/>
            <w:szCs w:val="18"/>
          </w:rPr>
          <w:t xml:space="preserve"> Supporting documentation</w:t>
        </w:r>
      </w:p>
      <w:p w14:paraId="4E2A5F4C" w14:textId="77777777" w:rsidR="0023137D" w:rsidRPr="0023137D" w:rsidRDefault="0023137D" w:rsidP="0023137D">
        <w:pPr>
          <w:tabs>
            <w:tab w:val="left" w:pos="426"/>
            <w:tab w:val="center" w:pos="4513"/>
            <w:tab w:val="right" w:pos="9026"/>
          </w:tabs>
          <w:rPr>
            <w:sz w:val="18"/>
            <w:szCs w:val="18"/>
          </w:rPr>
        </w:pPr>
        <w:r w:rsidRPr="0023137D">
          <w:rPr>
            <w:sz w:val="18"/>
            <w:szCs w:val="18"/>
          </w:rPr>
          <w:t>Copyright © 2019 NHS Digital</w:t>
        </w:r>
        <w:r w:rsidRPr="0023137D">
          <w:rPr>
            <w:sz w:val="18"/>
            <w:szCs w:val="18"/>
          </w:rPr>
          <w:tab/>
        </w:r>
        <w:r w:rsidRPr="0023137D">
          <w:rPr>
            <w:sz w:val="18"/>
            <w:szCs w:val="18"/>
          </w:rPr>
          <w:tab/>
        </w:r>
        <w:r w:rsidRPr="0023137D">
          <w:rPr>
            <w:sz w:val="18"/>
            <w:szCs w:val="18"/>
          </w:rPr>
          <w:tab/>
        </w:r>
        <w:r w:rsidRPr="0023137D">
          <w:rPr>
            <w:sz w:val="18"/>
            <w:szCs w:val="18"/>
          </w:rPr>
          <w:tab/>
        </w:r>
        <w:r w:rsidRPr="0023137D">
          <w:rPr>
            <w:sz w:val="18"/>
            <w:szCs w:val="18"/>
          </w:rPr>
          <w:tab/>
        </w:r>
        <w:r w:rsidRPr="0023137D">
          <w:rPr>
            <w:sz w:val="18"/>
            <w:szCs w:val="18"/>
          </w:rPr>
          <w:tab/>
        </w:r>
        <w:r w:rsidRPr="0023137D">
          <w:rPr>
            <w:sz w:val="18"/>
            <w:szCs w:val="18"/>
          </w:rPr>
          <w:tab/>
        </w:r>
        <w:r w:rsidRPr="0023137D">
          <w:rPr>
            <w:sz w:val="18"/>
            <w:szCs w:val="18"/>
          </w:rPr>
          <w:tab/>
        </w:r>
        <w:r w:rsidRPr="0023137D">
          <w:rPr>
            <w:sz w:val="18"/>
            <w:szCs w:val="18"/>
          </w:rPr>
          <w:tab/>
        </w:r>
        <w:r w:rsidRPr="0023137D">
          <w:rPr>
            <w:sz w:val="18"/>
            <w:szCs w:val="18"/>
          </w:rPr>
          <w:fldChar w:fldCharType="begin"/>
        </w:r>
        <w:r w:rsidRPr="0023137D">
          <w:rPr>
            <w:sz w:val="18"/>
            <w:szCs w:val="18"/>
          </w:rPr>
          <w:instrText xml:space="preserve"> PAGE   \* MERGEFORMAT </w:instrText>
        </w:r>
        <w:r w:rsidRPr="0023137D">
          <w:rPr>
            <w:sz w:val="18"/>
            <w:szCs w:val="18"/>
          </w:rPr>
          <w:fldChar w:fldCharType="separate"/>
        </w:r>
        <w:r w:rsidRPr="0023137D">
          <w:rPr>
            <w:sz w:val="18"/>
            <w:szCs w:val="18"/>
          </w:rPr>
          <w:t>1</w:t>
        </w:r>
        <w:r w:rsidRPr="0023137D">
          <w:rPr>
            <w:noProof/>
            <w:sz w:val="18"/>
            <w:szCs w:val="18"/>
          </w:rPr>
          <w:fldChar w:fldCharType="end"/>
        </w:r>
      </w:p>
    </w:sdtContent>
  </w:sdt>
  <w:p w14:paraId="433AFF7C" w14:textId="2D03FE34" w:rsidR="0023137D" w:rsidRPr="000C24AF" w:rsidRDefault="0023137D" w:rsidP="00231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105308"/>
      <w:docPartObj>
        <w:docPartGallery w:val="Page Numbers (Bottom of Page)"/>
        <w:docPartUnique/>
      </w:docPartObj>
    </w:sdtPr>
    <w:sdtEndPr>
      <w:rPr>
        <w:noProof/>
      </w:rPr>
    </w:sdtEndPr>
    <w:sdtContent>
      <w:p w14:paraId="6075724B" w14:textId="77777777" w:rsidR="0023137D" w:rsidRDefault="0023137D">
        <w:pPr>
          <w:pStyle w:val="Footer"/>
          <w:jc w:val="right"/>
        </w:pPr>
      </w:p>
    </w:sdtContent>
  </w:sdt>
  <w:p w14:paraId="14AE9ACA" w14:textId="77777777" w:rsidR="0023137D" w:rsidRDefault="002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50CD" w14:textId="77777777" w:rsidR="0023137D" w:rsidRDefault="0023137D" w:rsidP="00316612">
      <w:r>
        <w:separator/>
      </w:r>
    </w:p>
  </w:footnote>
  <w:footnote w:type="continuationSeparator" w:id="0">
    <w:p w14:paraId="426C6983" w14:textId="77777777" w:rsidR="0023137D" w:rsidRDefault="0023137D" w:rsidP="0031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A563" w14:textId="3C013D25" w:rsidR="0023137D" w:rsidRDefault="0023137D" w:rsidP="00D13771"/>
  <w:p w14:paraId="7DB3A9F1" w14:textId="77777777" w:rsidR="0023137D" w:rsidRDefault="0023137D" w:rsidP="00D13771"/>
  <w:p w14:paraId="4B83EA3F" w14:textId="77777777" w:rsidR="0023137D" w:rsidRPr="0023137D" w:rsidRDefault="0023137D" w:rsidP="0023137D">
    <w:pPr>
      <w:tabs>
        <w:tab w:val="center" w:pos="4513"/>
        <w:tab w:val="right" w:pos="9026"/>
      </w:tabs>
      <w:jc w:val="center"/>
      <w:rPr>
        <w:b/>
        <w:bCs/>
        <w:sz w:val="24"/>
        <w:szCs w:val="24"/>
      </w:rPr>
    </w:pPr>
    <w:r w:rsidRPr="0023137D">
      <w:rPr>
        <w:b/>
        <w:bCs/>
        <w:sz w:val="24"/>
        <w:szCs w:val="24"/>
      </w:rPr>
      <w:t>NICE inherited this indicator and all its supporting documentation from NHS Digital on 1 April 2020</w:t>
    </w:r>
  </w:p>
  <w:p w14:paraId="32D65B47" w14:textId="77777777" w:rsidR="0023137D" w:rsidRDefault="0023137D" w:rsidP="00D13771"/>
  <w:p w14:paraId="6478886F" w14:textId="77777777" w:rsidR="0023137D" w:rsidRDefault="0023137D" w:rsidP="00D137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mn-ea" w:hAnsi="Arial" w:cs="Arial"/>
        <w:b/>
        <w:color w:val="1F497D" w:themeColor="text2"/>
        <w:position w:val="1"/>
        <w:sz w:val="28"/>
        <w:szCs w:val="28"/>
      </w:rPr>
      <w:id w:val="1162819347"/>
      <w:docPartObj>
        <w:docPartGallery w:val="Watermarks"/>
        <w:docPartUnique/>
      </w:docPartObj>
    </w:sdtPr>
    <w:sdtContent>
      <w:p w14:paraId="7EBE61B6" w14:textId="77777777" w:rsidR="0023137D" w:rsidRPr="00574969" w:rsidRDefault="0023137D" w:rsidP="00D13771">
        <w:pPr>
          <w:pStyle w:val="NormalWeb"/>
          <w:spacing w:before="0" w:beforeAutospacing="0" w:after="0" w:afterAutospacing="0"/>
          <w:rPr>
            <w:rFonts w:ascii="Arial" w:eastAsia="+mn-ea" w:hAnsi="Arial" w:cs="Arial"/>
            <w:b/>
            <w:color w:val="1F497D" w:themeColor="text2"/>
            <w:position w:val="1"/>
            <w:sz w:val="28"/>
            <w:szCs w:val="28"/>
          </w:rPr>
        </w:pPr>
        <w:r>
          <w:rPr>
            <w:rFonts w:ascii="Arial" w:eastAsia="+mn-ea" w:hAnsi="Arial" w:cs="Arial"/>
            <w:b/>
            <w:noProof/>
            <w:color w:val="1F497D" w:themeColor="text2"/>
            <w:position w:val="1"/>
            <w:sz w:val="28"/>
            <w:szCs w:val="28"/>
            <w:lang w:val="en-US" w:eastAsia="zh-TW"/>
          </w:rPr>
          <w:pict w14:anchorId="16041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733F3"/>
    <w:multiLevelType w:val="hybridMultilevel"/>
    <w:tmpl w:val="DC1041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C7EE0"/>
    <w:multiLevelType w:val="hybridMultilevel"/>
    <w:tmpl w:val="061A62DE"/>
    <w:lvl w:ilvl="0" w:tplc="5C664EE6">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A506B"/>
    <w:multiLevelType w:val="hybridMultilevel"/>
    <w:tmpl w:val="B05E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767AC"/>
    <w:multiLevelType w:val="hybridMultilevel"/>
    <w:tmpl w:val="15A4B0C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780E77"/>
    <w:multiLevelType w:val="hybridMultilevel"/>
    <w:tmpl w:val="21CA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300C7"/>
    <w:multiLevelType w:val="hybridMultilevel"/>
    <w:tmpl w:val="F626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455A2"/>
    <w:multiLevelType w:val="hybridMultilevel"/>
    <w:tmpl w:val="A39ACB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87393B"/>
    <w:multiLevelType w:val="hybridMultilevel"/>
    <w:tmpl w:val="B78862B0"/>
    <w:lvl w:ilvl="0" w:tplc="FAD2F24E">
      <w:start w:val="9"/>
      <w:numFmt w:val="decimal"/>
      <w:lvlText w:val="%1."/>
      <w:lvlJc w:val="left"/>
      <w:pPr>
        <w:ind w:left="752"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971278"/>
    <w:multiLevelType w:val="hybridMultilevel"/>
    <w:tmpl w:val="6324B0B8"/>
    <w:lvl w:ilvl="0" w:tplc="70B679BA">
      <w:start w:val="5"/>
      <w:numFmt w:val="decimal"/>
      <w:lvlText w:val="%1."/>
      <w:lvlJc w:val="left"/>
      <w:pPr>
        <w:ind w:left="752" w:hanging="360"/>
      </w:pPr>
      <w:rPr>
        <w:rFonts w:hint="default"/>
      </w:r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10" w15:restartNumberingAfterBreak="0">
    <w:nsid w:val="3C4C64AD"/>
    <w:multiLevelType w:val="hybridMultilevel"/>
    <w:tmpl w:val="17BC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E4C1B"/>
    <w:multiLevelType w:val="hybridMultilevel"/>
    <w:tmpl w:val="04962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8D10F8"/>
    <w:multiLevelType w:val="hybridMultilevel"/>
    <w:tmpl w:val="60FE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C63D7"/>
    <w:multiLevelType w:val="hybridMultilevel"/>
    <w:tmpl w:val="242C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B7CDD"/>
    <w:multiLevelType w:val="hybridMultilevel"/>
    <w:tmpl w:val="161C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A5CBE"/>
    <w:multiLevelType w:val="hybridMultilevel"/>
    <w:tmpl w:val="7998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A31755"/>
    <w:multiLevelType w:val="hybridMultilevel"/>
    <w:tmpl w:val="B09244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70400451"/>
    <w:multiLevelType w:val="hybridMultilevel"/>
    <w:tmpl w:val="F050F120"/>
    <w:lvl w:ilvl="0" w:tplc="2FF2BF6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DE6669"/>
    <w:multiLevelType w:val="hybridMultilevel"/>
    <w:tmpl w:val="187C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1"/>
  </w:num>
  <w:num w:numId="4">
    <w:abstractNumId w:val="17"/>
  </w:num>
  <w:num w:numId="5">
    <w:abstractNumId w:val="10"/>
  </w:num>
  <w:num w:numId="6">
    <w:abstractNumId w:val="7"/>
  </w:num>
  <w:num w:numId="7">
    <w:abstractNumId w:val="3"/>
  </w:num>
  <w:num w:numId="8">
    <w:abstractNumId w:val="12"/>
  </w:num>
  <w:num w:numId="9">
    <w:abstractNumId w:val="20"/>
  </w:num>
  <w:num w:numId="10">
    <w:abstractNumId w:val="14"/>
  </w:num>
  <w:num w:numId="11">
    <w:abstractNumId w:val="19"/>
  </w:num>
  <w:num w:numId="12">
    <w:abstractNumId w:val="8"/>
  </w:num>
  <w:num w:numId="13">
    <w:abstractNumId w:val="13"/>
  </w:num>
  <w:num w:numId="14">
    <w:abstractNumId w:val="9"/>
  </w:num>
  <w:num w:numId="15">
    <w:abstractNumId w:val="2"/>
  </w:num>
  <w:num w:numId="16">
    <w:abstractNumId w:val="1"/>
  </w:num>
  <w:num w:numId="17">
    <w:abstractNumId w:val="21"/>
  </w:num>
  <w:num w:numId="18">
    <w:abstractNumId w:val="6"/>
  </w:num>
  <w:num w:numId="19">
    <w:abstractNumId w:val="4"/>
  </w:num>
  <w:num w:numId="20">
    <w:abstractNumId w:val="16"/>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242E0"/>
    <w:rsid w:val="00051764"/>
    <w:rsid w:val="00074EC7"/>
    <w:rsid w:val="00083F0D"/>
    <w:rsid w:val="00085056"/>
    <w:rsid w:val="00094CFD"/>
    <w:rsid w:val="000A08EE"/>
    <w:rsid w:val="00117176"/>
    <w:rsid w:val="001426AB"/>
    <w:rsid w:val="00161977"/>
    <w:rsid w:val="00173180"/>
    <w:rsid w:val="00196A84"/>
    <w:rsid w:val="001B753E"/>
    <w:rsid w:val="001C4E48"/>
    <w:rsid w:val="001D0544"/>
    <w:rsid w:val="00211E7E"/>
    <w:rsid w:val="0021591E"/>
    <w:rsid w:val="00230D71"/>
    <w:rsid w:val="0023137D"/>
    <w:rsid w:val="002330DA"/>
    <w:rsid w:val="00266A7E"/>
    <w:rsid w:val="002B3D79"/>
    <w:rsid w:val="002D369C"/>
    <w:rsid w:val="00300D5B"/>
    <w:rsid w:val="00316612"/>
    <w:rsid w:val="00327C29"/>
    <w:rsid w:val="003557C2"/>
    <w:rsid w:val="003964B8"/>
    <w:rsid w:val="003A5F69"/>
    <w:rsid w:val="003E3368"/>
    <w:rsid w:val="003E5D8E"/>
    <w:rsid w:val="003F156D"/>
    <w:rsid w:val="00424AEC"/>
    <w:rsid w:val="00425414"/>
    <w:rsid w:val="00430392"/>
    <w:rsid w:val="00441A0A"/>
    <w:rsid w:val="00450AC6"/>
    <w:rsid w:val="00455ABB"/>
    <w:rsid w:val="00457A3D"/>
    <w:rsid w:val="00474130"/>
    <w:rsid w:val="004A536F"/>
    <w:rsid w:val="004C64BB"/>
    <w:rsid w:val="00503EB2"/>
    <w:rsid w:val="00522B95"/>
    <w:rsid w:val="00527810"/>
    <w:rsid w:val="0057455C"/>
    <w:rsid w:val="005A0891"/>
    <w:rsid w:val="005D7A9D"/>
    <w:rsid w:val="005E2311"/>
    <w:rsid w:val="005F36B2"/>
    <w:rsid w:val="00606204"/>
    <w:rsid w:val="00634715"/>
    <w:rsid w:val="006578F7"/>
    <w:rsid w:val="006645AD"/>
    <w:rsid w:val="006668FB"/>
    <w:rsid w:val="00692944"/>
    <w:rsid w:val="006A4205"/>
    <w:rsid w:val="006A54FE"/>
    <w:rsid w:val="006E7857"/>
    <w:rsid w:val="006F0E9F"/>
    <w:rsid w:val="006F5172"/>
    <w:rsid w:val="00715102"/>
    <w:rsid w:val="007235D1"/>
    <w:rsid w:val="00724B3F"/>
    <w:rsid w:val="00763298"/>
    <w:rsid w:val="00765861"/>
    <w:rsid w:val="007763C6"/>
    <w:rsid w:val="00791F81"/>
    <w:rsid w:val="007D0CBE"/>
    <w:rsid w:val="007D537B"/>
    <w:rsid w:val="00840994"/>
    <w:rsid w:val="0088122B"/>
    <w:rsid w:val="008A2AC8"/>
    <w:rsid w:val="008D06F5"/>
    <w:rsid w:val="008D37A6"/>
    <w:rsid w:val="008E2BA6"/>
    <w:rsid w:val="008F61E8"/>
    <w:rsid w:val="009664C8"/>
    <w:rsid w:val="009752E7"/>
    <w:rsid w:val="00984012"/>
    <w:rsid w:val="009926C2"/>
    <w:rsid w:val="009A6A53"/>
    <w:rsid w:val="009C59E2"/>
    <w:rsid w:val="009E09DA"/>
    <w:rsid w:val="00A60CBB"/>
    <w:rsid w:val="00A62818"/>
    <w:rsid w:val="00A84449"/>
    <w:rsid w:val="00A8619F"/>
    <w:rsid w:val="00AB42E7"/>
    <w:rsid w:val="00AB5C38"/>
    <w:rsid w:val="00AE3DF6"/>
    <w:rsid w:val="00B24AA7"/>
    <w:rsid w:val="00B70B75"/>
    <w:rsid w:val="00B97BEB"/>
    <w:rsid w:val="00BC1FD6"/>
    <w:rsid w:val="00BC310E"/>
    <w:rsid w:val="00BD69FE"/>
    <w:rsid w:val="00BF483B"/>
    <w:rsid w:val="00C3717E"/>
    <w:rsid w:val="00C405E9"/>
    <w:rsid w:val="00C54BD2"/>
    <w:rsid w:val="00CA1A5C"/>
    <w:rsid w:val="00CB4062"/>
    <w:rsid w:val="00CD0F59"/>
    <w:rsid w:val="00CD39AF"/>
    <w:rsid w:val="00D100AA"/>
    <w:rsid w:val="00D13771"/>
    <w:rsid w:val="00D54ADF"/>
    <w:rsid w:val="00D706AB"/>
    <w:rsid w:val="00D70D5E"/>
    <w:rsid w:val="00DC2B30"/>
    <w:rsid w:val="00DC46F5"/>
    <w:rsid w:val="00E16A0C"/>
    <w:rsid w:val="00E31A14"/>
    <w:rsid w:val="00E3411D"/>
    <w:rsid w:val="00E34DEE"/>
    <w:rsid w:val="00E3661A"/>
    <w:rsid w:val="00E47E82"/>
    <w:rsid w:val="00E55904"/>
    <w:rsid w:val="00E7285A"/>
    <w:rsid w:val="00E849F1"/>
    <w:rsid w:val="00E87435"/>
    <w:rsid w:val="00E97F15"/>
    <w:rsid w:val="00EB20CD"/>
    <w:rsid w:val="00EF17B6"/>
    <w:rsid w:val="00F01683"/>
    <w:rsid w:val="00F1531F"/>
    <w:rsid w:val="00F236E1"/>
    <w:rsid w:val="00F34EDF"/>
    <w:rsid w:val="00F83902"/>
    <w:rsid w:val="00F842B8"/>
    <w:rsid w:val="00FA67EF"/>
    <w:rsid w:val="00FC4450"/>
    <w:rsid w:val="00FC7AD5"/>
    <w:rsid w:val="00FE7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FC4450"/>
    <w:pPr>
      <w:keepNext/>
      <w:spacing w:before="140" w:after="280"/>
      <w:outlineLvl w:val="0"/>
    </w:pPr>
    <w:rPr>
      <w:rFonts w:eastAsia="Times New Roman"/>
      <w:b/>
      <w:bCs/>
      <w:color w:val="4F81BD" w:themeColor="accent1"/>
      <w:spacing w:val="-14"/>
      <w:kern w:val="28"/>
      <w:sz w:val="42"/>
      <w:szCs w:val="32"/>
      <w14:ligatures w14:val="standardContextual"/>
    </w:rPr>
  </w:style>
  <w:style w:type="paragraph" w:styleId="Heading2">
    <w:name w:val="heading 2"/>
    <w:next w:val="Normal"/>
    <w:link w:val="Heading2Char"/>
    <w:autoRedefine/>
    <w:qFormat/>
    <w:rsid w:val="00FC4450"/>
    <w:pPr>
      <w:keepNext/>
      <w:spacing w:before="70" w:after="140"/>
      <w:outlineLvl w:val="1"/>
    </w:pPr>
    <w:rPr>
      <w:rFonts w:eastAsia="MS Mincho" w:cs="Times New Roman"/>
      <w:b/>
      <w:color w:val="4F81BD" w:themeColor="accent1"/>
      <w:spacing w:val="-8"/>
      <w:kern w:val="28"/>
      <w:sz w:val="35"/>
      <w:szCs w:val="28"/>
      <w14:ligatures w14:val="standardContextual"/>
    </w:rPr>
  </w:style>
  <w:style w:type="paragraph" w:styleId="Heading3">
    <w:name w:val="heading 3"/>
    <w:basedOn w:val="Heading2"/>
    <w:next w:val="Normal"/>
    <w:link w:val="Heading3Char"/>
    <w:autoRedefine/>
    <w:qFormat/>
    <w:rsid w:val="00FC4450"/>
    <w:pPr>
      <w:outlineLvl w:val="2"/>
    </w:pPr>
    <w:rPr>
      <w:rFonts w:cs="Arial"/>
      <w:bCs/>
      <w:sz w:val="28"/>
      <w:szCs w:val="26"/>
    </w:rPr>
  </w:style>
  <w:style w:type="paragraph" w:styleId="Heading4">
    <w:name w:val="heading 4"/>
    <w:basedOn w:val="Normal"/>
    <w:next w:val="Normal"/>
    <w:link w:val="Heading4Char"/>
    <w:qFormat/>
    <w:rsid w:val="00FC4450"/>
    <w:pPr>
      <w:keepNext/>
      <w:spacing w:before="70" w:after="70"/>
      <w:textboxTightWrap w:val="lastLineOnly"/>
      <w:outlineLvl w:val="3"/>
    </w:pPr>
    <w:rPr>
      <w:rFonts w:eastAsia="Times New Roman" w:cs="Times New Roman"/>
      <w:b/>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character" w:styleId="FootnoteReference">
    <w:name w:val="footnote reference"/>
    <w:basedOn w:val="DefaultParagraphFont"/>
    <w:uiPriority w:val="99"/>
    <w:unhideWhenUsed/>
    <w:rsid w:val="00316612"/>
    <w:rPr>
      <w:vertAlign w:val="superscript"/>
    </w:rPr>
  </w:style>
  <w:style w:type="paragraph" w:styleId="FootnoteText">
    <w:name w:val="footnote text"/>
    <w:basedOn w:val="Normal"/>
    <w:link w:val="FootnoteTextChar"/>
    <w:uiPriority w:val="99"/>
    <w:unhideWhenUsed/>
    <w:rsid w:val="00316612"/>
    <w:pPr>
      <w:textboxTightWrap w:val="lastLineOnly"/>
    </w:pPr>
    <w:rPr>
      <w:rFonts w:eastAsia="Times New Roman" w:cs="Times New Roman"/>
      <w:sz w:val="20"/>
      <w:szCs w:val="20"/>
    </w:rPr>
  </w:style>
  <w:style w:type="character" w:customStyle="1" w:styleId="FootnoteTextChar">
    <w:name w:val="Footnote Text Char"/>
    <w:basedOn w:val="DefaultParagraphFont"/>
    <w:link w:val="FootnoteText"/>
    <w:uiPriority w:val="99"/>
    <w:rsid w:val="00316612"/>
    <w:rPr>
      <w:rFonts w:eastAsia="Times New Roman" w:cs="Times New Roman"/>
      <w:sz w:val="20"/>
      <w:szCs w:val="20"/>
    </w:rPr>
  </w:style>
  <w:style w:type="character" w:styleId="PlaceholderText">
    <w:name w:val="Placeholder Text"/>
    <w:basedOn w:val="DefaultParagraphFont"/>
    <w:uiPriority w:val="99"/>
    <w:semiHidden/>
    <w:rsid w:val="001B753E"/>
    <w:rPr>
      <w:color w:val="808080"/>
    </w:rPr>
  </w:style>
  <w:style w:type="character" w:customStyle="1" w:styleId="Heading1Char">
    <w:name w:val="Heading 1 Char"/>
    <w:basedOn w:val="DefaultParagraphFont"/>
    <w:link w:val="Heading1"/>
    <w:rsid w:val="00FC4450"/>
    <w:rPr>
      <w:rFonts w:eastAsia="Times New Roman"/>
      <w:b/>
      <w:bCs/>
      <w:color w:val="4F81BD" w:themeColor="accent1"/>
      <w:spacing w:val="-14"/>
      <w:kern w:val="28"/>
      <w:sz w:val="42"/>
      <w:szCs w:val="32"/>
      <w14:ligatures w14:val="standardContextual"/>
    </w:rPr>
  </w:style>
  <w:style w:type="character" w:customStyle="1" w:styleId="Heading2Char">
    <w:name w:val="Heading 2 Char"/>
    <w:basedOn w:val="DefaultParagraphFont"/>
    <w:link w:val="Heading2"/>
    <w:rsid w:val="00FC4450"/>
    <w:rPr>
      <w:rFonts w:eastAsia="MS Mincho" w:cs="Times New Roman"/>
      <w:b/>
      <w:color w:val="4F81BD" w:themeColor="accent1"/>
      <w:spacing w:val="-8"/>
      <w:kern w:val="28"/>
      <w:sz w:val="35"/>
      <w:szCs w:val="28"/>
      <w14:ligatures w14:val="standardContextual"/>
    </w:rPr>
  </w:style>
  <w:style w:type="character" w:customStyle="1" w:styleId="Heading3Char">
    <w:name w:val="Heading 3 Char"/>
    <w:basedOn w:val="DefaultParagraphFont"/>
    <w:link w:val="Heading3"/>
    <w:rsid w:val="00FC4450"/>
    <w:rPr>
      <w:rFonts w:eastAsia="MS Mincho"/>
      <w:b/>
      <w:bCs/>
      <w:color w:val="4F81BD" w:themeColor="accent1"/>
      <w:spacing w:val="-8"/>
      <w:kern w:val="28"/>
      <w:sz w:val="28"/>
      <w:szCs w:val="26"/>
      <w14:ligatures w14:val="standardContextual"/>
    </w:rPr>
  </w:style>
  <w:style w:type="character" w:customStyle="1" w:styleId="Heading4Char">
    <w:name w:val="Heading 4 Char"/>
    <w:basedOn w:val="DefaultParagraphFont"/>
    <w:link w:val="Heading4"/>
    <w:rsid w:val="00FC4450"/>
    <w:rPr>
      <w:rFonts w:eastAsia="Times New Roman" w:cs="Times New Roman"/>
      <w:b/>
      <w:color w:val="4F81BD" w:themeColor="accent1"/>
      <w:sz w:val="24"/>
      <w:szCs w:val="20"/>
    </w:rPr>
  </w:style>
  <w:style w:type="paragraph" w:customStyle="1" w:styleId="Bulletlist">
    <w:name w:val="Bullet list"/>
    <w:basedOn w:val="ListParagraph"/>
    <w:link w:val="BulletlistChar"/>
    <w:autoRedefine/>
    <w:qFormat/>
    <w:rsid w:val="00FC4450"/>
    <w:pPr>
      <w:numPr>
        <w:numId w:val="7"/>
      </w:numPr>
      <w:autoSpaceDE w:val="0"/>
      <w:autoSpaceDN w:val="0"/>
      <w:adjustRightInd w:val="0"/>
      <w:spacing w:after="140" w:line="240" w:lineRule="auto"/>
      <w:ind w:left="510" w:hanging="510"/>
      <w:contextualSpacing w:val="0"/>
    </w:pPr>
    <w:rPr>
      <w:rFonts w:ascii="Arial" w:eastAsia="Times New Roman" w:hAnsi="Arial" w:cs="FrutigerLTStd-Light"/>
      <w:sz w:val="24"/>
    </w:rPr>
  </w:style>
  <w:style w:type="character" w:customStyle="1" w:styleId="BulletlistChar">
    <w:name w:val="Bullet list Char"/>
    <w:basedOn w:val="DefaultParagraphFont"/>
    <w:link w:val="Bulletlist"/>
    <w:rsid w:val="00FC4450"/>
    <w:rPr>
      <w:rFonts w:eastAsia="Times New Roman" w:cs="FrutigerLTStd-Light"/>
      <w:sz w:val="24"/>
    </w:rPr>
  </w:style>
  <w:style w:type="paragraph" w:customStyle="1" w:styleId="Footnote-hanging">
    <w:name w:val="Footnote - hanging"/>
    <w:basedOn w:val="Bulletlist"/>
    <w:link w:val="Footnote-hangingChar"/>
    <w:qFormat/>
    <w:rsid w:val="00FC4450"/>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FC4450"/>
    <w:rPr>
      <w:rFonts w:eastAsia="Times New Roman" w:cs="FrutigerLTStd-Light"/>
      <w:sz w:val="18"/>
      <w:szCs w:val="18"/>
    </w:rPr>
  </w:style>
  <w:style w:type="paragraph" w:customStyle="1" w:styleId="Standfirst">
    <w:name w:val="Standfirst"/>
    <w:basedOn w:val="Heading4"/>
    <w:link w:val="StandfirstChar"/>
    <w:autoRedefine/>
    <w:qFormat/>
    <w:rsid w:val="00FC4450"/>
    <w:pPr>
      <w:spacing w:before="0" w:after="140" w:line="420" w:lineRule="atLeast"/>
    </w:pPr>
    <w:rPr>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FC4450"/>
    <w:rPr>
      <w:rFonts w:eastAsia="Times New Roman" w:cs="Times New Roman"/>
      <w:b/>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FC4450"/>
    <w:pPr>
      <w:pBdr>
        <w:top w:val="single" w:sz="4" w:space="4" w:color="D6E3BC" w:themeColor="accent3" w:themeTint="66"/>
        <w:bottom w:val="single" w:sz="4" w:space="4" w:color="D6E3BC" w:themeColor="accent3" w:themeTint="66"/>
      </w:pBdr>
      <w:tabs>
        <w:tab w:val="right" w:pos="9854"/>
      </w:tabs>
      <w:spacing w:after="140"/>
      <w:textboxTightWrap w:val="lastLineOnly"/>
    </w:pPr>
    <w:rPr>
      <w:rFonts w:eastAsia="Times New Roman" w:cs="Times New Roman"/>
      <w:b/>
      <w:noProof/>
      <w:color w:val="4F81BD" w:themeColor="accent1"/>
      <w:sz w:val="28"/>
      <w:szCs w:val="24"/>
    </w:rPr>
  </w:style>
  <w:style w:type="paragraph" w:styleId="TOCHeading">
    <w:name w:val="TOC Heading"/>
    <w:basedOn w:val="Heading1"/>
    <w:next w:val="Normal"/>
    <w:uiPriority w:val="39"/>
    <w:unhideWhenUsed/>
    <w:qFormat/>
    <w:rsid w:val="00FC4450"/>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FC4450"/>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FC4450"/>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FC4450"/>
    <w:pPr>
      <w:spacing w:after="140"/>
      <w:textboxTightWrap w:val="lastLineOnly"/>
    </w:pPr>
    <w:rPr>
      <w:rFonts w:eastAsia="Times New Roman" w:cs="Times New Roman"/>
      <w:b/>
      <w:color w:val="4F81BD" w:themeColor="accent1"/>
      <w:sz w:val="35"/>
      <w:szCs w:val="42"/>
    </w:rPr>
  </w:style>
  <w:style w:type="character" w:customStyle="1" w:styleId="FrontpagesubheadChar">
    <w:name w:val="Frontpage_subhead Char"/>
    <w:basedOn w:val="DefaultParagraphFont"/>
    <w:link w:val="Frontpagesubhead"/>
    <w:rsid w:val="00FC4450"/>
    <w:rPr>
      <w:rFonts w:eastAsia="Times New Roman" w:cs="Times New Roman"/>
      <w:b/>
      <w:color w:val="4F81BD" w:themeColor="accent1"/>
      <w:sz w:val="35"/>
      <w:szCs w:val="42"/>
    </w:rPr>
  </w:style>
  <w:style w:type="paragraph" w:customStyle="1" w:styleId="Footnoteseparator">
    <w:name w:val="Footnote_separator"/>
    <w:basedOn w:val="Heading3"/>
    <w:link w:val="FootnoteseparatorChar"/>
    <w:rsid w:val="00FC4450"/>
    <w:rPr>
      <w:noProof/>
      <w:w w:val="200"/>
      <w:sz w:val="16"/>
      <w:szCs w:val="16"/>
    </w:rPr>
  </w:style>
  <w:style w:type="character" w:customStyle="1" w:styleId="FootnoteseparatorChar">
    <w:name w:val="Footnote_separator Char"/>
    <w:basedOn w:val="Heading3Char"/>
    <w:link w:val="Footnoteseparator"/>
    <w:rsid w:val="00FC4450"/>
    <w:rPr>
      <w:rFonts w:eastAsia="MS Mincho"/>
      <w:b/>
      <w:bCs/>
      <w:noProof/>
      <w:color w:val="4F81BD"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FC4450"/>
    <w:pPr>
      <w:spacing w:after="140" w:line="240" w:lineRule="auto"/>
      <w:ind w:left="510" w:hanging="510"/>
      <w:contextualSpacing w:val="0"/>
      <w:textboxTightWrap w:val="lastLineOnly"/>
    </w:pPr>
    <w:rPr>
      <w:rFonts w:ascii="Arial" w:eastAsia="Times New Roman" w:hAnsi="Arial" w:cs="Times New Roman"/>
      <w:sz w:val="24"/>
      <w:szCs w:val="24"/>
    </w:rPr>
  </w:style>
  <w:style w:type="character" w:customStyle="1" w:styleId="NumberedlistChar">
    <w:name w:val="Numbered list Char"/>
    <w:basedOn w:val="DefaultParagraphFont"/>
    <w:link w:val="Numberedlist"/>
    <w:rsid w:val="00FC4450"/>
    <w:rPr>
      <w:rFonts w:eastAsia="Times New Roman" w:cs="Times New Roman"/>
      <w:sz w:val="24"/>
      <w:szCs w:val="24"/>
    </w:rPr>
  </w:style>
  <w:style w:type="paragraph" w:styleId="TOC2">
    <w:name w:val="toc 2"/>
    <w:basedOn w:val="Normal"/>
    <w:next w:val="Normal"/>
    <w:autoRedefine/>
    <w:uiPriority w:val="39"/>
    <w:unhideWhenUsed/>
    <w:qFormat/>
    <w:rsid w:val="00FC4450"/>
    <w:pPr>
      <w:spacing w:after="100"/>
      <w:ind w:left="220"/>
      <w:textboxTightWrap w:val="lastLineOnly"/>
    </w:pPr>
    <w:rPr>
      <w:rFonts w:eastAsia="Times New Roman" w:cs="Times New Roman"/>
      <w:sz w:val="24"/>
      <w:szCs w:val="24"/>
    </w:rPr>
  </w:style>
  <w:style w:type="paragraph" w:styleId="TOC3">
    <w:name w:val="toc 3"/>
    <w:basedOn w:val="Normal"/>
    <w:next w:val="Normal"/>
    <w:autoRedefine/>
    <w:uiPriority w:val="39"/>
    <w:semiHidden/>
    <w:unhideWhenUsed/>
    <w:qFormat/>
    <w:rsid w:val="00FC4450"/>
    <w:pPr>
      <w:spacing w:after="100" w:line="276" w:lineRule="auto"/>
      <w:ind w:left="440"/>
    </w:pPr>
    <w:rPr>
      <w:rFonts w:asciiTheme="minorHAnsi" w:eastAsiaTheme="minorEastAsia" w:hAnsiTheme="minorHAnsi" w:cstheme="minorBidi"/>
      <w:sz w:val="24"/>
      <w:lang w:val="en-US" w:eastAsia="ja-JP"/>
    </w:rPr>
  </w:style>
  <w:style w:type="paragraph" w:styleId="Header">
    <w:name w:val="header"/>
    <w:basedOn w:val="Normal"/>
    <w:link w:val="HeaderChar"/>
    <w:uiPriority w:val="99"/>
    <w:unhideWhenUsed/>
    <w:qFormat/>
    <w:rsid w:val="00FC4450"/>
    <w:pPr>
      <w:pBdr>
        <w:bottom w:val="single" w:sz="6" w:space="4" w:color="9BBB59" w:themeColor="accent3"/>
      </w:pBdr>
      <w:tabs>
        <w:tab w:val="left" w:pos="9639"/>
      </w:tabs>
      <w:textboxTightWrap w:val="lastLineOnly"/>
    </w:pPr>
    <w:rPr>
      <w:rFonts w:eastAsia="Times New Roman" w:cs="Times New Roman"/>
      <w:b/>
      <w:color w:val="9BBB59" w:themeColor="accent3"/>
      <w:sz w:val="20"/>
      <w:szCs w:val="24"/>
    </w:rPr>
  </w:style>
  <w:style w:type="character" w:customStyle="1" w:styleId="HeaderChar">
    <w:name w:val="Header Char"/>
    <w:basedOn w:val="DefaultParagraphFont"/>
    <w:link w:val="Header"/>
    <w:uiPriority w:val="99"/>
    <w:rsid w:val="00FC4450"/>
    <w:rPr>
      <w:rFonts w:eastAsia="Times New Roman" w:cs="Times New Roman"/>
      <w:b/>
      <w:color w:val="9BBB59" w:themeColor="accent3"/>
      <w:sz w:val="20"/>
      <w:szCs w:val="24"/>
    </w:rPr>
  </w:style>
  <w:style w:type="paragraph" w:styleId="Footer">
    <w:name w:val="footer"/>
    <w:basedOn w:val="Normal"/>
    <w:link w:val="FooterChar"/>
    <w:autoRedefine/>
    <w:uiPriority w:val="99"/>
    <w:unhideWhenUsed/>
    <w:qFormat/>
    <w:rsid w:val="00FC4450"/>
    <w:pPr>
      <w:tabs>
        <w:tab w:val="right" w:pos="9866"/>
      </w:tabs>
      <w:textboxTightWrap w:val="lastLineOnly"/>
    </w:pPr>
    <w:rPr>
      <w:rFonts w:eastAsia="Times New Roman" w:cs="Times New Roman"/>
      <w:color w:val="9BBB59" w:themeColor="accent3"/>
      <w:sz w:val="17"/>
      <w:szCs w:val="24"/>
    </w:rPr>
  </w:style>
  <w:style w:type="character" w:customStyle="1" w:styleId="FooterChar">
    <w:name w:val="Footer Char"/>
    <w:basedOn w:val="DefaultParagraphFont"/>
    <w:link w:val="Footer"/>
    <w:uiPriority w:val="99"/>
    <w:rsid w:val="00FC4450"/>
    <w:rPr>
      <w:rFonts w:eastAsia="Times New Roman" w:cs="Times New Roman"/>
      <w:color w:val="9BBB59" w:themeColor="accent3"/>
      <w:sz w:val="17"/>
      <w:szCs w:val="24"/>
    </w:rPr>
  </w:style>
  <w:style w:type="character" w:styleId="Strong">
    <w:name w:val="Strong"/>
    <w:aliases w:val="Bold"/>
    <w:qFormat/>
    <w:rsid w:val="00FC4450"/>
    <w:rPr>
      <w:rFonts w:asciiTheme="minorHAnsi" w:hAnsiTheme="minorHAnsi"/>
      <w:b/>
      <w:bCs/>
    </w:rPr>
  </w:style>
  <w:style w:type="paragraph" w:styleId="Quote">
    <w:name w:val="Quote"/>
    <w:basedOn w:val="Normal"/>
    <w:next w:val="Normal"/>
    <w:link w:val="QuoteChar"/>
    <w:uiPriority w:val="29"/>
    <w:qFormat/>
    <w:rsid w:val="00FC4450"/>
    <w:pPr>
      <w:spacing w:before="70" w:after="70"/>
      <w:textboxTightWrap w:val="lastLineOnly"/>
    </w:pPr>
    <w:rPr>
      <w:rFonts w:ascii="Goudy Old Style" w:eastAsia="Times New Roman" w:hAnsi="Goudy Old Style" w:cs="Times New Roman"/>
      <w:i/>
      <w:iCs/>
      <w:color w:val="4F81BD" w:themeColor="accent1"/>
      <w:sz w:val="35"/>
      <w:szCs w:val="24"/>
    </w:rPr>
  </w:style>
  <w:style w:type="character" w:customStyle="1" w:styleId="QuoteChar">
    <w:name w:val="Quote Char"/>
    <w:basedOn w:val="DefaultParagraphFont"/>
    <w:link w:val="Quote"/>
    <w:uiPriority w:val="29"/>
    <w:rsid w:val="00FC4450"/>
    <w:rPr>
      <w:rFonts w:ascii="Goudy Old Style" w:eastAsia="Times New Roman" w:hAnsi="Goudy Old Style" w:cs="Times New Roman"/>
      <w:i/>
      <w:iCs/>
      <w:color w:val="4F81BD" w:themeColor="accent1"/>
      <w:sz w:val="35"/>
      <w:szCs w:val="24"/>
    </w:rPr>
  </w:style>
  <w:style w:type="table" w:customStyle="1" w:styleId="TableGrid1">
    <w:name w:val="Table Grid1"/>
    <w:basedOn w:val="TableNormal"/>
    <w:next w:val="TableGrid"/>
    <w:uiPriority w:val="59"/>
    <w:rsid w:val="00FC445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445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1"/>
    <w:basedOn w:val="DefaultParagraphFont"/>
    <w:uiPriority w:val="1"/>
    <w:rsid w:val="00FC4450"/>
    <w:rPr>
      <w:rFonts w:ascii="Arial" w:hAnsi="Arial"/>
      <w:b w:val="0"/>
      <w:color w:val="1F497D" w:themeColor="text2"/>
      <w:sz w:val="28"/>
    </w:rPr>
  </w:style>
  <w:style w:type="paragraph" w:styleId="NoSpacing">
    <w:name w:val="No Spacing"/>
    <w:link w:val="NoSpacingChar"/>
    <w:uiPriority w:val="1"/>
    <w:qFormat/>
    <w:rsid w:val="00FC4450"/>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FC4450"/>
    <w:rPr>
      <w:rFonts w:asciiTheme="minorHAnsi" w:eastAsiaTheme="minorEastAsia" w:hAnsiTheme="minorHAnsi" w:cstheme="minorBid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 w:id="20935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lahrc-gm.nihr.ac.uk/cms/wp-content/uploads/DoH-National-Stroke-Strategy-2007.pdf" TargetMode="External"/><Relationship Id="rId18" Type="http://schemas.openxmlformats.org/officeDocument/2006/relationships/hyperlink" Target="http://www.rcplondon.ac.uk/sites/default/files/national-clinical-guidelines-for-stroke-fourth-edition.pdf" TargetMode="External"/><Relationship Id="rId26" Type="http://schemas.openxmlformats.org/officeDocument/2006/relationships/hyperlink" Target="http://www.stroke-in-stoke.info/otherfiles/Accelerating%20Stroke%20Improvement%20National%20Plan.pdf" TargetMode="External"/><Relationship Id="rId39" Type="http://schemas.openxmlformats.org/officeDocument/2006/relationships/hyperlink" Target="http://www.hscic.gov.uk/article/1674/Indicator-Assurance-Service" TargetMode="External"/><Relationship Id="rId3" Type="http://schemas.openxmlformats.org/officeDocument/2006/relationships/settings" Target="settings.xml"/><Relationship Id="rId21" Type="http://schemas.openxmlformats.org/officeDocument/2006/relationships/hyperlink" Target="http://www.apho.org.uk/resource/view.aspx?RID=48617" TargetMode="External"/><Relationship Id="rId34" Type="http://schemas.openxmlformats.org/officeDocument/2006/relationships/hyperlink" Target="https://www.strokeaudit.org/Documents/Results/National/OctDec2014/OctDec2014-PublicReport.aspx" TargetMode="External"/><Relationship Id="rId42" Type="http://schemas.openxmlformats.org/officeDocument/2006/relationships/theme" Target="theme/theme1.xml"/><Relationship Id="rId7" Type="http://schemas.openxmlformats.org/officeDocument/2006/relationships/hyperlink" Target="mailto:ccgois@hscic.gov.uk" TargetMode="External"/><Relationship Id="rId12" Type="http://schemas.openxmlformats.org/officeDocument/2006/relationships/hyperlink" Target="http://www.ncbi.nlm.nih.gov/pubmed/17943737" TargetMode="External"/><Relationship Id="rId17" Type="http://schemas.openxmlformats.org/officeDocument/2006/relationships/hyperlink" Target="http://stroke.ahajournals.org/content/38/9/2536" TargetMode="External"/><Relationship Id="rId25" Type="http://schemas.openxmlformats.org/officeDocument/2006/relationships/hyperlink" Target="http://www.strokeaudit.org/results/Clinical-audit/National-Results.aspx" TargetMode="External"/><Relationship Id="rId33" Type="http://schemas.openxmlformats.org/officeDocument/2006/relationships/hyperlink" Target="https://www.strokeaudit.org/Documents/Newspress/SSNAP-Annual-Report-(April-2013-March-2014).pdf" TargetMode="External"/><Relationship Id="rId38" Type="http://schemas.openxmlformats.org/officeDocument/2006/relationships/hyperlink" Target="mailto:indicator.assurance@hscic.gov.uk" TargetMode="External"/><Relationship Id="rId2" Type="http://schemas.openxmlformats.org/officeDocument/2006/relationships/styles" Target="styles.xml"/><Relationship Id="rId16" Type="http://schemas.openxmlformats.org/officeDocument/2006/relationships/hyperlink" Target="http://www.ncbi.nlm.nih.gov/pubmed/17463308" TargetMode="External"/><Relationship Id="rId20" Type="http://schemas.openxmlformats.org/officeDocument/2006/relationships/hyperlink" Target="http://www.rcplondon.ac.uk/projects/sentinel-stroke-national-audit-programme" TargetMode="External"/><Relationship Id="rId29" Type="http://schemas.openxmlformats.org/officeDocument/2006/relationships/image" Target="media/image3.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214895/9387-2900853-CVD-Outcomes_web1.pdf" TargetMode="External"/><Relationship Id="rId24" Type="http://schemas.openxmlformats.org/officeDocument/2006/relationships/image" Target="media/image2.png"/><Relationship Id="rId32" Type="http://schemas.openxmlformats.org/officeDocument/2006/relationships/footer" Target="footer2.xml"/><Relationship Id="rId37" Type="http://schemas.openxmlformats.org/officeDocument/2006/relationships/hyperlink" Target="http://www.hscic.gov.uk/article/1674/Indicator-Assurance-Servic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nnp.bmj.com/content/early/2014/06/25/jnnp-2013-307478.full" TargetMode="External"/><Relationship Id="rId23" Type="http://schemas.openxmlformats.org/officeDocument/2006/relationships/image" Target="media/image1.emf"/><Relationship Id="rId28" Type="http://schemas.openxmlformats.org/officeDocument/2006/relationships/hyperlink" Target="mailto:ccgois@hscic.gov.uk" TargetMode="External"/><Relationship Id="rId36" Type="http://schemas.openxmlformats.org/officeDocument/2006/relationships/hyperlink" Target="mailto:indicator.assurance@hscic.gov.uk" TargetMode="External"/><Relationship Id="rId10" Type="http://schemas.openxmlformats.org/officeDocument/2006/relationships/hyperlink" Target="mailto:ccgois@hscic.gov.uk" TargetMode="External"/><Relationship Id="rId19" Type="http://schemas.openxmlformats.org/officeDocument/2006/relationships/hyperlink" Target="https://www.gov.uk/government/uploads/system/uploads/attachment_data/file/214895/9387-2900853-CVD-Outcomes_web1.pd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roke.ahajournals.org/content/36/1/103.full.pdf" TargetMode="External"/><Relationship Id="rId22" Type="http://schemas.openxmlformats.org/officeDocument/2006/relationships/hyperlink" Target="http://www.england.nhs.uk/resources/resources-for-ccgs/ccg-out-tool/ccg-ois/" TargetMode="External"/><Relationship Id="rId27" Type="http://schemas.openxmlformats.org/officeDocument/2006/relationships/hyperlink" Target="mailto:enquiries@hscic.gov.uk" TargetMode="External"/><Relationship Id="rId30" Type="http://schemas.openxmlformats.org/officeDocument/2006/relationships/image" Target="media/image4.png"/><Relationship Id="rId35" Type="http://schemas.openxmlformats.org/officeDocument/2006/relationships/hyperlink" Target="http://www.england.nhs.uk/resources/resources-for-ccgs/ccg-out-tool/ccg-o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A3B89E3A754093999B927D69B8BE4C"/>
        <w:category>
          <w:name w:val="General"/>
          <w:gallery w:val="placeholder"/>
        </w:category>
        <w:types>
          <w:type w:val="bbPlcHdr"/>
        </w:types>
        <w:behaviors>
          <w:behavior w:val="content"/>
        </w:behaviors>
        <w:guid w:val="{DC0C4E3F-470D-4546-B8FA-31928607F599}"/>
      </w:docPartPr>
      <w:docPartBody>
        <w:p w:rsidR="00D059C2" w:rsidRDefault="002751CE" w:rsidP="002751CE">
          <w:pPr>
            <w:pStyle w:val="86A3B89E3A754093999B927D69B8BE4C"/>
          </w:pPr>
          <w:r w:rsidRPr="00195C54">
            <w:rPr>
              <w:rStyle w:val="PlaceholderText"/>
            </w:rPr>
            <w:t>Choose an item.</w:t>
          </w:r>
        </w:p>
      </w:docPartBody>
    </w:docPart>
    <w:docPart>
      <w:docPartPr>
        <w:name w:val="CAB1954B3C304004860A95A545492A88"/>
        <w:category>
          <w:name w:val="General"/>
          <w:gallery w:val="placeholder"/>
        </w:category>
        <w:types>
          <w:type w:val="bbPlcHdr"/>
        </w:types>
        <w:behaviors>
          <w:behavior w:val="content"/>
        </w:behaviors>
        <w:guid w:val="{C8CFE1B9-73A9-4BDC-923F-458130F4ACCC}"/>
      </w:docPartPr>
      <w:docPartBody>
        <w:p w:rsidR="00000000" w:rsidRDefault="00D57CF5" w:rsidP="00D57CF5">
          <w:pPr>
            <w:pStyle w:val="CAB1954B3C304004860A95A545492A88"/>
          </w:pPr>
          <w:r w:rsidRPr="00B71800">
            <w:rPr>
              <w:rStyle w:val="PlaceholderText"/>
            </w:rPr>
            <w:t>Choose an item.</w:t>
          </w:r>
        </w:p>
      </w:docPartBody>
    </w:docPart>
    <w:docPart>
      <w:docPartPr>
        <w:name w:val="D489C16BE5804C558A972328340A091F"/>
        <w:category>
          <w:name w:val="General"/>
          <w:gallery w:val="placeholder"/>
        </w:category>
        <w:types>
          <w:type w:val="bbPlcHdr"/>
        </w:types>
        <w:behaviors>
          <w:behavior w:val="content"/>
        </w:behaviors>
        <w:guid w:val="{1722803C-7776-4435-8552-C691FAD13AAB}"/>
      </w:docPartPr>
      <w:docPartBody>
        <w:p w:rsidR="00000000" w:rsidRDefault="00D57CF5" w:rsidP="00D57CF5">
          <w:pPr>
            <w:pStyle w:val="D489C16BE5804C558A972328340A091F"/>
          </w:pPr>
          <w:r w:rsidRPr="00BC4529">
            <w:rPr>
              <w:rStyle w:val="PlaceholderText"/>
            </w:rPr>
            <w:t>Choose an item.</w:t>
          </w:r>
        </w:p>
      </w:docPartBody>
    </w:docPart>
    <w:docPart>
      <w:docPartPr>
        <w:name w:val="2111D86AFB2B41D49181A5E344EA189A"/>
        <w:category>
          <w:name w:val="General"/>
          <w:gallery w:val="placeholder"/>
        </w:category>
        <w:types>
          <w:type w:val="bbPlcHdr"/>
        </w:types>
        <w:behaviors>
          <w:behavior w:val="content"/>
        </w:behaviors>
        <w:guid w:val="{1F02A062-5890-4935-B475-21F1CC3E6599}"/>
      </w:docPartPr>
      <w:docPartBody>
        <w:p w:rsidR="00000000" w:rsidRDefault="00D57CF5" w:rsidP="00D57CF5">
          <w:pPr>
            <w:pStyle w:val="2111D86AFB2B41D49181A5E344EA189A"/>
          </w:pPr>
          <w:r w:rsidRPr="00775F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CE"/>
    <w:rsid w:val="002751CE"/>
    <w:rsid w:val="00D059C2"/>
    <w:rsid w:val="00D5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CF5"/>
    <w:rPr>
      <w:color w:val="808080"/>
    </w:rPr>
  </w:style>
  <w:style w:type="paragraph" w:customStyle="1" w:styleId="A6FC364482DB46D882DE710EA66DF3D3">
    <w:name w:val="A6FC364482DB46D882DE710EA66DF3D3"/>
    <w:rsid w:val="002751CE"/>
  </w:style>
  <w:style w:type="paragraph" w:customStyle="1" w:styleId="5B1FEA215FA94AC588AC210A79D1B375">
    <w:name w:val="5B1FEA215FA94AC588AC210A79D1B375"/>
    <w:rsid w:val="002751CE"/>
  </w:style>
  <w:style w:type="paragraph" w:customStyle="1" w:styleId="0E8C8D71215B4CF2AC34BBB5BFE6A0FC">
    <w:name w:val="0E8C8D71215B4CF2AC34BBB5BFE6A0FC"/>
    <w:rsid w:val="002751CE"/>
  </w:style>
  <w:style w:type="paragraph" w:customStyle="1" w:styleId="A43614296F1C4B248E9F4D59BF630C15">
    <w:name w:val="A43614296F1C4B248E9F4D59BF630C15"/>
    <w:rsid w:val="002751CE"/>
  </w:style>
  <w:style w:type="paragraph" w:customStyle="1" w:styleId="2F0F78ABF61B4B868313B1E81F4BB89E">
    <w:name w:val="2F0F78ABF61B4B868313B1E81F4BB89E"/>
    <w:rsid w:val="002751CE"/>
  </w:style>
  <w:style w:type="paragraph" w:customStyle="1" w:styleId="86A3B89E3A754093999B927D69B8BE4C">
    <w:name w:val="86A3B89E3A754093999B927D69B8BE4C"/>
    <w:rsid w:val="002751CE"/>
  </w:style>
  <w:style w:type="paragraph" w:customStyle="1" w:styleId="CAB1954B3C304004860A95A545492A88">
    <w:name w:val="CAB1954B3C304004860A95A545492A88"/>
    <w:rsid w:val="00D57CF5"/>
  </w:style>
  <w:style w:type="paragraph" w:customStyle="1" w:styleId="A6B91A7A1D66487FBF26895F7043F797">
    <w:name w:val="A6B91A7A1D66487FBF26895F7043F797"/>
    <w:rsid w:val="00D57CF5"/>
  </w:style>
  <w:style w:type="paragraph" w:customStyle="1" w:styleId="D489C16BE5804C558A972328340A091F">
    <w:name w:val="D489C16BE5804C558A972328340A091F"/>
    <w:rsid w:val="00D57CF5"/>
  </w:style>
  <w:style w:type="paragraph" w:customStyle="1" w:styleId="F67FDCF36C1748EBADCF9608E4B82514">
    <w:name w:val="F67FDCF36C1748EBADCF9608E4B82514"/>
    <w:rsid w:val="00D57CF5"/>
  </w:style>
  <w:style w:type="paragraph" w:customStyle="1" w:styleId="2111D86AFB2B41D49181A5E344EA189A">
    <w:name w:val="2111D86AFB2B41D49181A5E344EA189A"/>
    <w:rsid w:val="00D57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7810</Words>
  <Characters>44521</Characters>
  <Application>Microsoft Office Word</Application>
  <DocSecurity>0</DocSecurity>
  <Lines>371</Lines>
  <Paragraphs>104</Paragraphs>
  <ScaleCrop>false</ScaleCrop>
  <Company/>
  <LinksUpToDate>false</LinksUpToDate>
  <CharactersWithSpaces>52227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2020-03-19T15:26:00Z</dcterms:created>
  <dcterms:modified xsi:type="dcterms:W3CDTF">2020-03-19T15:26:00Z</dcterms:modified>
</cp:coreProperties>
</file>